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header1.xml" ContentType="application/vnd.openxmlformats-officedocument.wordprocessingml.header+xml"/>
  <Override PartName="/word/footer1.xml" ContentType="application/vnd.openxmlformats-officedocument.wordprocessingml.footer+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comments.xml" ContentType="application/vnd.openxmlformats-officedocument.wordprocessingml.comments+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pict>
          <v:shape type="#_x0000_t75" style="width:83.149606299213pt; height:91.086614173228pt; margin-left:0pt; margin-top:0pt; position:absolute; mso-position-horizontal:left; mso-position-vertical:top; mso-position-horizontal-relative:margin; mso-position-vertical-relative:line;">
            <w10:wrap type="square" anchorx="page" anchory="page"/>
            <v:imagedata r:id="rId7" o:title=""/>
          </v:shape>
        </w:pict>
      </w:r>
      <w:r>
        <w:pict>
          <v:shape type="#_x0000_t75" style="width:67.275590551181pt; height:120.18897637795pt; margin-left:0pt; margin-top:0pt; position:absolute; mso-position-horizontal:right; mso-position-vertical:top; mso-position-horizontal-relative:margin; mso-position-vertical-relative:line;">
            <w10:wrap type="square" anchorx="page" anchory="page"/>
            <v:imagedata r:id="rId8" o:title=""/>
          </v:shape>
        </w:pict>
      </w:r>
    </w:p>
    <w:p>
      <w:pPr>
        <w:jc w:val="center"/>
      </w:pPr>
      <w:r>
        <w:rPr>
          <w:sz w:val="28"/>
          <w:szCs w:val="28"/>
        </w:rPr>
        <w:t xml:space="preserve">2019</w:t>
      </w:r>
    </w:p>
    <w:p>
      <w:pPr>
        <w:jc w:val="center"/>
      </w:pPr>
      <w:r>
        <w:rPr>
          <w:sz w:val="28"/>
          <w:szCs w:val="28"/>
        </w:rPr>
        <w:t xml:space="preserve">Project Implementation Review (PIR)</w:t>
      </w:r>
    </w:p>
    <w:p>
      <w:pPr/>
      <w:r>
        <w:rPr/>
        <w:t xml:space="preserve"/>
      </w:r>
    </w:p>
    <w:p>
      <w:pPr/>
      <w:r>
        <w:rPr/>
        <w:t xml:space="preserve"/>
      </w:r>
    </w:p>
    <w:p>
      <w:pPr/>
      <w:r>
        <w:rPr/>
        <w:t xml:space="preserve"/>
      </w:r>
    </w:p>
    <w:p>
      <w:pPr>
        <w:jc w:val="center"/>
      </w:pPr>
      <w:r>
        <w:rPr>
          <w:sz w:val="28"/>
          <w:szCs w:val="28"/>
          <w:b w:val="1"/>
          <w:bCs w:val="1"/>
        </w:rPr>
        <w:t xml:space="preserve">SFPMK Strengthening Forest Area Planning</w:t>
      </w:r>
    </w:p>
    <w:p>
      <w:pPr>
        <w:tabs>
          <w:tab w:val="right" w:leader="dot" w:pos="9062"/>
        </w:tabs>
      </w:pPr>
      <w:r>
        <w:fldChar w:fldCharType="begin"/>
      </w:r>
      <w:r>
        <w:instrText xml:space="preserve">TOC \o 1-1 \h \z \u</w:instrText>
      </w:r>
      <w:r>
        <w:fldChar w:fldCharType="separate"/>
      </w:r>
      <w:hyperlink w:anchor="_Toc1" w:history="1">
        <w:r>
          <w:t>Basic Data</w:t>
        </w:r>
        <w:r>
          <w:tab/>
        </w:r>
        <w:r>
          <w:fldChar w:fldCharType="begin"/>
        </w:r>
        <w:r>
          <w:instrText xml:space="preserve">PAGEREF _Toc1 \h</w:instrText>
        </w:r>
        <w:r>
          <w:fldChar w:fldCharType="end"/>
        </w:r>
      </w:hyperlink>
    </w:p>
    <w:p>
      <w:pPr>
        <w:tabs>
          <w:tab w:val="right" w:leader="dot" w:pos="9062"/>
        </w:tabs>
      </w:pPr>
      <w:hyperlink w:anchor="_Toc2" w:history="1">
        <w:r>
          <w:t>Overall Ratings</w:t>
        </w:r>
        <w:r>
          <w:tab/>
        </w:r>
        <w:r>
          <w:fldChar w:fldCharType="begin"/>
        </w:r>
        <w:r>
          <w:instrText xml:space="preserve">PAGEREF _Toc2 \h</w:instrText>
        </w:r>
        <w:r>
          <w:fldChar w:fldCharType="end"/>
        </w:r>
      </w:hyperlink>
    </w:p>
    <w:p>
      <w:pPr>
        <w:tabs>
          <w:tab w:val="right" w:leader="dot" w:pos="9062"/>
        </w:tabs>
      </w:pPr>
      <w:hyperlink w:anchor="_Toc3" w:history="1">
        <w:r>
          <w:t>Development Progress</w:t>
        </w:r>
        <w:r>
          <w:tab/>
        </w:r>
        <w:r>
          <w:fldChar w:fldCharType="begin"/>
        </w:r>
        <w:r>
          <w:instrText xml:space="preserve">PAGEREF _Toc3 \h</w:instrText>
        </w:r>
        <w:r>
          <w:fldChar w:fldCharType="end"/>
        </w:r>
      </w:hyperlink>
    </w:p>
    <w:p>
      <w:pPr>
        <w:tabs>
          <w:tab w:val="right" w:leader="dot" w:pos="9062"/>
        </w:tabs>
      </w:pPr>
      <w:hyperlink w:anchor="_Toc4" w:history="1">
        <w:r>
          <w:t>Implementation Progress</w:t>
        </w:r>
        <w:r>
          <w:tab/>
        </w:r>
        <w:r>
          <w:fldChar w:fldCharType="begin"/>
        </w:r>
        <w:r>
          <w:instrText xml:space="preserve">PAGEREF _Toc4 \h</w:instrText>
        </w:r>
        <w:r>
          <w:fldChar w:fldCharType="end"/>
        </w:r>
      </w:hyperlink>
    </w:p>
    <w:p>
      <w:pPr>
        <w:tabs>
          <w:tab w:val="right" w:leader="dot" w:pos="9062"/>
        </w:tabs>
      </w:pPr>
      <w:hyperlink w:anchor="_Toc5" w:history="1">
        <w:r>
          <w:t>Critical Risk Management</w:t>
        </w:r>
        <w:r>
          <w:tab/>
        </w:r>
        <w:r>
          <w:fldChar w:fldCharType="begin"/>
        </w:r>
        <w:r>
          <w:instrText xml:space="preserve">PAGEREF _Toc5 \h</w:instrText>
        </w:r>
        <w:r>
          <w:fldChar w:fldCharType="end"/>
        </w:r>
      </w:hyperlink>
    </w:p>
    <w:p>
      <w:pPr>
        <w:tabs>
          <w:tab w:val="right" w:leader="dot" w:pos="9062"/>
        </w:tabs>
      </w:pPr>
      <w:hyperlink w:anchor="_Toc6" w:history="1">
        <w:r>
          <w:t>Adjustments</w:t>
        </w:r>
        <w:r>
          <w:tab/>
        </w:r>
        <w:r>
          <w:fldChar w:fldCharType="begin"/>
        </w:r>
        <w:r>
          <w:instrText xml:space="preserve">PAGEREF _Toc6 \h</w:instrText>
        </w:r>
        <w:r>
          <w:fldChar w:fldCharType="end"/>
        </w:r>
      </w:hyperlink>
    </w:p>
    <w:p>
      <w:pPr>
        <w:tabs>
          <w:tab w:val="right" w:leader="dot" w:pos="9062"/>
        </w:tabs>
      </w:pPr>
      <w:hyperlink w:anchor="_Toc7" w:history="1">
        <w:r>
          <w:t>Ratings and Overall Assessments</w:t>
        </w:r>
        <w:r>
          <w:tab/>
        </w:r>
        <w:r>
          <w:fldChar w:fldCharType="begin"/>
        </w:r>
        <w:r>
          <w:instrText xml:space="preserve">PAGEREF _Toc7 \h</w:instrText>
        </w:r>
        <w:r>
          <w:fldChar w:fldCharType="end"/>
        </w:r>
      </w:hyperlink>
    </w:p>
    <w:p>
      <w:pPr>
        <w:tabs>
          <w:tab w:val="right" w:leader="dot" w:pos="9062"/>
        </w:tabs>
      </w:pPr>
      <w:hyperlink w:anchor="_Toc8" w:history="1">
        <w:r>
          <w:t>Gender</w:t>
        </w:r>
        <w:r>
          <w:tab/>
        </w:r>
        <w:r>
          <w:fldChar w:fldCharType="begin"/>
        </w:r>
        <w:r>
          <w:instrText xml:space="preserve">PAGEREF _Toc8 \h</w:instrText>
        </w:r>
        <w:r>
          <w:fldChar w:fldCharType="end"/>
        </w:r>
      </w:hyperlink>
    </w:p>
    <w:p>
      <w:pPr>
        <w:tabs>
          <w:tab w:val="right" w:leader="dot" w:pos="9062"/>
        </w:tabs>
      </w:pPr>
      <w:hyperlink w:anchor="_Toc9" w:history="1">
        <w:r>
          <w:t>Social and Environmental Standards</w:t>
        </w:r>
        <w:r>
          <w:tab/>
        </w:r>
        <w:r>
          <w:fldChar w:fldCharType="begin"/>
        </w:r>
        <w:r>
          <w:instrText xml:space="preserve">PAGEREF _Toc9 \h</w:instrText>
        </w:r>
        <w:r>
          <w:fldChar w:fldCharType="end"/>
        </w:r>
      </w:hyperlink>
    </w:p>
    <w:p>
      <w:pPr>
        <w:tabs>
          <w:tab w:val="right" w:leader="dot" w:pos="9062"/>
        </w:tabs>
      </w:pPr>
      <w:hyperlink w:anchor="_Toc10" w:history="1">
        <w:r>
          <w:t>Communicating Impact</w:t>
        </w:r>
        <w:r>
          <w:tab/>
        </w:r>
        <w:r>
          <w:fldChar w:fldCharType="begin"/>
        </w:r>
        <w:r>
          <w:instrText xml:space="preserve">PAGEREF _Toc10 \h</w:instrText>
        </w:r>
        <w:r>
          <w:fldChar w:fldCharType="end"/>
        </w:r>
      </w:hyperlink>
    </w:p>
    <w:p>
      <w:pPr>
        <w:tabs>
          <w:tab w:val="right" w:leader="dot" w:pos="9062"/>
        </w:tabs>
      </w:pPr>
      <w:hyperlink w:anchor="_Toc11" w:history="1">
        <w:r>
          <w:t>Partnerships</w:t>
        </w:r>
        <w:r>
          <w:tab/>
        </w:r>
        <w:r>
          <w:fldChar w:fldCharType="begin"/>
        </w:r>
        <w:r>
          <w:instrText xml:space="preserve">PAGEREF _Toc11 \h</w:instrText>
        </w:r>
        <w:r>
          <w:fldChar w:fldCharType="end"/>
        </w:r>
      </w:hyperlink>
    </w:p>
    <w:p>
      <w:pPr>
        <w:tabs>
          <w:tab w:val="right" w:leader="dot" w:pos="9062"/>
        </w:tabs>
      </w:pPr>
      <w:hyperlink w:anchor="_Toc12" w:history="1">
        <w:r>
          <w:t>Annex - Ratings Definitions</w:t>
        </w:r>
        <w:r>
          <w:tab/>
        </w:r>
        <w:r>
          <w:fldChar w:fldCharType="begin"/>
        </w:r>
        <w:r>
          <w:instrText xml:space="preserve">PAGEREF _Toc12 \h</w:instrText>
        </w:r>
        <w:r>
          <w:fldChar w:fldCharType="end"/>
        </w:r>
      </w:hyperlink>
    </w:p>
    <w:p>
      <w:r>
        <w:fldChar w:fldCharType="end"/>
      </w:r>
    </w:p>
    <w:p>
      <w:pPr>
        <w:sectPr>
          <w:headerReference w:type="default" r:id="rId13"/>
          <w:footerReference w:type="default" r:id="rId14"/>
          <w:pgSz w:orient="portrait" w:w="11905.511811023622" w:h="16837.79527559055"/>
          <w:pgMar w:top="1440" w:right="1440" w:bottom="1440" w:left="1440" w:header="720" w:footer="720" w:gutter="0"/>
          <w:cols w:num="1" w:space="720"/>
        </w:sectPr>
      </w:pPr>
    </w:p>
    <w:p>
      <w:pPr>
        <w:pStyle w:val="Heading1"/>
      </w:pPr>
      <w:bookmarkStart w:id="1" w:name="_Toc1"/>
      <w:r>
        <w:t>Basic Data</w:t>
      </w:r>
      <w:bookmarkEnd w:id="1"/>
    </w:p>
    <w:tbl>
      <w:tblGrid>
        <w:gridCol w:w="5000" w:type="dxa"/>
        <w:gridCol w:w="5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2"/>
          </w:tcPr>
          <w:p>
            <w:pPr/>
            <w:r>
              <w:rPr>
                <w:b w:val="1"/>
                <w:bCs w:val="1"/>
              </w:rPr>
              <w:t xml:space="preserve">Project Information</w:t>
            </w:r>
          </w:p>
        </w:tc>
      </w:tr>
      <w:tr>
        <w:trPr/>
        <w:tc>
          <w:tcPr>
            <w:tcW w:w="5000" w:type="dxa"/>
            <w:gridSpan w:val="1"/>
          </w:tcPr>
          <w:p>
            <w:pPr/>
            <w:r>
              <w:rPr/>
              <w:t xml:space="preserve">UNDP PIMS ID</w:t>
            </w:r>
          </w:p>
        </w:tc>
        <w:tc>
          <w:tcPr>
            <w:tcW w:w="5000" w:type="dxa"/>
            <w:gridSpan w:val="1"/>
          </w:tcPr>
          <w:p>
            <w:pPr/>
            <w:r>
              <w:rPr/>
              <w:t xml:space="preserve">5029</w:t>
            </w:r>
          </w:p>
        </w:tc>
      </w:tr>
      <w:tr>
        <w:trPr/>
        <w:tc>
          <w:tcPr>
            <w:tcW w:w="5000" w:type="dxa"/>
            <w:gridSpan w:val="1"/>
          </w:tcPr>
          <w:p>
            <w:pPr/>
            <w:r>
              <w:rPr/>
              <w:t xml:space="preserve">GEF ID</w:t>
            </w:r>
          </w:p>
        </w:tc>
        <w:tc>
          <w:tcPr>
            <w:tcW w:w="5000" w:type="dxa"/>
            <w:gridSpan w:val="1"/>
          </w:tcPr>
          <w:p>
            <w:pPr/>
            <w:r>
              <w:rPr/>
              <w:t xml:space="preserve">6965</w:t>
            </w:r>
          </w:p>
        </w:tc>
      </w:tr>
      <w:tr>
        <w:trPr/>
        <w:tc>
          <w:tcPr>
            <w:tcW w:w="5000" w:type="dxa"/>
            <w:gridSpan w:val="1"/>
          </w:tcPr>
          <w:p>
            <w:pPr/>
            <w:r>
              <w:rPr/>
              <w:t xml:space="preserve">Title</w:t>
            </w:r>
          </w:p>
        </w:tc>
        <w:tc>
          <w:tcPr>
            <w:tcW w:w="5000" w:type="dxa"/>
            <w:gridSpan w:val="1"/>
          </w:tcPr>
          <w:p>
            <w:pPr/>
            <w:r>
              <w:rPr/>
              <w:t xml:space="preserve">Strengthening Forest Area Planning and Management in Kalimantan</w:t>
            </w:r>
          </w:p>
        </w:tc>
      </w:tr>
      <w:tr>
        <w:trPr/>
        <w:tc>
          <w:tcPr>
            <w:tcW w:w="5000" w:type="dxa"/>
            <w:gridSpan w:val="1"/>
          </w:tcPr>
          <w:p>
            <w:pPr/>
            <w:r>
              <w:rPr/>
              <w:t xml:space="preserve">Country(ies)</w:t>
            </w:r>
          </w:p>
        </w:tc>
        <w:tc>
          <w:tcPr>
            <w:tcW w:w="5000" w:type="dxa"/>
            <w:gridSpan w:val="1"/>
          </w:tcPr>
          <w:p>
            <w:pPr/>
            <w:r>
              <w:rPr/>
              <w:t xml:space="preserve">Indonesia, Indonesia</w:t>
            </w:r>
          </w:p>
        </w:tc>
      </w:tr>
      <w:tr>
        <w:trPr/>
        <w:tc>
          <w:tcPr>
            <w:tcW w:w="5000" w:type="dxa"/>
            <w:gridSpan w:val="1"/>
          </w:tcPr>
          <w:p>
            <w:pPr/>
            <w:r>
              <w:rPr/>
              <w:t xml:space="preserve">UNDP-GEF Technical Team</w:t>
            </w:r>
          </w:p>
        </w:tc>
        <w:tc>
          <w:tcPr>
            <w:tcW w:w="5000" w:type="dxa"/>
            <w:gridSpan w:val="1"/>
          </w:tcPr>
          <w:p>
            <w:pPr/>
            <w:r>
              <w:rPr/>
              <w:t xml:space="preserve">Ecosystems and Biodiversity</w:t>
            </w:r>
          </w:p>
        </w:tc>
      </w:tr>
      <w:tr>
        <w:trPr/>
        <w:tc>
          <w:tcPr>
            <w:tcW w:w="5000" w:type="dxa"/>
            <w:gridSpan w:val="1"/>
          </w:tcPr>
          <w:p>
            <w:pPr/>
            <w:r>
              <w:rPr/>
              <w:t xml:space="preserve">Project Implementing Partner</w:t>
            </w:r>
          </w:p>
        </w:tc>
        <w:tc>
          <w:tcPr>
            <w:tcW w:w="5000" w:type="dxa"/>
            <w:gridSpan w:val="1"/>
          </w:tcPr>
          <w:p>
            <w:pPr/>
            <w:r>
              <w:rPr/>
              <w:t xml:space="preserve">Government</w:t>
            </w:r>
          </w:p>
        </w:tc>
      </w:tr>
      <w:tr>
        <w:trPr/>
        <w:tc>
          <w:tcPr>
            <w:tcW w:w="5000" w:type="dxa"/>
            <w:gridSpan w:val="1"/>
          </w:tcPr>
          <w:p>
            <w:pPr/>
            <w:r>
              <w:rPr/>
              <w:t xml:space="preserve">Joint Agencies</w:t>
            </w:r>
          </w:p>
        </w:tc>
        <w:tc>
          <w:tcPr>
            <w:tcW w:w="5000" w:type="dxa"/>
            <w:gridSpan w:val="1"/>
          </w:tcPr>
          <w:p>
            <w:pPr/>
            <w:r>
              <w:rPr>
                <w:i w:val="1"/>
                <w:iCs w:val="1"/>
              </w:rPr>
              <w:t xml:space="preserve">(not set or not applicable)</w:t>
            </w:r>
          </w:p>
        </w:tc>
      </w:tr>
      <w:tr>
        <w:trPr/>
        <w:tc>
          <w:tcPr>
            <w:tcW w:w="5000" w:type="dxa"/>
            <w:gridSpan w:val="1"/>
          </w:tcPr>
          <w:p>
            <w:pPr/>
            <w:r>
              <w:rPr/>
              <w:t xml:space="preserve">Project Type</w:t>
            </w:r>
          </w:p>
        </w:tc>
        <w:tc>
          <w:tcPr>
            <w:tcW w:w="5000" w:type="dxa"/>
            <w:gridSpan w:val="1"/>
          </w:tcPr>
          <w:p>
            <w:pPr/>
            <w:r>
              <w:rPr/>
              <w:t xml:space="preserve">Full Size</w:t>
            </w:r>
          </w:p>
        </w:tc>
      </w:tr>
    </w:tbl>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tcPr>
          <w:p>
            <w:pPr/>
            <w:r>
              <w:rPr>
                <w:b w:val="1"/>
                <w:bCs w:val="1"/>
              </w:rPr>
              <w:t xml:space="preserve">Project Description</w:t>
            </w:r>
          </w:p>
        </w:tc>
      </w:tr>
      <w:tr>
        <w:trPr/>
        <w:tc>
          <w:tcPr>
            <w:tcW w:w="10000" w:type="dxa"/>
            <w:gridSpan w:val="1"/>
          </w:tcPr>
          <w:p>
            <w:pPr/>
            <w:r>
              <w:rPr>
                <w:i w:val="1"/>
                <w:iCs w:val="1"/>
              </w:rPr>
              <w:t xml:space="preserve">(not set or not applicable)</w:t>
            </w:r>
          </w:p>
        </w:tc>
      </w:tr>
    </w:tbl>
    <w:p/>
    <w:tbl>
      <w:tblGrid>
        <w:gridCol w:w="5000" w:type="dxa"/>
        <w:gridCol w:w="5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2"/>
          </w:tcPr>
          <w:p>
            <w:pPr/>
            <w:r>
              <w:rPr>
                <w:b w:val="1"/>
                <w:bCs w:val="1"/>
              </w:rPr>
              <w:t xml:space="preserve">Project Contacts</w:t>
            </w:r>
          </w:p>
        </w:tc>
      </w:tr>
      <w:tr>
        <w:trPr/>
        <w:tc>
          <w:tcPr>
            <w:tcW w:w="5000" w:type="dxa"/>
            <w:gridSpan w:val="1"/>
          </w:tcPr>
          <w:p>
            <w:pPr/>
            <w:r>
              <w:rPr/>
              <w:t xml:space="preserve">UNDP-GEF Regional Technical Adviser</w:t>
            </w:r>
          </w:p>
        </w:tc>
        <w:tc>
          <w:tcPr>
            <w:tcW w:w="5000" w:type="dxa"/>
            <w:gridSpan w:val="1"/>
          </w:tcPr>
          <w:p>
            <w:pPr/>
            <w:r>
              <w:rPr/>
              <w:t xml:space="preserve">Mr. Tashi Dorji (tashi.dorji@undp.org)</w:t>
            </w:r>
          </w:p>
        </w:tc>
      </w:tr>
      <w:tr>
        <w:trPr/>
        <w:tc>
          <w:tcPr>
            <w:tcW w:w="5000" w:type="dxa"/>
            <w:gridSpan w:val="1"/>
          </w:tcPr>
          <w:p>
            <w:pPr/>
            <w:r>
              <w:rPr/>
              <w:t xml:space="preserve">Programme Associate</w:t>
            </w:r>
          </w:p>
        </w:tc>
        <w:tc>
          <w:tcPr>
            <w:tcW w:w="5000" w:type="dxa"/>
            <w:gridSpan w:val="1"/>
          </w:tcPr>
          <w:p>
            <w:pPr/>
            <w:r>
              <w:rPr/>
              <w:t xml:space="preserve">Ms. Pakamon Pinprayoon (pakamon.pinprayoon@undp.org)</w:t>
            </w:r>
          </w:p>
        </w:tc>
      </w:tr>
      <w:tr>
        <w:trPr/>
        <w:tc>
          <w:tcPr>
            <w:tcW w:w="5000" w:type="dxa"/>
            <w:gridSpan w:val="1"/>
          </w:tcPr>
          <w:p>
            <w:pPr/>
            <w:r>
              <w:rPr/>
              <w:t xml:space="preserve">Project Manager </w:t>
            </w:r>
          </w:p>
        </w:tc>
        <w:tc>
          <w:tcPr>
            <w:tcW w:w="5000" w:type="dxa"/>
            <w:gridSpan w:val="1"/>
          </w:tcPr>
          <w:p>
            <w:pPr/>
            <w:r>
              <w:rPr/>
              <w:t xml:space="preserve">Ms. Laksmi Banowati</w:t>
            </w:r>
          </w:p>
        </w:tc>
      </w:tr>
      <w:tr>
        <w:trPr/>
        <w:tc>
          <w:tcPr>
            <w:tcW w:w="5000" w:type="dxa"/>
            <w:gridSpan w:val="1"/>
          </w:tcPr>
          <w:p>
            <w:pPr/>
            <w:r>
              <w:rPr/>
              <w:t xml:space="preserve">CO Focal Point</w:t>
            </w:r>
          </w:p>
        </w:tc>
        <w:tc>
          <w:tcPr>
            <w:tcW w:w="5000" w:type="dxa"/>
            <w:gridSpan w:val="1"/>
          </w:tcPr>
          <w:p>
            <w:pPr/>
            <w:r>
              <w:rPr/>
              <w:t xml:space="preserve">Mr. Anton Sri Probiyantono</w:t>
            </w:r>
          </w:p>
        </w:tc>
      </w:tr>
      <w:tr>
        <w:trPr/>
        <w:tc>
          <w:tcPr>
            <w:tcW w:w="5000" w:type="dxa"/>
            <w:gridSpan w:val="1"/>
          </w:tcPr>
          <w:p>
            <w:pPr/>
            <w:r>
              <w:rPr/>
              <w:t xml:space="preserve">GEF Operational Focal Point</w:t>
            </w:r>
          </w:p>
        </w:tc>
        <w:tc>
          <w:tcPr>
            <w:tcW w:w="5000" w:type="dxa"/>
            <w:gridSpan w:val="1"/>
          </w:tcPr>
          <w:p>
            <w:pPr/>
            <w:r>
              <w:rPr/>
              <w:t xml:space="preserve">Ms. Laksmi Dhewanthi (gefsecindonesia@gmail.com)</w:t>
            </w:r>
          </w:p>
        </w:tc>
      </w:tr>
      <w:tr>
        <w:trPr/>
        <w:tc>
          <w:tcPr>
            <w:tcW w:w="5000" w:type="dxa"/>
            <w:gridSpan w:val="1"/>
          </w:tcPr>
          <w:p>
            <w:pPr/>
            <w:r>
              <w:rPr/>
              <w:t xml:space="preserve">Project Implementing Partner</w:t>
            </w:r>
          </w:p>
        </w:tc>
        <w:tc>
          <w:tcPr>
            <w:tcW w:w="5000" w:type="dxa"/>
            <w:gridSpan w:val="1"/>
          </w:tcPr>
          <w:p>
            <w:pPr/>
            <w:r>
              <w:rPr/>
              <w:t xml:space="preserve">Mr. Kustanta Budi Prihatno (tantobp@gmail.com)</w:t>
            </w:r>
          </w:p>
        </w:tc>
      </w:tr>
      <w:tr>
        <w:trPr/>
        <w:tc>
          <w:tcPr>
            <w:tcW w:w="5000" w:type="dxa"/>
            <w:gridSpan w:val="1"/>
          </w:tcPr>
          <w:p>
            <w:pPr/>
            <w:r>
              <w:rPr/>
              <w:t xml:space="preserve">Other Partners</w:t>
            </w:r>
          </w:p>
        </w:tc>
        <w:tc>
          <w:tcPr>
            <w:tcW w:w="5000" w:type="dxa"/>
            <w:gridSpan w:val="1"/>
          </w:tcPr>
          <w:p>
            <w:pPr/>
            <w:r>
              <w:rPr>
                <w:i w:val="1"/>
                <w:iCs w:val="1"/>
              </w:rPr>
              <w:t xml:space="preserve">(not set or not applicable)</w:t>
            </w:r>
          </w:p>
        </w:tc>
      </w:tr>
    </w:tbl>
    <w:p>
      <w:pPr>
        <w:sectPr>
          <w:pgSz w:orient="portrait" w:w="11905.511811023622" w:h="16837.79527559055"/>
          <w:pgMar w:top="500" w:right="500" w:bottom="500" w:left="500" w:header="720" w:footer="720" w:gutter="0"/>
          <w:cols w:num="1" w:space="720"/>
        </w:sectPr>
      </w:pPr>
    </w:p>
    <w:p>
      <w:pPr>
        <w:pStyle w:val="Heading1"/>
      </w:pPr>
      <w:bookmarkStart w:id="2" w:name="_Toc2"/>
      <w:r>
        <w:t>Overall Ratings</w:t>
      </w:r>
      <w:bookmarkEnd w:id="2"/>
    </w:p>
    <w:tbl>
      <w:tblGrid>
        <w:gridCol w:w="8000" w:type="dxa"/>
        <w:gridCol w:w="8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8000" w:type="dxa"/>
            <w:gridSpan w:val="1"/>
          </w:tcPr>
          <w:p>
            <w:pPr/>
            <w:r>
              <w:rPr/>
              <w:t xml:space="preserve">Overall DO Rating</w:t>
            </w:r>
          </w:p>
        </w:tc>
        <w:tc>
          <w:tcPr>
            <w:tcW w:w="8000" w:type="dxa"/>
            <w:gridSpan w:val="1"/>
          </w:tcPr>
          <w:p>
            <w:pPr/>
            <w:r>
              <w:rPr/>
              <w:t xml:space="preserve">Moderately Satisfactory</w:t>
            </w:r>
          </w:p>
        </w:tc>
      </w:tr>
      <w:tr>
        <w:trPr/>
        <w:tc>
          <w:tcPr>
            <w:tcW w:w="8000" w:type="dxa"/>
            <w:gridSpan w:val="1"/>
          </w:tcPr>
          <w:p>
            <w:pPr/>
            <w:r>
              <w:rPr/>
              <w:t xml:space="preserve">Overall IP Rating</w:t>
            </w:r>
          </w:p>
        </w:tc>
        <w:tc>
          <w:tcPr>
            <w:tcW w:w="8000" w:type="dxa"/>
            <w:gridSpan w:val="1"/>
          </w:tcPr>
          <w:p>
            <w:pPr/>
            <w:r>
              <w:rPr/>
              <w:t xml:space="preserve">Moderately Satisfactory</w:t>
            </w:r>
          </w:p>
        </w:tc>
      </w:tr>
      <w:tr>
        <w:trPr/>
        <w:tc>
          <w:tcPr>
            <w:tcW w:w="8000" w:type="dxa"/>
            <w:gridSpan w:val="1"/>
          </w:tcPr>
          <w:p>
            <w:pPr/>
            <w:r>
              <w:rPr/>
              <w:t xml:space="preserve">Overall Risk Rating</w:t>
            </w:r>
          </w:p>
        </w:tc>
        <w:tc>
          <w:tcPr>
            <w:tcW w:w="8000" w:type="dxa"/>
            <w:gridSpan w:val="1"/>
          </w:tcPr>
          <w:p>
            <w:pPr/>
            <w:r>
              <w:rPr/>
              <w:t xml:space="preserve">High</w:t>
            </w:r>
          </w:p>
        </w:tc>
      </w:tr>
    </w:tbl>
    <w:p>
      <w:pPr>
        <w:sectPr>
          <w:pgSz w:orient="portrait" w:w="11905.511811023622" w:h="16837.79527559055"/>
          <w:pgMar w:top="500" w:right="500" w:bottom="500" w:left="500" w:header="720" w:footer="720" w:gutter="0"/>
          <w:cols w:num="1" w:space="720"/>
        </w:sectPr>
      </w:pPr>
    </w:p>
    <w:p>
      <w:pPr>
        <w:pStyle w:val="Heading1"/>
      </w:pPr>
      <w:bookmarkStart w:id="3" w:name="_Toc3"/>
      <w:r>
        <w:t>Development Progress</w:t>
      </w:r>
      <w:bookmarkEnd w:id="3"/>
    </w:p>
    <w:tbl>
      <w:tblGrid>
        <w:gridCol w:w="4000" w:type="dxa"/>
        <w:gridCol w:w="2000" w:type="dxa"/>
        <w:gridCol w:w="2000" w:type="dxa"/>
        <w:gridCol w:w="2000" w:type="dxa"/>
        <w:gridCol w:w="4000" w:type="dxa"/>
        <w:gridCol w:w="4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6000" w:type="dxa"/>
            <w:gridSpan w:val="7"/>
          </w:tcPr>
          <w:p>
            <w:pPr/>
            <w:r>
              <w:rPr>
                <w:b w:val="1"/>
                <w:bCs w:val="1"/>
              </w:rPr>
              <w:t xml:space="preserve">Description</w:t>
            </w:r>
          </w:p>
        </w:tc>
      </w:tr>
      <w:tr>
        <w:trPr/>
        <w:tc>
          <w:tcPr>
            <w:tcW w:w="16000" w:type="dxa"/>
            <w:shd w:val="clear" w:fill="#D9D9D9"/>
            <w:gridSpan w:val="7"/>
          </w:tcPr>
          <w:p>
            <w:pPr/>
            <w:r>
              <w:rPr>
                <w:b w:val="1"/>
                <w:bCs w:val="1"/>
              </w:rPr>
              <w:t xml:space="preserve">Objective</w:t>
            </w:r>
          </w:p>
          <w:p>
            <w:pPr/>
            <w:r>
              <w:rPr>
                <w:b w:val="1"/>
                <w:bCs w:val="1"/>
              </w:rPr>
              <w:t xml:space="preserve">Maintaining forest areas, including the biodiversity and ecosystem functions of Kalimantan’s lowland and montane areas, from the development of estate crops </w:t>
            </w:r>
          </w:p>
        </w:tc>
      </w:tr>
      <w:tr>
        <w:trPr/>
        <w:tc>
          <w:tcPr>
            <w:tcW w:w="4000" w:type="dxa"/>
            <w:gridSpan w:val="1"/>
          </w:tcPr>
          <w:p>
            <w:pPr/>
            <w:r>
              <w:rPr>
                <w:b w:val="1"/>
                <w:bCs w:val="1"/>
              </w:rPr>
              <w:t xml:space="preserve">Description of Indicator</w:t>
            </w:r>
          </w:p>
        </w:tc>
        <w:tc>
          <w:tcPr>
            <w:tcW w:w="2000" w:type="dxa"/>
            <w:gridSpan w:val="1"/>
          </w:tcPr>
          <w:p>
            <w:pPr/>
            <w:r>
              <w:rPr>
                <w:b w:val="1"/>
                <w:bCs w:val="1"/>
              </w:rPr>
              <w:t xml:space="preserve">Baseline Level</w:t>
            </w:r>
          </w:p>
        </w:tc>
        <w:tc>
          <w:tcPr>
            <w:tcW w:w="2000" w:type="dxa"/>
            <w:gridSpan w:val="1"/>
          </w:tcPr>
          <w:p>
            <w:pPr/>
            <w:r>
              <w:rPr>
                <w:b w:val="1"/>
                <w:bCs w:val="1"/>
              </w:rPr>
              <w:t xml:space="preserve">Midterm target level</w:t>
            </w:r>
          </w:p>
        </w:tc>
        <w:tc>
          <w:tcPr>
            <w:tcW w:w="2000" w:type="dxa"/>
            <w:gridSpan w:val="1"/>
          </w:tcPr>
          <w:p>
            <w:pPr/>
            <w:r>
              <w:rPr>
                <w:b w:val="1"/>
                <w:bCs w:val="1"/>
              </w:rPr>
              <w:t xml:space="preserve">End of project target level</w:t>
            </w:r>
          </w:p>
        </w:tc>
        <w:tc>
          <w:tcPr>
            <w:tcW w:w="4000" w:type="dxa"/>
            <w:gridSpan w:val="1"/>
          </w:tcPr>
          <w:p>
            <w:pPr/>
            <w:r>
              <w:rPr>
                <w:b w:val="1"/>
                <w:bCs w:val="1"/>
              </w:rPr>
              <w:t xml:space="preserve">Level at 30 June 2018</w:t>
            </w:r>
          </w:p>
        </w:tc>
        <w:tc>
          <w:tcPr>
            <w:tcW w:w="4000" w:type="dxa"/>
            <w:gridSpan w:val="1"/>
          </w:tcPr>
          <w:p>
            <w:pPr/>
            <w:r>
              <w:rPr>
                <w:b w:val="1"/>
                <w:bCs w:val="1"/>
              </w:rPr>
              <w:t xml:space="preserve">Cumulative progress since project start</w:t>
            </w:r>
          </w:p>
        </w:tc>
      </w:tr>
      <w:tr>
        <w:trPr/>
        <w:tc>
          <w:tcPr>
            <w:tcW w:w="4000" w:type="dxa"/>
            <w:gridSpan w:val="1"/>
          </w:tcPr>
          <w:p>
            <w:pPr/>
            <w:r>
              <w:rPr/>
              <w:t xml:space="preserve">Total net area of HCV-equivalent forest within Kalimantan portions of HoB identified, mapped and with significantly enhanced legal protection due to: (i) reclassification from APL to permanent forest, (ii) removal from convertible forest category or (iii) other legal protections (e.g. within plantation set aside rules, KEE implementation, etc.) </w:t>
            </w:r>
          </w:p>
        </w:tc>
        <w:tc>
          <w:tcPr>
            <w:tcW w:w="2000" w:type="dxa"/>
            <w:gridSpan w:val="1"/>
          </w:tcPr>
          <w:p>
            <w:pPr/>
            <w:r>
              <w:rPr/>
              <w:t xml:space="preserve">Baseline estimate to emerge from mapping exercise during year 1 and 2 </w:t>
            </w:r>
          </w:p>
        </w:tc>
        <w:tc>
          <w:tcPr>
            <w:tcW w:w="2000" w:type="dxa"/>
            <w:gridSpan w:val="1"/>
          </w:tcPr>
          <w:p>
            <w:pPr/>
            <w:r>
              <w:rPr/>
              <w:t xml:space="preserve">Increase from baseline of 250,000 ha of HCV-equivalent forest</w:t>
            </w:r>
          </w:p>
        </w:tc>
        <w:tc>
          <w:tcPr>
            <w:tcW w:w="2000" w:type="dxa"/>
            <w:gridSpan w:val="1"/>
          </w:tcPr>
          <w:p>
            <w:pPr/>
            <w:r>
              <w:rPr/>
              <w:t xml:space="preserve">Increase from baseline of 500,000 ha of HCV-equivalent forest</w:t>
            </w:r>
          </w:p>
        </w:tc>
        <w:tc>
          <w:tcPr>
            <w:tcW w:w="4000" w:type="dxa"/>
            <w:gridSpan w:val="1"/>
          </w:tcPr>
          <w:p>
            <w:pPr/>
            <w:r>
              <w:rPr>
                <w:i w:val="1"/>
                <w:iCs w:val="1"/>
              </w:rPr>
              <w:t xml:space="preserve">(not set or not applicable)</w:t>
            </w:r>
          </w:p>
        </w:tc>
        <w:tc>
          <w:tcPr>
            <w:tcW w:w="4000" w:type="dxa"/>
            <w:gridSpan w:val="1"/>
          </w:tcPr>
          <w:p>
            <w:pPr/>
            <w:r>
              <w:rPr/>
              <w:t xml:space="preserve">Progress of achievement &gt; 20%.
</w:t>
            </w:r>
          </w:p>
          <w:p>
            <w:pPr/>
            <w:r>
              <w:rPr/>
              <w:t xml:space="preserve">Baseline data as written in the KalFor Project Document is considered  out-of-date. The data are limited in term of data quantity, geographically (spatial) record, and recent social economy data. Academically, they are considered to be weak enough to use the data as a base for measuring progress of the project. For this consideration, a comprehensive baseline forest at non state owned forest (APL and HPK) information and its surrounding area of the project need to be updated. Baseline project updating data is considered urgent before moving forward to detail implementation of project activities.
</w:t>
            </w:r>
          </w:p>
          <w:p>
            <w:pPr/>
            <w:r>
              <w:rPr/>
              <w:t xml:space="preserve">
</w:t>
            </w:r>
          </w:p>
          <w:p>
            <w:pPr/>
            <w:r>
              <w:rPr/>
              <w:t xml:space="preserve">Along the project duration, It is planned to have three times of baseline data collection (beginning of project operation, mid project and about end of the project).  During the first period of project duration (33.3% from the entire project duration), baseline data were collected in the 1st and 2nd year. Currently, the collection is still in progress. About 20 % progress of updating baseline data and information of the project have been achieved, both statistically and geographically referenced.    
</w:t>
            </w:r>
          </w:p>
          <w:p>
            <w:pPr/>
            <w:r>
              <w:rPr/>
              <w:t xml:space="preserve">
</w:t>
            </w:r>
          </w:p>
          <w:p>
            <w:pPr/>
            <w:r>
              <w:rPr/>
              <w:t xml:space="preserve">During the first year of the project operation, a mapping exercise as part of project  baseline data collection have been conducted at the four pilot districts. Collaborating with University of Tanjungpura at West Kalimantan province, University of Mulawarman at East Kalimantan province, and University of Muhammadiyah Palangkaraya at Central Kalimantan province, comprehensive baseline data development are conducted.  Land cover at the pilot districts were mapped  by interpreting SPOT images recorded in 2017 and 2018 and other spatial data sources.  Accuracy of the interpretation was tested by:  (1) conducting Ground Checks  to ensure results of the interpretation, and (2)  by conducting FGDs/public consultations with local stakeholders. The interpretation process of land cover applied classification standard set by the government. It was reported from the interpretation that total HCVF in the pilot area is 226,060 hectares. This is a good progress in the first year of project operation. Started with out-of- date forest area data, the project now has data of most recent forest area at non-state owned forests. The data will be used as a base for measuring progress of the project in achieving its targets. The data interpretation was under supervision of the Directorate General of Forest Planning and Space Allocation (Ditjen PKTL), the government institutions to issue forest area data of the country. 
</w:t>
            </w:r>
          </w:p>
          <w:p>
            <w:pPr/>
            <w:r>
              <w:rPr/>
              <w:t xml:space="preserve">Forest growths at non-state owned forest rarely in a form of intact forest. The forest are mostly scattered. Only few of them are intact forest. The forest growth at a land that have been registered as private land.  It is written in the KalFor Prodoc that the forest area should increase about 250 thousand hectares at mid of project operation, and by the end of the project, the forest is targeted to increase at least 500 thousands hectares. Its assumed that this target is for Kalimantan island as the impact from national regulation.
</w:t>
            </w:r>
          </w:p>
          <w:p>
            <w:pPr/>
            <w:r>
              <w:rPr/>
              <w:t xml:space="preserve">Total HCVF  =  226,060 ha. Have been Mapped in year 1. </w:t>
            </w:r>
          </w:p>
        </w:tc>
      </w:tr>
      <w:tr>
        <w:trPr/>
        <w:tc>
          <w:tcPr>
            <w:tcW w:w="4000" w:type="dxa"/>
            <w:gridSpan w:val="1"/>
          </w:tcPr>
          <w:p>
            <w:pPr/>
            <w:r>
              <w:rPr/>
              <w:t xml:space="preserve">Number of new partnership mechanisms with funding for sustainable management solutions of natural resources, ecosystem services, chemicals and waste at national and/or subnational level.</w:t>
            </w:r>
          </w:p>
        </w:tc>
        <w:tc>
          <w:tcPr>
            <w:tcW w:w="2000" w:type="dxa"/>
            <w:gridSpan w:val="1"/>
          </w:tcPr>
          <w:p>
            <w:pPr/>
            <w:r>
              <w:rPr/>
              <w:t xml:space="preserve">0 provincial forest and estate crops platforms and 0 multi-province Task Forces </w:t>
            </w:r>
          </w:p>
        </w:tc>
        <w:tc>
          <w:tcPr>
            <w:tcW w:w="2000" w:type="dxa"/>
            <w:gridSpan w:val="1"/>
          </w:tcPr>
          <w:p>
            <w:pPr/>
            <w:r>
              <w:rPr/>
              <w:t xml:space="preserve">At least 20 private sector, civil society, and donor organizations newly connected and engaged in broad-based dialogue through 3 provincial platforms and 1 multi-province Task Force</w:t>
            </w:r>
          </w:p>
        </w:tc>
        <w:tc>
          <w:tcPr>
            <w:tcW w:w="2000" w:type="dxa"/>
            <w:gridSpan w:val="1"/>
          </w:tcPr>
          <w:p>
            <w:pPr/>
            <w:r>
              <w:rPr/>
              <w:t xml:space="preserve">At least 30 private sector, civil society, and donor organizations newly connected and engaged in broad-based dialogue through 3 provincial platforms and 1 multi-province Task Force</w:t>
            </w:r>
          </w:p>
        </w:tc>
        <w:tc>
          <w:tcPr>
            <w:tcW w:w="4000" w:type="dxa"/>
            <w:gridSpan w:val="1"/>
          </w:tcPr>
          <w:p>
            <w:pPr/>
            <w:r>
              <w:rPr>
                <w:i w:val="1"/>
                <w:iCs w:val="1"/>
              </w:rPr>
              <w:t xml:space="preserve">(not set or not applicable)</w:t>
            </w:r>
          </w:p>
        </w:tc>
        <w:tc>
          <w:tcPr>
            <w:tcW w:w="4000" w:type="dxa"/>
            <w:gridSpan w:val="1"/>
          </w:tcPr>
          <w:p>
            <w:pPr/>
            <w:r>
              <w:rPr/>
              <w:t xml:space="preserve">Progress  achievement  &gt; 20%.
</w:t>
            </w:r>
          </w:p>
          <w:p>
            <w:pPr/>
            <w:r>
              <w:rPr/>
              <w:t xml:space="preserve">To operate the project, the PMU has implemented an approach   to engage stakeholders   in 5 steps starting from informing (awareness raising), consulting, involving, collaborating, and empowering stakeholders. It is conducted at 4 levels, started from national, province, district and community levels. These steps have been implemented in the 1st and 2nd years to stakeholders at national, province and district levels. The process of engagement is still in progress. Relative the project target, it is estimated that 20% progress have been achieved.  
</w:t>
            </w:r>
          </w:p>
          <w:p>
            <w:pPr/>
            <w:r>
              <w:rPr/>
              <w:t xml:space="preserve">
</w:t>
            </w:r>
          </w:p>
          <w:p>
            <w:pPr/>
            <w:r>
              <w:rPr/>
              <w:t xml:space="preserve">Currently, the project has reached to district levels and continue to community level.  Since the beginning of the project operation, the project has engaged broad-based dialogues through national, 3 provincials and districts seminars, workshops and FGDs.  Official partnership between national government and provincial governments have been established by the project. Each province has appointed a government institution to be a focal point institution to host the project at province  level There are 3 provincial institutions engaged directly with the project in each province. Total of 9 institutions have been formally connected with the national project. 
</w:t>
            </w:r>
          </w:p>
          <w:p>
            <w:pPr/>
            <w:r>
              <w:rPr/>
              <w:t xml:space="preserve">
</w:t>
            </w:r>
          </w:p>
          <w:p>
            <w:pPr/>
            <w:r>
              <w:rPr/>
              <w:t xml:space="preserve">During the first year of the project, the project has established new connection and engaged in implementing the project  with 3 provinces  forestry related institutions, meaning that 9 provincial forest related offices have been connected. Similar to national government, each province has established an official monitoring team for the project in their authority area. With the establishment of provincial monitoring teams, level of buy-in and ownership to the project is high. During the first year operation of the project, in addition to the Monev Team to escort the project operation established by the Ditjen PKTL, newly connected organizations / institutions have been built  to include : (1)  At national level, particularly at ministerial level, the project has established connection with 6 ministries to include Ministry of Agriculture, BAPPENAS, Ministry of Finance, Ministry of Women Empowerment and Children Protection, and Ministry of ATR/BPN, including with SPOI project under Ministry of Agriculture and the GGGI initiative; (2) at provinces, districts and field level, the project has established communication and connection to 31  non-forestry sectors provincial offices, 73  technical(non-forestry) sectors district offices,  61       private sectors,40  non-government organizations, 5  professional/community organizations, 1 Climate Change related provincial Task Force, 1 Adat Community / customary organization,  12 universities and 4 donor organizations newly connected and engaged in broad-based dialogue through 3 provincial platforms. 
</w:t>
            </w:r>
          </w:p>
          <w:p>
            <w:pPr/>
            <w:r>
              <w:rPr/>
              <w:t xml:space="preserve">
</w:t>
            </w:r>
          </w:p>
          <w:p>
            <w:pPr/>
            <w:r>
              <w:rPr/>
              <w:t xml:space="preserve">Communications with province and districts are still at the implementation stage of the five steps mentioned above and has not reached empowering the institutions yet. Communication with community level is still in progress and is still at early stage.
</w:t>
            </w:r>
          </w:p>
          <w:p>
            <w:pPr/>
            <w:r>
              <w:rPr/>
              <w:t xml:space="preserve">
</w:t>
            </w:r>
          </w:p>
          <w:p>
            <w:pPr/>
            <w:r>
              <w:rPr/>
              <w:t xml:space="preserve">Considering the amount of stakeholders connected and engaged in implementation of the project activities in the first year, it is known that the project’s  issue is really cross sectoral issue. Of the connected organizations mentioned above, the project has not yet identified type of potential partnership mechanism with funding for partnering with each of the above mentioned organization. There are two identified positive actions done by stakeholders, namely (1) one private sector in Central Kalimantan has  sent  letter to central government informing its intention to give back to central government some of forest area in its business area; (2) the West Kalimantan government has issued a West Kalimantan Province Regulation about sustainable land base business. The content of the regulation is each palm oil private sector has committed to allocate 7% of their area to be a HCVF in addition to 20% mandatary allocation for community in its surrounding set by the National Government Regulation. The KalFor project is in the process of supporting the West Kalimantan Government to enforce the Regulation by facilitating the West Kalimantan to develop technical guidance regulation (Governor Regulation). 
</w:t>
            </w:r>
          </w:p>
          <w:p>
            <w:pPr/>
            <w:r>
              <w:rPr/>
              <w:t xml:space="preserve"/>
            </w:r>
          </w:p>
        </w:tc>
      </w:tr>
      <w:tr>
        <w:trPr/>
        <w:tc>
          <w:tcPr>
            <w:tcW w:w="4000" w:type="dxa"/>
            <w:gridSpan w:val="1"/>
          </w:tcPr>
          <w:p>
            <w:pPr/>
            <w:r>
              <w:rPr/>
              <w:t xml:space="preserve">Number of additional people benefitting from strengthened livelihoods through solutions for management of natural resources, ecosystems services, chemicals and waste</w:t>
            </w:r>
          </w:p>
        </w:tc>
        <w:tc>
          <w:tcPr>
            <w:tcW w:w="2000" w:type="dxa"/>
            <w:gridSpan w:val="1"/>
          </w:tcPr>
          <w:p>
            <w:pPr/>
            <w:r>
              <w:rPr/>
              <w:t xml:space="preserve">0 additional people</w:t>
            </w:r>
          </w:p>
        </w:tc>
        <w:tc>
          <w:tcPr>
            <w:tcW w:w="2000" w:type="dxa"/>
            <w:gridSpan w:val="1"/>
          </w:tcPr>
          <w:p>
            <w:pPr/>
            <w:r>
              <w:rPr/>
              <w:t xml:space="preserve">1,000 people from local communities and including forest-dependent peoples, benefitting from strengthened livelihoods due to improved systems for protection of ecosystem services (green goods and services’) coming from conserved APL and convertible forest areas  </w:t>
            </w:r>
          </w:p>
        </w:tc>
        <w:tc>
          <w:tcPr>
            <w:tcW w:w="2000" w:type="dxa"/>
            <w:gridSpan w:val="1"/>
          </w:tcPr>
          <w:p>
            <w:pPr/>
            <w:r>
              <w:rPr/>
              <w:t xml:space="preserve">2,000 people benefitting </w:t>
            </w:r>
          </w:p>
        </w:tc>
        <w:tc>
          <w:tcPr>
            <w:tcW w:w="4000" w:type="dxa"/>
            <w:gridSpan w:val="1"/>
          </w:tcPr>
          <w:p>
            <w:pPr/>
            <w:r>
              <w:rPr>
                <w:i w:val="1"/>
                <w:iCs w:val="1"/>
              </w:rPr>
              <w:t xml:space="preserve">(not set or not applicable)</w:t>
            </w:r>
          </w:p>
        </w:tc>
        <w:tc>
          <w:tcPr>
            <w:tcW w:w="4000" w:type="dxa"/>
            <w:gridSpan w:val="1"/>
          </w:tcPr>
          <w:p>
            <w:pPr/>
            <w:r>
              <w:rPr/>
              <w:t xml:space="preserve">Achievement of the project  &gt; 15%.
</w:t>
            </w:r>
          </w:p>
          <w:p>
            <w:pPr/>
            <w:r>
              <w:rPr/>
              <w:t xml:space="preserve">During the first year of operation, the project have involved more than 950 people at national, province, district and community levels to participate in the project’s activities. Of these people, about 2/3 of them are the same people and about 15% were forest-direct dependent people. Some of them were Adat (customary) communities either under the coordination of AMAN organization (a  CSO of customary communities in Indonesia) or other district institutions. In the first year of activities, the project is still  preparing enabling condition of the people through strengthening the people in their capacity related to the benefit of maintaining forest at APL/HPK to support community livelihood. 
</w:t>
            </w:r>
          </w:p>
          <w:p>
            <w:pPr/>
            <w:r>
              <w:rPr/>
              <w:t xml:space="preserve">
</w:t>
            </w:r>
          </w:p>
          <w:p>
            <w:pPr/>
            <w:r>
              <w:rPr/>
              <w:t xml:space="preserve">The first year of the project is focused on creating enabling condition for the dependent peoples that will be impacted by the project on their livelihood. The activities were given in a form of capacity building through seminars, FGDs and training for special issues. 
</w:t>
            </w:r>
          </w:p>
          <w:p>
            <w:pPr/>
            <w:r>
              <w:rPr/>
              <w:t xml:space="preserve">
</w:t>
            </w:r>
          </w:p>
          <w:p>
            <w:pPr/>
            <w:r>
              <w:rPr/>
              <w:t xml:space="preserve">The project has identified 8 villages  potentially to be pilot sites to implement the incentive mechanism. They visited some  communities/villages in Java to have forest based community income generation are successfully generated. The objective for conducting study tours is to trigger the people that forest can be used to generate income for strengthening livelihood. In the first year of the project, they benefited in the form of increasing their understanding and knowledge on the importance of maintaining forest at APL for good livelihood and environment purposes . Other benefits for the people will follow later in the subsequent years where activities will focus on strengthening livelihoods based on existing forest at APL in their area. Up to the end of June 2019, it is estimated that the project's progress to achieve its target is still low at 15%.</w:t>
            </w:r>
          </w:p>
        </w:tc>
      </w:tr>
      <w:tr>
        <w:trPr/>
        <w:tc>
          <w:tcPr>
            <w:tcW w:w="7000" w:type="dxa"/>
            <w:gridSpan w:val="2"/>
          </w:tcPr>
          <w:p>
            <w:pPr/>
            <w:r>
              <w:rPr>
                <w:b w:val="1"/>
                <w:bCs w:val="1"/>
              </w:rPr>
              <w:t xml:space="preserve">The progress of the objective can be described as:</w:t>
            </w:r>
          </w:p>
        </w:tc>
        <w:tc>
          <w:tcPr>
            <w:tcW w:w="9000" w:type="dxa"/>
            <w:gridSpan w:val="5"/>
          </w:tcPr>
          <w:p>
            <w:pPr/>
            <w:r>
              <w:rPr>
                <w:b w:val="1"/>
                <w:bCs w:val="1"/>
              </w:rPr>
              <w:t xml:space="preserve">On track</w:t>
            </w:r>
          </w:p>
        </w:tc>
      </w:tr>
      <w:tr>
        <w:trPr/>
        <w:tc>
          <w:tcPr>
            <w:tcW w:w="16000" w:type="dxa"/>
            <w:shd w:val="clear" w:fill="#D9D9D9"/>
            <w:gridSpan w:val="7"/>
          </w:tcPr>
          <w:p>
            <w:pPr/>
            <w:r>
              <w:rPr>
                <w:b w:val="1"/>
                <w:bCs w:val="1"/>
              </w:rPr>
              <w:t xml:space="preserve">Outcome 1</w:t>
            </w:r>
          </w:p>
          <w:p>
            <w:pPr/>
            <w:r>
              <w:rPr>
                <w:b w:val="1"/>
                <w:bCs w:val="1"/>
              </w:rPr>
              <w:t xml:space="preserve">Mainstreaming of forest ecosystem service and biodiversity considerations into national and provincial policies and decision-making processes for forest area planning and management. Forest ecosystem services, including carbon and biodiversity aspects, are more fully taken into account in policies, decisions, and management actions at national and provincial (West, Central and East Kalimantan) levels </w:t>
            </w:r>
          </w:p>
        </w:tc>
      </w:tr>
      <w:tr>
        <w:trPr/>
        <w:tc>
          <w:tcPr>
            <w:tcW w:w="4000" w:type="dxa"/>
            <w:gridSpan w:val="1"/>
          </w:tcPr>
          <w:p>
            <w:pPr/>
            <w:r>
              <w:rPr>
                <w:b w:val="1"/>
                <w:bCs w:val="1"/>
              </w:rPr>
              <w:t xml:space="preserve">Description of Indicator</w:t>
            </w:r>
          </w:p>
        </w:tc>
        <w:tc>
          <w:tcPr>
            <w:tcW w:w="2000" w:type="dxa"/>
            <w:gridSpan w:val="1"/>
          </w:tcPr>
          <w:p>
            <w:pPr/>
            <w:r>
              <w:rPr>
                <w:b w:val="1"/>
                <w:bCs w:val="1"/>
              </w:rPr>
              <w:t xml:space="preserve">Baseline Level</w:t>
            </w:r>
          </w:p>
        </w:tc>
        <w:tc>
          <w:tcPr>
            <w:tcW w:w="2000" w:type="dxa"/>
            <w:gridSpan w:val="1"/>
          </w:tcPr>
          <w:p>
            <w:pPr/>
            <w:r>
              <w:rPr>
                <w:b w:val="1"/>
                <w:bCs w:val="1"/>
              </w:rPr>
              <w:t xml:space="preserve">Midterm target level</w:t>
            </w:r>
          </w:p>
        </w:tc>
        <w:tc>
          <w:tcPr>
            <w:tcW w:w="2000" w:type="dxa"/>
            <w:gridSpan w:val="1"/>
          </w:tcPr>
          <w:p>
            <w:pPr/>
            <w:r>
              <w:rPr>
                <w:b w:val="1"/>
                <w:bCs w:val="1"/>
              </w:rPr>
              <w:t xml:space="preserve">End of project target level</w:t>
            </w:r>
          </w:p>
        </w:tc>
        <w:tc>
          <w:tcPr>
            <w:tcW w:w="4000" w:type="dxa"/>
            <w:gridSpan w:val="1"/>
          </w:tcPr>
          <w:p>
            <w:pPr/>
            <w:r>
              <w:rPr>
                <w:b w:val="1"/>
                <w:bCs w:val="1"/>
              </w:rPr>
              <w:t xml:space="preserve">Level at 30 June 2018</w:t>
            </w:r>
          </w:p>
        </w:tc>
        <w:tc>
          <w:tcPr>
            <w:tcW w:w="4000" w:type="dxa"/>
            <w:gridSpan w:val="1"/>
          </w:tcPr>
          <w:p>
            <w:pPr/>
            <w:r>
              <w:rPr>
                <w:b w:val="1"/>
                <w:bCs w:val="1"/>
              </w:rPr>
              <w:t xml:space="preserve">Cumulative progress since project start</w:t>
            </w:r>
          </w:p>
        </w:tc>
      </w:tr>
      <w:tr>
        <w:trPr/>
        <w:tc>
          <w:tcPr>
            <w:tcW w:w="4000" w:type="dxa"/>
            <w:gridSpan w:val="1"/>
          </w:tcPr>
          <w:p>
            <w:pPr/>
            <w:r>
              <w:rPr/>
              <w:t xml:space="preserve">Outcome Indicator 1.1
</w:t>
            </w:r>
          </w:p>
          <w:p>
            <w:pPr/>
            <w:r>
              <w:rPr/>
              <w:t xml:space="preserve">No. of national and/or provincial-level policy and regulatory changes. 
</w:t>
            </w:r>
          </w:p>
          <w:p>
            <w:pPr/>
            <w:r>
              <w:rPr/>
              <w:t xml:space="preserve"/>
            </w:r>
          </w:p>
        </w:tc>
        <w:tc>
          <w:tcPr>
            <w:tcW w:w="2000" w:type="dxa"/>
            <w:gridSpan w:val="1"/>
          </w:tcPr>
          <w:p>
            <w:pPr/>
            <w:r>
              <w:rPr/>
              <w:t xml:space="preserve">Baseline 
</w:t>
            </w:r>
          </w:p>
          <w:p>
            <w:pPr/>
            <w:r>
              <w:rPr/>
              <w:t xml:space="preserve">1.1	0 policy and regulatory priorities realized
</w:t>
            </w:r>
          </w:p>
          <w:p>
            <w:pPr/>
            <w:r>
              <w:rPr/>
              <w:t xml:space="preserve"/>
            </w:r>
          </w:p>
        </w:tc>
        <w:tc>
          <w:tcPr>
            <w:tcW w:w="2000" w:type="dxa"/>
            <w:gridSpan w:val="1"/>
          </w:tcPr>
          <w:p>
            <w:pPr/>
            <w:r>
              <w:rPr/>
              <w:t xml:space="preserve">Mid-term Target 
</w:t>
            </w:r>
          </w:p>
          <w:p>
            <w:pPr/>
            <w:r>
              <w:rPr/>
              <w:t xml:space="preserve">1.1	3 policy and regulatory priorities realized
</w:t>
            </w:r>
          </w:p>
          <w:p>
            <w:pPr/>
            <w:r>
              <w:rPr/>
              <w:t xml:space="preserve"/>
            </w:r>
          </w:p>
        </w:tc>
        <w:tc>
          <w:tcPr>
            <w:tcW w:w="2000" w:type="dxa"/>
            <w:gridSpan w:val="1"/>
          </w:tcPr>
          <w:p>
            <w:pPr/>
            <w:r>
              <w:rPr/>
              <w:t xml:space="preserve">End of Project Targets 
</w:t>
            </w:r>
          </w:p>
          <w:p>
            <w:pPr/>
            <w:r>
              <w:rPr/>
              <w:t xml:space="preserve">1.1 At least 6 changes, including: (1) rules regarding oversight of high biodiversity multiple-use forest landscapes, (2) national and provincial concession-granting processes, (3) regulations governing land classification, including “abandoned lands” regulations, (4) establishment of a mechanism to promote / incentivize use of degraded lands by estate crops sector
</w:t>
            </w:r>
          </w:p>
          <w:p>
            <w:pPr/>
            <w:r>
              <w:rPr/>
              <w:t xml:space="preserve"/>
            </w:r>
          </w:p>
        </w:tc>
        <w:tc>
          <w:tcPr>
            <w:tcW w:w="4000" w:type="dxa"/>
            <w:gridSpan w:val="1"/>
          </w:tcPr>
          <w:p>
            <w:pPr/>
            <w:r>
              <w:rPr>
                <w:i w:val="1"/>
                <w:iCs w:val="1"/>
              </w:rPr>
              <w:t xml:space="preserve">(not set or not applicable)</w:t>
            </w:r>
          </w:p>
        </w:tc>
        <w:tc>
          <w:tcPr>
            <w:tcW w:w="4000" w:type="dxa"/>
            <w:gridSpan w:val="1"/>
          </w:tcPr>
          <w:p>
            <w:pPr/>
            <w:r>
              <w:rPr/>
              <w:t xml:space="preserve">Progress of achievement of the project  under this component on average is &gt;25%
</w:t>
            </w:r>
          </w:p>
          <w:p>
            <w:pPr/>
            <w:r>
              <w:rPr/>
              <w:t xml:space="preserve">
</w:t>
            </w:r>
          </w:p>
          <w:p>
            <w:pPr/>
            <w:r>
              <w:rPr/>
              <w:t xml:space="preserve">During the first year of project operations, the project worked on policies and regulations at national, province and district levels that are prioritized by the government.  Among the policies and regulatory that have been facilitated by the project are: 
</w:t>
            </w:r>
          </w:p>
          <w:p>
            <w:pPr/>
            <w:r>
              <w:rPr/>
              <w:t xml:space="preserve">(1)	The use of biodiversity issue as indicator of measurement at national policy related with oil palm permit. This has been realized with the adoption of biodiversity issue in the  President Instruction No. 8/2018 about moratorium of oil palm permit issuance, meaning that 100% of biodiversity adoption has been realized  oil palm national policy. 
</w:t>
            </w:r>
          </w:p>
          <w:p>
            <w:pPr/>
            <w:r>
              <w:rPr/>
              <w:t xml:space="preserve">(2)	Implementation policy of the Presidential Instruction No. 8/2018 about moratorium of oil palm permit issuance. The project facilitated to further process the President Instruction for implementation in the form of facilitating a draft of National Government Regulation (RPP-Rencana Peraturan Pemerintah) ) on policy options for solution about current oil palm that are in state owned forest area.  Expert consultations on developing contents of the RPP have been conducted. In terms of developing the RPP to be signed by the government, 30% progress of the process has been achieved.  Further work needed are public consultations, registering the RPP to be signed, and socialization of the signed RPP, developing technical guidance for implementation of the signed RPP. This issue relates to national concession granting process.
</w:t>
            </w:r>
          </w:p>
          <w:p>
            <w:pPr/>
            <w:r>
              <w:rPr/>
              <w:t xml:space="preserve">(3)	Adopted biodiversity/HCVF issues in developing a draft of Governor Decree of West Kalimantan Province to implement West Kalimantan Regulation no. 6/2018 on Sustainable Land Management. It is a provincial level policy as one of three mandates that the Governor has to develop. Other processes needed are developing Governor Decree in relation with community role in monitoring and Governor Decree in relation with incentive and disincentives. This issue relates to province concession granting process.  Further processes needed are public consultations, registering the regulations to be signed, and socialization of the signed regulations, developing technical guidance for implementation of the signed regulations. 
</w:t>
            </w:r>
          </w:p>
          <w:p>
            <w:pPr/>
            <w:r>
              <w:rPr/>
              <w:t xml:space="preserve">
</w:t>
            </w:r>
          </w:p>
          <w:p>
            <w:pPr/>
            <w:r>
              <w:rPr/>
              <w:t xml:space="preserve">This issue relates to provincial regulation level. 
</w:t>
            </w:r>
          </w:p>
          <w:p>
            <w:pPr/>
            <w:r>
              <w:rPr/>
              <w:t xml:space="preserve">(4)	Changes in relation with regulations governing land classification, including abandoned land’s regulation, to include:
</w:t>
            </w:r>
          </w:p>
          <w:p>
            <w:pPr/>
            <w:r>
              <w:rPr/>
              <w:t xml:space="preserve">a.	Interpretation in detail for land cover classes based on SPOT based on national classification system. 
</w:t>
            </w:r>
          </w:p>
          <w:p>
            <w:pPr/>
            <w:r>
              <w:rPr/>
              <w:t xml:space="preserve">b.	Interpretation in detail for land cover classes based on SPOT based on ground check activities. 
</w:t>
            </w:r>
          </w:p>
          <w:p>
            <w:pPr/>
            <w:r>
              <w:rPr/>
              <w:t xml:space="preserve">
</w:t>
            </w:r>
          </w:p>
          <w:p>
            <w:pPr/>
            <w:r>
              <w:rPr/>
              <w:t xml:space="preserve">Further activities that need to be facilitated are (1)  Classification for provincial level (2) classification for district level, (3) classification for management unit, (4) standardization of classification(5) technical guideline, (6) capacity building. It is estimated that to achieve this issue targets, progress achieved in this activity is about 14.5%.
</w:t>
            </w:r>
          </w:p>
          <w:p>
            <w:pPr/>
            <w:r>
              <w:rPr/>
              <w:t xml:space="preserve">
</w:t>
            </w:r>
          </w:p>
          <w:p>
            <w:pPr/>
            <w:r>
              <w:rPr/>
              <w:t xml:space="preserve">(5)	Changes on mechanism to promote the use of degrade lands by estate crops sector. The project’s target related with changes in relation with establishment of a mechanism to promote / incentivize use of degraded lands by estate crops sector to include:
</w:t>
            </w:r>
          </w:p>
          <w:p>
            <w:pPr/>
            <w:r>
              <w:rPr/>
              <w:t xml:space="preserve">a.	Identified source of funding for incentives
</w:t>
            </w:r>
          </w:p>
          <w:p>
            <w:pPr/>
            <w:r>
              <w:rPr/>
              <w:t xml:space="preserve">b.	Identified national regulations related with incentives for province, districts
</w:t>
            </w:r>
          </w:p>
          <w:p>
            <w:pPr/>
            <w:r>
              <w:rPr/>
              <w:t xml:space="preserve">c.	Piloting benefit sharing mechanism for implementing FCPF’s Fund distribution at Kutai Timur district, East Kalimantan Province,
</w:t>
            </w:r>
          </w:p>
          <w:p>
            <w:pPr/>
            <w:r>
              <w:rPr/>
              <w:t xml:space="preserve">Further process needs to be developed including: (1) Baseline regulations identify action, (2) compensation mechanism (KIJL), (3) benefit sharing mechanism from province (PJL), (4) mechanism for districts, (5) mechanism for unit management. It is estimated that PMU target working on this issue are still low. It is about 15% achievement.
</w:t>
            </w:r>
          </w:p>
          <w:p>
            <w:pPr/>
            <w:r>
              <w:rPr/>
              <w:t xml:space="preserve">Looking at all achieved target mentioned above, in average, the PMU progress to achieve the target is about 25%.</w:t>
            </w:r>
          </w:p>
        </w:tc>
      </w:tr>
      <w:tr>
        <w:trPr/>
        <w:tc>
          <w:tcPr>
            <w:tcW w:w="4000" w:type="dxa"/>
            <w:gridSpan w:val="1"/>
          </w:tcPr>
          <w:p>
            <w:pPr/>
            <w:r>
              <w:rPr/>
              <w:t xml:space="preserve">Outcome Indicator 1.2
</w:t>
            </w:r>
          </w:p>
          <w:p>
            <w:pPr/>
            <w:r>
              <w:rPr/>
              <w:t xml:space="preserve">Area of High Conservation Value (HCV) forests located within the three participating provinces and currently classified as either APL or convertible forest reclassified and/or subject to new and enforceable regulatory protections.
</w:t>
            </w:r>
          </w:p>
          <w:p>
            <w:pPr/>
            <w:r>
              <w:rPr/>
              <w:t xml:space="preserve"/>
            </w:r>
          </w:p>
        </w:tc>
        <w:tc>
          <w:tcPr>
            <w:tcW w:w="2000" w:type="dxa"/>
            <w:gridSpan w:val="1"/>
          </w:tcPr>
          <w:p>
            <w:pPr/>
            <w:r>
              <w:rPr/>
              <w:t xml:space="preserve">1.2 Forested APL, including HCV areas, has few enforceable or enforced legal or regulatory protections and is therefore subject to high levels of conversion</w:t>
            </w:r>
          </w:p>
        </w:tc>
        <w:tc>
          <w:tcPr>
            <w:tcW w:w="2000" w:type="dxa"/>
            <w:gridSpan w:val="1"/>
          </w:tcPr>
          <w:p>
            <w:pPr/>
            <w:r>
              <w:rPr/>
              <w:t xml:space="preserve">1.2 At least 100,000 ha of HCV currently categorized as APL or convertible forest is either reclassified as permanent forest estate or subject to new and enforceable regulatory protections as forested APL. Areas to be prioritized based on factors including ongoing provision of critical ecosystem services and related risk of environmental damages (peat fires, etc.).</w:t>
            </w:r>
          </w:p>
        </w:tc>
        <w:tc>
          <w:tcPr>
            <w:tcW w:w="2000" w:type="dxa"/>
            <w:gridSpan w:val="1"/>
          </w:tcPr>
          <w:p>
            <w:pPr/>
            <w:r>
              <w:rPr/>
              <w:t xml:space="preserve">1.2 At least 250,000 ha of HCV currently categorized as APL or convertible forest is either reclassified as permanent forest estate or subject to new and enforceable regulatory protections as forested APL. Areas to be prioritized based on factors including ongoing provision of critical ecosystem services and related risk of environmental damages (peat fires, etc.).</w:t>
            </w:r>
          </w:p>
        </w:tc>
        <w:tc>
          <w:tcPr>
            <w:tcW w:w="4000" w:type="dxa"/>
            <w:gridSpan w:val="1"/>
          </w:tcPr>
          <w:p>
            <w:pPr/>
            <w:r>
              <w:rPr>
                <w:i w:val="1"/>
                <w:iCs w:val="1"/>
              </w:rPr>
              <w:t xml:space="preserve">(not set or not applicable)</w:t>
            </w:r>
          </w:p>
        </w:tc>
        <w:tc>
          <w:tcPr>
            <w:tcW w:w="4000" w:type="dxa"/>
            <w:gridSpan w:val="1"/>
          </w:tcPr>
          <w:p>
            <w:pPr/>
            <w:r>
              <w:rPr/>
              <w:t xml:space="preserve">Progress of achievement of the project  under this outcome indicator on average is &gt;10%
</w:t>
            </w:r>
          </w:p>
          <w:p>
            <w:pPr/>
            <w:r>
              <w:rPr/>
              <w:t xml:space="preserve">
</w:t>
            </w:r>
          </w:p>
          <w:p>
            <w:pPr/>
            <w:r>
              <w:rPr/>
              <w:t xml:space="preserve">There is existing government regulation to cover at least 146,000 ha of HCV currently categorized as APL in West Kalimantan (West Kalimantan Regulation No. 6/2018, signed by the Government on 2 March 2018 about sustainable land base business. Based on interpretation of SPOT imageries and ground truthing, about 226,000 ha of forest (HCVF) at APL have been revisited for its classification status.  Physically, the forest area need to be prioritized as permanent forest estate or subject to new and enforceable regulatory protections as forested APL. 
</w:t>
            </w:r>
          </w:p>
          <w:p>
            <w:pPr/>
            <w:r>
              <w:rPr/>
              <w:t xml:space="preserve">
</w:t>
            </w:r>
          </w:p>
          <w:p>
            <w:pPr/>
            <w:r>
              <w:rPr/>
              <w:t xml:space="preserve">To achieve a legal protection of the classified area, there are some processes that need to be realized, to include : (1) Classification of land cover from SPOT, (2) ground truthing of identified land covers,(3) public consultation, (4) district regulation identification and its implementation impact, (5) district government regulation on reclassified as permanent forest estate.  Once the Governor's Regulation is signed and implemented, there will be additional 7% of land area from private sector potentially to be permanent  HCVF area in West Kalimantan Province, Currently, there are 33,000 ha of plantation permits in West Kalimantan, meaning that there will be 2310 hectares of additional permanent forest/HCVF.
</w:t>
            </w:r>
          </w:p>
          <w:p>
            <w:pPr/>
            <w:r>
              <w:rPr/>
              <w:t xml:space="preserve">
</w:t>
            </w:r>
          </w:p>
          <w:p>
            <w:pPr/>
            <w:r>
              <w:rPr/>
              <w:t xml:space="preserve">Similar to West Kalimantan, the Kalfor plan to implement FCPF’s incentive mechanism  for districts at East Kalimantan Province.  KalFor project have conducted preliminary discussions and participated in the FCPFs events related to the incentive mechanism in order to use the mechanism to be piloted at the Kutai Timur pilot district. For the purpose of this activity, The East Kalimantan province government has issued a province regulation No.7/2018 targeting to have additional forest at APL for about 640,000 hectares.  Under the regulation, HCVF is one of contents to be considered by Kutai District Government. The Kutai Timur district has issued a District Regulation No. 6/2005  mentioning that all palm  oil plantation has to allocate 10% of their area as forest. Once the regulation in in force, about  200.000  ha of forest will become permanent HVCF forest located in APL.
</w:t>
            </w:r>
          </w:p>
          <w:p>
            <w:pPr/>
            <w:r>
              <w:rPr/>
              <w:t xml:space="preserve">
</w:t>
            </w:r>
          </w:p>
          <w:p>
            <w:pPr/>
            <w:r>
              <w:rPr/>
              <w:t xml:space="preserve">In collaboration with LAPAN, a national institution working on Remote Sensing issues in the country, a field guide on SPOT to  do land cover interpretation  is in the process of finalization. A statistic of forest in APL is developed too. Forest in APL statistic will be launched in November 2019.  Overall, achievement of the project in this outcome is estimated about 10%.</w:t>
            </w:r>
          </w:p>
        </w:tc>
      </w:tr>
      <w:tr>
        <w:trPr/>
        <w:tc>
          <w:tcPr>
            <w:tcW w:w="7000" w:type="dxa"/>
            <w:gridSpan w:val="2"/>
          </w:tcPr>
          <w:p>
            <w:pPr/>
            <w:r>
              <w:rPr>
                <w:b w:val="1"/>
                <w:bCs w:val="1"/>
              </w:rPr>
              <w:t xml:space="preserve">The progress of the objective can be described as:</w:t>
            </w:r>
          </w:p>
        </w:tc>
        <w:tc>
          <w:tcPr>
            <w:tcW w:w="9000" w:type="dxa"/>
            <w:gridSpan w:val="5"/>
          </w:tcPr>
          <w:p>
            <w:pPr/>
            <w:r>
              <w:rPr>
                <w:b w:val="1"/>
                <w:bCs w:val="1"/>
              </w:rPr>
              <w:t xml:space="preserve">On track</w:t>
            </w:r>
          </w:p>
        </w:tc>
      </w:tr>
      <w:tr>
        <w:trPr/>
        <w:tc>
          <w:tcPr>
            <w:tcW w:w="16000" w:type="dxa"/>
            <w:shd w:val="clear" w:fill="#D9D9D9"/>
            <w:gridSpan w:val="7"/>
          </w:tcPr>
          <w:p>
            <w:pPr/>
            <w:r>
              <w:rPr>
                <w:b w:val="1"/>
                <w:bCs w:val="1"/>
              </w:rPr>
              <w:t xml:space="preserve">Outcome 2</w:t>
            </w:r>
          </w:p>
          <w:p>
            <w:pPr/>
            <w:r>
              <w:rPr>
                <w:b w:val="1"/>
                <w:bCs w:val="1"/>
              </w:rPr>
              <w:t xml:space="preserve">Development and demonstration of strategies for integrating forest area planning, management and conservation with estate crop spatial planning and management across four districts of Kalimantan (Ketapang, Sintang, Kota Waringin Barat, and Kutai Timur) and at target landscapes within those districts. Policies and plans to deliver global and national benefits from forest conservation and estate crop development are in place in four districts of Kalimantan and innovative approaches to their implementation have been demonstrated in target landscapes containing at least 200,000 ha of forest area currently outside of the forest estate
</w:t>
            </w:r>
          </w:p>
          <w:p>
            <w:pPr/>
            <w:r>
              <w:rPr>
                <w:b w:val="1"/>
                <w:bCs w:val="1"/>
              </w:rPr>
              <w:t xml:space="preserve">
</w:t>
            </w:r>
          </w:p>
          <w:p>
            <w:pPr/>
            <w:r>
              <w:rPr>
                <w:b w:val="1"/>
                <w:bCs w:val="1"/>
              </w:rPr>
              <w:t xml:space="preserve"/>
            </w:r>
          </w:p>
        </w:tc>
      </w:tr>
      <w:tr>
        <w:trPr/>
        <w:tc>
          <w:tcPr>
            <w:tcW w:w="4000" w:type="dxa"/>
            <w:gridSpan w:val="1"/>
          </w:tcPr>
          <w:p>
            <w:pPr/>
            <w:r>
              <w:rPr>
                <w:b w:val="1"/>
                <w:bCs w:val="1"/>
              </w:rPr>
              <w:t xml:space="preserve">Description of Indicator</w:t>
            </w:r>
          </w:p>
        </w:tc>
        <w:tc>
          <w:tcPr>
            <w:tcW w:w="2000" w:type="dxa"/>
            <w:gridSpan w:val="1"/>
          </w:tcPr>
          <w:p>
            <w:pPr/>
            <w:r>
              <w:rPr>
                <w:b w:val="1"/>
                <w:bCs w:val="1"/>
              </w:rPr>
              <w:t xml:space="preserve">Baseline Level</w:t>
            </w:r>
          </w:p>
        </w:tc>
        <w:tc>
          <w:tcPr>
            <w:tcW w:w="2000" w:type="dxa"/>
            <w:gridSpan w:val="1"/>
          </w:tcPr>
          <w:p>
            <w:pPr/>
            <w:r>
              <w:rPr>
                <w:b w:val="1"/>
                <w:bCs w:val="1"/>
              </w:rPr>
              <w:t xml:space="preserve">Midterm target level</w:t>
            </w:r>
          </w:p>
        </w:tc>
        <w:tc>
          <w:tcPr>
            <w:tcW w:w="2000" w:type="dxa"/>
            <w:gridSpan w:val="1"/>
          </w:tcPr>
          <w:p>
            <w:pPr/>
            <w:r>
              <w:rPr>
                <w:b w:val="1"/>
                <w:bCs w:val="1"/>
              </w:rPr>
              <w:t xml:space="preserve">End of project target level</w:t>
            </w:r>
          </w:p>
        </w:tc>
        <w:tc>
          <w:tcPr>
            <w:tcW w:w="4000" w:type="dxa"/>
            <w:gridSpan w:val="1"/>
          </w:tcPr>
          <w:p>
            <w:pPr/>
            <w:r>
              <w:rPr>
                <w:b w:val="1"/>
                <w:bCs w:val="1"/>
              </w:rPr>
              <w:t xml:space="preserve">Level at 30 June 2018</w:t>
            </w:r>
          </w:p>
        </w:tc>
        <w:tc>
          <w:tcPr>
            <w:tcW w:w="4000" w:type="dxa"/>
            <w:gridSpan w:val="1"/>
          </w:tcPr>
          <w:p>
            <w:pPr/>
            <w:r>
              <w:rPr>
                <w:b w:val="1"/>
                <w:bCs w:val="1"/>
              </w:rPr>
              <w:t xml:space="preserve">Cumulative progress since project start</w:t>
            </w:r>
          </w:p>
        </w:tc>
      </w:tr>
      <w:tr>
        <w:trPr/>
        <w:tc>
          <w:tcPr>
            <w:tcW w:w="4000" w:type="dxa"/>
            <w:gridSpan w:val="1"/>
          </w:tcPr>
          <w:p>
            <w:pPr/>
            <w:r>
              <w:rPr/>
              <w:t xml:space="preserve">Outcome Indicator 2.1
</w:t>
            </w:r>
          </w:p>
          <w:p>
            <w:pPr/>
            <w:r>
              <w:rPr/>
              <w:t xml:space="preserve">Tons of CO2e emissions avoided within the three Kalimantan provinces
</w:t>
            </w:r>
          </w:p>
          <w:p>
            <w:pPr/>
            <w:r>
              <w:rPr/>
              <w:t xml:space="preserve"/>
            </w:r>
          </w:p>
        </w:tc>
        <w:tc>
          <w:tcPr>
            <w:tcW w:w="2000" w:type="dxa"/>
            <w:gridSpan w:val="1"/>
          </w:tcPr>
          <w:p>
            <w:pPr/>
            <w:r>
              <w:rPr/>
              <w:t xml:space="preserve">Baseline 2.1
</w:t>
            </w:r>
          </w:p>
          <w:p>
            <w:pPr/>
            <w:r>
              <w:rPr/>
              <w:t xml:space="preserve">0 additional tons of CO2e avoided
</w:t>
            </w:r>
          </w:p>
          <w:p>
            <w:pPr/>
            <w:r>
              <w:rPr/>
              <w:t xml:space="preserve"/>
            </w:r>
          </w:p>
        </w:tc>
        <w:tc>
          <w:tcPr>
            <w:tcW w:w="2000" w:type="dxa"/>
            <w:gridSpan w:val="1"/>
          </w:tcPr>
          <w:p>
            <w:pPr/>
            <w:r>
              <w:rPr/>
              <w:t xml:space="preserve">Mid-term Target 2.1
</w:t>
            </w:r>
          </w:p>
          <w:p>
            <w:pPr/>
            <w:r>
              <w:rPr/>
              <w:t xml:space="preserve">10 million tons CO2e emissions projected to be avoided on actions to date
</w:t>
            </w:r>
          </w:p>
          <w:p>
            <w:pPr/>
            <w:r>
              <w:rPr/>
              <w:t xml:space="preserve"/>
            </w:r>
          </w:p>
        </w:tc>
        <w:tc>
          <w:tcPr>
            <w:tcW w:w="2000" w:type="dxa"/>
            <w:gridSpan w:val="1"/>
          </w:tcPr>
          <w:p>
            <w:pPr/>
            <w:r>
              <w:rPr/>
              <w:t xml:space="preserve">End of Project Target 2.1
</w:t>
            </w:r>
          </w:p>
          <w:p>
            <w:pPr/>
            <w:r>
              <w:rPr/>
              <w:t xml:space="preserve">24.16 million tons CO2e emissions projected to be avoided through  landscape-level demonstrations
</w:t>
            </w:r>
          </w:p>
          <w:p>
            <w:pPr/>
            <w:r>
              <w:rPr/>
              <w:t xml:space="preserve"/>
            </w:r>
          </w:p>
        </w:tc>
        <w:tc>
          <w:tcPr>
            <w:tcW w:w="4000" w:type="dxa"/>
            <w:gridSpan w:val="1"/>
          </w:tcPr>
          <w:p>
            <w:pPr/>
            <w:r>
              <w:rPr>
                <w:i w:val="1"/>
                <w:iCs w:val="1"/>
              </w:rPr>
              <w:t xml:space="preserve">(not set or not applicable)</w:t>
            </w:r>
          </w:p>
        </w:tc>
        <w:tc>
          <w:tcPr>
            <w:tcW w:w="4000" w:type="dxa"/>
            <w:gridSpan w:val="1"/>
          </w:tcPr>
          <w:p>
            <w:pPr/>
            <w:r>
              <w:rPr/>
              <w:t xml:space="preserve">Progress of the project in avoiding emission relative to the end project target is about 1.14%
</w:t>
            </w:r>
          </w:p>
          <w:p>
            <w:pPr/>
            <w:r>
              <w:rPr/>
              <w:t xml:space="preserve">
</w:t>
            </w:r>
          </w:p>
          <w:p>
            <w:pPr/>
            <w:r>
              <w:rPr/>
              <w:t xml:space="preserve">During the first year of project implementation, its reported from land cover classification that there are about 226,060 hectares of forest in APL still exist.  The project is designed to keep and maintain about 200,000 hectares of forest in APL or equal to 24.16/200000 = 120 ton/ha. 
</w:t>
            </w:r>
          </w:p>
          <w:p>
            <w:pPr/>
            <w:r>
              <w:rPr/>
              <w:t xml:space="preserve">So, total emission that can be avoided is about 226,000 x 120 ton/ ha = 27,120 ton CO2 equivalent. 
</w:t>
            </w:r>
          </w:p>
          <w:p>
            <w:pPr/>
            <w:r>
              <w:rPr/>
              <w:t xml:space="preserve">The project facilitated West Kaimantan Province in order to implement provincial government on HCVF establishment at plantation areas. Once the Governor Regulation is signed and implemented, there will be additional 7% of land area from private sector potentially to be permanent  HCVF area in West Kalimantan Province, 
</w:t>
            </w:r>
          </w:p>
          <w:p>
            <w:pPr/>
            <w:r>
              <w:rPr/>
              <w:t xml:space="preserve">
</w:t>
            </w:r>
          </w:p>
          <w:p>
            <w:pPr/>
            <w:r>
              <w:rPr/>
              <w:t xml:space="preserve">Currently, there are 33,000 ha of plantation permits in West Kalimantan, meaning that there will be 2310 hectares of additional permanent forest/HCVF. Compare to the end target of the project, the first year of the project operation will potentially save 2310 hectare. 
</w:t>
            </w:r>
          </w:p>
          <w:p>
            <w:pPr/>
            <w:r>
              <w:rPr/>
              <w:t xml:space="preserve">
</w:t>
            </w:r>
          </w:p>
          <w:p>
            <w:pPr/>
            <w:r>
              <w:rPr/>
              <w:t xml:space="preserve">The project plans to maintain 200,000 hectares or equivalent to 24.26 million tons CO2e emission avoided, or 24;6 ton/200,000 hectares = 120 ton/ha. Meaning that the quantity of emission avoided in the first year of the project is about = 120 x 2310 = 277,200 ton. This is equal to 277,200 / 24,26 millions ton = 1,14^%.
</w:t>
            </w:r>
          </w:p>
          <w:p>
            <w:pPr/>
            <w:r>
              <w:rPr/>
              <w:t xml:space="preserve"/>
            </w:r>
          </w:p>
        </w:tc>
      </w:tr>
      <w:tr>
        <w:trPr/>
        <w:tc>
          <w:tcPr>
            <w:tcW w:w="4000" w:type="dxa"/>
            <w:gridSpan w:val="1"/>
          </w:tcPr>
          <w:p>
            <w:pPr/>
            <w:r>
              <w:rPr/>
              <w:t xml:space="preserve">Outcome Indicator 2.2
</w:t>
            </w:r>
          </w:p>
          <w:p>
            <w:pPr/>
            <w:r>
              <w:rPr/>
              <w:t xml:space="preserve">Area of High Conservation Value (HCV) forests located within the four demonstration landscapes and currently classified as either APL or convertible forest reclassified and/or subject to new and enforceable regulatory protections.
</w:t>
            </w:r>
          </w:p>
          <w:p>
            <w:pPr/>
            <w:r>
              <w:rPr/>
              <w:t xml:space="preserve"/>
            </w:r>
          </w:p>
        </w:tc>
        <w:tc>
          <w:tcPr>
            <w:tcW w:w="2000" w:type="dxa"/>
            <w:gridSpan w:val="1"/>
          </w:tcPr>
          <w:p>
            <w:pPr/>
            <w:r>
              <w:rPr/>
              <w:t xml:space="preserve">Baseline 2.2
</w:t>
            </w:r>
          </w:p>
          <w:p>
            <w:pPr/>
            <w:r>
              <w:rPr/>
              <w:t xml:space="preserve">Forested APL, including HCV areas, has few enforceable or enforced legal or regulatory protections and is therefore subject to high levels of conversion
</w:t>
            </w:r>
          </w:p>
          <w:p>
            <w:pPr/>
            <w:r>
              <w:rPr/>
              <w:t xml:space="preserve"/>
            </w:r>
          </w:p>
        </w:tc>
        <w:tc>
          <w:tcPr>
            <w:tcW w:w="2000" w:type="dxa"/>
            <w:gridSpan w:val="1"/>
          </w:tcPr>
          <w:p>
            <w:pPr/>
            <w:r>
              <w:rPr/>
              <w:t xml:space="preserve">Mid-term Target 2.2
</w:t>
            </w:r>
          </w:p>
          <w:p>
            <w:pPr/>
            <w:r>
              <w:rPr/>
              <w:t xml:space="preserve">At least 15,000 ha of HCV currently categorized as APL or convertible forest is either reclassified as permanent forest estate or subject to new and enforceable regulatory protections as forested APL. Areas to be prioritized based on factors including ongoing provision of critical ecosystem services and related risk of environmental damages (peat fires, etc.).
</w:t>
            </w:r>
          </w:p>
          <w:p>
            <w:pPr/>
            <w:r>
              <w:rPr/>
              <w:t xml:space="preserve"/>
            </w:r>
          </w:p>
        </w:tc>
        <w:tc>
          <w:tcPr>
            <w:tcW w:w="2000" w:type="dxa"/>
            <w:gridSpan w:val="1"/>
          </w:tcPr>
          <w:p>
            <w:pPr/>
            <w:r>
              <w:rPr/>
              <w:t xml:space="preserve">EoP Target 2.2
</w:t>
            </w:r>
          </w:p>
          <w:p>
            <w:pPr/>
            <w:r>
              <w:rPr/>
              <w:t xml:space="preserve">At least 30,000 ha of HCV currently categorized as APL or convertible forest is either reclassified as permanent forest estate or subject to new and enforceable regulatory protections as forested APL. Areas to be prioritized based on factors including ongoing provision of critical ecosystem services and related risk of environmental damages (peat fires, etc.).
</w:t>
            </w:r>
          </w:p>
          <w:p>
            <w:pPr/>
            <w:r>
              <w:rPr/>
              <w:t xml:space="preserve"/>
            </w:r>
          </w:p>
        </w:tc>
        <w:tc>
          <w:tcPr>
            <w:tcW w:w="4000" w:type="dxa"/>
            <w:gridSpan w:val="1"/>
          </w:tcPr>
          <w:p>
            <w:pPr/>
            <w:r>
              <w:rPr>
                <w:i w:val="1"/>
                <w:iCs w:val="1"/>
              </w:rPr>
              <w:t xml:space="preserve">(not set or not applicable)</w:t>
            </w:r>
          </w:p>
        </w:tc>
        <w:tc>
          <w:tcPr>
            <w:tcW w:w="4000" w:type="dxa"/>
            <w:gridSpan w:val="1"/>
          </w:tcPr>
          <w:p>
            <w:pPr/>
            <w:r>
              <w:rPr/>
              <w:t xml:space="preserve">Progress of the project achievement is about 5%. 
</w:t>
            </w:r>
          </w:p>
          <w:p>
            <w:pPr/>
            <w:r>
              <w:rPr/>
              <w:t xml:space="preserve">The project is in the process of establishing baseline data  of each province and  district. Up to the end of June 2019, the updated collected data of forest area in APL is about 226,060 ha. Of this forest area, about 173,383 ha will be classified as HCV at least during the project period. To make this happen, the project intervention will focus on how to facilitate district government to issue regulation to classify it as permanent forest. The interventions will cover developing new regulations at district level to include the following steps:  
</w:t>
            </w:r>
          </w:p>
          <w:p>
            <w:pPr/>
            <w:r>
              <w:rPr/>
              <w:t xml:space="preserve">1.	Academic paper development 
</w:t>
            </w:r>
          </w:p>
          <w:p>
            <w:pPr/>
            <w:r>
              <w:rPr/>
              <w:t xml:space="preserve">2.	Review of the paper and recommendations for improvement  
</w:t>
            </w:r>
          </w:p>
          <w:p>
            <w:pPr/>
            <w:r>
              <w:rPr/>
              <w:t xml:space="preserve">3.	Capacity building to develop district regulation 
</w:t>
            </w:r>
          </w:p>
          <w:p>
            <w:pPr/>
            <w:r>
              <w:rPr/>
              <w:t xml:space="preserve">4.	Delineation of the area 
</w:t>
            </w:r>
          </w:p>
          <w:p>
            <w:pPr/>
            <w:r>
              <w:rPr/>
              <w:t xml:space="preserve">5.	Developing draft  regulation (FGD small  team) 
</w:t>
            </w:r>
          </w:p>
          <w:p>
            <w:pPr/>
            <w:r>
              <w:rPr/>
              <w:t xml:space="preserve">6.	Multi-stakeholder consultations 
</w:t>
            </w:r>
          </w:p>
          <w:p>
            <w:pPr/>
            <w:r>
              <w:rPr/>
              <w:t xml:space="preserve">7.	Finalize draft 
</w:t>
            </w:r>
          </w:p>
          <w:p>
            <w:pPr/>
            <w:r>
              <w:rPr/>
              <w:t xml:space="preserve">8.	Signing the draft 
</w:t>
            </w:r>
          </w:p>
          <w:p>
            <w:pPr/>
            <w:r>
              <w:rPr/>
              <w:t xml:space="preserve">9.	Socialization 
</w:t>
            </w:r>
          </w:p>
          <w:p>
            <w:pPr/>
            <w:r>
              <w:rPr/>
              <w:t xml:space="preserve">10.	Technical guideline 
</w:t>
            </w:r>
          </w:p>
          <w:p>
            <w:pPr/>
            <w:r>
              <w:rPr/>
              <w:t xml:space="preserve"> 
</w:t>
            </w:r>
          </w:p>
          <w:p>
            <w:pPr/>
            <w:r>
              <w:rPr/>
              <w:t xml:space="preserve">It is estimated that in the first year, progress of the project in achievement of  outcome indicator 2.2 is about 5%.
</w:t>
            </w:r>
          </w:p>
          <w:p>
            <w:pPr/>
            <w:r>
              <w:rPr/>
              <w:t xml:space="preserve"/>
            </w:r>
          </w:p>
        </w:tc>
      </w:tr>
      <w:tr>
        <w:trPr/>
        <w:tc>
          <w:tcPr>
            <w:tcW w:w="4000" w:type="dxa"/>
            <w:gridSpan w:val="1"/>
          </w:tcPr>
          <w:p>
            <w:pPr/>
            <w:r>
              <w:rPr/>
              <w:t xml:space="preserve">Outcome Indicator 2.3
</w:t>
            </w:r>
          </w:p>
          <w:p>
            <w:pPr/>
            <w:r>
              <w:rPr/>
              <w:t xml:space="preserve">Local institution capacity (Note: Baselines and targets to be determined during year 1) 
</w:t>
            </w:r>
          </w:p>
          <w:p>
            <w:pPr/>
            <w:r>
              <w:rPr/>
              <w:t xml:space="preserve">
</w:t>
            </w:r>
          </w:p>
          <w:p>
            <w:pPr/>
            <w:r>
              <w:rPr/>
              <w:t xml:space="preserve"/>
            </w:r>
          </w:p>
        </w:tc>
        <w:tc>
          <w:tcPr>
            <w:tcW w:w="2000" w:type="dxa"/>
            <w:gridSpan w:val="1"/>
          </w:tcPr>
          <w:p>
            <w:pPr/>
            <w:r>
              <w:rPr/>
              <w:t xml:space="preserve">Baseline 2.3
</w:t>
            </w:r>
          </w:p>
          <w:p>
            <w:pPr/>
            <w:r>
              <w:rPr/>
              <w:t xml:space="preserve">Ketapang KPH: #
</w:t>
            </w:r>
          </w:p>
          <w:p>
            <w:pPr/>
            <w:r>
              <w:rPr/>
              <w:t xml:space="preserve">Sintang KPH: #
</w:t>
            </w:r>
          </w:p>
          <w:p>
            <w:pPr/>
            <w:r>
              <w:rPr/>
              <w:t xml:space="preserve">Kota Waringin Barat KPH: #
</w:t>
            </w:r>
          </w:p>
          <w:p>
            <w:pPr/>
            <w:r>
              <w:rPr/>
              <w:t xml:space="preserve">Kutai Timur KPH: #
</w:t>
            </w:r>
          </w:p>
          <w:p>
            <w:pPr/>
            <w:r>
              <w:rPr/>
              <w:t xml:space="preserve"/>
            </w:r>
          </w:p>
        </w:tc>
        <w:tc>
          <w:tcPr>
            <w:tcW w:w="2000" w:type="dxa"/>
            <w:gridSpan w:val="1"/>
          </w:tcPr>
          <w:p>
            <w:pPr/>
            <w:r>
              <w:rPr/>
              <w:t xml:space="preserve">Mid-term Target 2.3
</w:t>
            </w:r>
          </w:p>
          <w:p>
            <w:pPr/>
            <w:r>
              <w:rPr/>
              <w:t xml:space="preserve">Ketapang KPH: #
</w:t>
            </w:r>
          </w:p>
          <w:p>
            <w:pPr/>
            <w:r>
              <w:rPr/>
              <w:t xml:space="preserve">Sintang KPH: #
</w:t>
            </w:r>
          </w:p>
          <w:p>
            <w:pPr/>
            <w:r>
              <w:rPr/>
              <w:t xml:space="preserve">Kota Waringin Barat KPH: #
</w:t>
            </w:r>
          </w:p>
          <w:p>
            <w:pPr/>
            <w:r>
              <w:rPr/>
              <w:t xml:space="preserve">Kutai Timur KPH: #
</w:t>
            </w:r>
          </w:p>
          <w:p>
            <w:pPr/>
            <w:r>
              <w:rPr/>
              <w:t xml:space="preserve"/>
            </w:r>
          </w:p>
        </w:tc>
        <w:tc>
          <w:tcPr>
            <w:tcW w:w="2000" w:type="dxa"/>
            <w:gridSpan w:val="1"/>
          </w:tcPr>
          <w:p>
            <w:pPr/>
            <w:r>
              <w:rPr/>
              <w:t xml:space="preserve">End of Project Target 2.3
</w:t>
            </w:r>
          </w:p>
          <w:p>
            <w:pPr/>
            <w:r>
              <w:rPr/>
              <w:t xml:space="preserve">Ketapang KPH: #
</w:t>
            </w:r>
          </w:p>
          <w:p>
            <w:pPr/>
            <w:r>
              <w:rPr/>
              <w:t xml:space="preserve">Sintang KPH: #
</w:t>
            </w:r>
          </w:p>
          <w:p>
            <w:pPr/>
            <w:r>
              <w:rPr/>
              <w:t xml:space="preserve">Kota Waringin Barat KPH: #
</w:t>
            </w:r>
          </w:p>
          <w:p>
            <w:pPr/>
            <w:r>
              <w:rPr/>
              <w:t xml:space="preserve">Kutai Timur KPH: #
</w:t>
            </w:r>
          </w:p>
          <w:p>
            <w:pPr/>
            <w:r>
              <w:rPr/>
              <w:t xml:space="preserve"/>
            </w:r>
          </w:p>
        </w:tc>
        <w:tc>
          <w:tcPr>
            <w:tcW w:w="4000" w:type="dxa"/>
            <w:gridSpan w:val="1"/>
          </w:tcPr>
          <w:p>
            <w:pPr/>
            <w:r>
              <w:rPr>
                <w:i w:val="1"/>
                <w:iCs w:val="1"/>
              </w:rPr>
              <w:t xml:space="preserve">(not set or not applicable)</w:t>
            </w:r>
          </w:p>
        </w:tc>
        <w:tc>
          <w:tcPr>
            <w:tcW w:w="4000" w:type="dxa"/>
            <w:gridSpan w:val="1"/>
          </w:tcPr>
          <w:p>
            <w:pPr/>
            <w:r>
              <w:rPr/>
              <w:t xml:space="preserve">Progress of the project achievement for this outcome indicator is about 11.75%
</w:t>
            </w:r>
          </w:p>
          <w:p>
            <w:pPr/>
            <w:r>
              <w:rPr/>
              <w:t xml:space="preserve">
</w:t>
            </w:r>
          </w:p>
          <w:p>
            <w:pPr/>
            <w:r>
              <w:rPr/>
              <w:t xml:space="preserve">The project plan to have capacity building to cover 18 issues. All local institution in the pilot district will be trained to have capacity of in developing planning for managing forest at APL. Thematic training will include:
</w:t>
            </w:r>
          </w:p>
          <w:p>
            <w:pPr/>
            <w:r>
              <w:rPr/>
              <w:t xml:space="preserve">1.	Remote sensing data interpretation (satellite data acquisition)
</w:t>
            </w:r>
          </w:p>
          <w:p>
            <w:pPr/>
            <w:r>
              <w:rPr/>
              <w:t xml:space="preserve">2.	GIS analysis
</w:t>
            </w:r>
          </w:p>
          <w:p>
            <w:pPr/>
            <w:r>
              <w:rPr/>
              <w:t xml:space="preserve">3.	Data management
</w:t>
            </w:r>
          </w:p>
          <w:p>
            <w:pPr/>
            <w:r>
              <w:rPr/>
              <w:t xml:space="preserve">4.	Satellite  monitoring of new plantation development 
</w:t>
            </w:r>
          </w:p>
          <w:p>
            <w:pPr/>
            <w:r>
              <w:rPr/>
              <w:t xml:space="preserve">5.	Training for investigators and law enforcement
</w:t>
            </w:r>
          </w:p>
          <w:p>
            <w:pPr/>
            <w:r>
              <w:rPr/>
              <w:t xml:space="preserve">6.	Making sitting decision on forest conservation using siting tool
</w:t>
            </w:r>
          </w:p>
          <w:p>
            <w:pPr/>
            <w:r>
              <w:rPr/>
              <w:t xml:space="preserve">7.	Capacity for wildlife management
</w:t>
            </w:r>
          </w:p>
          <w:p>
            <w:pPr/>
            <w:r>
              <w:rPr/>
              <w:t xml:space="preserve">8.	Training on one-map implementation, data management and verification 
</w:t>
            </w:r>
          </w:p>
          <w:p>
            <w:pPr/>
            <w:r>
              <w:rPr/>
              <w:t xml:space="preserve">9.	Establishment of district landuse forum
</w:t>
            </w:r>
          </w:p>
          <w:p>
            <w:pPr/>
            <w:r>
              <w:rPr/>
              <w:t xml:space="preserve">10.	Create local agreement to conserve forest at APL in the distgrict
</w:t>
            </w:r>
          </w:p>
          <w:p>
            <w:pPr/>
            <w:r>
              <w:rPr/>
              <w:t xml:space="preserve">11.	Establishmeng of community groups
</w:t>
            </w:r>
          </w:p>
          <w:p>
            <w:pPr/>
            <w:r>
              <w:rPr/>
              <w:t xml:space="preserve">12.	Operation of district landuse forum
</w:t>
            </w:r>
          </w:p>
          <w:p>
            <w:pPr/>
            <w:r>
              <w:rPr/>
              <w:t xml:space="preserve">13.	Consultation public for district capital on priority areas as mapped
</w:t>
            </w:r>
          </w:p>
          <w:p>
            <w:pPr/>
            <w:r>
              <w:rPr/>
              <w:t xml:space="preserve">14.	Develop and finalize forest safeguarding
</w:t>
            </w:r>
          </w:p>
          <w:p>
            <w:pPr/>
            <w:r>
              <w:rPr/>
              <w:t xml:space="preserve">15.	Quntitative spatial assessment and modeling of multiple benefits/values
</w:t>
            </w:r>
          </w:p>
          <w:p>
            <w:pPr/>
            <w:r>
              <w:rPr/>
              <w:t xml:space="preserve">16.	Quantitative spatial assessment of environmental economic costs of current egative incentive structure
</w:t>
            </w:r>
          </w:p>
          <w:p>
            <w:pPr/>
            <w:r>
              <w:rPr/>
              <w:t xml:space="preserve">17.	Engage with potential stakeholders to identify and connect available rinancial resources needed to enable pilot positive incentive shifts
</w:t>
            </w:r>
          </w:p>
          <w:p>
            <w:pPr/>
            <w:r>
              <w:rPr/>
              <w:t xml:space="preserve">18.	Establish mechanism for delivering positive incentives
</w:t>
            </w:r>
          </w:p>
          <w:p>
            <w:pPr/>
            <w:r>
              <w:rPr/>
              <w:t xml:space="preserve">Based on the baseline data development of the project, there are  16. institution needs to be strengthened their capacity, including:
</w:t>
            </w:r>
          </w:p>
          <w:p>
            <w:pPr/>
            <w:r>
              <w:rPr/>
              <w:t xml:space="preserve">1.	Central government
</w:t>
            </w:r>
          </w:p>
          <w:p>
            <w:pPr/>
            <w:r>
              <w:rPr/>
              <w:t xml:space="preserve">a.	Total institution = 4 institution (PKTL, BPKH West, east and central Kalimantan)
</w:t>
            </w:r>
          </w:p>
          <w:p>
            <w:pPr/>
            <w:r>
              <w:rPr/>
              <w:t xml:space="preserve">b.	Total person needs to increased their skill this year = 12 people)
</w:t>
            </w:r>
          </w:p>
          <w:p>
            <w:pPr/>
            <w:r>
              <w:rPr/>
              <w:t xml:space="preserve">
</w:t>
            </w:r>
          </w:p>
          <w:p>
            <w:pPr/>
            <w:r>
              <w:rPr/>
              <w:t xml:space="preserve">2.	West Kalimantan
</w:t>
            </w:r>
          </w:p>
          <w:p>
            <w:pPr/>
            <w:r>
              <w:rPr/>
              <w:t xml:space="preserve">a.	Total institution = 4 (Dishut, Bappeda, KPHs, District)
</w:t>
            </w:r>
          </w:p>
          <w:p>
            <w:pPr/>
            <w:r>
              <w:rPr/>
              <w:t xml:space="preserve">b.	Total people= 12 people
</w:t>
            </w:r>
          </w:p>
          <w:p>
            <w:pPr/>
            <w:r>
              <w:rPr/>
              <w:t xml:space="preserve">3.	Central Kalimantan
</w:t>
            </w:r>
          </w:p>
          <w:p>
            <w:pPr/>
            <w:r>
              <w:rPr/>
              <w:t xml:space="preserve">c.	Total institution 4 (Dishut, Bappeda, KPHs, District)
</w:t>
            </w:r>
          </w:p>
          <w:p>
            <w:pPr/>
            <w:r>
              <w:rPr/>
              <w:t xml:space="preserve">a.	Total people= 12 ppeople
</w:t>
            </w:r>
          </w:p>
          <w:p>
            <w:pPr/>
            <w:r>
              <w:rPr/>
              <w:t xml:space="preserve">4.	East Kalimantan
</w:t>
            </w:r>
          </w:p>
          <w:p>
            <w:pPr/>
            <w:r>
              <w:rPr/>
              <w:t xml:space="preserve">a.	Total institution = 4 (Dishut, bappeda, KPHs, District government 
</w:t>
            </w:r>
          </w:p>
          <w:p>
            <w:pPr/>
            <w:r>
              <w:rPr/>
              <w:t xml:space="preserve">b.	Total people = 12 people
</w:t>
            </w:r>
          </w:p>
          <w:p>
            <w:pPr/>
            <w:r>
              <w:rPr/>
              <w:t xml:space="preserve">During the first year of project operations, about 11% of progress have been achieved, to include:
</w:t>
            </w:r>
          </w:p>
          <w:p>
            <w:pPr/>
            <w:r>
              <w:rPr/>
              <w:t xml:space="preserve">a.	Training on satellite data acquisition
</w:t>
            </w:r>
          </w:p>
          <w:p>
            <w:pPr/>
            <w:r>
              <w:rPr/>
              <w:t xml:space="preserve">b.	GIS application
</w:t>
            </w:r>
          </w:p>
          <w:p>
            <w:pPr/>
            <w:r>
              <w:rPr/>
              <w:t xml:space="preserve">Number of increased  institutions capacity based on trained institution staffs:
</w:t>
            </w:r>
          </w:p>
          <w:p>
            <w:pPr/>
            <w:r>
              <w:rPr/>
              <w:t xml:space="preserve">1.	Central government = 10 people
</w:t>
            </w:r>
          </w:p>
          <w:p>
            <w:pPr/>
            <w:r>
              <w:rPr/>
              <w:t xml:space="preserve">2.	West Kalimantan province 
</w:t>
            </w:r>
          </w:p>
          <w:p>
            <w:pPr/>
            <w:r>
              <w:rPr/>
              <w:t xml:space="preserve">a.	District of Ketapang KPH: 5 people.
</w:t>
            </w:r>
          </w:p>
          <w:p>
            <w:pPr/>
            <w:r>
              <w:rPr/>
              <w:t xml:space="preserve">b.	District of Sintang KPH: 4 people.
</w:t>
            </w:r>
          </w:p>
          <w:p>
            <w:pPr/>
            <w:r>
              <w:rPr/>
              <w:t xml:space="preserve">c.	Other institution (non KPH) : 4 people.
</w:t>
            </w:r>
          </w:p>
          <w:p>
            <w:pPr/>
            <w:r>
              <w:rPr/>
              <w:t xml:space="preserve">3.	Central Kalimantan
</w:t>
            </w:r>
          </w:p>
          <w:p>
            <w:pPr/>
            <w:r>
              <w:rPr/>
              <w:t xml:space="preserve">a.	Government = 6 people
</w:t>
            </w:r>
          </w:p>
          <w:p>
            <w:pPr/>
            <w:r>
              <w:rPr/>
              <w:t xml:space="preserve">b.	District of Kota Waringin  Barat KPH: 2 people
</w:t>
            </w:r>
          </w:p>
          <w:p>
            <w:pPr/>
            <w:r>
              <w:rPr/>
              <w:t xml:space="preserve">c.	Other institution (non KPH): 2 people
</w:t>
            </w:r>
          </w:p>
          <w:p>
            <w:pPr/>
            <w:r>
              <w:rPr/>
              <w:t xml:space="preserve">4.	East Kalimantan
</w:t>
            </w:r>
          </w:p>
          <w:p>
            <w:pPr/>
            <w:r>
              <w:rPr/>
              <w:t xml:space="preserve">a.	Gover nment = 4 people
</w:t>
            </w:r>
          </w:p>
          <w:p>
            <w:pPr/>
            <w:r>
              <w:rPr/>
              <w:t xml:space="preserve">b.	District of Kutai Timur KPH: 2 people
</w:t>
            </w:r>
          </w:p>
          <w:p>
            <w:pPr/>
            <w:r>
              <w:rPr/>
              <w:t xml:space="preserve">c.	Other institution (non KPH): 2 people.
</w:t>
            </w:r>
          </w:p>
          <w:p>
            <w:pPr/>
            <w:r>
              <w:rPr/>
              <w:t xml:space="preserve">Of the training participants, there were 5 women participated in the training. The following training activities will be conducted at the end of 2019 and 2020 to include:
</w:t>
            </w:r>
          </w:p>
          <w:p>
            <w:pPr/>
            <w:r>
              <w:rPr/>
              <w:t xml:space="preserve">1.	Data management
</w:t>
            </w:r>
          </w:p>
          <w:p>
            <w:pPr/>
            <w:r>
              <w:rPr/>
              <w:t xml:space="preserve">2.	Satellite  monitoring of new plantation development 
</w:t>
            </w:r>
          </w:p>
          <w:p>
            <w:pPr/>
            <w:r>
              <w:rPr/>
              <w:t xml:space="preserve">3.	Training for investigators and law enforcement
</w:t>
            </w:r>
          </w:p>
          <w:p>
            <w:pPr/>
            <w:r>
              <w:rPr/>
              <w:t xml:space="preserve">4.	Making sitting decision on forest conservation using siting tool
</w:t>
            </w:r>
          </w:p>
          <w:p>
            <w:pPr/>
            <w:r>
              <w:rPr/>
              <w:t xml:space="preserve">5.	Capacity for wildlife management
</w:t>
            </w:r>
          </w:p>
          <w:p>
            <w:pPr/>
            <w:r>
              <w:rPr/>
              <w:t xml:space="preserve">6.	Training on one-map implementation, data management and verification 
</w:t>
            </w:r>
          </w:p>
          <w:p>
            <w:pPr/>
            <w:r>
              <w:rPr/>
              <w:t xml:space="preserve">7.	Establishment of district landuse forum
</w:t>
            </w:r>
          </w:p>
          <w:p>
            <w:pPr/>
            <w:r>
              <w:rPr/>
              <w:t xml:space="preserve">8.	Create local agreement to conserve forest at APL in the distgrict
</w:t>
            </w:r>
          </w:p>
          <w:p>
            <w:pPr/>
            <w:r>
              <w:rPr/>
              <w:t xml:space="preserve">9.	Establishment of community groups
</w:t>
            </w:r>
          </w:p>
          <w:p>
            <w:pPr/>
            <w:r>
              <w:rPr/>
              <w:t xml:space="preserve">10.	Operation of district landuse forum
</w:t>
            </w:r>
          </w:p>
          <w:p>
            <w:pPr/>
            <w:r>
              <w:rPr/>
              <w:t xml:space="preserve">11.	Consultation public for district capital on priority areas as mapped
</w:t>
            </w:r>
          </w:p>
          <w:p>
            <w:pPr/>
            <w:r>
              <w:rPr/>
              <w:t xml:space="preserve">12.	Develop and finalize forest safeguarding
</w:t>
            </w:r>
          </w:p>
          <w:p>
            <w:pPr/>
            <w:r>
              <w:rPr/>
              <w:t xml:space="preserve">13.	Quntitative spatial assessment and modeling of multiple benefits/values
</w:t>
            </w:r>
          </w:p>
          <w:p>
            <w:pPr/>
            <w:r>
              <w:rPr/>
              <w:t xml:space="preserve">14.	Quantitative spatial assessment of environmental economic costs of current egative incentive structure
</w:t>
            </w:r>
          </w:p>
          <w:p>
            <w:pPr/>
            <w:r>
              <w:rPr/>
              <w:t xml:space="preserve">15.	Engage with potential stakeholders to identify and connect available rinancial resources needed to enable pilot positive incentive shifts
</w:t>
            </w:r>
          </w:p>
          <w:p>
            <w:pPr/>
            <w:r>
              <w:rPr/>
              <w:t xml:space="preserve">16.	Establish mechanism for delivering positive incentives
</w:t>
            </w:r>
          </w:p>
          <w:p>
            <w:pPr/>
            <w:r>
              <w:rPr/>
              <w:t xml:space="preserve">In term of number of training to be conducted by the project up to end of the project, about 2/16 or 12.5% have been executed. Som in average, the progress achieved is (11+12.5)/2 = 11.75%.
</w:t>
            </w:r>
          </w:p>
          <w:p>
            <w:pPr/>
            <w:r>
              <w:rPr/>
              <w:t xml:space="preserve">Number of increased  institutions  capacity based on trained institution staffs:
</w:t>
            </w:r>
          </w:p>
          <w:p>
            <w:pPr/>
            <w:r>
              <w:rPr/>
              <w:t xml:space="preserve">1.	Central government = 10 people
</w:t>
            </w:r>
          </w:p>
          <w:p>
            <w:pPr/>
            <w:r>
              <w:rPr/>
              <w:t xml:space="preserve">2.	West Kalimantan province 
</w:t>
            </w:r>
          </w:p>
          <w:p>
            <w:pPr/>
            <w:r>
              <w:rPr/>
              <w:t xml:space="preserve">a.	District of Ketapang KPH: 5 people.
</w:t>
            </w:r>
          </w:p>
          <w:p>
            <w:pPr/>
            <w:r>
              <w:rPr/>
              <w:t xml:space="preserve">b.	District of Sintang KPH: 4 people.
</w:t>
            </w:r>
          </w:p>
          <w:p>
            <w:pPr/>
            <w:r>
              <w:rPr/>
              <w:t xml:space="preserve">c.	Other institution (non KPH) : 4 people.
</w:t>
            </w:r>
          </w:p>
          <w:p>
            <w:pPr/>
            <w:r>
              <w:rPr/>
              <w:t xml:space="preserve">3.	Central Kalimantan
</w:t>
            </w:r>
          </w:p>
          <w:p>
            <w:pPr/>
            <w:r>
              <w:rPr/>
              <w:t xml:space="preserve">a.	Government = 6 people
</w:t>
            </w:r>
          </w:p>
          <w:p>
            <w:pPr/>
            <w:r>
              <w:rPr/>
              <w:t xml:space="preserve">b.	District of Kota Waringin  Barat KPH: 2 people
</w:t>
            </w:r>
          </w:p>
          <w:p>
            <w:pPr/>
            <w:r>
              <w:rPr/>
              <w:t xml:space="preserve">c.	Other institution (non KPH): 2 people
</w:t>
            </w:r>
          </w:p>
          <w:p>
            <w:pPr/>
            <w:r>
              <w:rPr/>
              <w:t xml:space="preserve">4.	East Kalimantan
</w:t>
            </w:r>
          </w:p>
          <w:p>
            <w:pPr/>
            <w:r>
              <w:rPr/>
              <w:t xml:space="preserve">a.	Gover nment = 4 people
</w:t>
            </w:r>
          </w:p>
          <w:p>
            <w:pPr/>
            <w:r>
              <w:rPr/>
              <w:t xml:space="preserve">b.	District of Kutai Timur KPH: 2 people.
</w:t>
            </w:r>
          </w:p>
          <w:p>
            <w:pPr/>
            <w:r>
              <w:rPr/>
              <w:t xml:space="preserve">c.	Other institution (non KPH): 2 people.</w:t>
            </w:r>
          </w:p>
        </w:tc>
      </w:tr>
      <w:tr>
        <w:trPr/>
        <w:tc>
          <w:tcPr>
            <w:tcW w:w="4000" w:type="dxa"/>
            <w:gridSpan w:val="1"/>
          </w:tcPr>
          <w:p>
            <w:pPr/>
            <w:r>
              <w:rPr/>
              <w:t xml:space="preserve">Outcome Indicator 2.4
</w:t>
            </w:r>
          </w:p>
          <w:p>
            <w:pPr/>
            <w:r>
              <w:rPr/>
              <w:t xml:space="preserve">No. of district-level forest safeguarding plans approved and endorsed by key stakeholders
</w:t>
            </w:r>
          </w:p>
          <w:p>
            <w:pPr/>
            <w:r>
              <w:rPr/>
              <w:t xml:space="preserve"/>
            </w:r>
          </w:p>
        </w:tc>
        <w:tc>
          <w:tcPr>
            <w:tcW w:w="2000" w:type="dxa"/>
            <w:gridSpan w:val="1"/>
          </w:tcPr>
          <w:p>
            <w:pPr/>
            <w:r>
              <w:rPr>
                <w:i w:val="1"/>
                <w:iCs w:val="1"/>
              </w:rPr>
              <w:t xml:space="preserve">(not set or not applicable)</w:t>
            </w:r>
          </w:p>
        </w:tc>
        <w:tc>
          <w:tcPr>
            <w:tcW w:w="2000" w:type="dxa"/>
            <w:gridSpan w:val="1"/>
          </w:tcPr>
          <w:p>
            <w:pPr/>
            <w:r>
              <w:rPr/>
              <w:t xml:space="preserve">Mid-term Target 2.4 Draft plans prepared covering an estimated 3.7 million ha of forest, 416,000 ha of which are currently outside of the forest estate</w:t>
            </w:r>
          </w:p>
        </w:tc>
        <w:tc>
          <w:tcPr>
            <w:tcW w:w="2000" w:type="dxa"/>
            <w:gridSpan w:val="1"/>
          </w:tcPr>
          <w:p>
            <w:pPr/>
            <w:r>
              <w:rPr/>
              <w:t xml:space="preserve">End of Project Target 2.4 
</w:t>
            </w:r>
          </w:p>
          <w:p>
            <w:pPr/>
            <w:r>
              <w:rPr/>
              <w:t xml:space="preserve">Plans covering an estimated 3.7 million ha of forest, 416,000 ha of which are currently outside of the forest estate.
</w:t>
            </w:r>
          </w:p>
          <w:p>
            <w:pPr/>
            <w:r>
              <w:rPr/>
              <w:t xml:space="preserve"/>
            </w:r>
          </w:p>
        </w:tc>
        <w:tc>
          <w:tcPr>
            <w:tcW w:w="4000" w:type="dxa"/>
            <w:gridSpan w:val="1"/>
          </w:tcPr>
          <w:p>
            <w:pPr/>
            <w:r>
              <w:rPr>
                <w:i w:val="1"/>
                <w:iCs w:val="1"/>
              </w:rPr>
              <w:t xml:space="preserve">(not set or not applicable)</w:t>
            </w:r>
          </w:p>
        </w:tc>
        <w:tc>
          <w:tcPr>
            <w:tcW w:w="4000" w:type="dxa"/>
            <w:gridSpan w:val="1"/>
          </w:tcPr>
          <w:p>
            <w:pPr/>
            <w:r>
              <w:rPr/>
              <w:t xml:space="preserve">Project progress achievement in this outcome indictor is 0.2% 
</w:t>
            </w:r>
          </w:p>
          <w:p>
            <w:pPr/>
            <w:r>
              <w:rPr/>
              <w:t xml:space="preserve">During the first year of the project, the project has conducted activities to do inventory of province and district regulation in relation to  forest safeguarding issue.  Generally, developing regulation steps related with forest safeguarding to include regulations inventory, gap analysis, recommendation, developing academic paper, expert consultations, regulation development, public consultation, revision of the draft, second public consultation, final draft of the regulations, and government signature for endorsement. 
</w:t>
            </w:r>
          </w:p>
          <w:p>
            <w:pPr/>
            <w:r>
              <w:rPr/>
              <w:t xml:space="preserve"/>
            </w:r>
          </w:p>
        </w:tc>
      </w:tr>
      <w:tr>
        <w:trPr/>
        <w:tc>
          <w:tcPr>
            <w:tcW w:w="4000" w:type="dxa"/>
            <w:gridSpan w:val="1"/>
          </w:tcPr>
          <w:p>
            <w:pPr/>
            <w:r>
              <w:rPr/>
              <w:t xml:space="preserve">Outcome Indicator 2.5
</w:t>
            </w:r>
          </w:p>
          <w:p>
            <w:pPr/>
            <w:r>
              <w:rPr/>
              <w:t xml:space="preserve">Number of policies and regulatory changes at district level
</w:t>
            </w:r>
          </w:p>
          <w:p>
            <w:pPr/>
            <w:r>
              <w:rPr/>
              <w:t xml:space="preserve"/>
            </w:r>
          </w:p>
        </w:tc>
        <w:tc>
          <w:tcPr>
            <w:tcW w:w="2000" w:type="dxa"/>
            <w:gridSpan w:val="1"/>
          </w:tcPr>
          <w:p>
            <w:pPr/>
            <w:r>
              <w:rPr/>
              <w:t xml:space="preserve">0 policies and regulatory changes at district level</w:t>
            </w:r>
          </w:p>
        </w:tc>
        <w:tc>
          <w:tcPr>
            <w:tcW w:w="2000" w:type="dxa"/>
            <w:gridSpan w:val="1"/>
          </w:tcPr>
          <w:p>
            <w:pPr/>
            <w:r>
              <w:rPr/>
              <w:t xml:space="preserve">Mid-term Target 2.5: At least 4 revised policies and regulatory changes at district level</w:t>
            </w:r>
          </w:p>
        </w:tc>
        <w:tc>
          <w:tcPr>
            <w:tcW w:w="2000" w:type="dxa"/>
            <w:gridSpan w:val="1"/>
          </w:tcPr>
          <w:p>
            <w:pPr/>
            <w:r>
              <w:rPr/>
              <w:t xml:space="preserve">End of Project Target 2.5
</w:t>
            </w:r>
          </w:p>
          <w:p>
            <w:pPr/>
            <w:r>
              <w:rPr/>
              <w:t xml:space="preserve">At least 8 revised policies and regulatory changes at district level
</w:t>
            </w:r>
          </w:p>
          <w:p>
            <w:pPr/>
            <w:r>
              <w:rPr/>
              <w:t xml:space="preserve"/>
            </w:r>
          </w:p>
        </w:tc>
        <w:tc>
          <w:tcPr>
            <w:tcW w:w="4000" w:type="dxa"/>
            <w:gridSpan w:val="1"/>
          </w:tcPr>
          <w:p>
            <w:pPr/>
            <w:r>
              <w:rPr>
                <w:i w:val="1"/>
                <w:iCs w:val="1"/>
              </w:rPr>
              <w:t xml:space="preserve">(not set or not applicable)</w:t>
            </w:r>
          </w:p>
        </w:tc>
        <w:tc>
          <w:tcPr>
            <w:tcW w:w="4000" w:type="dxa"/>
            <w:gridSpan w:val="1"/>
          </w:tcPr>
          <w:p>
            <w:pPr/>
            <w:r>
              <w:rPr/>
              <w:t xml:space="preserve">  Most of policies and regulations are issued by national governments. This is because forestry sector is under national government control (Forestry Law, Local government Law). 
</w:t>
            </w:r>
          </w:p>
          <w:p>
            <w:pPr/>
            <w:r>
              <w:rPr/>
              <w:t xml:space="preserve">During the first year of the project, the project has conducted activities to do inventory of province and district regulation in relation with forest safeguarding issue and identified oversight  in the existing district regulation .  The regulations that are assessed include: 
</w:t>
            </w:r>
          </w:p>
          <w:p>
            <w:pPr/>
            <w:r>
              <w:rPr/>
              <w:t xml:space="preserve"> 
</w:t>
            </w:r>
          </w:p>
          <w:p>
            <w:pPr/>
            <w:r>
              <w:rPr/>
              <w:t xml:space="preserve">Inventoried number of province and district policies and regulatory related to forest status in  APL: 
</w:t>
            </w:r>
          </w:p>
          <w:p>
            <w:pPr/>
            <w:r>
              <w:rPr/>
              <w:t xml:space="preserve">a.	West Kalimantan 
</w:t>
            </w:r>
          </w:p>
          <w:p>
            <w:pPr/>
            <w:r>
              <w:rPr/>
              <w:t xml:space="preserve">b.	Province regulation = 3 regulation (West Kalimantan Province Regional Regulation No. 6 of 2018 explicitly states that HCVL is conducted in non-forest estate (APL), Governor Decree No. 718 / Dishut / 2017 on Determination of Essential Ecosystem Areas in Kayong Utara District and Ketapang District; Regional Regulation of West Kalimantan Province No. 4 of 2012 on Synchronizing Land Use for Mining Business Activities with Other Sector Business Activities. 
</w:t>
            </w:r>
          </w:p>
          <w:p>
            <w:pPr/>
            <w:r>
              <w:rPr/>
              <w:t xml:space="preserve">c.	Ketapang district = 2 local regulations covers 95,417 ha.)( Ketapang Regent Decree No. 218 / DKH-IPW / 2014 on Determination of Sungai Tengar – Danau Buaya in Pagar Mentimun Village Matan Hilir Selatan Subdistrict Ketapang Regency as a High Conservation Value Area on April 8, 2014; Ketapang Regent Decree No. 522 / DKH-PH / 2-16 on Determination of City Forest of Bukit Kuri with a type of Animal Protection, Preservation of germplasm, Religion / Culture and Recreation in Sinar Kuri Village Sungai Laur Subdistrict, Ketapang Regency with an area of 404.48 hectares.) 
</w:t>
            </w:r>
          </w:p>
          <w:p>
            <w:pPr/>
            <w:r>
              <w:rPr/>
              <w:t xml:space="preserve">d.	Sintang district = 4 perda, covers 50,774 ha.( Decree of Sintang Regent No. 593.3/516/KKP-BAPPEDA/2017 on Permit for Management of Eco-Cultural Areas to the Government of Empaka Kebiau Raya Village, Binjai Hulu Subdistrict, Sintang District; Decree of Sintang Regent No. 593.3/515/KKP-BAPPEDA/2017 on Permit for Management of Eco-Cultural Areas to the Government of Gemba Raya Village Kelam Permai Subdistrict Sintang District; Decree of Sintang Regent No. 593.3/516/KKP-BAPPEDA/2017 on Permit for Management of Eco-Cultural Areas to the Government of Empaka Kebiau Village Raya Binjai Hulu Subdistrict Sintang District; and Decree of Sintang Regent No. 593.3/517/KKP-BAPPEDA/2017 on Permit for Management of Eco-Cultural Areas to the Government of Karya Jaya Bakti Village Kelam Permai Subdistrict Sintang District). 
</w:t>
            </w:r>
          </w:p>
          <w:p>
            <w:pPr/>
            <w:r>
              <w:rPr/>
              <w:t xml:space="preserve">e.	Central Kalimantan 
</w:t>
            </w:r>
          </w:p>
          <w:p>
            <w:pPr/>
            <w:r>
              <w:rPr/>
              <w:t xml:space="preserve">(1)	Province regulation = 1 regulation  (Central Government Regulation NO 5 year 2015 on Spatial planning for Central Kalimantan Government 2015-2035).  
</w:t>
            </w:r>
          </w:p>
          <w:p>
            <w:pPr/>
            <w:r>
              <w:rPr/>
              <w:t xml:space="preserve">(2)	District of Kotawaringin Barat = 1 regulation (Kotawaringin Barat district government regulation no. 1/2018 on spatial planning of Kotawaringin Barat 2017-2037)
</w:t>
            </w:r>
          </w:p>
          <w:p>
            <w:pPr/>
            <w:r>
              <w:rPr/>
              <w:t xml:space="preserve"/>
            </w:r>
          </w:p>
        </w:tc>
      </w:tr>
      <w:tr>
        <w:trPr/>
        <w:tc>
          <w:tcPr>
            <w:tcW w:w="4000" w:type="dxa"/>
            <w:gridSpan w:val="1"/>
          </w:tcPr>
          <w:p>
            <w:pPr/>
            <w:r>
              <w:rPr/>
              <w:t xml:space="preserve">Outcome Indicator 2.6
</w:t>
            </w:r>
          </w:p>
          <w:p>
            <w:pPr/>
            <w:r>
              <w:rPr/>
              <w:t xml:space="preserve">Percentage of forested lands within the pilot districts currently classified as either APL or convertible forest that has been reclassified to an enhanced protective status
</w:t>
            </w:r>
          </w:p>
          <w:p>
            <w:pPr/>
            <w:r>
              <w:rPr/>
              <w:t xml:space="preserve"/>
            </w:r>
          </w:p>
        </w:tc>
        <w:tc>
          <w:tcPr>
            <w:tcW w:w="2000" w:type="dxa"/>
            <w:gridSpan w:val="1"/>
          </w:tcPr>
          <w:p>
            <w:pPr/>
            <w:r>
              <w:rPr/>
              <w:t xml:space="preserve">Approximately 416,000 ha of forested APL and forested convertible forest in four pilot districts</w:t>
            </w:r>
          </w:p>
        </w:tc>
        <w:tc>
          <w:tcPr>
            <w:tcW w:w="2000" w:type="dxa"/>
            <w:gridSpan w:val="1"/>
          </w:tcPr>
          <w:p>
            <w:pPr/>
            <w:r>
              <w:rPr/>
              <w:t xml:space="preserve">Mid-term Target 2.6: 10% of selected forest areas currently classified as either APL or convertible forest to be reclassified as permanent forest estate, with a corresponding shift of non-forested, lower priority areas out of the forest estate, as appropriate.  Chosen according to factors including ongoing provision of critical ecosystem services and related risk of environmental damages (peat fires, etc.).</w:t>
            </w:r>
          </w:p>
        </w:tc>
        <w:tc>
          <w:tcPr>
            <w:tcW w:w="2000" w:type="dxa"/>
            <w:gridSpan w:val="1"/>
          </w:tcPr>
          <w:p>
            <w:pPr/>
            <w:r>
              <w:rPr/>
              <w:t xml:space="preserve">End of Project Target 2.6: 25% of selected forest areas currently classified as either APL or convertible forest to be reclassified as permanent forest estate, with a corresponding shift of non-forested, lower priority areas out of the forest estate, as appropriate.  Chosen according to factors including ongoing provision of critical ecosystem services and related risk of environmental damages (peat fires, etc.).</w:t>
            </w:r>
          </w:p>
        </w:tc>
        <w:tc>
          <w:tcPr>
            <w:tcW w:w="4000" w:type="dxa"/>
            <w:gridSpan w:val="1"/>
          </w:tcPr>
          <w:p>
            <w:pPr/>
            <w:r>
              <w:rPr>
                <w:i w:val="1"/>
                <w:iCs w:val="1"/>
              </w:rPr>
              <w:t xml:space="preserve">(not set or not applicable)</w:t>
            </w:r>
          </w:p>
        </w:tc>
        <w:tc>
          <w:tcPr>
            <w:tcW w:w="4000" w:type="dxa"/>
            <w:gridSpan w:val="1"/>
          </w:tcPr>
          <w:p>
            <w:pPr/>
            <w:r>
              <w:rPr/>
              <w:t xml:space="preserve">Identified forest in  APL of each pilot district based on collected baseline covering 173,384 ha or 77%: 
</w:t>
            </w:r>
          </w:p>
          <w:p>
            <w:pPr/>
            <w:r>
              <w:rPr/>
              <w:t xml:space="preserve">1.	West Kalimantan = 1  province. Cumulative progress of the project in this outcome is 33.33%. 
</w:t>
            </w:r>
          </w:p>
          <w:p>
            <w:pPr/>
            <w:r>
              <w:rPr/>
              <w:t xml:space="preserve">One of the main project activities in the 1st year was  updating baseline data, particularly for the four pilot districts. The objective of the data update is to know distribution and area of forest at APL of the districts. The activity was conducted by reclassifying forest at the pilot districts using SPOT 6/7  images recorded in 2015- 2018. Three universities were engaged  by the project to do reclassification, including ground checking of interpretation results. The classification system to be used for interpreting the SPOT 6/7 2015-2018 image was the same mechanism used to classify 416,000 ha as reflected  in the Prodoc, that was interpretation standard developed by ditjen PKTL/LAPAN. Reports from the Universities work indicated that the current forest at APL is about 173,385  Ha in the following districts:  :  
</w:t>
            </w:r>
          </w:p>
          <w:p>
            <w:pPr/>
            <w:r>
              <w:rPr/>
              <w:t xml:space="preserve">a.	Kutai Timur district = 131,770 Ha 
</w:t>
            </w:r>
          </w:p>
          <w:p>
            <w:pPr/>
            <w:r>
              <w:rPr/>
              <w:t xml:space="preserve">b.	Kotawaringin Barat district = 11,123 Ha 
</w:t>
            </w:r>
          </w:p>
          <w:p>
            <w:pPr/>
            <w:r>
              <w:rPr/>
              <w:t xml:space="preserve">c.	Sintang district = 30,490 ha, and 
</w:t>
            </w:r>
          </w:p>
          <w:p>
            <w:pPr/>
            <w:r>
              <w:rPr/>
              <w:t xml:space="preserve">d.	Ketapang district = 60,859 ha. 
</w:t>
            </w:r>
          </w:p>
          <w:p>
            <w:pPr/>
            <w:r>
              <w:rPr/>
              <w:t xml:space="preserve">If convertible forest is included in the interpretation, total of 226,061 hectares forest areas are in  APL distributed as follows:  
</w:t>
            </w:r>
          </w:p>
          <w:p>
            <w:pPr/>
            <w:r>
              <w:rPr/>
              <w:t xml:space="preserve">1.	Kutai Timur about 161,944 Ha 
</w:t>
            </w:r>
          </w:p>
          <w:p>
            <w:pPr/>
            <w:r>
              <w:rPr/>
              <w:t xml:space="preserve">2.	Kotawaringin Barat about 33,367 Ha 
</w:t>
            </w:r>
          </w:p>
          <w:p>
            <w:pPr/>
            <w:r>
              <w:rPr/>
              <w:t xml:space="preserve">3.	Sintang district about 30,751 ha, and 
</w:t>
            </w:r>
          </w:p>
          <w:p>
            <w:pPr/>
            <w:r>
              <w:rPr/>
              <w:t xml:space="preserve">4.	Ketapang district about 82,322 ha. 
</w:t>
            </w:r>
          </w:p>
          <w:p>
            <w:pPr/>
            <w:r>
              <w:rPr/>
              <w:t xml:space="preserve">Interpretation have been completed  for all the four districts. So the finding  indicated that about 189,939 hectares have been deforested from 2014 the time when the project idea was conceived to the design stage.  The reclassification will be conducted three times during the project duration, of which the first reclassification has  been completed . The progress achieved 33.33 % of project reclassification activities.
</w:t>
            </w:r>
          </w:p>
          <w:p>
            <w:pPr/>
            <w:r>
              <w:rPr/>
              <w:t xml:space="preserve"/>
            </w:r>
          </w:p>
        </w:tc>
      </w:tr>
      <w:tr>
        <w:trPr/>
        <w:tc>
          <w:tcPr>
            <w:tcW w:w="7000" w:type="dxa"/>
            <w:gridSpan w:val="2"/>
          </w:tcPr>
          <w:p>
            <w:pPr/>
            <w:r>
              <w:rPr>
                <w:b w:val="1"/>
                <w:bCs w:val="1"/>
              </w:rPr>
              <w:t xml:space="preserve">The progress of the objective can be described as:</w:t>
            </w:r>
          </w:p>
        </w:tc>
        <w:tc>
          <w:tcPr>
            <w:tcW w:w="9000" w:type="dxa"/>
            <w:gridSpan w:val="5"/>
          </w:tcPr>
          <w:p>
            <w:pPr/>
            <w:r>
              <w:rPr>
                <w:b w:val="1"/>
                <w:bCs w:val="1"/>
              </w:rPr>
              <w:t xml:space="preserve">On track</w:t>
            </w:r>
          </w:p>
        </w:tc>
      </w:tr>
      <w:tr>
        <w:trPr/>
        <w:tc>
          <w:tcPr>
            <w:tcW w:w="16000" w:type="dxa"/>
            <w:shd w:val="clear" w:fill="#D9D9D9"/>
            <w:gridSpan w:val="7"/>
          </w:tcPr>
          <w:p>
            <w:pPr/>
            <w:r>
              <w:rPr>
                <w:b w:val="1"/>
                <w:bCs w:val="1"/>
              </w:rPr>
              <w:t xml:space="preserve">Outcome 3</w:t>
            </w:r>
          </w:p>
          <w:p>
            <w:pPr/>
            <w:r>
              <w:rPr>
                <w:b w:val="1"/>
                <w:bCs w:val="1"/>
              </w:rPr>
              <w:t xml:space="preserve">Testing / demonstration of incentives mechanism(s) to reduce deforestation associated with the estate crops sector . Innovative ways of using financial incentives (and eliminating disincentives), designed to help reduce deforestation and forest fragmentation driven by estate crop development, have been demonstrated in target landscapes within four districts in Kalimantan</w:t>
            </w:r>
          </w:p>
        </w:tc>
      </w:tr>
      <w:tr>
        <w:trPr/>
        <w:tc>
          <w:tcPr>
            <w:tcW w:w="4000" w:type="dxa"/>
            <w:gridSpan w:val="1"/>
          </w:tcPr>
          <w:p>
            <w:pPr/>
            <w:r>
              <w:rPr>
                <w:b w:val="1"/>
                <w:bCs w:val="1"/>
              </w:rPr>
              <w:t xml:space="preserve">Description of Indicator</w:t>
            </w:r>
          </w:p>
        </w:tc>
        <w:tc>
          <w:tcPr>
            <w:tcW w:w="2000" w:type="dxa"/>
            <w:gridSpan w:val="1"/>
          </w:tcPr>
          <w:p>
            <w:pPr/>
            <w:r>
              <w:rPr>
                <w:b w:val="1"/>
                <w:bCs w:val="1"/>
              </w:rPr>
              <w:t xml:space="preserve">Baseline Level</w:t>
            </w:r>
          </w:p>
        </w:tc>
        <w:tc>
          <w:tcPr>
            <w:tcW w:w="2000" w:type="dxa"/>
            <w:gridSpan w:val="1"/>
          </w:tcPr>
          <w:p>
            <w:pPr/>
            <w:r>
              <w:rPr>
                <w:b w:val="1"/>
                <w:bCs w:val="1"/>
              </w:rPr>
              <w:t xml:space="preserve">Midterm target level</w:t>
            </w:r>
          </w:p>
        </w:tc>
        <w:tc>
          <w:tcPr>
            <w:tcW w:w="2000" w:type="dxa"/>
            <w:gridSpan w:val="1"/>
          </w:tcPr>
          <w:p>
            <w:pPr/>
            <w:r>
              <w:rPr>
                <w:b w:val="1"/>
                <w:bCs w:val="1"/>
              </w:rPr>
              <w:t xml:space="preserve">End of project target level</w:t>
            </w:r>
          </w:p>
        </w:tc>
        <w:tc>
          <w:tcPr>
            <w:tcW w:w="4000" w:type="dxa"/>
            <w:gridSpan w:val="1"/>
          </w:tcPr>
          <w:p>
            <w:pPr/>
            <w:r>
              <w:rPr>
                <w:b w:val="1"/>
                <w:bCs w:val="1"/>
              </w:rPr>
              <w:t xml:space="preserve">Level at 30 June 2018</w:t>
            </w:r>
          </w:p>
        </w:tc>
        <w:tc>
          <w:tcPr>
            <w:tcW w:w="4000" w:type="dxa"/>
            <w:gridSpan w:val="1"/>
          </w:tcPr>
          <w:p>
            <w:pPr/>
            <w:r>
              <w:rPr>
                <w:b w:val="1"/>
                <w:bCs w:val="1"/>
              </w:rPr>
              <w:t xml:space="preserve">Cumulative progress since project start</w:t>
            </w:r>
          </w:p>
        </w:tc>
      </w:tr>
      <w:tr>
        <w:trPr/>
        <w:tc>
          <w:tcPr>
            <w:tcW w:w="4000" w:type="dxa"/>
            <w:gridSpan w:val="1"/>
          </w:tcPr>
          <w:p>
            <w:pPr/>
            <w:r>
              <w:rPr/>
              <w:t xml:space="preserve">Outcome Indicator 3.1
</w:t>
            </w:r>
          </w:p>
          <w:p>
            <w:pPr/>
            <w:r>
              <w:rPr/>
              <w:t xml:space="preserve">Incentive mechanisms in place and operational - to drive changes that significantly reduce the long-term threat or actual incidence of estate-crop driven deforestation 
</w:t>
            </w:r>
          </w:p>
          <w:p>
            <w:pPr/>
            <w:r>
              <w:rPr/>
              <w:t xml:space="preserve"/>
            </w:r>
          </w:p>
        </w:tc>
        <w:tc>
          <w:tcPr>
            <w:tcW w:w="2000" w:type="dxa"/>
            <w:gridSpan w:val="1"/>
          </w:tcPr>
          <w:p>
            <w:pPr/>
            <w:r>
              <w:rPr/>
              <w:t xml:space="preserve">Baseline 3.1
</w:t>
            </w:r>
          </w:p>
          <w:p>
            <w:pPr/>
            <w:r>
              <w:rPr/>
              <w:t xml:space="preserve">Few if any proven schemes in place 
</w:t>
            </w:r>
          </w:p>
          <w:p>
            <w:pPr/>
            <w:r>
              <w:rPr/>
              <w:t xml:space="preserve"/>
            </w:r>
          </w:p>
        </w:tc>
        <w:tc>
          <w:tcPr>
            <w:tcW w:w="2000" w:type="dxa"/>
            <w:gridSpan w:val="1"/>
          </w:tcPr>
          <w:p>
            <w:pPr/>
            <w:r>
              <w:rPr/>
              <w:t xml:space="preserve">Mid-term Target 3.1
</w:t>
            </w:r>
          </w:p>
          <w:p>
            <w:pPr/>
            <w:r>
              <w:rPr/>
              <w:t xml:space="preserve">Incentive payment schemes designed and ready for implementation
</w:t>
            </w:r>
          </w:p>
          <w:p>
            <w:pPr/>
            <w:r>
              <w:rPr/>
              <w:t xml:space="preserve"/>
            </w:r>
          </w:p>
        </w:tc>
        <w:tc>
          <w:tcPr>
            <w:tcW w:w="2000" w:type="dxa"/>
            <w:gridSpan w:val="1"/>
          </w:tcPr>
          <w:p>
            <w:pPr/>
            <w:r>
              <w:rPr/>
              <w:t xml:space="preserve">End of Project Target 
</w:t>
            </w:r>
          </w:p>
          <w:p>
            <w:pPr/>
            <w:r>
              <w:rPr/>
              <w:t xml:space="preserve">3.1 At least four documented examples of incentive payments being used. Together involving at least $5 million in incentives and 50,000 ha in avoided deforestation and significant changes in landscape biodiversity health index due to reduced fragmentation, both compared with baselines to be determined in Year 1.    
</w:t>
            </w:r>
          </w:p>
          <w:p>
            <w:pPr/>
            <w:r>
              <w:rPr/>
              <w:t xml:space="preserve"/>
            </w:r>
          </w:p>
        </w:tc>
        <w:tc>
          <w:tcPr>
            <w:tcW w:w="4000" w:type="dxa"/>
            <w:gridSpan w:val="1"/>
          </w:tcPr>
          <w:p>
            <w:pPr/>
            <w:r>
              <w:rPr>
                <w:i w:val="1"/>
                <w:iCs w:val="1"/>
              </w:rPr>
              <w:t xml:space="preserve">(not set or not applicable)</w:t>
            </w:r>
          </w:p>
        </w:tc>
        <w:tc>
          <w:tcPr>
            <w:tcW w:w="4000" w:type="dxa"/>
            <w:gridSpan w:val="1"/>
          </w:tcPr>
          <w:p>
            <w:pPr/>
            <w:r>
              <w:rPr/>
              <w:t xml:space="preserve">Progress achieved  of outcome indicator 3.1 is 12.5  %. 
</w:t>
            </w:r>
          </w:p>
          <w:p>
            <w:pPr/>
            <w:r>
              <w:rPr/>
              <w:t xml:space="preserve">The project focused on inventorying and reviewing  government regulations for national as well as for local governments in the first year of implementation.  Review of some government regulations on incentives for forestry activities has  started from reviewing the Forestry Law No. 41/1999. The Forestry Law mentions incentives should be awarded to some forestry activities under certain requirements. 
</w:t>
            </w:r>
          </w:p>
          <w:p>
            <w:pPr/>
            <w:r>
              <w:rPr/>
              <w:t xml:space="preserve">Other related laws are:
</w:t>
            </w:r>
          </w:p>
          <w:p>
            <w:pPr/>
            <w:r>
              <w:rPr/>
              <w:t xml:space="preserve">1)	Law No. 26/2007 about spatial planning, 
</w:t>
            </w:r>
          </w:p>
          <w:p>
            <w:pPr/>
            <w:r>
              <w:rPr/>
              <w:t xml:space="preserve">2)	Government Regulation (PP) No. 24/2019 about incentive award and  ease of process to do investment  at local government, 
</w:t>
            </w:r>
          </w:p>
          <w:p>
            <w:pPr/>
            <w:r>
              <w:rPr/>
              <w:t xml:space="preserve">3)	Special Fund Allocation (DAK) under Law no. 33/2014 about financial balance between central and local government 
</w:t>
            </w:r>
          </w:p>
          <w:p>
            <w:pPr/>
            <w:r>
              <w:rPr/>
              <w:t xml:space="preserve">4)	Ministry of Environment and Forestry decree no. 68/2017 about guideline to operate the use of DAK, 
</w:t>
            </w:r>
          </w:p>
          <w:p>
            <w:pPr/>
            <w:r>
              <w:rPr/>
              <w:t xml:space="preserve">5)	Law no. 33/2009 about Protection and management of environment. This law has been translated into Government Regulation No. 46/2017 about economic instruments for environment, and 
</w:t>
            </w:r>
          </w:p>
          <w:p>
            <w:pPr/>
            <w:r>
              <w:rPr/>
              <w:t xml:space="preserve">6)	President Regulation No. II/2018 about Management of Environment Fund.  The project is currently in the process of facilitating the MoEF to develop PES regulations. 
</w:t>
            </w:r>
          </w:p>
          <w:p>
            <w:pPr/>
            <w:r>
              <w:rPr/>
              <w:t xml:space="preserve">Based on the mentioned regulations, it was identified that there are some existing positive incentive mechanisms for the entire country that can be tapped by the local governments to include:  
</w:t>
            </w:r>
          </w:p>
          <w:p>
            <w:pPr/>
            <w:r>
              <w:rPr/>
              <w:t xml:space="preserve">1.	West Kalimantan = 
</w:t>
            </w:r>
          </w:p>
          <w:p>
            <w:pPr/>
            <w:r>
              <w:rPr/>
              <w:t xml:space="preserve">a.	Fiscal Fund: Local Budget Fund (APBD), Village income, and special fund allocation (DAK);  
</w:t>
            </w:r>
          </w:p>
          <w:p>
            <w:pPr/>
            <w:r>
              <w:rPr/>
              <w:t xml:space="preserve">b.	Village Fund: Village Fund, Village Fund Allocation, and Pure Village Income.  
</w:t>
            </w:r>
          </w:p>
          <w:p>
            <w:pPr/>
            <w:r>
              <w:rPr/>
              <w:t xml:space="preserve"> 
</w:t>
            </w:r>
          </w:p>
          <w:p>
            <w:pPr/>
            <w:r>
              <w:rPr/>
              <w:t xml:space="preserve">2.	Central Kalimantan= 
</w:t>
            </w:r>
          </w:p>
          <w:p>
            <w:pPr/>
            <w:r>
              <w:rPr/>
              <w:t xml:space="preserve">a.	Fiscal Fund: Local Budget Fund (APBD), Village income, and special fund allocation (DAK);  
</w:t>
            </w:r>
          </w:p>
          <w:p>
            <w:pPr/>
            <w:r>
              <w:rPr/>
              <w:t xml:space="preserve">b.	 Village Fund: Village Fund, Village Fund Allocation, and Pure Village Income.  
</w:t>
            </w:r>
          </w:p>
          <w:p>
            <w:pPr/>
            <w:r>
              <w:rPr/>
              <w:t xml:space="preserve">c.	International donor, CSR. 
</w:t>
            </w:r>
          </w:p>
          <w:p>
            <w:pPr/>
            <w:r>
              <w:rPr/>
              <w:t xml:space="preserve"> 
</w:t>
            </w:r>
          </w:p>
          <w:p>
            <w:pPr/>
            <w:r>
              <w:rPr/>
              <w:t xml:space="preserve">3.	East Kalimantan= 
</w:t>
            </w:r>
          </w:p>
          <w:p>
            <w:pPr/>
            <w:r>
              <w:rPr/>
              <w:t xml:space="preserve">a.	Fiscal Fund: Local Budget Fund (APBD), Village income, and special fund allocation (DAK);  
</w:t>
            </w:r>
          </w:p>
          <w:p>
            <w:pPr/>
            <w:r>
              <w:rPr/>
              <w:t xml:space="preserve">b.	 Village Fund: .Village Fund, Village Fund Allocation, and Pure Village Income.  
</w:t>
            </w:r>
          </w:p>
          <w:p>
            <w:pPr/>
            <w:r>
              <w:rPr/>
              <w:t xml:space="preserve">c.	CSR 
</w:t>
            </w:r>
          </w:p>
          <w:p>
            <w:pPr/>
            <w:r>
              <w:rPr/>
              <w:t xml:space="preserve">Identifying  sources of fund that can be accessed by community was also conducted. Results of the review will be used as baseline for incentive mechanism at national, province and district levels. Compared to other activities in this component that will be further conducted, progress achieved in the first year is about 12.5%. Further activities will be conducted in this outcome to include  qualitative and quantitative study on economic values of environment, facilitating government regulation on payment for environment services (PES), explore in depth  about sources of fund institution and how to access the fund by the community, training for community at pilot sites to develop proposal to asses funds, study tours to capture lesson learned from other success story to encourage community spirit to maintain forest at APL, community forum establishment and strengthening the forum, implementation of incentive mechanism generated by the FCPF fund, government fund for climate change mechanism, training for community to tap fund from fund institutions, design appropriate incentive mechanisms to implement at pilot sites, testing the design, etc. 
</w:t>
            </w:r>
          </w:p>
          <w:p>
            <w:pPr/>
            <w:r>
              <w:rPr/>
              <w:t xml:space="preserve"/>
            </w:r>
          </w:p>
        </w:tc>
      </w:tr>
      <w:tr>
        <w:trPr/>
        <w:tc>
          <w:tcPr>
            <w:tcW w:w="7000" w:type="dxa"/>
            <w:gridSpan w:val="2"/>
          </w:tcPr>
          <w:p>
            <w:pPr/>
            <w:r>
              <w:rPr>
                <w:b w:val="1"/>
                <w:bCs w:val="1"/>
              </w:rPr>
              <w:t xml:space="preserve">The progress of the objective can be described as:</w:t>
            </w:r>
          </w:p>
        </w:tc>
        <w:tc>
          <w:tcPr>
            <w:tcW w:w="9000" w:type="dxa"/>
            <w:gridSpan w:val="5"/>
          </w:tcPr>
          <w:p>
            <w:pPr/>
            <w:r>
              <w:rPr>
                <w:b w:val="1"/>
                <w:bCs w:val="1"/>
              </w:rPr>
              <w:t xml:space="preserve">On track</w:t>
            </w:r>
          </w:p>
        </w:tc>
      </w:tr>
      <w:tr>
        <w:trPr/>
        <w:tc>
          <w:tcPr>
            <w:tcW w:w="16000" w:type="dxa"/>
            <w:shd w:val="clear" w:fill="#D9D9D9"/>
            <w:gridSpan w:val="7"/>
          </w:tcPr>
          <w:p>
            <w:pPr/>
            <w:r>
              <w:rPr>
                <w:b w:val="1"/>
                <w:bCs w:val="1"/>
              </w:rPr>
              <w:t xml:space="preserve">Outcome 4</w:t>
            </w:r>
          </w:p>
          <w:p>
            <w:pPr/>
            <w:r>
              <w:rPr>
                <w:b w:val="1"/>
                <w:bCs w:val="1"/>
              </w:rPr>
              <w:t xml:space="preserve">Knowledge management and M&amp;E. Increased knowledge and understanding of the multiple factors underlying successful implementation of reduced deforestation, green growth strategies for Indonesia’s estate crops sector</w:t>
            </w:r>
          </w:p>
        </w:tc>
      </w:tr>
      <w:tr>
        <w:trPr/>
        <w:tc>
          <w:tcPr>
            <w:tcW w:w="4000" w:type="dxa"/>
            <w:gridSpan w:val="1"/>
          </w:tcPr>
          <w:p>
            <w:pPr/>
            <w:r>
              <w:rPr>
                <w:b w:val="1"/>
                <w:bCs w:val="1"/>
              </w:rPr>
              <w:t xml:space="preserve">Description of Indicator</w:t>
            </w:r>
          </w:p>
        </w:tc>
        <w:tc>
          <w:tcPr>
            <w:tcW w:w="2000" w:type="dxa"/>
            <w:gridSpan w:val="1"/>
          </w:tcPr>
          <w:p>
            <w:pPr/>
            <w:r>
              <w:rPr>
                <w:b w:val="1"/>
                <w:bCs w:val="1"/>
              </w:rPr>
              <w:t xml:space="preserve">Baseline Level</w:t>
            </w:r>
          </w:p>
        </w:tc>
        <w:tc>
          <w:tcPr>
            <w:tcW w:w="2000" w:type="dxa"/>
            <w:gridSpan w:val="1"/>
          </w:tcPr>
          <w:p>
            <w:pPr/>
            <w:r>
              <w:rPr>
                <w:b w:val="1"/>
                <w:bCs w:val="1"/>
              </w:rPr>
              <w:t xml:space="preserve">Midterm target level</w:t>
            </w:r>
          </w:p>
        </w:tc>
        <w:tc>
          <w:tcPr>
            <w:tcW w:w="2000" w:type="dxa"/>
            <w:gridSpan w:val="1"/>
          </w:tcPr>
          <w:p>
            <w:pPr/>
            <w:r>
              <w:rPr>
                <w:b w:val="1"/>
                <w:bCs w:val="1"/>
              </w:rPr>
              <w:t xml:space="preserve">End of project target level</w:t>
            </w:r>
          </w:p>
        </w:tc>
        <w:tc>
          <w:tcPr>
            <w:tcW w:w="4000" w:type="dxa"/>
            <w:gridSpan w:val="1"/>
          </w:tcPr>
          <w:p>
            <w:pPr/>
            <w:r>
              <w:rPr>
                <w:b w:val="1"/>
                <w:bCs w:val="1"/>
              </w:rPr>
              <w:t xml:space="preserve">Level at 30 June 2018</w:t>
            </w:r>
          </w:p>
        </w:tc>
        <w:tc>
          <w:tcPr>
            <w:tcW w:w="4000" w:type="dxa"/>
            <w:gridSpan w:val="1"/>
          </w:tcPr>
          <w:p>
            <w:pPr/>
            <w:r>
              <w:rPr>
                <w:b w:val="1"/>
                <w:bCs w:val="1"/>
              </w:rPr>
              <w:t xml:space="preserve">Cumulative progress since project start</w:t>
            </w:r>
          </w:p>
        </w:tc>
      </w:tr>
      <w:tr>
        <w:trPr/>
        <w:tc>
          <w:tcPr>
            <w:tcW w:w="4000" w:type="dxa"/>
            <w:gridSpan w:val="1"/>
          </w:tcPr>
          <w:p>
            <w:pPr/>
            <w:r>
              <w:rPr/>
              <w:t xml:space="preserve">Outcome Indicator 4.1
</w:t>
            </w:r>
          </w:p>
          <w:p>
            <w:pPr/>
            <w:r>
              <w:rPr/>
              <w:t xml:space="preserve">Technical understanding of level of jurisdictional readiness for reduced-deforestation commodity production and impacts of associated capacity building interventions
</w:t>
            </w:r>
          </w:p>
          <w:p>
            <w:pPr/>
            <w:r>
              <w:rPr/>
              <w:t xml:space="preserve"/>
            </w:r>
          </w:p>
        </w:tc>
        <w:tc>
          <w:tcPr>
            <w:tcW w:w="2000" w:type="dxa"/>
            <w:gridSpan w:val="1"/>
          </w:tcPr>
          <w:p>
            <w:pPr/>
            <w:r>
              <w:rPr/>
              <w:t xml:space="preserve">Baseline 4.1.1
</w:t>
            </w:r>
          </w:p>
          <w:p>
            <w:pPr/>
            <w:r>
              <w:rPr/>
              <w:t xml:space="preserve">Baseline capacity assessment using the scorecard methodology developed by the Commodities IAP for four districts.
</w:t>
            </w:r>
          </w:p>
          <w:p>
            <w:pPr/>
            <w:r>
              <w:rPr/>
              <w:t xml:space="preserve"/>
            </w:r>
          </w:p>
        </w:tc>
        <w:tc>
          <w:tcPr>
            <w:tcW w:w="2000" w:type="dxa"/>
            <w:gridSpan w:val="1"/>
          </w:tcPr>
          <w:p>
            <w:pPr/>
            <w:r>
              <w:rPr/>
              <w:t xml:space="preserve">Mid-term Target 4.1.1
</w:t>
            </w:r>
          </w:p>
          <w:p>
            <w:pPr/>
            <w:r>
              <w:rPr/>
              <w:t xml:space="preserve">Increase vs. baseline readiness assessment (amount TBD)
</w:t>
            </w:r>
          </w:p>
          <w:p>
            <w:pPr/>
            <w:r>
              <w:rPr/>
              <w:t xml:space="preserve"/>
            </w:r>
          </w:p>
        </w:tc>
        <w:tc>
          <w:tcPr>
            <w:tcW w:w="2000" w:type="dxa"/>
            <w:gridSpan w:val="1"/>
          </w:tcPr>
          <w:p>
            <w:pPr/>
            <w:r>
              <w:rPr/>
              <w:t xml:space="preserve">End of Project Target 4.1.1
</w:t>
            </w:r>
          </w:p>
          <w:p>
            <w:pPr/>
            <w:r>
              <w:rPr/>
              <w:t xml:space="preserve">Increase vs. baseline readiness assessment (amount TBD)
</w:t>
            </w:r>
          </w:p>
          <w:p>
            <w:pPr/>
            <w:r>
              <w:rPr/>
              <w:t xml:space="preserve"/>
            </w:r>
          </w:p>
        </w:tc>
        <w:tc>
          <w:tcPr>
            <w:tcW w:w="4000" w:type="dxa"/>
            <w:gridSpan w:val="1"/>
          </w:tcPr>
          <w:p>
            <w:pPr/>
            <w:r>
              <w:rPr>
                <w:i w:val="1"/>
                <w:iCs w:val="1"/>
              </w:rPr>
              <w:t xml:space="preserve">(not set or not applicable)</w:t>
            </w:r>
          </w:p>
        </w:tc>
        <w:tc>
          <w:tcPr>
            <w:tcW w:w="4000" w:type="dxa"/>
            <w:gridSpan w:val="1"/>
          </w:tcPr>
          <w:p>
            <w:pPr/>
            <w:r>
              <w:rPr/>
              <w:t xml:space="preserve">Progress of achievement of this component is estimated 20%. 
</w:t>
            </w:r>
          </w:p>
          <w:p>
            <w:pPr/>
            <w:r>
              <w:rPr/>
              <w:t xml:space="preserve">Identified status of level of understanding of institutions as baseline are : 
</w:t>
            </w:r>
          </w:p>
          <w:p>
            <w:pPr/>
            <w:r>
              <w:rPr/>
              <w:t xml:space="preserve">1.	West Kalimantan: the District Leaders of Sintang and Ketapang districts were identified to have  strong understanding of the role of forest in  APL for ecosystem function but  limited idea on how to utilize the forest as source of increasing community livelihood . Social and economy data for potential site pilots have been surveyed by UNMUL. So, baseline data on social economy of people in the pilot area have been identified, and ready to be utilized for project intervention.  
</w:t>
            </w:r>
          </w:p>
          <w:p>
            <w:pPr/>
            <w:r>
              <w:rPr/>
              <w:t xml:space="preserve">2.	Centra Kalimantan: District of Kotawaringin Barat is well known as pioneer in realizing a concept of green district.  Under the direction of the District Head, the kotawaringin barat district has been awarded 13 times of best regional government who has shown concern to environment quality as source of local government and community prosperity levels. 
</w:t>
            </w:r>
          </w:p>
          <w:p>
            <w:pPr/>
            <w:r>
              <w:rPr/>
              <w:t xml:space="preserve">3.	East Kalimantan: The University of Mulawarman reported results of their survey to district government and village community about social and economy as well as gender situation. The university conducted survey at three landscape area. The results reported include:   
</w:t>
            </w:r>
          </w:p>
          <w:p>
            <w:pPr/>
            <w:r>
              <w:rPr/>
              <w:t xml:space="preserve">a.	Main stakeholders: implement HCVF (level of understanding is high-medium). The stakeholders  include government officers, some communities, palm oil plantation company. 
</w:t>
            </w:r>
          </w:p>
          <w:p>
            <w:pPr/>
            <w:r>
              <w:rPr/>
              <w:t xml:space="preserve">b.	Secondary stakeholder: supporting institution related with HCVF establishment and management such as district government sectors, palm oil growers. Their level of understanding is high. 
</w:t>
            </w:r>
          </w:p>
          <w:p>
            <w:pPr/>
            <w:r>
              <w:rPr/>
              <w:t xml:space="preserve">The project plan to conduct institutional assessment to further understand quantitative and qualitative analysis of the institutions on forest at the APL issues. Other activities to include trigger main actors at the field to do study tour to capture success stories of forest based community to increase their level of livelihood, capture lessons from implementing various mechanism and tools to manage forest at APL, share  lesson learned to others. It is estimated that progress of this indicator  is about 20%. 
</w:t>
            </w:r>
          </w:p>
          <w:p>
            <w:pPr/>
            <w:r>
              <w:rPr/>
              <w:t xml:space="preserve"/>
            </w:r>
          </w:p>
        </w:tc>
      </w:tr>
      <w:tr>
        <w:trPr/>
        <w:tc>
          <w:tcPr>
            <w:tcW w:w="4000" w:type="dxa"/>
            <w:gridSpan w:val="1"/>
          </w:tcPr>
          <w:p>
            <w:pPr/>
            <w:r>
              <w:rPr/>
              <w:t xml:space="preserve">Outcome indicator 4.2
</w:t>
            </w:r>
          </w:p>
          <w:p>
            <w:pPr/>
            <w:r>
              <w:rPr/>
              <w:t xml:space="preserve">Documented examples of specific lessons shared and applied in other sub-national and national situations
</w:t>
            </w:r>
          </w:p>
          <w:p>
            <w:pPr/>
            <w:r>
              <w:rPr/>
              <w:t xml:space="preserve"/>
            </w:r>
          </w:p>
        </w:tc>
        <w:tc>
          <w:tcPr>
            <w:tcW w:w="2000" w:type="dxa"/>
            <w:gridSpan w:val="1"/>
          </w:tcPr>
          <w:p>
            <w:pPr/>
            <w:r>
              <w:rPr/>
              <w:t xml:space="preserve">Baseline 4.1.1
</w:t>
            </w:r>
          </w:p>
          <w:p>
            <w:pPr/>
            <w:r>
              <w:rPr/>
              <w:t xml:space="preserve">
</w:t>
            </w:r>
          </w:p>
          <w:p>
            <w:pPr/>
            <w:r>
              <w:rPr/>
              <w:t xml:space="preserve">0 examples
</w:t>
            </w:r>
          </w:p>
          <w:p>
            <w:pPr/>
            <w:r>
              <w:rPr/>
              <w:t xml:space="preserve"/>
            </w:r>
          </w:p>
        </w:tc>
        <w:tc>
          <w:tcPr>
            <w:tcW w:w="2000" w:type="dxa"/>
            <w:gridSpan w:val="1"/>
          </w:tcPr>
          <w:p>
            <w:pPr/>
            <w:r>
              <w:rPr/>
              <w:t xml:space="preserve">Mid-term Target 4.1.1
</w:t>
            </w:r>
          </w:p>
          <w:p>
            <w:pPr/>
            <w:r>
              <w:rPr/>
              <w:t xml:space="preserve">
</w:t>
            </w:r>
          </w:p>
          <w:p>
            <w:pPr/>
            <w:r>
              <w:rPr/>
              <w:t xml:space="preserve">3 examples applied
</w:t>
            </w:r>
          </w:p>
          <w:p>
            <w:pPr/>
            <w:r>
              <w:rPr/>
              <w:t xml:space="preserve"/>
            </w:r>
          </w:p>
        </w:tc>
        <w:tc>
          <w:tcPr>
            <w:tcW w:w="2000" w:type="dxa"/>
            <w:gridSpan w:val="1"/>
          </w:tcPr>
          <w:p>
            <w:pPr/>
            <w:r>
              <w:rPr/>
              <w:t xml:space="preserve">End of Project Target 4.1.1
</w:t>
            </w:r>
          </w:p>
          <w:p>
            <w:pPr/>
            <w:r>
              <w:rPr/>
              <w:t xml:space="preserve">
</w:t>
            </w:r>
          </w:p>
          <w:p>
            <w:pPr/>
            <w:r>
              <w:rPr/>
              <w:t xml:space="preserve">7 examples applied 
</w:t>
            </w:r>
          </w:p>
          <w:p>
            <w:pPr/>
            <w:r>
              <w:rPr/>
              <w:t xml:space="preserve"/>
            </w:r>
          </w:p>
        </w:tc>
        <w:tc>
          <w:tcPr>
            <w:tcW w:w="4000" w:type="dxa"/>
            <w:gridSpan w:val="1"/>
          </w:tcPr>
          <w:p>
            <w:pPr/>
            <w:r>
              <w:rPr>
                <w:i w:val="1"/>
                <w:iCs w:val="1"/>
              </w:rPr>
              <w:t xml:space="preserve">(not set or not applicable)</w:t>
            </w:r>
          </w:p>
        </w:tc>
        <w:tc>
          <w:tcPr>
            <w:tcW w:w="4000" w:type="dxa"/>
            <w:gridSpan w:val="1"/>
          </w:tcPr>
          <w:p>
            <w:pPr/>
            <w:r>
              <w:rPr/>
              <w:t xml:space="preserve">The project has published some fliers, policy briefs for provincial government and national governments, video of environment women champions, competition activities to encourage youth in understanding forest and environmental issues.  All materials to support the achievement can be accessed  as follow: Series of policy Brief / Policy Paper published and shared to public (1000++ sheets Printed &amp; Distributed). Examples of the products can be downloaded at www.kalimantanforest.org  and http://bit.ly/Ardiansyah_Kalfor. The following are list of the products. 
</w:t>
            </w:r>
          </w:p>
          <w:p>
            <w:pPr/>
            <w:r>
              <w:rPr/>
              <w:t xml:space="preserve">1.	The policy briefs  include: 
</w:t>
            </w:r>
          </w:p>
          <w:p>
            <w:pPr/>
            <w:r>
              <w:rPr/>
              <w:t xml:space="preserve">a.	Pengelolaan hutan lestasi di APL Kabupaten Sintang, Kalimantan Barat.(Managing Sustainable Forest at APL of Sintang District). (sustainable management of forest at APL of Sintang districts, west Kalimantan) 
</w:t>
            </w:r>
          </w:p>
          <w:p>
            <w:pPr/>
            <w:r>
              <w:rPr/>
              <w:t xml:space="preserve">b.	Pengelolaan hutan lestasi di APL Kabupaten Ketapang , Kalimantan Barat.(Managing Sustainable Forest at APL of Ketpang District). (sustainable management of forest at APL of Ketapang districts, west Kalimantan) 
</w:t>
            </w:r>
          </w:p>
          <w:p>
            <w:pPr/>
            <w:r>
              <w:rPr/>
              <w:t xml:space="preserve">c.	Pengelolaan hutan lestari di APL, Kalimantan Barat (Managing Sustainable Forest at APL of West Kalimantan) (Sustainable management of forest at APL of West Kalimantan). 
</w:t>
            </w:r>
          </w:p>
          <w:p>
            <w:pPr/>
            <w:r>
              <w:rPr/>
              <w:t xml:space="preserve">d.	Saving Remain Forest at APL Serial 4: Mainstreaming Gender in managing forest at APL 
</w:t>
            </w:r>
          </w:p>
          <w:p>
            <w:pPr/>
            <w:r>
              <w:rPr/>
              <w:t xml:space="preserve">f.	Strengthening Forest Area Planning and Management in Kalimantan  Forest Project 
</w:t>
            </w:r>
          </w:p>
          <w:p>
            <w:pPr/>
            <w:r>
              <w:rPr/>
              <w:t xml:space="preserve">g.	The Concept of Protecting Forest at APL by Ir Yuyu Rahayu MSc 
</w:t>
            </w:r>
          </w:p>
          <w:p>
            <w:pPr/>
            <w:r>
              <w:rPr/>
              <w:t xml:space="preserve"> 
</w:t>
            </w:r>
          </w:p>
          <w:p>
            <w:pPr/>
            <w:r>
              <w:rPr/>
              <w:t xml:space="preserve">2.	Reports 
</w:t>
            </w:r>
          </w:p>
          <w:p>
            <w:pPr/>
            <w:r>
              <w:rPr/>
              <w:t xml:space="preserve">a.	
</w:t>
            </w:r>
          </w:p>
          <w:p>
            <w:pPr/>
            <w:r>
              <w:rPr/>
              <w:t xml:space="preserve"> 
</w:t>
            </w:r>
          </w:p>
          <w:p>
            <w:pPr/>
            <w:r>
              <w:rPr/>
              <w:t xml:space="preserve">3.	Flyers, leaflets and Project factsheet published, (not printed yet) 
</w:t>
            </w:r>
          </w:p>
          <w:p>
            <w:pPr/>
            <w:r>
              <w:rPr/>
              <w:t xml:space="preserve">a.	Strengthening Forest Area Planning and Management in Kalimantan (Kalfor) Project 
</w:t>
            </w:r>
          </w:p>
          <w:p>
            <w:pPr/>
            <w:r>
              <w:rPr/>
              <w:t xml:space="preserve">d.	President Instruction No. 8/2018 about Moratorium and Evaluation of palm oil permit issuance and increasing productivity of palm oil 
</w:t>
            </w:r>
          </w:p>
          <w:p>
            <w:pPr/>
            <w:r>
              <w:rPr/>
              <w:t xml:space="preserve">Dissemination of Kalfor Project at District Pilots) 
</w:t>
            </w:r>
          </w:p>
          <w:p>
            <w:pPr/>
            <w:r>
              <w:rPr/>
              <w:t xml:space="preserve">k.	Fact Sheet: Securing Remaining Forests Located at Non-state Owned Forest Zones for the welfare of people in Kalimantan 
</w:t>
            </w:r>
          </w:p>
          <w:p>
            <w:pPr/>
            <w:r>
              <w:rPr/>
              <w:t xml:space="preserve">m.	Kalfor Comms and Publication Reports 2019 
</w:t>
            </w:r>
          </w:p>
          <w:p>
            <w:pPr/>
            <w:r>
              <w:rPr/>
              <w:t xml:space="preserve">4.	Poster 
</w:t>
            </w:r>
          </w:p>
          <w:p>
            <w:pPr/>
            <w:r>
              <w:rPr/>
              <w:t xml:space="preserve">5.	Video productions 
</w:t>
            </w:r>
          </w:p>
          <w:p>
            <w:pPr/>
            <w:r>
              <w:rPr/>
              <w:t xml:space="preserve">Protecting the remaining forest at APL for community prosperity in Kalimantan) 
</w:t>
            </w:r>
          </w:p>
          <w:p>
            <w:pPr/>
            <w:r>
              <w:rPr/>
              <w:t xml:space="preserve">c.	Video Gender Profile produced, 1 Project graphic Video https://www.youtube.com/channel/UCADNs6YGu3FPgFM0vErXjDw/videos 
</w:t>
            </w:r>
          </w:p>
          <w:p>
            <w:pPr/>
            <w:r>
              <w:rPr/>
              <w:t xml:space="preserve">6.	1 webpage, https://kalimantanforest.org/, twitter account https://twitter.com/kalimantanfore2 </w:t>
            </w:r>
          </w:p>
        </w:tc>
      </w:tr>
      <w:tr>
        <w:trPr/>
        <w:tc>
          <w:tcPr>
            <w:tcW w:w="7000" w:type="dxa"/>
            <w:gridSpan w:val="2"/>
          </w:tcPr>
          <w:p>
            <w:pPr/>
            <w:r>
              <w:rPr>
                <w:b w:val="1"/>
                <w:bCs w:val="1"/>
              </w:rPr>
              <w:t xml:space="preserve">The progress of the objective can be described as:</w:t>
            </w:r>
          </w:p>
        </w:tc>
        <w:tc>
          <w:tcPr>
            <w:tcW w:w="9000" w:type="dxa"/>
            <w:gridSpan w:val="5"/>
          </w:tcPr>
          <w:p>
            <w:pPr/>
            <w:r>
              <w:rPr>
                <w:b w:val="1"/>
                <w:bCs w:val="1"/>
              </w:rPr>
              <w:t xml:space="preserve">On track</w:t>
            </w:r>
          </w:p>
        </w:tc>
      </w:tr>
    </w:tbl>
    <w:p>
      <w:pPr>
        <w:sectPr>
          <w:pgSz w:orient="landscape" w:w="16837.79527559055" w:h="11905.511811023622"/>
          <w:pgMar w:top="500" w:right="500" w:bottom="500" w:left="500" w:header="720" w:footer="720" w:gutter="0"/>
          <w:cols w:num="1" w:space="720"/>
        </w:sectPr>
      </w:pPr>
    </w:p>
    <w:p>
      <w:pPr>
        <w:pStyle w:val="Heading1"/>
      </w:pPr>
      <w:bookmarkStart w:id="4" w:name="_Toc4"/>
      <w:r>
        <w:t>Implementation Progress</w:t>
      </w:r>
      <w:bookmarkEnd w:id="4"/>
    </w:p>
    <w:p>
      <w:pPr>
        <w:jc w:val="center"/>
      </w:pPr>
      <w:r>
        <w:pict>
          <v:shape type="#_x0000_t75" style="width:450pt; height:300pt; margin-left:0pt; margin-top:0pt; mso-position-horizontal:center; mso-position-vertical:top; mso-position-horizontal-relative:char; mso-position-vertical-relative:line;">
            <w10:wrap type="square"/>
            <v:imagedata r:id="rId9" o:title=""/>
          </v:shape>
        </w:pict>
      </w:r>
    </w:p>
    <w:tbl>
      <w:tblGrid>
        <w:gridCol w:w="8000" w:type="dxa"/>
        <w:gridCol w:w="8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8000" w:type="dxa"/>
            <w:gridSpan w:val="1"/>
          </w:tcPr>
          <w:p>
            <w:pPr/>
            <w:r>
              <w:rPr/>
              <w:t xml:space="preserve">Cumulative GL delivery against total approved amount (in prodoc):</w:t>
            </w:r>
          </w:p>
        </w:tc>
        <w:tc>
          <w:tcPr>
            <w:tcW w:w="8000" w:type="dxa"/>
            <w:gridSpan w:val="1"/>
          </w:tcPr>
          <w:p>
            <w:pPr/>
            <w:r>
              <w:rPr/>
              <w:t xml:space="preserve">13.49%</w:t>
            </w:r>
          </w:p>
        </w:tc>
      </w:tr>
      <w:tr>
        <w:trPr/>
        <w:tc>
          <w:tcPr>
            <w:tcW w:w="8000" w:type="dxa"/>
            <w:gridSpan w:val="1"/>
          </w:tcPr>
          <w:p>
            <w:pPr/>
            <w:r>
              <w:rPr/>
              <w:t xml:space="preserve">Cumulative GL delivery against expected delivery as of this year:</w:t>
            </w:r>
          </w:p>
        </w:tc>
        <w:tc>
          <w:tcPr>
            <w:tcW w:w="8000" w:type="dxa"/>
            <w:gridSpan w:val="1"/>
          </w:tcPr>
          <w:p>
            <w:pPr/>
            <w:r>
              <w:rPr/>
              <w:t xml:space="preserve">26.18%</w:t>
            </w:r>
          </w:p>
        </w:tc>
      </w:tr>
      <w:tr>
        <w:trPr/>
        <w:tc>
          <w:tcPr>
            <w:tcW w:w="8000" w:type="dxa"/>
            <w:gridSpan w:val="1"/>
          </w:tcPr>
          <w:p>
            <w:pPr/>
            <w:r>
              <w:rPr/>
              <w:t xml:space="preserve">Cumulative disbursement as of 30 June (note: amount to be updated in late August):</w:t>
            </w:r>
          </w:p>
        </w:tc>
        <w:tc>
          <w:tcPr>
            <w:tcW w:w="8000" w:type="dxa"/>
            <w:gridSpan w:val="1"/>
          </w:tcPr>
          <w:p>
            <w:pPr/>
            <w:r>
              <w:rPr/>
              <w:t xml:space="preserve">1,214,485</w:t>
            </w:r>
          </w:p>
        </w:tc>
      </w:tr>
    </w:tbl>
    <w:p>
      <w:pPr/>
      <w:r>
        <w:rPr/>
        <w:t xml:space="preserve"/>
      </w:r>
    </w:p>
    <w:tbl>
      <w:tblGrid>
        <w:gridCol w:w="8000" w:type="dxa"/>
        <w:gridCol w:w="8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8000" w:type="dxa"/>
            <w:gridSpan w:val="2"/>
          </w:tcPr>
          <w:p>
            <w:pPr/>
            <w:r>
              <w:rPr>
                <w:b w:val="1"/>
                <w:bCs w:val="1"/>
              </w:rPr>
              <w:t xml:space="preserve">Key Financing Amounts</w:t>
            </w:r>
          </w:p>
        </w:tc>
      </w:tr>
      <w:tr>
        <w:trPr/>
        <w:tc>
          <w:tcPr>
            <w:tcW w:w="8000" w:type="dxa"/>
            <w:gridSpan w:val="1"/>
          </w:tcPr>
          <w:p>
            <w:pPr/>
            <w:r>
              <w:rPr/>
              <w:t xml:space="preserve">PPG Amount</w:t>
            </w:r>
          </w:p>
        </w:tc>
        <w:tc>
          <w:tcPr>
            <w:tcW w:w="8000" w:type="dxa"/>
            <w:gridSpan w:val="1"/>
          </w:tcPr>
          <w:p>
            <w:pPr/>
            <w:r>
              <w:rPr/>
              <w:t xml:space="preserve">195,000</w:t>
            </w:r>
          </w:p>
        </w:tc>
      </w:tr>
      <w:tr>
        <w:trPr/>
        <w:tc>
          <w:tcPr>
            <w:tcW w:w="8000" w:type="dxa"/>
            <w:gridSpan w:val="1"/>
          </w:tcPr>
          <w:p>
            <w:pPr/>
            <w:r>
              <w:rPr/>
              <w:t xml:space="preserve">GEF Grant Amount</w:t>
            </w:r>
          </w:p>
        </w:tc>
        <w:tc>
          <w:tcPr>
            <w:tcW w:w="8000" w:type="dxa"/>
            <w:gridSpan w:val="1"/>
          </w:tcPr>
          <w:p>
            <w:pPr/>
            <w:r>
              <w:rPr/>
              <w:t xml:space="preserve">9,000,000</w:t>
            </w:r>
          </w:p>
        </w:tc>
      </w:tr>
      <w:tr>
        <w:trPr/>
        <w:tc>
          <w:tcPr>
            <w:tcW w:w="8000" w:type="dxa"/>
            <w:gridSpan w:val="1"/>
          </w:tcPr>
          <w:p>
            <w:pPr/>
            <w:r>
              <w:rPr/>
              <w:t xml:space="preserve">Co-financing</w:t>
            </w:r>
          </w:p>
        </w:tc>
        <w:tc>
          <w:tcPr>
            <w:tcW w:w="8000" w:type="dxa"/>
            <w:gridSpan w:val="1"/>
          </w:tcPr>
          <w:p>
            <w:pPr/>
            <w:r>
              <w:rPr/>
              <w:t xml:space="preserve">50,050,000</w:t>
            </w:r>
          </w:p>
        </w:tc>
      </w:tr>
    </w:tbl>
    <w:p>
      <w:pPr/>
      <w:r>
        <w:rPr/>
        <w:t xml:space="preserve"/>
      </w:r>
    </w:p>
    <w:tbl>
      <w:tblGrid>
        <w:gridCol w:w="8000" w:type="dxa"/>
        <w:gridCol w:w="8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6000" w:type="dxa"/>
            <w:gridSpan w:val="2"/>
          </w:tcPr>
          <w:p>
            <w:pPr/>
            <w:r>
              <w:rPr>
                <w:b w:val="1"/>
                <w:bCs w:val="1"/>
              </w:rPr>
              <w:t xml:space="preserve">Key Project Dates</w:t>
            </w:r>
          </w:p>
        </w:tc>
      </w:tr>
      <w:tr>
        <w:trPr/>
        <w:tc>
          <w:tcPr>
            <w:tcW w:w="8000" w:type="dxa"/>
            <w:gridSpan w:val="1"/>
          </w:tcPr>
          <w:p>
            <w:pPr/>
            <w:r>
              <w:rPr/>
              <w:t xml:space="preserve">PIF Approval Date</w:t>
            </w:r>
          </w:p>
        </w:tc>
        <w:tc>
          <w:tcPr>
            <w:tcW w:w="8000" w:type="dxa"/>
            <w:gridSpan w:val="1"/>
          </w:tcPr>
          <w:p>
            <w:pPr/>
            <w:r>
              <w:rPr/>
              <w:t xml:space="preserve">Jun 1, 2015</w:t>
            </w:r>
          </w:p>
        </w:tc>
      </w:tr>
      <w:tr>
        <w:trPr/>
        <w:tc>
          <w:tcPr>
            <w:tcW w:w="8000" w:type="dxa"/>
            <w:gridSpan w:val="1"/>
          </w:tcPr>
          <w:p>
            <w:pPr/>
            <w:r>
              <w:rPr/>
              <w:t xml:space="preserve">CEO Endorsement Date</w:t>
            </w:r>
          </w:p>
        </w:tc>
        <w:tc>
          <w:tcPr>
            <w:tcW w:w="8000" w:type="dxa"/>
            <w:gridSpan w:val="1"/>
          </w:tcPr>
          <w:p>
            <w:pPr/>
            <w:r>
              <w:rPr/>
              <w:t xml:space="preserve">Jun 9, 2017</w:t>
            </w:r>
          </w:p>
        </w:tc>
      </w:tr>
      <w:tr>
        <w:trPr/>
        <w:tc>
          <w:tcPr>
            <w:tcW w:w="8000" w:type="dxa"/>
            <w:gridSpan w:val="1"/>
          </w:tcPr>
          <w:p>
            <w:pPr/>
            <w:r>
              <w:rPr/>
              <w:t xml:space="preserve">Project Document Signature Date (project start date):</w:t>
            </w:r>
          </w:p>
        </w:tc>
        <w:tc>
          <w:tcPr>
            <w:tcW w:w="8000" w:type="dxa"/>
            <w:gridSpan w:val="1"/>
          </w:tcPr>
          <w:p>
            <w:pPr/>
            <w:r>
              <w:rPr/>
              <w:t xml:space="preserve">Dec 22, 2017</w:t>
            </w:r>
          </w:p>
        </w:tc>
      </w:tr>
      <w:tr>
        <w:trPr/>
        <w:tc>
          <w:tcPr>
            <w:tcW w:w="8000" w:type="dxa"/>
            <w:gridSpan w:val="1"/>
          </w:tcPr>
          <w:p>
            <w:pPr/>
            <w:r>
              <w:rPr/>
              <w:t xml:space="preserve">Date of Inception Workshop</w:t>
            </w:r>
          </w:p>
        </w:tc>
        <w:tc>
          <w:tcPr>
            <w:tcW w:w="8000" w:type="dxa"/>
            <w:gridSpan w:val="1"/>
          </w:tcPr>
          <w:p>
            <w:pPr/>
            <w:r>
              <w:rPr/>
              <w:t xml:space="preserve">Apr 25, 2018</w:t>
            </w:r>
          </w:p>
        </w:tc>
      </w:tr>
      <w:tr>
        <w:trPr/>
        <w:tc>
          <w:tcPr>
            <w:tcW w:w="8000" w:type="dxa"/>
            <w:gridSpan w:val="1"/>
          </w:tcPr>
          <w:p>
            <w:pPr/>
            <w:r>
              <w:rPr/>
              <w:t xml:space="preserve">Expected Date of Mid-term Review</w:t>
            </w:r>
          </w:p>
        </w:tc>
        <w:tc>
          <w:tcPr>
            <w:tcW w:w="8000" w:type="dxa"/>
            <w:gridSpan w:val="1"/>
          </w:tcPr>
          <w:p>
            <w:pPr/>
            <w:r>
              <w:rPr/>
              <w:t xml:space="preserve">Jun 22, 2021</w:t>
            </w:r>
          </w:p>
        </w:tc>
      </w:tr>
      <w:tr>
        <w:trPr/>
        <w:tc>
          <w:tcPr>
            <w:tcW w:w="8000" w:type="dxa"/>
            <w:gridSpan w:val="1"/>
          </w:tcPr>
          <w:p>
            <w:pPr/>
            <w:r>
              <w:rPr/>
              <w:t xml:space="preserve">Actual Date of Mid-term Review</w:t>
            </w:r>
          </w:p>
        </w:tc>
        <w:tc>
          <w:tcPr>
            <w:tcW w:w="8000" w:type="dxa"/>
            <w:gridSpan w:val="1"/>
          </w:tcPr>
          <w:p>
            <w:pPr/>
            <w:r>
              <w:rPr>
                <w:i w:val="1"/>
                <w:iCs w:val="1"/>
              </w:rPr>
              <w:t xml:space="preserve">(not set or not applicable)</w:t>
            </w:r>
          </w:p>
        </w:tc>
      </w:tr>
      <w:tr>
        <w:trPr/>
        <w:tc>
          <w:tcPr>
            <w:tcW w:w="8000" w:type="dxa"/>
            <w:gridSpan w:val="1"/>
          </w:tcPr>
          <w:p>
            <w:pPr/>
            <w:r>
              <w:rPr/>
              <w:t xml:space="preserve">Expected Date of Terminal Evaluation</w:t>
            </w:r>
          </w:p>
        </w:tc>
        <w:tc>
          <w:tcPr>
            <w:tcW w:w="8000" w:type="dxa"/>
            <w:gridSpan w:val="1"/>
          </w:tcPr>
          <w:p>
            <w:pPr/>
            <w:r>
              <w:rPr/>
              <w:t xml:space="preserve">Sep 22, 2024</w:t>
            </w:r>
          </w:p>
        </w:tc>
      </w:tr>
      <w:tr>
        <w:trPr/>
        <w:tc>
          <w:tcPr>
            <w:tcW w:w="8000" w:type="dxa"/>
            <w:gridSpan w:val="1"/>
          </w:tcPr>
          <w:p>
            <w:pPr/>
            <w:r>
              <w:rPr/>
              <w:t xml:space="preserve">Original Planned Closing Date</w:t>
            </w:r>
          </w:p>
        </w:tc>
        <w:tc>
          <w:tcPr>
            <w:tcW w:w="8000" w:type="dxa"/>
            <w:gridSpan w:val="1"/>
          </w:tcPr>
          <w:p>
            <w:pPr/>
            <w:r>
              <w:rPr/>
              <w:t xml:space="preserve">Dec 22, 2024</w:t>
            </w:r>
          </w:p>
        </w:tc>
      </w:tr>
      <w:tr>
        <w:trPr/>
        <w:tc>
          <w:tcPr>
            <w:tcW w:w="8000" w:type="dxa"/>
            <w:gridSpan w:val="1"/>
          </w:tcPr>
          <w:p>
            <w:pPr/>
            <w:r>
              <w:rPr/>
              <w:t xml:space="preserve">Revised Planned Closing Date</w:t>
            </w:r>
          </w:p>
        </w:tc>
        <w:tc>
          <w:tcPr>
            <w:tcW w:w="8000" w:type="dxa"/>
            <w:gridSpan w:val="1"/>
          </w:tcPr>
          <w:p>
            <w:pPr/>
            <w:r>
              <w:rPr>
                <w:i w:val="1"/>
                <w:iCs w:val="1"/>
              </w:rPr>
              <w:t xml:space="preserve">(not set or not applicable)</w:t>
            </w:r>
          </w:p>
        </w:tc>
      </w:tr>
    </w:tbl>
    <w:p>
      <w:pPr/>
      <w:r>
        <w:rPr/>
        <w:t xml:space="preserve"/>
      </w:r>
    </w:p>
    <w:tbl>
      <w:tblGrid>
        <w:gridCol w:w="16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6000" w:type="dxa"/>
            <w:gridSpan w:val="1"/>
          </w:tcPr>
          <w:p>
            <w:pPr/>
            <w:r>
              <w:rPr>
                <w:b w:val="1"/>
                <w:bCs w:val="1"/>
              </w:rPr>
              <w:t xml:space="preserve">Dates of Project Steering Committee/Board Meetings during reporting period (30 June 2018 to 1 July 2019)</w:t>
            </w:r>
          </w:p>
        </w:tc>
      </w:tr>
      <w:tr>
        <w:trPr/>
        <w:tc>
          <w:tcPr>
            <w:tcW w:w="16000" w:type="dxa"/>
            <w:gridSpan w:val="1"/>
          </w:tcPr>
          <w:p>
            <w:pPr/>
            <w:r>
              <w:rPr/>
              <w:t xml:space="preserve">2018-10-30</w:t>
            </w:r>
          </w:p>
        </w:tc>
      </w:tr>
    </w:tbl>
    <w:p>
      <w:pPr>
        <w:sectPr>
          <w:pgSz w:orient="portrait" w:w="11905.511811023622" w:h="16837.79527559055"/>
          <w:pgMar w:top="500" w:right="500" w:bottom="500" w:left="500" w:header="720" w:footer="720" w:gutter="0"/>
          <w:cols w:num="1" w:space="720"/>
        </w:sectPr>
      </w:pPr>
    </w:p>
    <w:p>
      <w:pPr>
        <w:pStyle w:val="Heading1"/>
      </w:pPr>
      <w:bookmarkStart w:id="5" w:name="_Toc5"/>
      <w:r>
        <w:t>Critical Risk Management</w:t>
      </w:r>
      <w:bookmarkEnd w:id="5"/>
    </w:p>
    <w:p>
      <w:pPr/>
      <w:r>
        <w:rPr/>
        <w:t xml:space="preserve"/>
      </w:r>
    </w:p>
    <w:tbl>
      <w:tblGrid>
        <w:gridCol w:w="4000" w:type="dxa"/>
        <w:gridCol w:w="12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4000" w:type="dxa"/>
            <w:shd w:val="clear" w:fill="#D9D9D9"/>
            <w:gridSpan w:val="1"/>
          </w:tcPr>
          <w:p>
            <w:pPr/>
            <w:r>
              <w:rPr/>
              <w:t xml:space="preserve">Current Types of Critical Risks </w:t>
            </w:r>
          </w:p>
        </w:tc>
        <w:tc>
          <w:tcPr>
            <w:tcW w:w="12000" w:type="dxa"/>
            <w:shd w:val="clear" w:fill="#D9D9D9"/>
            <w:gridSpan w:val="1"/>
          </w:tcPr>
          <w:p>
            <w:pPr/>
            <w:r>
              <w:rPr/>
              <w:t xml:space="preserve">Critical risk management measures undertaken this reporting period</w:t>
            </w:r>
          </w:p>
        </w:tc>
      </w:tr>
      <w:tr>
        <w:trPr/>
        <w:tc>
          <w:tcPr>
            <w:tcW w:w="4000" w:type="dxa"/>
            <w:gridSpan w:val="1"/>
          </w:tcPr>
          <w:p>
            <w:pPr/>
            <w:r>
              <w:rPr/>
              <w:t xml:space="preserve">Operational</w:t>
            </w:r>
          </w:p>
        </w:tc>
        <w:tc>
          <w:tcPr>
            <w:tcW w:w="12000" w:type="dxa"/>
            <w:gridSpan w:val="1"/>
          </w:tcPr>
          <w:p>
            <w:pPr/>
            <w:r>
              <w:rPr/>
              <w:t xml:space="preserve">Government agencies at different levels  do not fully cooperate and coordinate activities effectively
</w:t>
            </w:r>
          </w:p>
          <w:p>
            <w:pPr/>
            <w:r>
              <w:rPr/>
              <w:t xml:space="preserve">Solution: established government MONEV Team at the national level, request the provincial government to appoint a contact person/institution, apply the bureaucratic approach, assigned Regional Facilitators of the project to build and maintain good communication with key stakeholders at province and district levels.</w:t>
            </w:r>
          </w:p>
        </w:tc>
      </w:tr>
      <w:tr>
        <w:trPr/>
        <w:tc>
          <w:tcPr>
            <w:tcW w:w="4000" w:type="dxa"/>
            <w:gridSpan w:val="1"/>
          </w:tcPr>
          <w:p>
            <w:pPr/>
            <w:r>
              <w:rPr/>
              <w:t xml:space="preserve">Strategic</w:t>
            </w:r>
          </w:p>
        </w:tc>
        <w:tc>
          <w:tcPr>
            <w:tcW w:w="12000" w:type="dxa"/>
            <w:gridSpan w:val="1"/>
          </w:tcPr>
          <w:p>
            <w:pPr/>
            <w:r>
              <w:rPr/>
              <w:t xml:space="preserve">Under article 4 of law number 41 the year 1999, about forestry. The government, in this case, the Ministry of Forestry and Environment has the authority to regulate and manage everything related to forests, forest areas, and forest products. But the Ministry of Forestry and Environment has the limitation of authority on the forest at APL.
</w:t>
            </w:r>
          </w:p>
          <w:p>
            <w:pPr/>
            <w:r>
              <w:rPr/>
              <w:t xml:space="preserve">Solution: collaborate and networking with the district government, conduct capacity building to districts staffs on relating forest planning and management, empower the province and district government by requesting the governments to appoint focal point to be actively involved in the monitoring and evaluation of the KalFor’s activities in their area. </w:t>
            </w:r>
          </w:p>
        </w:tc>
      </w:tr>
      <w:tr>
        <w:trPr/>
        <w:tc>
          <w:tcPr>
            <w:tcW w:w="4000" w:type="dxa"/>
            <w:gridSpan w:val="1"/>
          </w:tcPr>
          <w:p>
            <w:pPr/>
            <w:r>
              <w:rPr/>
              <w:t xml:space="preserve">Operational</w:t>
            </w:r>
          </w:p>
        </w:tc>
        <w:tc>
          <w:tcPr>
            <w:tcW w:w="12000" w:type="dxa"/>
            <w:gridSpan w:val="1"/>
          </w:tcPr>
          <w:p>
            <w:pPr/>
            <w:r>
              <w:rPr/>
              <w:t xml:space="preserve">Activities that might be delivered through the presence of the third party have been implemented and planned to be conducted directly by the Implementing Partner. There will be a serious risk of achieving less than 100% delivery if the existing officials are assigned to other duties and responsibilities, especially there will be a different minister to manage the ministry and/or Directorate General</w:t>
            </w:r>
          </w:p>
        </w:tc>
      </w:tr>
    </w:tbl>
    <w:p>
      <w:pPr>
        <w:sectPr>
          <w:pgSz w:orient="portrait" w:w="11905.511811023622" w:h="16837.79527559055"/>
          <w:pgMar w:top="500" w:right="500" w:bottom="500" w:left="500" w:header="720" w:footer="720" w:gutter="0"/>
          <w:cols w:num="1" w:space="720"/>
        </w:sectPr>
      </w:pPr>
    </w:p>
    <w:p>
      <w:pPr>
        <w:pStyle w:val="Heading1"/>
      </w:pPr>
      <w:bookmarkStart w:id="6" w:name="_Toc6"/>
      <w:r>
        <w:t>Adjustments</w:t>
      </w:r>
      <w:bookmarkEnd w:id="6"/>
    </w:p>
    <w:p>
      <w:pPr>
        <w:spacing w:before="400"/>
      </w:pPr>
      <w:r>
        <w:rPr>
          <w:sz w:val="24"/>
          <w:szCs w:val="24"/>
          <w:b w:val="1"/>
          <w:bCs w:val="1"/>
        </w:rPr>
        <w:t xml:space="preserve">Comments on delays in key project milestones</w:t>
      </w:r>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tcPr>
          <w:p>
            <w:pPr/>
            <w:r>
              <w:rPr>
                <w:b w:val="1"/>
                <w:bCs w:val="1"/>
              </w:rPr>
              <w:t xml:space="preserve">Project Manager: please provide comments on delays this reporting period in achieving any of the following key project milestones: inception workshop, mid-term review, terminal evaluation and/or project closure. If there are no delays please indicate not applicable.</w:t>
            </w:r>
          </w:p>
        </w:tc>
      </w:tr>
      <w:tr>
        <w:trPr/>
        <w:tc>
          <w:tcPr>
            <w:tcW w:w="10000" w:type="dxa"/>
            <w:gridSpan w:val="1"/>
          </w:tcPr>
          <w:p>
            <w:pPr/>
            <w:r>
              <w:rPr/>
              <w:t xml:space="preserve">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tcPr>
          <w:p>
            <w:pPr/>
            <w:r>
              <w:rPr>
                <w:b w:val="1"/>
                <w:bCs w:val="1"/>
              </w:rPr>
              <w:t xml:space="preserve">Country Office: please provide comments on delays this reporting period in achieving any of the following key project milestones: inception workshop, mid-term review, terminal evaluation and/or project closure.  If there are no delays please indicate not applicable.</w:t>
            </w:r>
          </w:p>
        </w:tc>
      </w:tr>
      <w:tr>
        <w:trPr/>
        <w:tc>
          <w:tcPr>
            <w:tcW w:w="10000" w:type="dxa"/>
            <w:gridSpan w:val="1"/>
          </w:tcPr>
          <w:p>
            <w:pPr/>
            <w:r>
              <w:rPr/>
              <w:t xml:space="preserve">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tcPr>
          <w:p>
            <w:pPr/>
            <w:r>
              <w:rPr>
                <w:b w:val="1"/>
                <w:bCs w:val="1"/>
              </w:rPr>
              <w:t xml:space="preserve">UNDP-GEF Technical Adviser: please provide comments on delays this reporting period in achieving any of the following key project milestones: inception workshop, mid-term review, terminal evaluation and/or project closure. If there are no delays please indicate not applicable.</w:t>
            </w:r>
          </w:p>
        </w:tc>
      </w:tr>
      <w:tr>
        <w:trPr/>
        <w:tc>
          <w:tcPr>
            <w:tcW w:w="10000" w:type="dxa"/>
            <w:gridSpan w:val="1"/>
          </w:tcPr>
          <w:p>
            <w:pPr/>
            <w:r>
              <w:rPr/>
              <w:t xml:space="preserve">Inception Workshop was conducted in April 2018. </w:t>
            </w:r>
          </w:p>
        </w:tc>
      </w:tr>
    </w:tbl>
    <w:p>
      <w:pPr>
        <w:sectPr>
          <w:pgSz w:orient="portrait" w:w="11905.511811023622" w:h="16837.79527559055"/>
          <w:pgMar w:top="1440" w:right="1440" w:bottom="1440" w:left="1440" w:header="720" w:footer="720" w:gutter="0"/>
          <w:cols w:num="1" w:space="720"/>
        </w:sectPr>
      </w:pPr>
    </w:p>
    <w:p>
      <w:pPr>
        <w:pStyle w:val="Heading1"/>
      </w:pPr>
      <w:bookmarkStart w:id="7" w:name="_Toc7"/>
      <w:r>
        <w:t>Ratings and Overall Assessments</w:t>
      </w:r>
      <w:bookmarkEnd w:id="7"/>
    </w:p>
    <w:tbl>
      <w:tblGrid>
        <w:gridCol w:w="5000" w:type="dxa"/>
        <w:gridCol w:w="5000" w:type="dxa"/>
        <w:gridCol w:w="5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5000" w:type="dxa"/>
            <w:gridSpan w:val="1"/>
          </w:tcPr>
          <w:p>
            <w:pPr/>
            <w:r>
              <w:rPr>
                <w:b w:val="1"/>
                <w:bCs w:val="1"/>
              </w:rPr>
              <w:t xml:space="preserve">Role</w:t>
            </w:r>
          </w:p>
        </w:tc>
        <w:tc>
          <w:tcPr>
            <w:tcW w:w="5000" w:type="dxa"/>
            <w:gridSpan w:val="1"/>
          </w:tcPr>
          <w:p>
            <w:pPr/>
            <w:r>
              <w:rPr>
                <w:b w:val="1"/>
                <w:bCs w:val="1"/>
              </w:rPr>
              <w:t xml:space="preserve">2019 Development Objective Progress Rating</w:t>
            </w:r>
          </w:p>
        </w:tc>
        <w:tc>
          <w:tcPr>
            <w:tcW w:w="5000" w:type="dxa"/>
            <w:gridSpan w:val="1"/>
          </w:tcPr>
          <w:p>
            <w:pPr/>
            <w:r>
              <w:rPr>
                <w:b w:val="1"/>
                <w:bCs w:val="1"/>
              </w:rPr>
              <w:t xml:space="preserve">2019 Implementation Progress Rating</w:t>
            </w:r>
          </w:p>
        </w:tc>
      </w:tr>
      <w:tr>
        <w:trPr/>
        <w:tc>
          <w:tcPr>
            <w:tcW w:w="5000" w:type="dxa"/>
            <w:gridSpan w:val="1"/>
          </w:tcPr>
          <w:p>
            <w:pPr/>
            <w:r>
              <w:rPr>
                <w:b w:val="1"/>
                <w:bCs w:val="1"/>
              </w:rPr>
              <w:t xml:space="preserve">Project Manager/Coordinator</w:t>
            </w:r>
          </w:p>
        </w:tc>
        <w:tc>
          <w:tcPr>
            <w:tcW w:w="5000" w:type="dxa"/>
            <w:gridSpan w:val="1"/>
          </w:tcPr>
          <w:p>
            <w:pPr/>
            <w:r>
              <w:rPr/>
              <w:t xml:space="preserve">Satisfactory</w:t>
            </w:r>
          </w:p>
        </w:tc>
        <w:tc>
          <w:tcPr>
            <w:tcW w:w="5000" w:type="dxa"/>
            <w:shd w:val="clear" w:fill="#D9D9D9"/>
            <w:gridSpan w:val="1"/>
          </w:tcPr>
          <w:p>
            <w:pPr/>
            <w:r>
              <w:rPr>
                <w:i w:val="1"/>
                <w:iCs w:val="1"/>
              </w:rPr>
              <w:t xml:space="preserve">- IP Rating provided by UNDP-GEF Technical Adviser and UNDP Country Office only - </w:t>
            </w:r>
          </w:p>
        </w:tc>
      </w:tr>
      <w:tr>
        <w:trPr/>
        <w:tc>
          <w:tcPr>
            <w:tcW w:w="5000" w:type="dxa"/>
            <w:gridSpan w:val="1"/>
          </w:tcPr>
          <w:p>
            <w:pPr/>
            <w:r>
              <w:rPr/>
              <w:t xml:space="preserve">Overall Assessment</w:t>
            </w:r>
          </w:p>
        </w:tc>
        <w:tc>
          <w:tcPr>
            <w:tcW w:w="10000" w:type="dxa"/>
            <w:gridSpan w:val="2"/>
          </w:tcPr>
          <w:p>
            <w:pPr/>
            <w:r>
              <w:rPr/>
              <w:t xml:space="preserve">The project so far is on track to achieve the milestones. the level of achievement for each component varies due to the  approach that the project team has undertake to firs, start from the awareness of  the decision maker on all levels of governments and stakeholders. This approach  will impact the level of achievement.  Therefore  level of achievement  for component 1, 2 and 4 relatively higher than component 3. However all achievements are on the track. 
</w:t>
            </w:r>
          </w:p>
          <w:p>
            <w:pPr/>
            <w:r>
              <w:rPr/>
              <w:t xml:space="preserve"> 
</w:t>
            </w:r>
          </w:p>
          <w:p>
            <w:pPr/>
            <w:r>
              <w:rPr/>
              <w:t xml:space="preserve">Outcome 1. 
</w:t>
            </w:r>
          </w:p>
          <w:p>
            <w:pPr/>
            <w:r>
              <w:rPr/>
              <w:t xml:space="preserve"> 
</w:t>
            </w:r>
          </w:p>
          <w:p>
            <w:pPr/>
            <w:r>
              <w:rPr/>
              <w:t xml:space="preserve">The  most important achievement that the project  facilitated  is the development of regulation at the national level  in order to protect the remaining forest in APL. This is  the basis to achieve the target as stated in the indicator 
</w:t>
            </w:r>
          </w:p>
          <w:p>
            <w:pPr/>
            <w:r>
              <w:rPr/>
              <w:t xml:space="preserve"> 
</w:t>
            </w:r>
          </w:p>
          <w:p>
            <w:pPr/>
            <w:r>
              <w:rPr/>
              <w:t xml:space="preserve">During the first year of the project implementation,  a comprehensive baseline data development is initiated are conducted on regulations, institutions, incentive mechanism and also forest cover map .  Land cover at the pilot districts were mapped  by interpreting SPOT images recorded in 2017 and 2018 and other spatial data sources.  Accuracy of the interpretation was tested by:  (1) conducting Ground truthing   to ensure results of the interpretation, and (2)  by conducting FGDs/public consultations with local stakeholders. It was reported from the interpretation that total HCVF in the pilot area is 226,060 hectares. I believe that this is a good progress in the first year of project operation because we will start work with more accurate data.  Started with out-of- date forest area data, the project now has data of most recent forest area at non-state owned forests. The data will be used as a basis for measuring progress of the project in achieving its targets.  
</w:t>
            </w:r>
          </w:p>
          <w:p>
            <w:pPr/>
            <w:r>
              <w:rPr/>
              <w:t xml:space="preserve"> 
</w:t>
            </w:r>
          </w:p>
          <w:p>
            <w:pPr/>
            <w:r>
              <w:rPr/>
              <w:t xml:space="preserve">Outcome 2. 
</w:t>
            </w:r>
          </w:p>
          <w:p>
            <w:pPr/>
            <w:r>
              <w:rPr/>
              <w:t xml:space="preserve"> 
</w:t>
            </w:r>
          </w:p>
          <w:p>
            <w:pPr/>
            <w:r>
              <w:rPr/>
              <w:t xml:space="preserve">The project facilitated  the West Kalimantan Province regulation in order to implement province government decree on HCVF establishment at plantation areas. Once the Governor Regulation is signed and implemented, there will be additional 7% of land area from private sector potentially to be permanent  HCVF area in West Kalimantan Province. In the first year of the project, through intensive   socialization and communications to decision makers in provinces and district level, the project could improve their understanding and even action in West Kalimantan Province. 
</w:t>
            </w:r>
          </w:p>
          <w:p>
            <w:pPr/>
            <w:r>
              <w:rPr/>
              <w:t xml:space="preserve">The other result during the current reporting period is the inventory of province and district regulation in relation to  forest safeguarding issue.   
</w:t>
            </w:r>
          </w:p>
          <w:p>
            <w:pPr/>
            <w:r>
              <w:rPr/>
              <w:t xml:space="preserve"> 
</w:t>
            </w:r>
          </w:p>
          <w:p>
            <w:pPr/>
            <w:r>
              <w:rPr/>
              <w:t xml:space="preserve">Local institution capacity was also improved via training on satellite data acquisition and GIS application and also understanding on the importance of protecting remaining forest. 
</w:t>
            </w:r>
          </w:p>
          <w:p>
            <w:pPr/>
            <w:r>
              <w:rPr/>
              <w:t xml:space="preserve"> 
</w:t>
            </w:r>
          </w:p>
          <w:p>
            <w:pPr/>
            <w:r>
              <w:rPr/>
              <w:t xml:space="preserve">The objective of the update is to know distribution and area of forest in APL of the districts. The activity was conducted by reclassifying forest at the pilot districts using SPOT 6/7  images recorded in 2015- 2018. Three universities were asked by the project to do reclassification, including ground checking of interpretation results. Reports from the Universities work indicated that the current forest at APL is about 173,385  Ha distributed in the following districts:  
</w:t>
            </w:r>
          </w:p>
          <w:p>
            <w:pPr/>
            <w:r>
              <w:rPr/>
              <w:t xml:space="preserve">a.	Kutai Timur district = 131,770 Ha 
</w:t>
            </w:r>
          </w:p>
          <w:p>
            <w:pPr/>
            <w:r>
              <w:rPr/>
              <w:t xml:space="preserve">b.	Kotawaringin Barat district = 11,123 Ha 
</w:t>
            </w:r>
          </w:p>
          <w:p>
            <w:pPr/>
            <w:r>
              <w:rPr/>
              <w:t xml:space="preserve">c.	Sintang district = 30,490 ha, and 
</w:t>
            </w:r>
          </w:p>
          <w:p>
            <w:pPr/>
            <w:r>
              <w:rPr/>
              <w:t xml:space="preserve">d.	Ketapang district = 60,859 ha. 
</w:t>
            </w:r>
          </w:p>
          <w:p>
            <w:pPr/>
            <w:r>
              <w:rPr/>
              <w:t xml:space="preserve">If convertible forest is included in the interpretation, total of 226,061 hectares forest area is found in  APL distributed as follows: 
</w:t>
            </w:r>
          </w:p>
          <w:p>
            <w:pPr/>
            <w:r>
              <w:rPr/>
              <w:t xml:space="preserve">1.	Kutai Timur about 161,944 Ha 
</w:t>
            </w:r>
          </w:p>
          <w:p>
            <w:pPr/>
            <w:r>
              <w:rPr/>
              <w:t xml:space="preserve">2.	Kotawaringin Barat about 33,367 Ha 
</w:t>
            </w:r>
          </w:p>
          <w:p>
            <w:pPr/>
            <w:r>
              <w:rPr/>
              <w:t xml:space="preserve">3.	Sintang district about 30,751 ha, and 
</w:t>
            </w:r>
          </w:p>
          <w:p>
            <w:pPr/>
            <w:r>
              <w:rPr/>
              <w:t xml:space="preserve">4.	Ketapang district about 82,322 ha. 
</w:t>
            </w:r>
          </w:p>
          <w:p>
            <w:pPr/>
            <w:r>
              <w:rPr/>
              <w:t xml:space="preserve">Interpretation have been completed for all the four districts. So it indicated that about 189,939 hectares deforested from 2014  when the project was conceived and fully  developed. This data will be subjected  to be endorsed by government. 
</w:t>
            </w:r>
          </w:p>
          <w:p>
            <w:pPr/>
            <w:r>
              <w:rPr/>
              <w:t xml:space="preserve"> 
</w:t>
            </w:r>
          </w:p>
          <w:p>
            <w:pPr/>
            <w:r>
              <w:rPr/>
              <w:t xml:space="preserve">This achievement is very important to select the area of intervention of the project in the second year of the implementation. 
</w:t>
            </w:r>
          </w:p>
          <w:p>
            <w:pPr/>
            <w:r>
              <w:rPr/>
              <w:t xml:space="preserve"> 
</w:t>
            </w:r>
          </w:p>
          <w:p>
            <w:pPr/>
            <w:r>
              <w:rPr/>
              <w:t xml:space="preserve">Outcome 3 
</w:t>
            </w:r>
          </w:p>
          <w:p>
            <w:pPr/>
            <w:r>
              <w:rPr/>
              <w:t xml:space="preserve"> 
</w:t>
            </w:r>
          </w:p>
          <w:p>
            <w:pPr/>
            <w:r>
              <w:rPr/>
              <w:t xml:space="preserve">The preliminary activities on component 3 is to do inventory of existing payment mechanism in the locus project and other areas in Indonesia. The project was also facilitate the discussion on the draft of Ministrial Decree that  translated from Government Regulation No. 46/2017 about economic instruments for environment. The decree will be issued to make the regulation operationalized. This is become the basis to design the innovative payment mechanism that could be applied in the project location. 
</w:t>
            </w:r>
          </w:p>
          <w:p>
            <w:pPr/>
            <w:r>
              <w:rPr/>
              <w:t xml:space="preserve"> 
</w:t>
            </w:r>
          </w:p>
          <w:p>
            <w:pPr/>
            <w:r>
              <w:rPr/>
              <w:t xml:space="preserve">Outcome 4 
</w:t>
            </w:r>
          </w:p>
          <w:p>
            <w:pPr/>
            <w:r>
              <w:rPr/>
              <w:t xml:space="preserve"> 
</w:t>
            </w:r>
          </w:p>
          <w:p>
            <w:pPr/>
            <w:r>
              <w:rPr/>
              <w:t xml:space="preserve">It is not easy to improve the stakeholders knowledge and capacity if they are still reluctant to discuss about the importance to protect remaining forest in APL by the Ministry of Environment and Forestry since their assumption is that  MoEF is only mandated to manage the state forest. 
</w:t>
            </w:r>
          </w:p>
          <w:p>
            <w:pPr/>
            <w:r>
              <w:rPr/>
              <w:t xml:space="preserve">Based on the preliminary assessment on stakeholders understanding, the project has published some fliers, policy briefs for provincial government and national governments, video of environment women champions, competition activities to encourage youth in understanding forest and environmental issues.  All materials to support the achievement can be accessed  as follow: Series policy Brief / Policy Paper published and shared to public (1000++ sheets Printed &amp; Distributed). Examples of the products can be downloaded at www.kalimantanforest.org  and http://bit.ly/Ardiansyah_Kalfor. 
</w:t>
            </w:r>
          </w:p>
          <w:p>
            <w:pPr/>
            <w:r>
              <w:rPr/>
              <w:t xml:space="preserve"> 
</w:t>
            </w:r>
          </w:p>
          <w:p>
            <w:pPr/>
            <w:r>
              <w:rPr/>
              <w:t xml:space="preserve">In the first year of the project, many stakeholders have been targeted to improve their capacity including youth, gender, decision makers, private, academicians, community and NGO. 
</w:t>
            </w:r>
          </w:p>
          <w:p>
            <w:pPr/>
            <w:r>
              <w:rPr/>
              <w:t xml:space="preserve"> 
</w:t>
            </w:r>
          </w:p>
          <w:p>
            <w:pPr/>
            <w:r>
              <w:rPr/>
              <w:t xml:space="preserve"> 
</w:t>
            </w:r>
          </w:p>
          <w:p>
            <w:pPr/>
            <w:r>
              <w:rPr/>
              <w:t xml:space="preserve">Based on my observation, in general the project implementation so far can be considered 'satisfactory'. Therefore with the same approach I will manage this project in order to achieve the target. 
</w:t>
            </w:r>
          </w:p>
          <w:p>
            <w:pPr/>
            <w:r>
              <w:rPr/>
              <w:t xml:space="preserve"/>
            </w:r>
          </w:p>
        </w:tc>
      </w:tr>
      <w:tr>
        <w:trPr/>
        <w:tc>
          <w:tcPr>
            <w:tcW w:w="5000" w:type="dxa"/>
            <w:gridSpan w:val="1"/>
          </w:tcPr>
          <w:p>
            <w:pPr/>
            <w:r>
              <w:rPr>
                <w:b w:val="1"/>
                <w:bCs w:val="1"/>
              </w:rPr>
              <w:t xml:space="preserve">Role</w:t>
            </w:r>
          </w:p>
        </w:tc>
        <w:tc>
          <w:tcPr>
            <w:tcW w:w="5000" w:type="dxa"/>
            <w:gridSpan w:val="1"/>
          </w:tcPr>
          <w:p>
            <w:pPr/>
            <w:r>
              <w:rPr>
                <w:b w:val="1"/>
                <w:bCs w:val="1"/>
              </w:rPr>
              <w:t xml:space="preserve">2019 Development Objective Progress Rating</w:t>
            </w:r>
          </w:p>
        </w:tc>
        <w:tc>
          <w:tcPr>
            <w:tcW w:w="5000" w:type="dxa"/>
            <w:gridSpan w:val="1"/>
          </w:tcPr>
          <w:p>
            <w:pPr/>
            <w:r>
              <w:rPr>
                <w:b w:val="1"/>
                <w:bCs w:val="1"/>
              </w:rPr>
              <w:t xml:space="preserve">2019 Implementation Progress Rating</w:t>
            </w:r>
          </w:p>
        </w:tc>
      </w:tr>
      <w:tr>
        <w:trPr/>
        <w:tc>
          <w:tcPr>
            <w:tcW w:w="5000" w:type="dxa"/>
            <w:gridSpan w:val="1"/>
          </w:tcPr>
          <w:p>
            <w:pPr/>
            <w:r>
              <w:rPr>
                <w:b w:val="1"/>
                <w:bCs w:val="1"/>
              </w:rPr>
              <w:t xml:space="preserve">UNDP Country Office Programme Officer</w:t>
            </w:r>
          </w:p>
        </w:tc>
        <w:tc>
          <w:tcPr>
            <w:tcW w:w="5000" w:type="dxa"/>
            <w:gridSpan w:val="1"/>
          </w:tcPr>
          <w:p>
            <w:pPr/>
            <w:r>
              <w:rPr/>
              <w:t xml:space="preserve">Moderately Satisfactory</w:t>
            </w:r>
          </w:p>
        </w:tc>
        <w:tc>
          <w:tcPr>
            <w:tcW w:w="5000" w:type="dxa"/>
            <w:gridSpan w:val="1"/>
          </w:tcPr>
          <w:p>
            <w:pPr/>
            <w:r>
              <w:rPr/>
              <w:t xml:space="preserve">Moderately Satisfactory</w:t>
            </w:r>
          </w:p>
        </w:tc>
      </w:tr>
      <w:tr>
        <w:trPr/>
        <w:tc>
          <w:tcPr>
            <w:tcW w:w="5000" w:type="dxa"/>
            <w:gridSpan w:val="1"/>
          </w:tcPr>
          <w:p>
            <w:pPr/>
            <w:r>
              <w:rPr/>
              <w:t xml:space="preserve">Overall Assessment</w:t>
            </w:r>
          </w:p>
        </w:tc>
        <w:tc>
          <w:tcPr>
            <w:tcW w:w="10000" w:type="dxa"/>
            <w:gridSpan w:val="2"/>
          </w:tcPr>
          <w:p>
            <w:pPr/>
            <w:r>
              <w:rPr/>
              <w:t xml:space="preserve">This is the 1st PIR of the Strengthening Forest Area Planning and Management in Kalimantan (or Kalimantan Forest) project. The project document (prodoc) was officially signed by UNDP, Ministry of Environment and Forestry (KLHK) and Ministry of Finance (MoF) on 22 December 2017. Therefore, as planned the project will be operationally closed 7 (seven) years afterwards, i.e. on 22 December 2024. It will go through a Mid Term Review (MTR) in the beginning of 2021. The TOR of MTR must be prepared in Q4 2020 for RTA’s review.
</w:t>
            </w:r>
          </w:p>
          <w:p>
            <w:pPr/>
            <w:r>
              <w:rPr/>
              <w:t xml:space="preserve">
</w:t>
            </w:r>
          </w:p>
          <w:p>
            <w:pPr/>
            <w:r>
              <w:rPr/>
              <w:t xml:space="preserve">Based on my observation, in general, the project is considered “satisfactory” since the Implementing Partner (IP) and PMU has been implementing activities to catch up the expected outputs and outcomes in accordance with the project document (prodoc). While working on the recruitment process, the project was launched on March 22, 2018 through the 1st Project Steering Committee (PSC) Meeting. So far, the work progress is on track. Based on the 1st PSC meeting, the participants agreed with (1) the appointment of the Secretary of the Director General of Forestry Planning and Environmental Governance to lead the project as the National Project Director (NPD), (2) budget plan, (3) proposed management arrangement, (4) proposed implementation modality, i.e. NIM-COSS, (5) office space in KLHK compound, (6) proposed following PSC in the end of 2018. 
</w:t>
            </w:r>
          </w:p>
          <w:p>
            <w:pPr/>
            <w:r>
              <w:rPr/>
              <w:t xml:space="preserve">
</w:t>
            </w:r>
          </w:p>
          <w:p>
            <w:pPr/>
            <w:r>
              <w:rPr/>
              <w:t xml:space="preserve">Following up on the 1st PSC, the project conducted the 2nd PSC on 30 October 2018 to agree with the progress and proposed work plan for 2019. During the meeting, there was a discussion to propose an alternative option of using a combination of Direct Cash Transfer (DCT) and COSS implementation instead of 100% COSS (as what has been implemented). In fact, after further reviews, the IP canceled the idea of combining COSS and DCT. The IP keeps on using 100% COSS. 
</w:t>
            </w:r>
          </w:p>
          <w:p>
            <w:pPr/>
            <w:r>
              <w:rPr/>
              <w:t xml:space="preserve">
</w:t>
            </w:r>
          </w:p>
          <w:p>
            <w:pPr/>
            <w:r>
              <w:rPr/>
              <w:t xml:space="preserve">The presence of the Kalimantan Forest (or KalFor) project has been in line with its objective to strengthen relevant stakeholders to maintain forest areas, including biodiversity and ecosystem functions of Kalimantan's lowland and montane areas in the face of growth and development of the estate crop sector. In order to achieve the objective, it has been working with relevant stakeholders at national (Ministry of Environment and Forestry, Ministry of Agriculture, and experts) and sub-national levels (in Kalimantan, especially – Governors, Head of Districts, Provincial and District Agencies on Forestry, Agriculture, Universities, etc.) to create significant global benefits related to biodiversity conservation, sustainable land use and mitigation of GHG emission, particularly in the Heart of Borneo. It also works with relevant stakeholders to establish more effective land allocation and management of forest areas with high biodiversity and ecosystem services in the context of potential estate crops development in Kalimantan.
</w:t>
            </w:r>
          </w:p>
          <w:p>
            <w:pPr/>
            <w:r>
              <w:rPr/>
              <w:t xml:space="preserve">
</w:t>
            </w:r>
          </w:p>
          <w:p>
            <w:pPr/>
            <w:r>
              <w:rPr/>
              <w:t xml:space="preserve">To name some of the activities that have been carried out, are (1) assessing High Conservation Forest Values (HCFV), (2) mainstreaming forest ecosystem services and biodiversity consideration into national, provincial and district policies through potential accesses; (3) developing and demonstrating strategies for the integration of forest area planning, management across selected districts in Kalimantan meant to assure forest ecosystem services are fully considered into the development of relevant regulatory frameworks (Outcome 1).
</w:t>
            </w:r>
          </w:p>
          <w:p>
            <w:pPr/>
            <w:r>
              <w:rPr/>
              <w:t xml:space="preserve">
</w:t>
            </w:r>
          </w:p>
          <w:p>
            <w:pPr/>
            <w:r>
              <w:rPr/>
              <w:t xml:space="preserve">The project (1) identified potential demonstrations to recommend appropriate incentive mechanisms to reduce deforestation associated with the estate crops sector, (2) undertook baseline data (and information) collection, (3) encouraged local government agencies to review and analyze the collected data, (4) training technical personnel from various districts on Basic and Advance GIS, (5) developed provincial technical guidelines, (6) strengthened established forum in Central Kalimantan to assure the development and demonstration strategies for the integration of forest area planning, management and conservation with estate crop spatial planning and management (Outcome 2). 
</w:t>
            </w:r>
          </w:p>
          <w:p>
            <w:pPr/>
            <w:r>
              <w:rPr/>
              <w:t xml:space="preserve">
</w:t>
            </w:r>
          </w:p>
          <w:p>
            <w:pPr/>
            <w:r>
              <w:rPr/>
              <w:t xml:space="preserve">To assure the testing/ demonstration of incentives mechanism(s) to reduce deforestation associated with the estate crops sector, the project facilitated (1) the discussion of parties to establish criteria for pilot sites development and monitor the progress, (2) the development Terms of Reference for quantitative economic analysis development and social and environmental benefits from forest management, (3) the development of technical guidance on the Minister of Environment and Forestry Decree on Environmental Economy Instrument Number 41 year 2018. 
</w:t>
            </w:r>
          </w:p>
          <w:p>
            <w:pPr/>
            <w:r>
              <w:rPr/>
              <w:t xml:space="preserve">
</w:t>
            </w:r>
          </w:p>
          <w:p>
            <w:pPr/>
            <w:r>
              <w:rPr/>
              <w:t xml:space="preserve">Meanwhile to improve public understanding on deforestation trend and its impacts and establish strategy to improve green development for plantation sector, the project (1) conducted workshop on “gender mainstreaming in the forest management,” (2) paid serious attention to the importance of gender equality in the project implementation. It promoted several women's involvement in the forest planning and protection activities through the development of videos. Besides, it promoted the involvement of Indigenous Peoples to protect available natural resources. It developed video focusing on women in the forest management. Women were exposed through the videos to assure they would have equal opportunity to participate in the development process, including in the forest management. (3) established www.kalimantanforest.org; @kalimantanfore2; instagram.com/kalforproject/ and other relevant communication media.
</w:t>
            </w:r>
          </w:p>
          <w:p>
            <w:pPr/>
            <w:r>
              <w:rPr/>
              <w:t xml:space="preserve"/>
            </w:r>
          </w:p>
        </w:tc>
      </w:tr>
      <w:tr>
        <w:trPr/>
        <w:tc>
          <w:tcPr>
            <w:tcW w:w="5000" w:type="dxa"/>
            <w:gridSpan w:val="1"/>
          </w:tcPr>
          <w:p>
            <w:pPr/>
            <w:r>
              <w:rPr>
                <w:b w:val="1"/>
                <w:bCs w:val="1"/>
              </w:rPr>
              <w:t xml:space="preserve">Role</w:t>
            </w:r>
          </w:p>
        </w:tc>
        <w:tc>
          <w:tcPr>
            <w:tcW w:w="5000" w:type="dxa"/>
            <w:gridSpan w:val="1"/>
          </w:tcPr>
          <w:p>
            <w:pPr/>
            <w:r>
              <w:rPr>
                <w:b w:val="1"/>
                <w:bCs w:val="1"/>
              </w:rPr>
              <w:t xml:space="preserve">2019 Development Objective Progress Rating</w:t>
            </w:r>
          </w:p>
        </w:tc>
        <w:tc>
          <w:tcPr>
            <w:tcW w:w="5000" w:type="dxa"/>
            <w:gridSpan w:val="1"/>
          </w:tcPr>
          <w:p>
            <w:pPr/>
            <w:r>
              <w:rPr>
                <w:b w:val="1"/>
                <w:bCs w:val="1"/>
              </w:rPr>
              <w:t xml:space="preserve">2019 Implementation Progress Rating</w:t>
            </w:r>
          </w:p>
        </w:tc>
      </w:tr>
      <w:tr>
        <w:trPr/>
        <w:tc>
          <w:tcPr>
            <w:tcW w:w="5000" w:type="dxa"/>
            <w:gridSpan w:val="1"/>
          </w:tcPr>
          <w:p>
            <w:pPr/>
            <w:r>
              <w:rPr>
                <w:b w:val="1"/>
                <w:bCs w:val="1"/>
              </w:rPr>
              <w:t xml:space="preserve">GEF Operational Focal point</w:t>
            </w:r>
          </w:p>
        </w:tc>
        <w:tc>
          <w:tcPr>
            <w:tcW w:w="5000" w:type="dxa"/>
            <w:gridSpan w:val="1"/>
          </w:tcPr>
          <w:p>
            <w:pPr/>
            <w:r>
              <w:rPr/>
              <w:t xml:space="preserve">Moderately Satisfactory</w:t>
            </w:r>
          </w:p>
        </w:tc>
        <w:tc>
          <w:tcPr>
            <w:tcW w:w="5000" w:type="dxa"/>
            <w:shd w:val="clear" w:fill="#D9D9D9"/>
            <w:gridSpan w:val="1"/>
          </w:tcPr>
          <w:p>
            <w:pPr/>
            <w:r>
              <w:rPr>
                <w:i w:val="1"/>
                <w:iCs w:val="1"/>
              </w:rPr>
              <w:t xml:space="preserve">- IP Rating provided by UNDP-GEF Technical Adviser and UNDP Country Office only - </w:t>
            </w:r>
          </w:p>
        </w:tc>
      </w:tr>
      <w:tr>
        <w:trPr/>
        <w:tc>
          <w:tcPr>
            <w:tcW w:w="5000" w:type="dxa"/>
            <w:gridSpan w:val="1"/>
          </w:tcPr>
          <w:p>
            <w:pPr/>
            <w:r>
              <w:rPr/>
              <w:t xml:space="preserve">Overall Assessment</w:t>
            </w:r>
          </w:p>
        </w:tc>
        <w:tc>
          <w:tcPr>
            <w:tcW w:w="10000" w:type="dxa"/>
            <w:gridSpan w:val="2"/>
          </w:tcPr>
          <w:p>
            <w:pPr/>
            <w:r>
              <w:rPr/>
              <w:t xml:space="preserve">Despite of late on PMU recruitment at earlier stage, the project has been able to carried out activities and achieve its 1st year target. The project has also established communication with relevant stakeholder in which will be a good basis for implementation of the project. Nevertheless, status of project’s expenditure indicates a rather slow progress in the implementation.
</w:t>
            </w:r>
          </w:p>
          <w:p>
            <w:pPr/>
            <w:r>
              <w:rPr/>
              <w:t xml:space="preserve">Having learned critical risks of the project, both operational and political, the project needs to anticipate the similar situation would happen at later stage of the project, by install an inclusive planning and  MONEV system as well as a clear yearly action plan.
</w:t>
            </w:r>
          </w:p>
          <w:p>
            <w:pPr/>
            <w:r>
              <w:rPr/>
              <w:t xml:space="preserve"/>
            </w:r>
          </w:p>
        </w:tc>
      </w:tr>
      <w:tr>
        <w:trPr/>
        <w:tc>
          <w:tcPr>
            <w:tcW w:w="5000" w:type="dxa"/>
            <w:gridSpan w:val="1"/>
          </w:tcPr>
          <w:p>
            <w:pPr/>
            <w:r>
              <w:rPr>
                <w:b w:val="1"/>
                <w:bCs w:val="1"/>
              </w:rPr>
              <w:t xml:space="preserve">Role</w:t>
            </w:r>
          </w:p>
        </w:tc>
        <w:tc>
          <w:tcPr>
            <w:tcW w:w="5000" w:type="dxa"/>
            <w:gridSpan w:val="1"/>
          </w:tcPr>
          <w:p>
            <w:pPr/>
            <w:r>
              <w:rPr>
                <w:b w:val="1"/>
                <w:bCs w:val="1"/>
              </w:rPr>
              <w:t xml:space="preserve">2019 Development Objective Progress Rating</w:t>
            </w:r>
          </w:p>
        </w:tc>
        <w:tc>
          <w:tcPr>
            <w:tcW w:w="5000" w:type="dxa"/>
            <w:gridSpan w:val="1"/>
          </w:tcPr>
          <w:p>
            <w:pPr/>
            <w:r>
              <w:rPr>
                <w:b w:val="1"/>
                <w:bCs w:val="1"/>
              </w:rPr>
              <w:t xml:space="preserve">2019 Implementation Progress Rating</w:t>
            </w:r>
          </w:p>
        </w:tc>
      </w:tr>
      <w:tr>
        <w:trPr/>
        <w:tc>
          <w:tcPr>
            <w:tcW w:w="5000" w:type="dxa"/>
            <w:gridSpan w:val="1"/>
          </w:tcPr>
          <w:p>
            <w:pPr/>
            <w:r>
              <w:rPr>
                <w:b w:val="1"/>
                <w:bCs w:val="1"/>
              </w:rPr>
              <w:t xml:space="preserve">Project Implementing Partner</w:t>
            </w:r>
          </w:p>
        </w:tc>
        <w:tc>
          <w:tcPr>
            <w:tcW w:w="5000" w:type="dxa"/>
            <w:gridSpan w:val="1"/>
          </w:tcPr>
          <w:p>
            <w:pPr/>
            <w:r>
              <w:rPr/>
              <w:t xml:space="preserve">Satisfactory</w:t>
            </w:r>
          </w:p>
        </w:tc>
        <w:tc>
          <w:tcPr>
            <w:tcW w:w="5000" w:type="dxa"/>
            <w:shd w:val="clear" w:fill="#D9D9D9"/>
            <w:gridSpan w:val="1"/>
          </w:tcPr>
          <w:p>
            <w:pPr/>
            <w:r>
              <w:rPr>
                <w:i w:val="1"/>
                <w:iCs w:val="1"/>
              </w:rPr>
              <w:t xml:space="preserve">- IP Rating provided by UNDP-GEF Technical Adviser and UNDP Country Office only - </w:t>
            </w:r>
          </w:p>
        </w:tc>
      </w:tr>
      <w:tr>
        <w:trPr/>
        <w:tc>
          <w:tcPr>
            <w:tcW w:w="5000" w:type="dxa"/>
            <w:gridSpan w:val="1"/>
          </w:tcPr>
          <w:p>
            <w:pPr/>
            <w:r>
              <w:rPr/>
              <w:t xml:space="preserve">Overall Assessment</w:t>
            </w:r>
          </w:p>
        </w:tc>
        <w:tc>
          <w:tcPr>
            <w:tcW w:w="10000" w:type="dxa"/>
            <w:gridSpan w:val="2"/>
          </w:tcPr>
          <w:p>
            <w:pPr/>
            <w:r>
              <w:rPr/>
              <w:t xml:space="preserve">The rating for project progress is Satisfactory. All activities conducted by the project is inclusive in the Ministry of Forestry and Environment via the MONEV Team. The project team conducts intensive coordination with provincial and district Focal Point who assists the project in the field. Therefore, with very tight assistance, the project so far could achieve the target. </w:t>
            </w:r>
          </w:p>
        </w:tc>
      </w:tr>
      <w:tr>
        <w:trPr/>
        <w:tc>
          <w:tcPr>
            <w:tcW w:w="5000" w:type="dxa"/>
            <w:gridSpan w:val="1"/>
          </w:tcPr>
          <w:p>
            <w:pPr/>
            <w:r>
              <w:rPr>
                <w:b w:val="1"/>
                <w:bCs w:val="1"/>
              </w:rPr>
              <w:t xml:space="preserve">Role</w:t>
            </w:r>
          </w:p>
        </w:tc>
        <w:tc>
          <w:tcPr>
            <w:tcW w:w="5000" w:type="dxa"/>
            <w:gridSpan w:val="1"/>
          </w:tcPr>
          <w:p>
            <w:pPr/>
            <w:r>
              <w:rPr>
                <w:b w:val="1"/>
                <w:bCs w:val="1"/>
              </w:rPr>
              <w:t xml:space="preserve">2019 Development Objective Progress Rating</w:t>
            </w:r>
          </w:p>
        </w:tc>
        <w:tc>
          <w:tcPr>
            <w:tcW w:w="5000" w:type="dxa"/>
            <w:gridSpan w:val="1"/>
          </w:tcPr>
          <w:p>
            <w:pPr/>
            <w:r>
              <w:rPr>
                <w:b w:val="1"/>
                <w:bCs w:val="1"/>
              </w:rPr>
              <w:t xml:space="preserve">2019 Implementation Progress Rating</w:t>
            </w:r>
          </w:p>
        </w:tc>
      </w:tr>
      <w:tr>
        <w:trPr/>
        <w:tc>
          <w:tcPr>
            <w:tcW w:w="5000" w:type="dxa"/>
            <w:gridSpan w:val="1"/>
          </w:tcPr>
          <w:p>
            <w:pPr/>
            <w:r>
              <w:rPr>
                <w:b w:val="1"/>
                <w:bCs w:val="1"/>
              </w:rPr>
              <w:t xml:space="preserve">Other Partners</w:t>
            </w:r>
          </w:p>
        </w:tc>
        <w:tc>
          <w:tcPr>
            <w:tcW w:w="5000" w:type="dxa"/>
            <w:gridSpan w:val="1"/>
          </w:tcPr>
          <w:p>
            <w:pPr/>
            <w:r>
              <w:rPr>
                <w:i w:val="1"/>
                <w:iCs w:val="1"/>
              </w:rPr>
              <w:t xml:space="preserve">(not set or not applicable)</w:t>
            </w:r>
          </w:p>
        </w:tc>
        <w:tc>
          <w:tcPr>
            <w:tcW w:w="5000" w:type="dxa"/>
            <w:shd w:val="clear" w:fill="#D9D9D9"/>
            <w:gridSpan w:val="1"/>
          </w:tcPr>
          <w:p>
            <w:pPr/>
            <w:r>
              <w:rPr>
                <w:i w:val="1"/>
                <w:iCs w:val="1"/>
              </w:rPr>
              <w:t xml:space="preserve">- IP Rating provided by UNDP-GEF Technical Adviser and UNDP Country Office only - </w:t>
            </w:r>
          </w:p>
        </w:tc>
      </w:tr>
      <w:tr>
        <w:trPr/>
        <w:tc>
          <w:tcPr>
            <w:tcW w:w="5000" w:type="dxa"/>
            <w:gridSpan w:val="1"/>
          </w:tcPr>
          <w:p>
            <w:pPr/>
            <w:r>
              <w:rPr/>
              <w:t xml:space="preserve">Overall Assessment</w:t>
            </w:r>
          </w:p>
        </w:tc>
        <w:tc>
          <w:tcPr>
            <w:tcW w:w="10000" w:type="dxa"/>
            <w:gridSpan w:val="2"/>
          </w:tcPr>
          <w:p>
            <w:pPr/>
            <w:r>
              <w:rPr>
                <w:i w:val="1"/>
                <w:iCs w:val="1"/>
              </w:rPr>
              <w:t xml:space="preserve">(not set or not applicable)</w:t>
            </w:r>
          </w:p>
        </w:tc>
      </w:tr>
      <w:tr>
        <w:trPr/>
        <w:tc>
          <w:tcPr>
            <w:tcW w:w="5000" w:type="dxa"/>
            <w:gridSpan w:val="1"/>
          </w:tcPr>
          <w:p>
            <w:pPr/>
            <w:r>
              <w:rPr>
                <w:b w:val="1"/>
                <w:bCs w:val="1"/>
              </w:rPr>
              <w:t xml:space="preserve">Role</w:t>
            </w:r>
          </w:p>
        </w:tc>
        <w:tc>
          <w:tcPr>
            <w:tcW w:w="5000" w:type="dxa"/>
            <w:gridSpan w:val="1"/>
          </w:tcPr>
          <w:p>
            <w:pPr/>
            <w:r>
              <w:rPr>
                <w:b w:val="1"/>
                <w:bCs w:val="1"/>
              </w:rPr>
              <w:t xml:space="preserve">2019 Development Objective Progress Rating</w:t>
            </w:r>
          </w:p>
        </w:tc>
        <w:tc>
          <w:tcPr>
            <w:tcW w:w="5000" w:type="dxa"/>
            <w:gridSpan w:val="1"/>
          </w:tcPr>
          <w:p>
            <w:pPr/>
            <w:r>
              <w:rPr>
                <w:b w:val="1"/>
                <w:bCs w:val="1"/>
              </w:rPr>
              <w:t xml:space="preserve">2019 Implementation Progress Rating</w:t>
            </w:r>
          </w:p>
        </w:tc>
      </w:tr>
      <w:tr>
        <w:trPr/>
        <w:tc>
          <w:tcPr>
            <w:tcW w:w="5000" w:type="dxa"/>
            <w:gridSpan w:val="1"/>
          </w:tcPr>
          <w:p>
            <w:pPr/>
            <w:r>
              <w:rPr>
                <w:b w:val="1"/>
                <w:bCs w:val="1"/>
              </w:rPr>
              <w:t xml:space="preserve">UNDP-GEF Technical Adviser</w:t>
            </w:r>
          </w:p>
        </w:tc>
        <w:tc>
          <w:tcPr>
            <w:tcW w:w="5000" w:type="dxa"/>
            <w:gridSpan w:val="1"/>
          </w:tcPr>
          <w:p>
            <w:pPr/>
            <w:r>
              <w:rPr/>
              <w:t xml:space="preserve">Moderately Satisfactory</w:t>
            </w:r>
          </w:p>
        </w:tc>
        <w:tc>
          <w:tcPr>
            <w:tcW w:w="5000" w:type="dxa"/>
            <w:gridSpan w:val="1"/>
          </w:tcPr>
          <w:p>
            <w:pPr/>
            <w:r>
              <w:rPr/>
              <w:t xml:space="preserve">Moderately Satisfactory</w:t>
            </w:r>
          </w:p>
        </w:tc>
      </w:tr>
      <w:tr>
        <w:trPr/>
        <w:tc>
          <w:tcPr>
            <w:tcW w:w="5000" w:type="dxa"/>
            <w:gridSpan w:val="1"/>
          </w:tcPr>
          <w:p>
            <w:pPr/>
            <w:r>
              <w:rPr/>
              <w:t xml:space="preserve">Overall Assessment</w:t>
            </w:r>
          </w:p>
        </w:tc>
        <w:tc>
          <w:tcPr>
            <w:tcW w:w="10000" w:type="dxa"/>
            <w:gridSpan w:val="2"/>
          </w:tcPr>
          <w:p>
            <w:pPr/>
            <w:r>
              <w:rPr/>
              <w:t xml:space="preserve">This is the first PIR of the project ‘Strengthening Forest Area Planning and Management in Kalimantan’ (KalFoR). The project is currently in its second year of implementation. The project duration is for 7 years (December 2017 – December 2024), and commenced implementation in April 2018 with the Inception Workshop. The implementing partner of the project is Director General of Forestry Planning and Environmental Governance (Ditjen PKTL) of the Ministry of Environment and Forestry (MoEF). The project’s target sites are in the four districts of three provinces - West Kalimantan (2 districts – Sintang &amp; Ketapang), Central Kalimantan (Kotawaringin) and East Kalimantan (Kutai Timur). The PMU set up was delayed considerably and was established only in August 2018. After a slow start, the project is now on track with the implementation.  
</w:t>
            </w:r>
          </w:p>
          <w:p>
            <w:pPr/>
            <w:r>
              <w:rPr/>
              <w:t xml:space="preserve">
</w:t>
            </w:r>
          </w:p>
          <w:p>
            <w:pPr/>
            <w:r>
              <w:rPr/>
              <w:t xml:space="preserve">In view of the progress achieved thus far, the progress towards development objective (DO) and implementation progress (IP) are rated ‘moderately satisfactory’ for this reporting period. 
</w:t>
            </w:r>
          </w:p>
          <w:p>
            <w:pPr/>
            <w:r>
              <w:rPr/>
              <w:t xml:space="preserve">
</w:t>
            </w:r>
          </w:p>
          <w:p>
            <w:pPr/>
            <w:r>
              <w:rPr/>
              <w:t xml:space="preserve">PROGRESS TOWARDS DEVELOPMENT OBJECTIVES (DO)
</w:t>
            </w:r>
          </w:p>
          <w:p>
            <w:pPr/>
            <w:r>
              <w:rPr/>
              <w:t xml:space="preserve">The project’s objective of maintaining forest areas, including the biodiversity and ecosystem functions, of Kalimantan’s lowland and montane areas in the face of growth and development of the estate crop sector will be achieved through mainstreaming forest ecosystem services, including carbon and biodiversity aspects into policies, decisions, and management actions at national and provincial levels (Outcome 1); Development and demonstration of strategies for integrating forest area planning, management and conservation with estate crop spatial planning and management across the project landscapes and target sites (Outcome 2); demonstration of incentives mechanism to reduce deforestation associated with the estate crops sector (Outcome 3); and increasing knowledge and understanding of the multiple factors underlying successful implementation of reduced deforestation, green growth strategies for Indonesia’s estate crops sector (Outcome 4).  
</w:t>
            </w:r>
          </w:p>
          <w:p>
            <w:pPr/>
            <w:r>
              <w:rPr/>
              <w:t xml:space="preserve">
</w:t>
            </w:r>
          </w:p>
          <w:p>
            <w:pPr/>
            <w:r>
              <w:rPr/>
              <w:t xml:space="preserve">The foundational works that have progressed under the various outcomes are discussed below:
</w:t>
            </w:r>
          </w:p>
          <w:p>
            <w:pPr/>
            <w:r>
              <w:rPr/>
              <w:t xml:space="preserve">
</w:t>
            </w:r>
          </w:p>
          <w:p>
            <w:pPr/>
            <w:r>
              <w:rPr/>
              <w:t xml:space="preserve">(1) validate and update baseline data on non-forest land (APL) and convertible forest (HPK): engaged universites in the three provinces to develop baseline data in the four pilot districts (that included geospatial data, environment, socio-economic, policy, gender, etc.) by ensuring that the process is well consulted with stakeholders. Land cover of the pilot districts are mapped  by interpreting SPOT images and other spatial data sources. Data from LAPAN and PKTL have been shared with the universities to interpret and map. Universities have developed cluster of intact forest in districts and further analysed to find potential pilot sites and approached to collect baseline data. This is then validated through ground truthing and public consultations with local stakeholders. This exercise resulted in mapping 226,060 ha of HCVF in year 1. Of this, about 173,383 ha is expected to be classified as HCV during the project period by targeting project intervention focusing on facilitating district governments to issue regulation to classify it as permanent forest.
</w:t>
            </w:r>
          </w:p>
          <w:p>
            <w:pPr/>
            <w:r>
              <w:rPr/>
              <w:t xml:space="preserve">
</w:t>
            </w:r>
          </w:p>
          <w:p>
            <w:pPr/>
            <w:r>
              <w:rPr/>
              <w:t xml:space="preserve">(2) Stakeholder engagement: The PMU followed a 5-step approach in engaging stakeholders namely awareness raising, consulting, involving, collaborating, and empowering stakeholders at four levels - national, provincial, district and community. Broad-based dialogues with these stakeholders have been initiated through seminars, workshops and focus group discussions (FGDs). At the national level, Ditjen PKTL has established a MONEV team (Monitoring and evaluation system) to oversee the project implementation, and extended partnership with 6 ministries namely Ministry of Agriculture, BAPPENAS, Ministry of Finance, Ministry of Women Empowerment and Children Protection, and Ministry of ATR/BPN, including with SPOI/GGP project. Each province has appointed a government institution to be a focal point to host the project at the provincial level, and this arrangement has formally connected 3 provinces with the project. The provinces have established their own monitoring team for the project and has led to increased ownership of the project interventions. At the provincial and district level, the project has extended partnership with 31 non-forestry sectors provincial offices, 73 technical (non-forestry) sectors district offices, 61 private sector entities, 40 non-government organizations, 5  professional/community organizations, 1 Climate Change related provincial Task Force, 1 Adat Community/customary organization, 12 universities and 4 donor organizations. Whereas, partnership at the community level is still at an early phase focusing mainly on creating awareness on the benefit of maintaining forest in APL/HPK to benefit from ecosystem services and livelihood. The project has identified 8 villages to pilot innovative livelihood solutions.
</w:t>
            </w:r>
          </w:p>
          <w:p>
            <w:pPr/>
            <w:r>
              <w:rPr/>
              <w:t xml:space="preserve">
</w:t>
            </w:r>
          </w:p>
          <w:p>
            <w:pPr/>
            <w:r>
              <w:rPr/>
              <w:t xml:space="preserve">(3) Review of national/provincial level policies and regulations concerning biodiversity conservation, concession granting, land classification, etc.: (i) The national level policy concerning biodiversity loss and deforestation related to palm oil permit has been realized through the Presidential Instruction (Inpres) No. 8/2018 which puts moratorium on oil palm plantation permit policy. Project facilitated implementation of the Presidential Instruction by supporting the project partner in the drafting of National Government Regulation (RPP-Rencana Peraturan Pemerintah) on policy options to identify solutions for oil palm that are currently in the state-owned forest area. (ii) facilitated development of West Kalimantan Province regulation to implement West Kalimantan Governor decree (no. 6/2018) in identifying HCVF in plantation areas. To secure legal protection of the classified area, there are some processes that need to be realized such as classification of land cover from SPOT; ground truthing  of identified land covers; public consultation; district regulation on the reclassified as permanent forest estate.  Once the Governor’s Regulation is signed and implemented, there will be additional 7% of land area from private sector potentially to be permanent HCVF area in West Kalimantan Province, which accounts to about 2310 hectares (of 33,000 ha of plantation permits). (iii) Likewise, East Kalimantan province government has issued a province regulation No.7/2018 targeting to have additional forest in APL of about 640,000 hectares. Under the regulation, HCVF is one of the considerations that Kutai District Government has to comply to. The Kutai Timur district has issued a District Regulation No. 6/2005 reinforcing that all palm oil plantation has to allocate or set aside 10% of their area as forest. Once the regulation in enforced, about 200,000 ha of forest will be converted to permanent HVCF forest located in APL.
</w:t>
            </w:r>
          </w:p>
          <w:p>
            <w:pPr/>
            <w:r>
              <w:rPr/>
              <w:t xml:space="preserve">
</w:t>
            </w:r>
          </w:p>
          <w:p>
            <w:pPr/>
            <w:r>
              <w:rPr/>
              <w:t xml:space="preserve">(4) Tons of CO2e emissions avoided within the three Kalimantan provinces:  by achieving the target to set aside HCVF in the APL, the project expects to maintain 200,000 hectares which is equivalent to offsetting 24.26 million tons CO2e emissions or 120 ton/ha of CO2e avoided. For the first year, the target that has been achieved in setting aside HCVF is about 2310 ha in West Kalimantan, which would result in avoided emission of 277,200 tons of CO2e (about 1.14% of the projected target).     
</w:t>
            </w:r>
          </w:p>
          <w:p>
            <w:pPr/>
            <w:r>
              <w:rPr/>
              <w:t xml:space="preserve">
</w:t>
            </w:r>
          </w:p>
          <w:p>
            <w:pPr/>
            <w:r>
              <w:rPr/>
              <w:t xml:space="preserve">(5) In terms of building capacity of local institutions, the project has identified training needs covering 18 different topics, where local institutions in the pilot districts will be trained to have capacity in planning and management of forests in APL. In total, capacity of 16 institutions both at the national and local level will be strengthened. Some of the topics for capacity building include – remote sensing data interpretation, GIS analysis, data management, making siting decision on forest conservation using siting tool, establishment of district land use tool, etc. During this reporting period, 40 staffs (including 5 women) from the 3 provinces and 4 districts were trained on basic and advanced GIS.   
</w:t>
            </w:r>
          </w:p>
          <w:p>
            <w:pPr/>
            <w:r>
              <w:rPr/>
              <w:t xml:space="preserve">
</w:t>
            </w:r>
          </w:p>
          <w:p>
            <w:pPr/>
            <w:r>
              <w:rPr/>
              <w:t xml:space="preserve">(6) In terms of developing Incentive mechanisms to drive changes that significantly reduce the long-term threat or actual incidence of estate-crop driven deforestation – the project hasn’t made much progress. Some preliminary assessments have been undertaken to assess relevant national and local legislations including mechanisms that are in various stages of development. One of the incentive mechanisms identified is PES, for which coordination meeting has been held with DDPI-FCPF-KSDAE and other stakeholders. KLHK is in the process of developing Ministerial Decree on PES operationalization of PP 46/2018 on the instrument of economic and environment. The project has facilitated some of the processes with an objective to mainstream project concept into the decree. In collaboration with KSDAE, a mechanism to test the decree was discussed. In addition, discussion was also held with other initiatives including DDPI at Kaltim and FCPF for collaboration to test the FCPF mechanism at Kutai.
</w:t>
            </w:r>
          </w:p>
          <w:p>
            <w:pPr/>
            <w:r>
              <w:rPr/>
              <w:t xml:space="preserve">
</w:t>
            </w:r>
          </w:p>
          <w:p>
            <w:pPr/>
            <w:r>
              <w:rPr/>
              <w:t xml:space="preserve">(7) With regard to knowledge management, M &amp; E and gender mainstreaming: the project in this reporting period focused on (i) enhancing knowledge on the importance of multi stakeholder approach and involvement of women in managing forest in APL at the district level - mainly to raise level of awareness of stakeholders on the importance of including issues in public regulation to make government program inclusive. (ii)  Policy brief on gender and importance of forest in APL was prepared; a short film on women hero and their role in managing forest and environment was produced; and competition to encourage youth in understanding forest and environmental issues was organized in Kalbar. 
</w:t>
            </w:r>
          </w:p>
          <w:p>
            <w:pPr/>
            <w:r>
              <w:rPr/>
              <w:t xml:space="preserve">
</w:t>
            </w:r>
          </w:p>
          <w:p>
            <w:pPr/>
            <w:r>
              <w:rPr/>
              <w:t xml:space="preserve">Given a moderate progress that has been achieved in the last 19 months or so, the DO is rated ‘Moderately Satisfactory’ 
</w:t>
            </w:r>
          </w:p>
          <w:p>
            <w:pPr/>
            <w:r>
              <w:rPr/>
              <w:t xml:space="preserve">
</w:t>
            </w:r>
          </w:p>
          <w:p>
            <w:pPr/>
            <w:r>
              <w:rPr/>
              <w:t xml:space="preserve">IMPLEMENTATION PROGRESS (IP)
</w:t>
            </w:r>
          </w:p>
          <w:p>
            <w:pPr/>
            <w:r>
              <w:rPr/>
              <w:t xml:space="preserve">IP is rated ‘moderately satisfactory’ for this reporting period. The project implementation has been considerably delayed after the project was signed in November 2017 and, the actual implementation of field activities commenced only around August 2018 once the PMU was fully established. 
</w:t>
            </w:r>
          </w:p>
          <w:p>
            <w:pPr/>
            <w:r>
              <w:rPr/>
              <w:t xml:space="preserve">
</w:t>
            </w:r>
          </w:p>
          <w:p>
            <w:pPr/>
            <w:r>
              <w:rPr/>
              <w:t xml:space="preserve">The Project Board (PB) was constituted and had its first PB meeting on 22 March 2018. The 2nd PB meeting was held on 30 October 2018. Given the complexity of this project, I would recommend CO and PMU to at least convene PB meeting twice in a year to provide guidance to the project team and take strategic decisions that requires PB’s endorsement.  
</w:t>
            </w:r>
          </w:p>
          <w:p>
            <w:pPr/>
            <w:r>
              <w:rPr/>
              <w:t xml:space="preserve">
</w:t>
            </w:r>
          </w:p>
          <w:p>
            <w:pPr/>
            <w:r>
              <w:rPr/>
              <w:t xml:space="preserve">Three critical risks have been reported in this reporting period – two operational and one strategic risks. While management measures for these three risks are in place, CO and project team must continue to monitor existing risks including social and environmental risks that are likely to escalate and potential risks likely to emerge in the subsequent years. 
</w:t>
            </w:r>
          </w:p>
          <w:p>
            <w:pPr/>
            <w:r>
              <w:rPr/>
              <w:t xml:space="preserve">
</w:t>
            </w:r>
          </w:p>
          <w:p>
            <w:pPr/>
            <w:r>
              <w:rPr/>
              <w:t xml:space="preserve">Coordination between KalFOR and SPOI/GGP projects is important as there are synergies between the two. There has been some discussions at the PMU level but this hasn’t translated into a joint work planning between the two projects. Efforts have been made but needs to follow-up on firm action by both the project team with facilitation from CO.
</w:t>
            </w:r>
          </w:p>
          <w:p>
            <w:pPr/>
            <w:r>
              <w:rPr/>
              <w:t xml:space="preserve">The project has made good efforts on gender reporting which is commendable. The project team should refer to the gender action plan while preparing the annual work plan and prioritize activities that promote gender equality and women’s empowerment. 
</w:t>
            </w:r>
          </w:p>
          <w:p>
            <w:pPr/>
            <w:r>
              <w:rPr/>
              <w:t xml:space="preserve">
</w:t>
            </w:r>
          </w:p>
          <w:p>
            <w:pPr/>
            <w:r>
              <w:rPr/>
              <w:t xml:space="preserve">With regard to financial delivery, the cumulative delivery for this reporting period is 13.49%, which is not that bad given that the project had a slow start. However, the project team&amp; CO must pay close attention from the third year of the project. The project had achieved good annual delivery in 2018 at 93.81%, and the delivery for the mid-year of 2019 stands at 26.18%.  
</w:t>
            </w:r>
          </w:p>
          <w:p>
            <w:pPr/>
            <w:r>
              <w:rPr/>
              <w:t xml:space="preserve">
</w:t>
            </w:r>
          </w:p>
          <w:p>
            <w:pPr/>
            <w:r>
              <w:rPr/>
              <w:t xml:space="preserve">The project is also making good effort in knowledge management and communication, where policy briefs, fliers, documentary have been produced. I would also like to suggest CO and project team to work on stories and other communication materials to showcase the work that the project is undertaking for greater visibility to audiences outside Indonesia. 
</w:t>
            </w:r>
          </w:p>
          <w:p>
            <w:pPr/>
            <w:r>
              <w:rPr/>
              <w:t xml:space="preserve">
</w:t>
            </w:r>
          </w:p>
          <w:p>
            <w:pPr/>
            <w:r>
              <w:rPr/>
              <w:t xml:space="preserve">RECOMMENDATIONS 
</w:t>
            </w:r>
          </w:p>
          <w:p>
            <w:pPr/>
            <w:r>
              <w:rPr/>
              <w:t xml:space="preserve">
</w:t>
            </w:r>
          </w:p>
          <w:p>
            <w:pPr/>
            <w:r>
              <w:rPr/>
              <w:t xml:space="preserve">1) Communicating project’s result is important and therefore, PMU and CO must adequately budget in the AWP to document results, lessons and success stories using different communication media in the coming years both for internal and external audiences. 
</w:t>
            </w:r>
          </w:p>
          <w:p>
            <w:pPr/>
            <w:r>
              <w:rPr/>
              <w:t xml:space="preserve">
</w:t>
            </w:r>
          </w:p>
          <w:p>
            <w:pPr/>
            <w:r>
              <w:rPr/>
              <w:t xml:space="preserve">2) Project team must pay close attention to project’s existing risks and, any emerging risks must be documented and reported to PB and CO.  
</w:t>
            </w:r>
          </w:p>
          <w:p>
            <w:pPr/>
            <w:r>
              <w:rPr/>
              <w:t xml:space="preserve">
</w:t>
            </w:r>
          </w:p>
          <w:p>
            <w:pPr/>
            <w:r>
              <w:rPr/>
              <w:t xml:space="preserve">3) Ensure that the PB meetings are convened at least two times in a year to guide the project implementation and provide strategic decisions.   
</w:t>
            </w:r>
          </w:p>
          <w:p>
            <w:pPr/>
            <w:r>
              <w:rPr/>
              <w:t xml:space="preserve">
</w:t>
            </w:r>
          </w:p>
          <w:p>
            <w:pPr/>
            <w:r>
              <w:rPr/>
              <w:t xml:space="preserve">4) The project must continue with the work on mainstreaming and translating gender action plan into concrete activities in the work plan and implementing interventions on-the-ground in the districts and pilot villages, as well as reporting gender results (with gender dis-aggregated data). This is GEN2 project with gender equality as a significant objective.   
</w:t>
            </w:r>
          </w:p>
          <w:p>
            <w:pPr/>
            <w:r>
              <w:rPr/>
              <w:t xml:space="preserve">
</w:t>
            </w:r>
          </w:p>
          <w:p>
            <w:pPr/>
            <w:r>
              <w:rPr/>
              <w:t xml:space="preserve">5) Coordination with SPOI/GGP project must be strengthened building on few rounds of dialogues that have taken place between the two PMUs. Concreted effort must be made by both the team to coordinate and share knowledge generated by the respective projects and avoid duplication. The lessons will be also useful while designing the new GEF-7 child project on Food Systems Land Use Restoration Impact Programme (FOLUR IP). The CO must facilitate this coordination.  </w:t>
            </w:r>
          </w:p>
        </w:tc>
      </w:tr>
    </w:tbl>
    <w:p>
      <w:pPr>
        <w:sectPr>
          <w:pgSz w:orient="portrait" w:w="11905.511811023622" w:h="16837.79527559055"/>
          <w:pgMar w:top="500" w:right="500" w:bottom="500" w:left="500" w:header="720" w:footer="720" w:gutter="0"/>
          <w:cols w:num="1" w:space="720"/>
        </w:sectPr>
      </w:pPr>
    </w:p>
    <w:p>
      <w:pPr>
        <w:pStyle w:val="Heading1"/>
      </w:pPr>
      <w:bookmarkStart w:id="8" w:name="_Toc8"/>
      <w:r>
        <w:t>Gender</w:t>
      </w:r>
      <w:bookmarkEnd w:id="8"/>
    </w:p>
    <w:p>
      <w:pPr>
        <w:spacing w:before="400"/>
      </w:pPr>
      <w:r>
        <w:rPr>
          <w:sz w:val="24"/>
          <w:szCs w:val="24"/>
          <w:b w:val="1"/>
          <w:bCs w:val="1"/>
        </w:rPr>
        <w:t xml:space="preserve">Progress in Advancing Gender Equality and Women's Empowerment</w:t>
      </w:r>
    </w:p>
    <w:p>
      <w:pPr>
        <w:spacing w:after="400"/>
      </w:pPr>
      <w:r>
        <w:rPr/>
        <w:t xml:space="preserve">This information is used in the UNDP-GEF Annual Performance Report, UNDP-GEF Annual Gender Report, reporting to the UNDP Gender Steering and Implementation Committee and for other internal and external communications and learning.  The Project Manager and/or Project Gender Officer should complete this section with support from the UNDP Country Office.  </w:t>
      </w:r>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tcPr>
          <w:p>
            <w:pPr/>
            <w:r>
              <w:rPr>
                <w:b w:val="1"/>
                <w:bCs w:val="1"/>
              </w:rPr>
              <w:t xml:space="preserve">Gender Analysis and Action Plan: </w:t>
            </w:r>
            <w:r>
              <w:rPr>
                <w:i w:val="1"/>
                <w:iCs w:val="1"/>
              </w:rPr>
              <w:t xml:space="preserve">not available</w:t>
            </w:r>
          </w:p>
        </w:tc>
      </w:tr>
      <w:tr>
        <w:trPr/>
        <w:tc>
          <w:tcPr>
            <w:tcW w:w="10000" w:type="dxa"/>
            <w:shd w:val="clear" w:fill="#D9D9D9"/>
            <w:gridSpan w:val="1"/>
          </w:tcPr>
          <w:p>
            <w:pPr/>
            <w:r>
              <w:rPr>
                <w:b w:val="1"/>
                <w:bCs w:val="1"/>
              </w:rPr>
              <w:t xml:space="preserve">Please review the project's Gender Analysis and Action Plan.  If the document is not attached or an updated Gender Analysis and/or Gender Action Plan is available please upload the document below or send to the Regional Programme Associate to upload in PIMS+. Please note that all projects approved since 1 July 2014 are required to carry out a gender analysis and all projects approved since 1 July 2018 are required to have a gender analysis and action plan.</w:t>
            </w:r>
          </w:p>
        </w:tc>
      </w:tr>
      <w:tr>
        <w:trPr/>
        <w:tc>
          <w:tcPr>
            <w:tcW w:w="10000" w:type="dxa"/>
          </w:tcPr>
          <w:p>
            <w:pPr/>
            <w:hyperlink r:id="rId10" w:history="1">
              <w:r>
                <w:rPr>
                  <w:color w:val="#0000FF"/>
                  <w:u w:val="single"/>
                </w:rPr>
                <w:t xml:space="preserve">ANALISIS GENDER SITE KOTAWARINGIN BARAT.pdf</w:t>
              </w:r>
            </w:hyperlink>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tcPr>
          <w:p>
            <w:pPr/>
            <w:r>
              <w:rPr>
                <w:b w:val="1"/>
                <w:bCs w:val="1"/>
              </w:rPr>
              <w:t xml:space="preserve">Please indicate in which results areas the project is contributing to gender equality (you may select more than one results area, or select not applicable):</w:t>
            </w:r>
          </w:p>
        </w:tc>
      </w:tr>
      <w:tr>
        <w:trPr/>
        <w:tc>
          <w:tcPr>
            <w:tcW w:w="10000" w:type="dxa"/>
            <w:gridSpan w:val="1"/>
          </w:tcPr>
          <w:p>
            <w:pPr/>
            <w:r>
              <w:rPr/>
              <w:t xml:space="preserve">Contributing to closing gender gaps in access to and control over resources: Yes</w:t>
            </w:r>
          </w:p>
        </w:tc>
      </w:tr>
      <w:tr>
        <w:trPr/>
        <w:tc>
          <w:tcPr>
            <w:tcW w:w="10000" w:type="dxa"/>
            <w:gridSpan w:val="1"/>
          </w:tcPr>
          <w:p>
            <w:pPr/>
            <w:r>
              <w:rPr/>
              <w:t xml:space="preserve">Improving the participation and decision-making of women in natural resource governance: Yes</w:t>
            </w:r>
          </w:p>
        </w:tc>
      </w:tr>
      <w:tr>
        <w:trPr/>
        <w:tc>
          <w:tcPr>
            <w:tcW w:w="10000" w:type="dxa"/>
            <w:gridSpan w:val="1"/>
          </w:tcPr>
          <w:p>
            <w:pPr/>
            <w:r>
              <w:rPr/>
              <w:t xml:space="preserve">Targeting socio-economic benefits and services for women: Yes</w:t>
            </w:r>
          </w:p>
        </w:tc>
      </w:tr>
      <w:tr>
        <w:trPr/>
        <w:tc>
          <w:tcPr>
            <w:tcW w:w="10000" w:type="dxa"/>
            <w:gridSpan w:val="1"/>
          </w:tcPr>
          <w:p>
            <w:pPr/>
            <w:r>
              <w:rPr/>
              <w:t xml:space="preserve">Not applicable: No</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tcPr>
          <w:p>
            <w:pPr/>
            <w:r>
              <w:rPr>
                <w:b w:val="1"/>
                <w:bCs w:val="1"/>
              </w:rPr>
              <w:t xml:space="preserve">Atlas Gender Marker Rating</w:t>
            </w:r>
          </w:p>
        </w:tc>
      </w:tr>
      <w:tr>
        <w:trPr/>
        <w:tc>
          <w:tcPr>
            <w:tcW w:w="10000" w:type="dxa"/>
          </w:tcPr>
          <w:p>
            <w:pPr/>
            <w:r>
              <w:rPr>
                <w:b w:val="1"/>
                <w:bCs w:val="1"/>
              </w:rPr>
              <w:t xml:space="preserve">GEN2: </w:t>
            </w:r>
            <w:r>
              <w:rPr/>
              <w:t xml:space="preserve">gender equality as significant objective </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tcPr>
          <w:p>
            <w:pPr/>
            <w:r>
              <w:rPr>
                <w:b w:val="1"/>
                <w:bCs w:val="1"/>
              </w:rPr>
              <w:t xml:space="preserve">Please describe any experiences or linkages (direct or indirect) between project activities and gender-based violence (GBV).  This information is for UNDP use only and will not be shared with GEF Secretariat.
</w:t>
            </w:r>
          </w:p>
          <w:p>
            <w:pPr/>
            <w:r>
              <w:rPr>
                <w:b w:val="1"/>
                <w:bCs w:val="1"/>
              </w:rPr>
              <w:t xml:space="preserve"/>
            </w:r>
          </w:p>
        </w:tc>
      </w:tr>
      <w:tr>
        <w:trPr/>
        <w:tc>
          <w:tcPr>
            <w:tcW w:w="10000" w:type="dxa"/>
            <w:gridSpan w:val="1"/>
          </w:tcPr>
          <w:p>
            <w:pPr/>
            <w:r>
              <w:rPr/>
              <w:t xml:space="preserve">N.A.</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tcPr>
          <w:p>
            <w:pPr/>
            <w:r>
              <w:rPr>
                <w:b w:val="1"/>
                <w:bCs w:val="1"/>
              </w:rPr>
              <w:t xml:space="preserve">Please specify results achieved this reporting period that focus on increasing gender equality and the empowerment of women.
</w:t>
            </w:r>
          </w:p>
          <w:p>
            <w:pPr/>
            <w:r>
              <w:rPr>
                <w:b w:val="1"/>
                <w:bCs w:val="1"/>
              </w:rPr>
              <w:t xml:space="preserve">
</w:t>
            </w:r>
          </w:p>
          <w:p>
            <w:pPr/>
            <w:r>
              <w:rPr>
                <w:b w:val="1"/>
                <w:bCs w:val="1"/>
              </w:rPr>
              <w:t xml:space="preserve">Please explain how the results reported addressed the different needs of men or women, changed norms, values, and power structures, and/or contributed to transforming or challenging gender inequalities and discrimination. </w:t>
            </w:r>
          </w:p>
        </w:tc>
      </w:tr>
      <w:tr>
        <w:trPr/>
        <w:tc>
          <w:tcPr>
            <w:tcW w:w="10000" w:type="dxa"/>
            <w:gridSpan w:val="1"/>
          </w:tcPr>
          <w:p>
            <w:pPr/>
            <w:r>
              <w:rPr/>
              <w:t xml:space="preserve">• Gender-disaggregated data collections for all consultations, meetings, etc and make efforts to ensure better balance where possible
</w:t>
            </w:r>
          </w:p>
          <w:p>
            <w:pPr/>
            <w:r>
              <w:rPr/>
              <w:t xml:space="preserve">• Policy brief development on gender addressed to province decision makers. The brief was developed based on regional workshop on multistakeholders and gender.
</w:t>
            </w:r>
          </w:p>
          <w:p>
            <w:pPr/>
            <w:r>
              <w:rPr/>
              <w:t xml:space="preserve">• Appointed Women Champions in environment and forestry institution. There are heroes in the environment and forestry sector. Five women heroes across country were awarded to honour their professional work.
</w:t>
            </w:r>
          </w:p>
          <w:p>
            <w:pPr/>
            <w:r>
              <w:rPr/>
              <w:t xml:space="preserve">• Video profile production about the above women champions.
</w:t>
            </w:r>
          </w:p>
          <w:p>
            <w:pPr/>
            <w:r>
              <w:rPr/>
              <w:t xml:space="preserve">• Award Certificate form Directorate General of PKTL to Women Champions.
</w:t>
            </w:r>
          </w:p>
          <w:p>
            <w:pPr/>
            <w:r>
              <w:rPr/>
              <w:t xml:space="preserve">• The process for hiring the gender specialist.</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tcPr>
          <w:p>
            <w:pPr/>
            <w:r>
              <w:rPr>
                <w:b w:val="1"/>
                <w:bCs w:val="1"/>
              </w:rPr>
              <w:t xml:space="preserve">Please describe how work to advance gender equality and women's empowerment enhanced the project's environmental and/or resilience outcomes.</w:t>
            </w:r>
          </w:p>
        </w:tc>
      </w:tr>
      <w:tr>
        <w:trPr/>
        <w:tc>
          <w:tcPr>
            <w:tcW w:w="10000" w:type="dxa"/>
            <w:gridSpan w:val="1"/>
          </w:tcPr>
          <w:p>
            <w:pPr/>
            <w:r>
              <w:rPr/>
              <w:t xml:space="preserve">TORs should accommodate the Gender Equality and women's empowerment including involvement of the youth and adat communities.
</w:t>
            </w:r>
          </w:p>
          <w:p>
            <w:pPr/>
            <w:r>
              <w:rPr/>
              <w:t xml:space="preserve">Requests facilitator or moderator during FGD's and discussion to encourage all participant consider to gender equality.
</w:t>
            </w:r>
          </w:p>
          <w:p>
            <w:pPr/>
            <w:r>
              <w:rPr/>
              <w:t xml:space="preserve">
</w:t>
            </w:r>
          </w:p>
          <w:p>
            <w:pPr/>
            <w:r>
              <w:rPr/>
              <w:t xml:space="preserve">Conduct  a series of Focus Group Discussion focused to encourage women to be actively in the session.
</w:t>
            </w:r>
          </w:p>
          <w:p>
            <w:pPr/>
            <w:r>
              <w:rPr/>
              <w:t xml:space="preserve">
</w:t>
            </w:r>
          </w:p>
          <w:p>
            <w:pPr/>
            <w:r>
              <w:rPr/>
              <w:t xml:space="preserve">Conduct a series of youth competition on forest protection awareness.
</w:t>
            </w:r>
          </w:p>
          <w:p>
            <w:pPr/>
            <w:r>
              <w:rPr/>
              <w:t xml:space="preserve"/>
            </w:r>
          </w:p>
        </w:tc>
      </w:tr>
    </w:tbl>
    <w:p>
      <w:pPr>
        <w:sectPr>
          <w:pgSz w:orient="portrait" w:w="11905.511811023622" w:h="16837.79527559055"/>
          <w:pgMar w:top="1440" w:right="1440" w:bottom="1440" w:left="1440" w:header="720" w:footer="720" w:gutter="0"/>
          <w:cols w:num="1" w:space="720"/>
        </w:sectPr>
      </w:pPr>
    </w:p>
    <w:p>
      <w:pPr>
        <w:pStyle w:val="Heading1"/>
      </w:pPr>
      <w:bookmarkStart w:id="9" w:name="_Toc9"/>
      <w:r>
        <w:t>Social and Environmental Standards</w:t>
      </w:r>
      <w:bookmarkEnd w:id="9"/>
    </w:p>
    <w:p>
      <w:pPr>
        <w:spacing w:before="400"/>
      </w:pPr>
      <w:r>
        <w:rPr>
          <w:sz w:val="24"/>
          <w:szCs w:val="24"/>
          <w:b w:val="1"/>
          <w:bCs w:val="1"/>
        </w:rPr>
        <w:t xml:space="preserve">Social and Environmental Standards (Safeguards)</w:t>
      </w:r>
    </w:p>
    <w:p>
      <w:pPr>
        <w:spacing w:after="400"/>
      </w:pPr>
      <w:r>
        <w:rPr/>
        <w:t xml:space="preserve">The Project Manager and/or the project’s Safeguards Officer should complete this section of the PIR with support from the UNDP Country Office. The UNDP-GEF RTA should review to ensure it is complete and accurate.</w:t>
      </w:r>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tcPr>
          <w:p>
            <w:pPr/>
            <w:r>
              <w:rPr>
                <w:b w:val="1"/>
                <w:bCs w:val="1"/>
              </w:rPr>
              <w:t xml:space="preserve">1) Have any new social and/or environmental risks been identified during project implementation?</w:t>
            </w:r>
          </w:p>
        </w:tc>
      </w:tr>
      <w:tr>
        <w:trPr/>
        <w:tc>
          <w:tcPr>
            <w:tcW w:w="10000" w:type="dxa"/>
            <w:gridSpan w:val="1"/>
          </w:tcPr>
          <w:p>
            <w:pPr/>
            <w:r>
              <w:rPr/>
              <w:t xml:space="preserve">No</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tcPr>
          <w:p>
            <w:pPr/>
            <w:r>
              <w:rPr>
                <w:b w:val="1"/>
                <w:bCs w:val="1"/>
              </w:rPr>
              <w:t xml:space="preserve">If any new social and/or environmental risks have been identified during project implementation please describe the new risk(s) and the response to it. </w:t>
            </w:r>
          </w:p>
        </w:tc>
      </w:tr>
      <w:tr>
        <w:trPr/>
        <w:tc>
          <w:tcPr>
            <w:tcW w:w="10000" w:type="dxa"/>
            <w:gridSpan w:val="1"/>
          </w:tcPr>
          <w:p>
            <w:pPr/>
            <w:r>
              <w:rPr/>
              <w:t xml:space="preserve">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tcPr>
          <w:p>
            <w:pPr/>
            <w:r>
              <w:rPr>
                <w:b w:val="1"/>
                <w:bCs w:val="1"/>
              </w:rPr>
              <w:t xml:space="preserve">2) Have any existing social and/or environmental risks been escalated during the reporting period? For example, when a low risk increased to moderate, or a moderate risk increased to high. </w:t>
            </w:r>
          </w:p>
        </w:tc>
      </w:tr>
      <w:tr>
        <w:trPr/>
        <w:tc>
          <w:tcPr>
            <w:tcW w:w="10000" w:type="dxa"/>
            <w:gridSpan w:val="1"/>
          </w:tcPr>
          <w:p>
            <w:pPr/>
            <w:r>
              <w:rPr/>
              <w:t xml:space="preserve">No</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tcPr>
          <w:p>
            <w:pPr/>
            <w:r>
              <w:rPr>
                <w:b w:val="1"/>
                <w:bCs w:val="1"/>
              </w:rPr>
              <w:t xml:space="preserve">If any existing social and/or environmental risks have been escalated during implementation please describe the change(s) and the response to it. </w:t>
            </w:r>
          </w:p>
        </w:tc>
      </w:tr>
      <w:tr>
        <w:trPr/>
        <w:tc>
          <w:tcPr>
            <w:tcW w:w="10000" w:type="dxa"/>
            <w:gridSpan w:val="1"/>
          </w:tcPr>
          <w:p>
            <w:pPr/>
            <w:r>
              <w:rPr/>
              <w:t xml:space="preserve">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tcPr>
          <w:p>
            <w:pPr/>
            <w:r>
              <w:rPr>
                <w:b w:val="1"/>
                <w:bCs w:val="1"/>
              </w:rPr>
              <w:t xml:space="preserve">SESP: </w:t>
            </w:r>
            <w:hyperlink r:id="rId11" w:history="1">
              <w:r>
                <w:rPr>
                  <w:color w:val="#0000FF"/>
                  <w:u w:val="single"/>
                </w:rPr>
                <w:t xml:space="preserve">5029_Annex E_SESP.docx</w:t>
              </w:r>
            </w:hyperlink>
          </w:p>
          <w:p>
            <w:pPr/>
            <w:r>
              <w:rPr>
                <w:b w:val="1"/>
                <w:bCs w:val="1"/>
              </w:rPr>
              <w:t xml:space="preserve">Environmental and Social Management Plan/Framework: </w:t>
            </w:r>
            <w:r>
              <w:rPr>
                <w:i w:val="1"/>
                <w:iCs w:val="1"/>
              </w:rPr>
              <w:t xml:space="preserve">not available</w:t>
            </w:r>
          </w:p>
        </w:tc>
      </w:tr>
      <w:tr>
        <w:trPr/>
        <w:tc>
          <w:tcPr>
            <w:tcW w:w="10000" w:type="dxa"/>
            <w:shd w:val="clear" w:fill="#D9D9D9"/>
            <w:gridSpan w:val="1"/>
          </w:tcPr>
          <w:p>
            <w:pPr/>
            <w:r>
              <w:rPr>
                <w:b w:val="1"/>
                <w:bCs w:val="1"/>
              </w:rPr>
              <w:t xml:space="preserve">For reference, please find below the project's safeguards screening (Social and Environmental Screening Procedure (SESP) or the old ESSP tool); management plans (if any); and its SESP categorization above.  Please note that the SESP categorization might have been corrected during a centralized review. </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tcPr>
          <w:p>
            <w:pPr/>
            <w:r>
              <w:rPr>
                <w:b w:val="1"/>
                <w:bCs w:val="1"/>
              </w:rPr>
              <w:t xml:space="preserve">3) Have any required social and environmental assessments and/or management plans been prepared in the reporting period? For example, an updated Stakeholder Engagement Plan, Environmental and Social Impact Assessment (ESIA) or Indigenous Peoples Plan. </w:t>
            </w:r>
          </w:p>
        </w:tc>
      </w:tr>
      <w:tr>
        <w:trPr/>
        <w:tc>
          <w:tcPr>
            <w:tcW w:w="10000" w:type="dxa"/>
            <w:gridSpan w:val="1"/>
          </w:tcPr>
          <w:p>
            <w:pPr/>
            <w:r>
              <w:rPr/>
              <w:t xml:space="preserve">No</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tcPr>
          <w:p>
            <w:pPr/>
            <w:r>
              <w:rPr>
                <w:b w:val="1"/>
                <w:bCs w:val="1"/>
              </w:rPr>
              <w:t xml:space="preserve">If yes, please upload the document(s) above. If no, please explain when the required documents will be prepared.</w:t>
            </w:r>
          </w:p>
        </w:tc>
      </w:tr>
      <w:tr>
        <w:trPr/>
        <w:tc>
          <w:tcPr>
            <w:tcW w:w="10000" w:type="dxa"/>
            <w:gridSpan w:val="1"/>
          </w:tcPr>
          <w:p>
            <w:pPr/>
            <w:r>
              <w:rPr/>
              <w:t xml:space="preserve">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tcPr>
          <w:p>
            <w:pPr/>
            <w:r>
              <w:rPr>
                <w:b w:val="1"/>
                <w:bCs w:val="1"/>
              </w:rPr>
              <w:t xml:space="preserve">4) Has the project received complaints related to social and/or environmental impacts (actual or potential )?  </w:t>
            </w:r>
          </w:p>
        </w:tc>
      </w:tr>
      <w:tr>
        <w:trPr/>
        <w:tc>
          <w:tcPr>
            <w:tcW w:w="10000" w:type="dxa"/>
            <w:gridSpan w:val="1"/>
          </w:tcPr>
          <w:p>
            <w:pPr/>
            <w:r>
              <w:rPr/>
              <w:t xml:space="preserve">No</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tcPr>
          <w:p>
            <w:pPr/>
            <w:r>
              <w:rPr>
                <w:b w:val="1"/>
                <w:bCs w:val="1"/>
              </w:rPr>
              <w:t xml:space="preserve">If yes,  please describe the complaint(s) or grievance(s) in detail including the status, significance, who was involved and what action was taken. </w:t>
            </w:r>
          </w:p>
        </w:tc>
      </w:tr>
      <w:tr>
        <w:trPr/>
        <w:tc>
          <w:tcPr>
            <w:tcW w:w="10000" w:type="dxa"/>
            <w:gridSpan w:val="1"/>
          </w:tcPr>
          <w:p>
            <w:pPr/>
            <w:r>
              <w:rPr/>
              <w:t xml:space="preserve">Not applicable</w:t>
            </w:r>
          </w:p>
        </w:tc>
      </w:tr>
    </w:tbl>
    <w:p>
      <w:pPr>
        <w:sectPr>
          <w:pgSz w:orient="portrait" w:w="11905.511811023622" w:h="16837.79527559055"/>
          <w:pgMar w:top="1440" w:right="1440" w:bottom="1440" w:left="1440" w:header="720" w:footer="720" w:gutter="0"/>
          <w:cols w:num="1" w:space="720"/>
        </w:sectPr>
      </w:pPr>
    </w:p>
    <w:p>
      <w:pPr>
        <w:pStyle w:val="Heading1"/>
      </w:pPr>
      <w:bookmarkStart w:id="10" w:name="_Toc10"/>
      <w:r>
        <w:t>Communicating Impact</w:t>
      </w:r>
      <w:bookmarkEnd w:id="10"/>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tcPr>
          <w:p>
            <w:pPr/>
            <w:r>
              <w:rPr>
                <w:b w:val="1"/>
                <w:bCs w:val="1"/>
              </w:rPr>
              <w:t xml:space="preserve">Tell us the story of the project focusing on how the project has helped to improve people’s lives.
</w:t>
            </w:r>
          </w:p>
          <w:p>
            <w:pPr/>
            <w:r>
              <w:rPr>
                <w:b w:val="1"/>
                <w:bCs w:val="1"/>
              </w:rPr>
              <w:t xml:space="preserve">(This text will be used for UNDP corporate communications, the UNDP-GEF website, and/or other internal and external knowledge and learning efforts.)</w:t>
            </w:r>
          </w:p>
        </w:tc>
      </w:tr>
      <w:tr>
        <w:trPr/>
        <w:tc>
          <w:tcPr>
            <w:tcW w:w="10000" w:type="dxa"/>
            <w:gridSpan w:val="1"/>
          </w:tcPr>
          <w:p>
            <w:pPr/>
            <w:r>
              <w:rPr/>
              <w:t xml:space="preserve">Based on the project experiences in the provincial and district level in the first year, the project has identified some villages that have a forested area in their locations. Recently the project still on the early identification to find the potential economical activities to improve their livelihood, in order them to protect their forested areas. For example:
</w:t>
            </w:r>
          </w:p>
          <w:p>
            <w:pPr/>
            <w:r>
              <w:rPr/>
              <w:t xml:space="preserve">In Kotawaringin Barat the potential economical activities are ecotourism especially in  Desa Danau Masorayan and Desa Lada Mandalajaya.
</w:t>
            </w:r>
          </w:p>
          <w:p>
            <w:pPr/>
            <w:r>
              <w:rPr/>
              <w:t xml:space="preserve">
</w:t>
            </w:r>
          </w:p>
          <w:p>
            <w:pPr/>
            <w:r>
              <w:rPr/>
              <w:t xml:space="preserve">In Sintang the potential economical activities are non-forest timber product, especially the fabric natural color from the timber in their forested area and eco-cultural village in Desa Ensaid Panjang and Desa Pauh Benoa.
</w:t>
            </w:r>
          </w:p>
          <w:p>
            <w:pPr/>
            <w:r>
              <w:rPr/>
              <w:t xml:space="preserve">In Ketapang the potential economical activities are agro fishery (mangrove) in Desa Batudaya Dusun Kranji, Desa Sungai Kuri.
</w:t>
            </w:r>
          </w:p>
          <w:p>
            <w:pPr/>
            <w:r>
              <w:rPr/>
              <w:t xml:space="preserve">
</w:t>
            </w:r>
          </w:p>
          <w:p>
            <w:pPr/>
            <w:r>
              <w:rPr/>
              <w:t xml:space="preserve">In Kutai Timur the potential economical activities are agroforestry in Desa Batulepok dan Desa Kelinjau Ulu.
</w:t>
            </w:r>
          </w:p>
          <w:p>
            <w:pPr/>
            <w:r>
              <w:rPr/>
              <w:t xml:space="preserve">Based on the early assessment, the project will facilitate the  champion’s person in those villages to  conduct a comparative study in location that already successfully improve their livelihood  facilitated  by Small Grant Program UNDP such as Desa Wisata Pandansari Brebes (ecotourism and mangrove); Mitra Satria Banyumas (agroforestry); Lawe Yogyakarta (traditional fabrication using natural coloring) and  Desa Kalibiru Yogyakarta. </w:t>
            </w:r>
          </w:p>
        </w:tc>
      </w:tr>
    </w:tbl>
    <w:p>
      <w:pPr>
        <w:spacing w:before="400"/>
      </w:pPr>
      <w:r>
        <w:rPr>
          <w:sz w:val="24"/>
          <w:szCs w:val="24"/>
          <w:b w:val="1"/>
          <w:bCs w:val="1"/>
        </w:rPr>
        <w:t xml:space="preserve">Knowledge Management, Project Links and Social Media</w:t>
      </w:r>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tcPr>
          <w:p>
            <w:pPr/>
            <w:r>
              <w:rPr>
                <w:b w:val="1"/>
                <w:bCs w:val="1"/>
              </w:rPr>
              <w:t xml:space="preserve">Please describe knowledge activities / products as outlined in knowledge management approved at CEO Endorsement /Approval.
</w:t>
            </w:r>
          </w:p>
          <w:p>
            <w:pPr/>
            <w:r>
              <w:rPr>
                <w:b w:val="1"/>
                <w:bCs w:val="1"/>
              </w:rPr>
              <w:t xml:space="preserve">
</w:t>
            </w:r>
          </w:p>
          <w:p>
            <w:pPr/>
            <w:r>
              <w:rPr>
                <w:b w:val="1"/>
                <w:bCs w:val="1"/>
              </w:rPr>
              <w:t xml:space="preserve">Please also include: project's website, project page on the UNDP website, blogs,  photos stories (e.g. Exposure), Facebook, Twitter, Flickr, YouTube, as well as hyperlinks to any media coverage of the project, for example, stories written by an outside source.  Please upload any supporting files, including photos, videos, stories, and other documents using the 'file lirbary' button in the top right of the PIR.</w:t>
            </w:r>
          </w:p>
        </w:tc>
      </w:tr>
      <w:tr>
        <w:trPr/>
        <w:tc>
          <w:tcPr>
            <w:tcW w:w="10000" w:type="dxa"/>
            <w:gridSpan w:val="1"/>
          </w:tcPr>
          <w:p>
            <w:pPr/>
            <w:r>
              <w:rPr/>
              <w:t xml:space="preserve">a.	Produce promotion Media (leaflet KalFor, calendar KalFor, policy briefs, a short video about KalFor project)
</w:t>
            </w:r>
          </w:p>
          <w:p>
            <w:pPr/>
            <w:r>
              <w:rPr/>
              <w:t xml:space="preserve">b.	Conducted young environment awareness competitions (infographic, English speech competitions, short video online competition)
</w:t>
            </w:r>
          </w:p>
          <w:p>
            <w:pPr/>
            <w:r>
              <w:rPr/>
              <w:t xml:space="preserve">c.	Developed knowledge management development concept design and roadmap
</w:t>
            </w:r>
          </w:p>
          <w:p>
            <w:pPr/>
            <w:r>
              <w:rPr/>
              <w:t xml:space="preserve">d.	Developed web-portal development (on progress)
</w:t>
            </w:r>
          </w:p>
          <w:p>
            <w:pPr/>
            <w:r>
              <w:rPr/>
              <w:t xml:space="preserve">e.	Developed forest release monitoring application system (Simple-K, on progress)
</w:t>
            </w:r>
          </w:p>
          <w:p>
            <w:pPr/>
            <w:r>
              <w:rPr/>
              <w:t xml:space="preserve">f.	Developed KalFor’s weppage - https://kalimantanforest.org
</w:t>
            </w:r>
          </w:p>
          <w:p>
            <w:pPr/>
            <w:r>
              <w:rPr/>
              <w:t xml:space="preserve">g.	Produced 5 video gender champions
</w:t>
            </w:r>
          </w:p>
          <w:p>
            <w:pPr/>
            <w:r>
              <w:rPr/>
              <w:t xml:space="preserve">h.	Conducted workhop on gender mainstreaming in forest management at APL (Samarinda)
</w:t>
            </w:r>
          </w:p>
          <w:p>
            <w:pPr/>
            <w:r>
              <w:rPr/>
              <w:t xml:space="preserve">
</w:t>
            </w:r>
          </w:p>
          <w:p>
            <w:pPr/>
            <w:r>
              <w:rPr/>
              <w:t xml:space="preserve">Youtube Link KalFor Project 
</w:t>
            </w:r>
          </w:p>
          <w:p>
            <w:pPr/>
            <w:r>
              <w:rPr/>
              <w:t xml:space="preserve">https://www.youtube.com/channel/UCADNs6YGu3FPgFM0vErXjDw/videos
</w:t>
            </w:r>
          </w:p>
          <w:p>
            <w:pPr/>
            <w:r>
              <w:rPr/>
              <w:t xml:space="preserve">
</w:t>
            </w:r>
          </w:p>
          <w:p>
            <w:pPr/>
            <w:r>
              <w:rPr/>
              <w:t xml:space="preserve">Media Coverage Project Activities:
</w:t>
            </w:r>
          </w:p>
          <w:p>
            <w:pPr/>
            <w:r>
              <w:rPr/>
              <w:t xml:space="preserve">31 URL Media Coverage
</w:t>
            </w:r>
          </w:p>
          <w:p>
            <w:pPr/>
            <w:r>
              <w:rPr/>
              <w:t xml:space="preserve">https://drive.google.com/open?id=1978z0yVP_zALhuMK_a8saAyyPuBC1Uwz 
</w:t>
            </w:r>
          </w:p>
          <w:p>
            <w:pPr/>
            <w:r>
              <w:rPr/>
              <w:t xml:space="preserve">
</w:t>
            </w:r>
          </w:p>
          <w:p>
            <w:pPr/>
            <w:r>
              <w:rPr/>
              <w:t xml:space="preserve">Supporting Files can download here, become part of deliverables comms
</w:t>
            </w:r>
          </w:p>
          <w:p>
            <w:pPr/>
            <w:r>
              <w:rPr/>
              <w:t xml:space="preserve">
</w:t>
            </w:r>
          </w:p>
          <w:p>
            <w:pPr/>
            <w:r>
              <w:rPr/>
              <w:t xml:space="preserve">https://drive.google.com/drive/u/0/folders/1pAmpS_NaLfd3Y0PEhoA3LJVamVK55oYS
</w:t>
            </w:r>
          </w:p>
          <w:p>
            <w:pPr/>
            <w:r>
              <w:rPr/>
              <w:t xml:space="preserve">-	5 Video Gender Profile produced, 1 Project graphic Video https://www.youtube.com/channel/UCADNs6YGu3FPgFM0vErXjDw/videos
</w:t>
            </w:r>
          </w:p>
          <w:p>
            <w:pPr/>
            <w:r>
              <w:rPr/>
              <w:t xml:space="preserve">
</w:t>
            </w:r>
          </w:p>
          <w:p>
            <w:pPr/>
            <w:r>
              <w:rPr/>
              <w:t xml:space="preserve">1 webpage, https://kalimantanforest.org/, twitter account https://twitter.com/kalimantanfore2
</w:t>
            </w:r>
          </w:p>
          <w:p>
            <w:pPr/>
            <w:r>
              <w:rPr/>
              <w:t xml:space="preserve">
</w:t>
            </w:r>
          </w:p>
          <w:p>
            <w:pPr/>
            <w:r>
              <w:rPr/>
              <w:t xml:space="preserve">Outside Source :
</w:t>
            </w:r>
          </w:p>
          <w:p>
            <w:pPr/>
            <w:r>
              <w:rPr/>
              <w:t xml:space="preserve">http://www.humas.kutaitimurkab.go.id/index.php/home/detail/4673/kutim-tuan-rumah-lokakarya-dan-fgd---%E2%80%9Cmenjaga-hutan-di-kawasan-apl%E2%80%9D-
</w:t>
            </w:r>
          </w:p>
          <w:p>
            <w:pPr/>
            <w:r>
              <w:rPr/>
              <w:t xml:space="preserve">http://www.suarakutim.com/kerusakan-hutan-dibahas-dalam-fgd-pemanfataan-apl/
</w:t>
            </w:r>
          </w:p>
          <w:p>
            <w:pPr/>
            <w:r>
              <w:rPr/>
              <w:t xml:space="preserve">https://kaltimkece.id/pariwara/pariwara-kutai-timur/menjaga-hutan-dari-areal-penggunaan-lain 
</w:t>
            </w:r>
          </w:p>
          <w:p>
            <w:pPr/>
            <w:r>
              <w:rPr/>
              <w:t xml:space="preserve">https://bontangpost.id/2018/11/28/55116/dilema-investasi-dan-kerusakan-hutan/ 
</w:t>
            </w:r>
          </w:p>
          <w:p>
            <w:pPr/>
            <w:r>
              <w:rPr/>
              <w:t xml:space="preserve">http://www.bentangkalimantan.org/2019/01/harapkan-dukungan-para-pihak-dinas.html?m=1 
</w:t>
            </w:r>
          </w:p>
          <w:p>
            <w:pPr/>
            <w:r>
              <w:rPr/>
              <w:t xml:space="preserve">https://kalsel.antaranews.com/amp/berita/100285/kaltim-dipercaya-kerjakan-proyek-kalfour-undp
</w:t>
            </w:r>
          </w:p>
          <w:p>
            <w:pPr/>
            <w:r>
              <w:rPr/>
              <w:t xml:space="preserve">https://kaltim.antaranews.com/berita/56323/tim-fahutan-unmul-paparkan-hasil-baseline-survey-kalfor-undp
</w:t>
            </w:r>
          </w:p>
          <w:p>
            <w:pPr/>
            <w:r>
              <w:rPr/>
              <w:t xml:space="preserve">https://dpmpd.kaltimprov.go.id/berita/tim-fahutan-unmul-paparkan-hasil-baseline-survey-kalfor-undp
</w:t>
            </w:r>
          </w:p>
          <w:p>
            <w:pPr/>
            <w:r>
              <w:rPr/>
              <w:t xml:space="preserve">https://m.antaranews.com/berita/884107/kaltim-dipercaya-laksanakan-proyek-kalfour-undp
</w:t>
            </w:r>
          </w:p>
          <w:p>
            <w:pPr/>
            <w:r>
              <w:rPr/>
              <w:t xml:space="preserve">http://kaltim.prokal.co/read/news/355597-kutim-diusulkan-jadi-lokasi-studi-hutan
</w:t>
            </w:r>
          </w:p>
          <w:p>
            <w:pPr/>
            <w:r>
              <w:rPr/>
              <w:t xml:space="preserve">https://kaltim.idntimes.com/news/kaltim/humas-kutai-timur/target-proyek-kalfor
</w:t>
            </w:r>
          </w:p>
          <w:p>
            <w:pPr/>
            <w:r>
              <w:rPr/>
              <w:t xml:space="preserve">http://kaltim.tribunnews.com/2019/05/24/kaltim-dipercaya-menjaga-hutan-di-luar-kawasan-hutan-kutim-jadi-percontohan 
</w:t>
            </w:r>
          </w:p>
          <w:p>
            <w:pPr/>
            <w:r>
              <w:rPr/>
              <w:t xml:space="preserve">http://pontianak.tribunnews.com/2019/05/24/fgd-hasil-identifikasi-hcvf-untuk-penyusunan-baseline-apl-kabupaten-sintang-paparkan-hal-berikut
</w:t>
            </w:r>
          </w:p>
          <w:p>
            <w:pPr/>
            <w:r>
              <w:rPr/>
              <w:t xml:space="preserve">http://pontianak.tribunnews.com/2019/05/24/jarot-butuh-keseimbangan-dalam-menjaga-dan-mengelola-50-ribu-hektar-apl-di-kabupaten-sintang
</w:t>
            </w:r>
          </w:p>
          <w:p>
            <w:pPr/>
            <w:r>
              <w:rPr/>
              <w:t xml:space="preserve">https://majalahmataborneonews.com/rangkul-masyarakat-kelola-apl/
</w:t>
            </w:r>
          </w:p>
          <w:p>
            <w:pPr/>
            <w:r>
              <w:rPr/>
              <w:t xml:space="preserve">http://pontianak.tribunnews.com/2019/05/24/bpn-sintang-dukung-pengelolaan-perhutanan-apl-lewat-program-redistribusi-tanah
</w:t>
            </w:r>
          </w:p>
          <w:p>
            <w:pPr/>
            <w:r>
              <w:rPr/>
              <w:t xml:space="preserve">http://beritairn.com/fgd-identifikasi-penyusunan-baseline-hutan-di-apl-ketapang/
</w:t>
            </w:r>
          </w:p>
          <w:p>
            <w:pPr/>
            <w:r>
              <w:rPr/>
              <w:t xml:space="preserve">https://kabar65news.com/2019/05/28/begini-arahan-martin-rantan-pada-fgd-identifikasi-penyusunan-baseline-hutan-di-apl-ketapang/
</w:t>
            </w:r>
          </w:p>
          <w:p>
            <w:pPr/>
            <w:r>
              <w:rPr/>
              <w:t xml:space="preserve">http://humas.ketapang.go.id/berita_full.php?vN=3859
</w:t>
            </w:r>
          </w:p>
          <w:p>
            <w:pPr/>
            <w:r>
              <w:rPr/>
              <w:t xml:space="preserve">http://mmc.kotawaringinbaratkab.go.id/berita/konsultasi-publik-tingkat-provinsi-hasil-analisis-kajian-penggalian-data-kawasanan-berhutan-desa-kelurahan-se-kabupaten-kobar
</w:t>
            </w:r>
          </w:p>
          <w:p>
            <w:pPr/>
            <w:r>
              <w:rPr/>
              <w:t xml:space="preserve">https://kaltim.tribunnews.com/2019/06/25/kutim-satu-dari-empat-kabupaten-kalfor-project-gunakan-dana-hibah-dari-global-environment-facility
</w:t>
            </w:r>
          </w:p>
          <w:p>
            <w:pPr/>
            <w:r>
              <w:rPr/>
              <w:t xml:space="preserve">https://pontianak.tribunnews.com/2019/06/25/sekda-leysandri-perintahkan-stakeholder-terkait-menjaga-hutan-di-kalbar
</w:t>
            </w:r>
          </w:p>
          <w:p>
            <w:pPr/>
            <w:r>
              <w:rPr/>
              <w:t xml:space="preserve">http://thetanjungpuratimes.com/2019/06/25/pleno-hasil-identifikasi-hcvf-untuk-penyusunan-baseline-hutan-di-apl/
</w:t>
            </w:r>
          </w:p>
          <w:p>
            <w:pPr/>
            <w:r>
              <w:rPr/>
              <w:t xml:space="preserve">http://kalimantanpost.com/2019/05/areal-perkebunan-sawit-harus-menyisakan-kawasan-konservasi/
</w:t>
            </w:r>
          </w:p>
          <w:p>
            <w:pPr/>
            <w:r>
              <w:rPr/>
              <w:t xml:space="preserve">http://mmc.kotawaringinbaratkab.go.id/berita/klhk-ri-pemprov-kalteng-dan-um-palangka-raya-inventarisasi-kawasan-hutan-apl-hpk-di-kobar-
</w:t>
            </w:r>
          </w:p>
          <w:p>
            <w:pPr/>
            <w:r>
              <w:rPr/>
              <w:t xml:space="preserve">https://beritasampit.co.id/2019/05/18/wabup-kobar-ahmadi-riansyah-pengelolaan-hutan-apl-harus-dilakukan-secara-optimal/
</w:t>
            </w:r>
          </w:p>
          <w:p>
            <w:pPr/>
            <w:r>
              <w:rPr/>
              <w:t xml:space="preserve">http://bontang.prokal.co/read/news/22905-dilema-investasi-dan-kerusakan-hutan.html
</w:t>
            </w:r>
          </w:p>
          <w:p>
            <w:pPr/>
            <w:r>
              <w:rPr/>
              <w:t xml:space="preserve">https://www.rumahkaryabersama.com/2019/03/cegah-kerusakan-hutan-undp-hadir-di-kutim/
</w:t>
            </w:r>
          </w:p>
          <w:p>
            <w:pPr/>
            <w:r>
              <w:rPr/>
              <w:t xml:space="preserve">http://news.prokal.co/read/news/3987-cegah-kerusakan-hutan-diperlukan-upaya-penyusunan-baseline.html
</w:t>
            </w:r>
          </w:p>
          <w:p>
            <w:pPr/>
            <w:r>
              <w:rPr/>
              <w:t xml:space="preserve">http://www.bentangkalimantan.org/2019/01/harapkan-dukungan-para-pihak-dinas.html
</w:t>
            </w:r>
          </w:p>
          <w:p>
            <w:pPr/>
            <w:r>
              <w:rPr/>
              <w:t xml:space="preserve">https://pontianak.tribunnews.com/2019/05/24/bpn-sintang-dukung-pengelolaan-perhutanan-apl-lewat-program-redistribusi-tanah
</w:t>
            </w:r>
          </w:p>
          <w:p>
            <w:pPr/>
            <w:r>
              <w:rPr/>
              <w:t xml:space="preserve"/>
            </w:r>
          </w:p>
        </w:tc>
      </w:tr>
    </w:tbl>
    <w:p>
      <w:pPr>
        <w:sectPr>
          <w:pgSz w:orient="portrait" w:w="11905.511811023622" w:h="16837.79527559055"/>
          <w:pgMar w:top="1440" w:right="1440" w:bottom="1440" w:left="1440" w:header="720" w:footer="720" w:gutter="0"/>
          <w:cols w:num="1" w:space="720"/>
        </w:sectPr>
      </w:pPr>
    </w:p>
    <w:p>
      <w:pPr>
        <w:pStyle w:val="Heading1"/>
      </w:pPr>
      <w:bookmarkStart w:id="11" w:name="_Toc11"/>
      <w:r>
        <w:t>Partnerships</w:t>
      </w:r>
      <w:bookmarkEnd w:id="11"/>
    </w:p>
    <w:p>
      <w:pPr>
        <w:spacing w:before="400"/>
      </w:pPr>
      <w:r>
        <w:rPr>
          <w:sz w:val="24"/>
          <w:szCs w:val="24"/>
          <w:b w:val="1"/>
          <w:bCs w:val="1"/>
        </w:rPr>
        <w:t xml:space="preserve">Partnerships &amp; Stakeholder Engagment</w:t>
      </w:r>
    </w:p>
    <w:p>
      <w:pPr>
        <w:spacing w:after="400"/>
      </w:pPr>
      <w:r>
        <w:rPr/>
        <w:t xml:space="preserve">Please select yes or no whether the project is working with any of the following partners. Please also provide an update on stakeholder engagement. This information is used by the GEF and UNDP for reporting and is therefore very important!  All sections must be completed by the Project Manager and reviewed by the CO and RTA.  </w:t>
      </w:r>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tcPr>
          <w:p>
            <w:pPr/>
            <w:r>
              <w:rPr>
                <w:b w:val="1"/>
                <w:bCs w:val="1"/>
              </w:rPr>
              <w:t xml:space="preserve">Does the project work with any Civil Society Organisations and/or NGOs?</w:t>
            </w:r>
          </w:p>
        </w:tc>
      </w:tr>
      <w:tr>
        <w:trPr/>
        <w:tc>
          <w:tcPr>
            <w:tcW w:w="10000" w:type="dxa"/>
            <w:gridSpan w:val="1"/>
          </w:tcPr>
          <w:p>
            <w:pPr/>
            <w:r>
              <w:rPr/>
              <w:t xml:space="preserve">Yes</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tcPr>
          <w:p>
            <w:pPr/>
            <w:r>
              <w:rPr>
                <w:b w:val="1"/>
                <w:bCs w:val="1"/>
              </w:rPr>
              <w:t xml:space="preserve">Does the project work with any Indigenous Peoples?</w:t>
            </w:r>
          </w:p>
        </w:tc>
      </w:tr>
      <w:tr>
        <w:trPr/>
        <w:tc>
          <w:tcPr>
            <w:tcW w:w="10000" w:type="dxa"/>
            <w:gridSpan w:val="1"/>
          </w:tcPr>
          <w:p>
            <w:pPr/>
            <w:r>
              <w:rPr/>
              <w:t xml:space="preserve">Yes</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tcPr>
          <w:p>
            <w:pPr/>
            <w:r>
              <w:rPr>
                <w:b w:val="1"/>
                <w:bCs w:val="1"/>
              </w:rPr>
              <w:t xml:space="preserve">Does the project work with the Private Sector?</w:t>
            </w:r>
          </w:p>
        </w:tc>
      </w:tr>
      <w:tr>
        <w:trPr/>
        <w:tc>
          <w:tcPr>
            <w:tcW w:w="10000" w:type="dxa"/>
            <w:gridSpan w:val="1"/>
          </w:tcPr>
          <w:p>
            <w:pPr/>
            <w:r>
              <w:rPr/>
              <w:t xml:space="preserve">Yes</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tcPr>
          <w:p>
            <w:pPr/>
            <w:r>
              <w:rPr>
                <w:b w:val="1"/>
                <w:bCs w:val="1"/>
              </w:rPr>
              <w:t xml:space="preserve">Does the project work with the GEF Small Grants Programme?</w:t>
            </w:r>
          </w:p>
        </w:tc>
      </w:tr>
      <w:tr>
        <w:trPr/>
        <w:tc>
          <w:tcPr>
            <w:tcW w:w="10000" w:type="dxa"/>
            <w:gridSpan w:val="1"/>
          </w:tcPr>
          <w:p>
            <w:pPr/>
            <w:r>
              <w:rPr/>
              <w:t xml:space="preserve">No</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tcPr>
          <w:p>
            <w:pPr/>
            <w:r>
              <w:rPr>
                <w:b w:val="1"/>
                <w:bCs w:val="1"/>
              </w:rPr>
              <w:t xml:space="preserve">Does the project work with UN Volunteers?</w:t>
            </w:r>
          </w:p>
        </w:tc>
      </w:tr>
      <w:tr>
        <w:trPr/>
        <w:tc>
          <w:tcPr>
            <w:tcW w:w="10000" w:type="dxa"/>
            <w:gridSpan w:val="1"/>
          </w:tcPr>
          <w:p>
            <w:pPr/>
            <w:r>
              <w:rPr/>
              <w:t xml:space="preserve">No</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tcPr>
          <w:p>
            <w:pPr/>
            <w:r>
              <w:rPr>
                <w:b w:val="1"/>
                <w:bCs w:val="1"/>
              </w:rPr>
              <w:t xml:space="preserve">Did the project support South-South Cooperation and/or Triangular Cooperation efforts in the reporting year?</w:t>
            </w:r>
          </w:p>
        </w:tc>
      </w:tr>
      <w:tr>
        <w:trPr/>
        <w:tc>
          <w:tcPr>
            <w:tcW w:w="10000" w:type="dxa"/>
            <w:gridSpan w:val="1"/>
          </w:tcPr>
          <w:p>
            <w:pPr/>
            <w:r>
              <w:rPr/>
              <w:t xml:space="preserve">No</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tcPr>
          <w:p>
            <w:pPr/>
            <w:r>
              <w:rPr>
                <w:b w:val="1"/>
                <w:bCs w:val="1"/>
              </w:rPr>
              <w:t xml:space="preserve">CEO Endorsement Request: </w:t>
            </w:r>
            <w:hyperlink r:id="rId12" w:history="1">
              <w:r>
                <w:rPr>
                  <w:color w:val="#0000FF"/>
                  <w:u w:val="single"/>
                </w:rPr>
                <w:t xml:space="preserve">PIMS 5029_CEO ER Kalimantan_25 May 2017.doc</w:t>
              </w:r>
            </w:hyperlink>
          </w:p>
        </w:tc>
      </w:tr>
      <w:tr>
        <w:trPr/>
        <w:tc>
          <w:tcPr>
            <w:tcW w:w="10000" w:type="dxa"/>
            <w:shd w:val="clear" w:fill="#D9D9D9"/>
            <w:gridSpan w:val="1"/>
          </w:tcPr>
          <w:p>
            <w:pPr/>
            <w:r>
              <w:rPr>
                <w:b w:val="1"/>
                <w:bCs w:val="1"/>
              </w:rPr>
              <w:t xml:space="preserve">Provide an update on progress, challenges and outcomes related to stakeholder engagement based on the description of the Stakeholder Engagement Plan as documented at CEO endorsement/approval (see document below).  If any surveys have been conducted please upload all survey documents to the PIR file library.</w:t>
            </w:r>
          </w:p>
        </w:tc>
      </w:tr>
      <w:tr>
        <w:trPr/>
        <w:tc>
          <w:tcPr>
            <w:tcW w:w="10000" w:type="dxa"/>
            <w:gridSpan w:val="1"/>
          </w:tcPr>
          <w:p>
            <w:pPr/>
            <w:r>
              <w:rPr/>
              <w:t xml:space="preserve">The progress is that the project could fill the gap and collaborate with stakeholders for example on the FCPF program Kalfor will fill the gap to develop Benefit Sharing Mechanism di Kutai Timur District; working with SGP UNDP, Kalfor using our previous successful experiences.
</w:t>
            </w:r>
          </w:p>
          <w:p>
            <w:pPr/>
            <w:r>
              <w:rPr/>
              <w:t xml:space="preserve">
</w:t>
            </w:r>
          </w:p>
          <w:p>
            <w:pPr/>
            <w:r>
              <w:rPr/>
              <w:t xml:space="preserve">The challenge is to assure the IPs that the Project should work with other stakeholders.
</w:t>
            </w:r>
          </w:p>
          <w:p>
            <w:pPr/>
            <w:r>
              <w:rPr/>
              <w:t xml:space="preserve">
</w:t>
            </w:r>
          </w:p>
          <w:p>
            <w:pPr/>
            <w:r>
              <w:rPr/>
              <w:t xml:space="preserve">Outcome: MoU with 3 universities and inviting project that has the same purposes or area of works. For example working with GGP SPOI, SCPOPP, and GIZ.</w:t>
            </w:r>
          </w:p>
        </w:tc>
      </w:tr>
    </w:tbl>
    <w:p>
      <w:pPr>
        <w:sectPr>
          <w:pgSz w:orient="portrait" w:w="11905.511811023622" w:h="16837.79527559055"/>
          <w:pgMar w:top="1440" w:right="1440" w:bottom="1440" w:left="1440" w:header="720" w:footer="720" w:gutter="0"/>
          <w:cols w:num="1" w:space="720"/>
        </w:sectPr>
      </w:pPr>
    </w:p>
    <w:p>
      <w:pPr>
        <w:pStyle w:val="Heading1"/>
      </w:pPr>
      <w:bookmarkStart w:id="12" w:name="_Toc12"/>
      <w:r>
        <w:t>Annex - Ratings Definitions</w:t>
      </w:r>
      <w:bookmarkEnd w:id="12"/>
    </w:p>
    <w:p>
      <w:pPr/>
      <w:r>
        <w:rPr>
          <w:b w:val="1"/>
          <w:bCs w:val="1"/>
        </w:rPr>
        <w:t xml:space="preserve">Development Objective Progress Ratings Definitions</w:t>
      </w:r>
    </w:p>
    <w:p>
      <w:pPr/>
      <w:r>
        <w:rPr/>
        <w:t xml:space="preserve">(HS) Highly Satisfactory: Project is on track to exceed its end-of-project targets, and is likely to achieve transformational change by project closure. The project can be presented as 'outstanding practice'.</w:t>
      </w:r>
    </w:p>
    <w:p>
      <w:pPr/>
      <w:r>
        <w:rPr/>
        <w:t xml:space="preserve">(S) Satisfactory: Project is on track to fully achieve its end-of-project targets by project closure. The project can be presented as 'good practice'.</w:t>
      </w:r>
    </w:p>
    <w:p>
      <w:pPr/>
      <w:r>
        <w:rPr/>
        <w:t xml:space="preserve">(MS) Moderately Satisfactory: Project is on track to achieve its end-of-project targets by project closure with minor shortcomings only.</w:t>
      </w:r>
    </w:p>
    <w:p>
      <w:pPr/>
      <w:r>
        <w:rPr/>
        <w:t xml:space="preserve">(MU) Moderately Unsatisfactory: Project is off track and is expected to partially achieve its end-of-project targets by project closure with significant shortcomings. Project results might be fully achieved by project closure if adaptive management is undertaken immediately.</w:t>
      </w:r>
    </w:p>
    <w:p>
      <w:pPr/>
      <w:r>
        <w:rPr/>
        <w:t xml:space="preserve">(U) Unsatisfactory: Project is off track and is not expected to achieve its end-of-project targets by project closure. Project results might be partially achieved by project closure if major adaptive management is undertaken immediately.</w:t>
      </w:r>
    </w:p>
    <w:p>
      <w:pPr/>
      <w:r>
        <w:rPr/>
        <w:t xml:space="preserve">(HU) Highly Unsatisfactory: Project is off track and is not expected to achieve its end-of-project targets without major restructuring.</w:t>
      </w:r>
    </w:p>
    <w:p/>
    <w:p>
      <w:pPr/>
      <w:r>
        <w:rPr>
          <w:b w:val="1"/>
          <w:bCs w:val="1"/>
        </w:rPr>
        <w:t xml:space="preserve">Implementation Progress Ratings Definitions</w:t>
      </w:r>
    </w:p>
    <w:p>
      <w:pPr/>
      <w:r>
        <w:rPr/>
        <w:t xml:space="preserve">(HS) Highly Satisfactory: Implementation is exceeding expectations. Cumulative financial delivery, timing of key implementation milestones, and risk management are fully on track. The project is managed extremely efficiently and effectively. The implementation of the project can be presented as 'outstanding practice'.</w:t>
      </w:r>
    </w:p>
    <w:p>
      <w:pPr/>
      <w:r>
        <w:rPr/>
        <w:t xml:space="preserve">(S) Satisfactory: Implementation is proceeding as planned. Cumulative financial delivery, timing of key implementation milestones, and risk management are on track. The project is managed efficiently and effectively. The implementation of the project can be presented as 'good practice'.</w:t>
      </w:r>
    </w:p>
    <w:p>
      <w:pPr/>
      <w:r>
        <w:rPr/>
        <w:t xml:space="preserve">(MS) Moderately Satisfactory: Implementation is proceeding as planned with minor deviations. Cumulative financial delivery and management of risks are mostly on track, with minor delays. The project is managed well.</w:t>
      </w:r>
    </w:p>
    <w:p>
      <w:pPr/>
      <w:r>
        <w:rPr/>
        <w:t xml:space="preserve">(MU) Moderately Unsatisfactory: Implementation is not proceeding as planned and faces significant implementation issues. Implementation progress could be improved if adaptive management is undertaken immediately. Cumulative financial delivery, timing of key implementation milestones, and/or management of critical risks are significantly off track. The project is not fully or well supported. </w:t>
      </w:r>
    </w:p>
    <w:p>
      <w:pPr/>
      <w:r>
        <w:rPr/>
        <w:t xml:space="preserve">(U) Unsatisfactory: Implementation is not proceeding as planned and faces major implementation issues and restructuring may be necessary. Cumulative financial delivery, timing of key implementation milestones, and/or management of critical risks are off track with major issues and/or concerns. The project is not fully or well supported. </w:t>
      </w:r>
    </w:p>
    <w:p>
      <w:pPr/>
      <w:r>
        <w:rPr/>
        <w:t xml:space="preserve">(HU) Highly Unsatisfactory: Implementation is seriously under performing and major restructuring is required. Cumulative financial delivery, timing of key implementation milestones (e.g. start of activities), and management of critical risks are severely off track with severe issues and/or concerns.  The project is not effectively or efficiently supported.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end"/>
    </w:pPr>
    <w:r>
      <w:t xml:space="preserve">Page </w:t>
    </w:r>
    <w:r>
      <w:fldChar w:fldCharType="begin"/>
    </w:r>
    <w:r>
      <w:instrText xml:space="preserve">PAGE</w:instrText>
    </w:r>
    <w:r>
      <w:fldChar w:fldCharType="separate"/>
    </w:r>
    <w:r>
      <w:fldChar w:fldCharType="end"/>
    </w:r>
    <w:r>
      <w:t xml:space="preserve"> of </w:t>
    </w:r>
    <w:r>
      <w:fldChar w:fldCharType="begin"/>
    </w:r>
    <w: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end"/>
    </w:pPr>
    <w:r>
      <w:t xml:space="preserve">2019 Project Implementation Report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33F9D2"/>
    <w:multiLevelType w:val="multilevel"/>
    <w:lvl w:ilvl="0">
      <w:start w:val="1"/>
      <w:numFmt w:val="upperLetter"/>
      <w:pStyle w:val="Heading1"/>
      <w:suff w:val="tab"/>
      <w:lvlText w:val="%1."/>
      <w:pPr>
        <w:tabs>
          <w:tab w:val="num"/>
        </w:tabs>
        <w:ind/>
      </w:pPr>
      <w:rPr>
        <w:rFonts/>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numPr>
        <w:numId w:val="1"/>
        <w:ilvl w:val="0"/>
      </w:numPr>
      <w:outlineLvl w:val="0"/>
    </w:pPr>
    <w:rPr>
      <w:sz w:val="28"/>
      <w:szCs w:val="28"/>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section_image2.jp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section_image1.gif"/><Relationship Id="rId12" Type="http://schemas.openxmlformats.org/officeDocument/2006/relationships/hyperlink" Target="https://undpgefpims.org/attachments/5029/213752/1678638/1678933/PIMS%205029_CEO%20ER%20Kalimantan_25%20May%202017.doc" TargetMode="Externa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styles" Target="styles.xml"/><Relationship Id="rId6" Type="http://schemas.openxmlformats.org/officeDocument/2006/relationships/fontTable" Target="fontTable.xml"/><Relationship Id="rId11" Type="http://schemas.openxmlformats.org/officeDocument/2006/relationships/hyperlink" Target="https://undpgefpims.org/attachments/5029/213752/1723709/1735065/5029_Annex%20E_SESP.docx" TargetMode="External"/><Relationship Id="rId5" Type="http://schemas.openxmlformats.org/officeDocument/2006/relationships/webSettings" Target="webSettings.xml"/><Relationship Id="rId15" Type="http://schemas.openxmlformats.org/officeDocument/2006/relationships/customXml" Target="../customXml/item1.xml"/><Relationship Id="rId10" Type="http://schemas.openxmlformats.org/officeDocument/2006/relationships/hyperlink" Target="https://undpgefpims.org/attachments/5029/213752/1728723/1743471/ANALISIS%20GENDER%20SITE%20KOTAWARINGIN%20BARAT.pdf" TargetMode="External"/><Relationship Id="rId4" Type="http://schemas.openxmlformats.org/officeDocument/2006/relationships/theme" Target="theme/theme1.xml"/><Relationship Id="rId9" Type="http://schemas.openxmlformats.org/officeDocument/2006/relationships/image" Target="media/section_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5F732436BD414ABE4F9007290F88BC" ma:contentTypeVersion="33" ma:contentTypeDescription="Create a new document." ma:contentTypeScope="" ma:versionID="23f63ffa27798759ab7c62b38a6a6eea">
  <xsd:schema xmlns:xsd="http://www.w3.org/2001/XMLSchema" xmlns:xs="http://www.w3.org/2001/XMLSchema" xmlns:p="http://schemas.microsoft.com/office/2006/metadata/properties" xmlns:ns2="d9cf0e28-81d2-4dc7-8b10-820d80ed680d" xmlns:ns3="e91d5986-7c29-4ed1-8a54-b8fb378ed474" targetNamespace="http://schemas.microsoft.com/office/2006/metadata/properties" ma:root="true" ma:fieldsID="d59d36cbda82e4f1c8ad758894042b54" ns2:_="" ns3:_="">
    <xsd:import namespace="d9cf0e28-81d2-4dc7-8b10-820d80ed680d"/>
    <xsd:import namespace="e91d5986-7c29-4ed1-8a54-b8fb378ed474"/>
    <xsd:element name="properties">
      <xsd:complexType>
        <xsd:sequence>
          <xsd:element name="documentManagement">
            <xsd:complexType>
              <xsd:all>
                <xsd:element ref="ns2:DocumentCategory" minOccurs="0"/>
                <xsd:element ref="ns2:DocumentType" minOccurs="0"/>
                <xsd:element ref="ns2:FileClassificationMode" minOccurs="0"/>
                <xsd:element ref="ns2:FileNameDescription" minOccurs="0"/>
                <xsd:element ref="ns2:ProjectNumber" minOccurs="0"/>
                <xsd:element ref="ns2:OperatingUnit" minOccurs="0"/>
                <xsd:element ref="ns2:Language" minOccurs="0"/>
                <xsd:element ref="ns2:FunctionalArea" minOccurs="0"/>
                <xsd:element ref="ns2:OutputNumber" minOccurs="0"/>
                <xsd:element ref="ns2:DocumentStatus" minOccurs="0"/>
                <xsd:element ref="ns2:DocCoverageStartDate" minOccurs="0"/>
                <xsd:element ref="ns2:DocCoverageEndDate" minOccurs="0"/>
                <xsd:element ref="ns2:FocusArea" minOccurs="0"/>
                <xsd:element ref="ns2:AuthorName" minOccurs="0"/>
                <xsd:element ref="ns2:OfficeCountry" minOccurs="0"/>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Location" minOccurs="0"/>
                <xsd:element ref="ns2:MediaServiceSearchProperties" minOccurs="0"/>
                <xsd:element ref="ns2:EventDate" minOccurs="0"/>
                <xsd:element ref="ns2:ProjectDocumentTyp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f0e28-81d2-4dc7-8b10-820d80ed680d" elementFormDefault="qualified">
    <xsd:import namespace="http://schemas.microsoft.com/office/2006/documentManagement/types"/>
    <xsd:import namespace="http://schemas.microsoft.com/office/infopath/2007/PartnerControls"/>
    <xsd:element name="DocumentCategory" ma:index="8" nillable="true" ma:displayName="DocumentCategory" ma:format="Dropdown" ma:indexed="true" ma:internalName="DocumentCategory">
      <xsd:simpleType>
        <xsd:restriction base="dms:Text">
          <xsd:maxLength value="255"/>
        </xsd:restriction>
      </xsd:simpleType>
    </xsd:element>
    <xsd:element name="DocumentType" ma:index="9" nillable="true" ma:displayName="DocumentType" ma:format="Dropdown" ma:indexed="true" ma:internalName="DocumentType">
      <xsd:simpleType>
        <xsd:restriction base="dms:Text">
          <xsd:maxLength value="255"/>
        </xsd:restriction>
      </xsd:simpleType>
    </xsd:element>
    <xsd:element name="FileClassificationMode" ma:index="10" nillable="true" ma:displayName="FileClassificationMode" ma:format="Dropdown" ma:indexed="true" ma:internalName="FileClassificationMode">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ProjectNumber" ma:index="12" nillable="true" ma:displayName="ProjectNumber" ma:format="Dropdown" ma:indexed="true" ma:internalName="ProjectNumber">
      <xsd:simpleType>
        <xsd:restriction base="dms:Text">
          <xsd:maxLength value="255"/>
        </xsd:restriction>
      </xsd:simpleType>
    </xsd:element>
    <xsd:element name="OperatingUnit" ma:index="13" nillable="true" ma:displayName="OperatingUnit" ma:format="Dropdown" ma:indexed="true" ma:internalName="OperatingUnit">
      <xsd:simpleType>
        <xsd:restriction base="dms:Text">
          <xsd:maxLength value="255"/>
        </xsd:restriction>
      </xsd:simpleType>
    </xsd:element>
    <xsd:element name="Language" ma:index="14" nillable="true" ma:displayName="Language" ma:format="Dropdown" ma:internalName="Language">
      <xsd:simpleType>
        <xsd:restriction base="dms:Text">
          <xsd:maxLength value="255"/>
        </xsd:restriction>
      </xsd:simpleType>
    </xsd:element>
    <xsd:element name="FunctionalArea" ma:index="15" nillable="true" ma:displayName="FunctionalArea" ma:format="Dropdown" ma:internalName="FunctionalArea">
      <xsd:simpleType>
        <xsd:restriction base="dms:Text">
          <xsd:maxLength value="255"/>
        </xsd:restriction>
      </xsd:simpleType>
    </xsd:element>
    <xsd:element name="OutputNumber" ma:index="16" nillable="true" ma:displayName="OutputNumber" ma:format="Dropdown" ma:indexed="true" ma:internalName="OutputNumber">
      <xsd:simpleType>
        <xsd:restriction base="dms:Text">
          <xsd:maxLength value="255"/>
        </xsd:restriction>
      </xsd:simpleType>
    </xsd:element>
    <xsd:element name="DocumentStatus" ma:index="17" nillable="true" ma:displayName="DocumentStatus" ma:format="Dropdown" ma:internalName="DocumentStatus">
      <xsd:simpleType>
        <xsd:restriction base="dms:Text">
          <xsd:maxLength value="255"/>
        </xsd:restriction>
      </xsd:simpleType>
    </xsd:element>
    <xsd:element name="DocCoverageStartDate" ma:index="18" nillable="true" ma:displayName="DocCoverageStartDate" ma:default="[today]" ma:format="DateOnly" ma:indexed="true" ma:internalName="DocCoverageStartDate">
      <xsd:simpleType>
        <xsd:restriction base="dms:DateTime"/>
      </xsd:simpleType>
    </xsd:element>
    <xsd:element name="DocCoverageEndDate" ma:index="19" nillable="true" ma:displayName="DocCoverageEndDate" ma:format="DateOnly" ma:internalName="DocCoverageEndDate">
      <xsd:simpleType>
        <xsd:restriction base="dms:DateTime"/>
      </xsd:simpleType>
    </xsd:element>
    <xsd:element name="FocusArea" ma:index="20" nillable="true" ma:displayName="FocusArea" ma:format="Dropdown" ma:indexed="true" ma:internalName="FocusArea">
      <xsd:simpleType>
        <xsd:restriction base="dms:Text">
          <xsd:maxLength value="255"/>
        </xsd:restriction>
      </xsd:simpleType>
    </xsd:element>
    <xsd:element name="AuthorName" ma:index="21" nillable="true" ma:displayName="AuthorName" ma:format="Dropdown" ma:indexed="true" ma:internalName="AuthorName">
      <xsd:simpleType>
        <xsd:restriction base="dms:Text">
          <xsd:maxLength value="255"/>
        </xsd:restriction>
      </xsd:simpleType>
    </xsd:element>
    <xsd:element name="OfficeCountry" ma:index="22" nillable="true" ma:displayName="OfficeCountry" ma:format="Dropdown" ma:indexed="true" ma:internalName="OfficeCountry">
      <xsd:simpleType>
        <xsd:restriction base="dms:Text">
          <xsd:maxLength value="255"/>
        </xsd:restriction>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Location" ma:index="34" nillable="true" ma:displayName="Location" ma:indexed="true" ma:internalName="MediaServiceLocation"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EventDate" ma:index="36" nillable="true" ma:displayName="EventDate" ma:format="DateOnly" ma:internalName="EventDate">
      <xsd:simpleType>
        <xsd:restriction base="dms:DateTime"/>
      </xsd:simpleType>
    </xsd:element>
    <xsd:element name="ProjectDocumentTypes" ma:index="37" nillable="true" ma:displayName="ProjectDocumentTypes" ma:format="Dropdown" ma:internalName="ProjectDocumentTypes">
      <xsd:simpleType>
        <xsd:restriction base="dms:Choice">
          <xsd:enumeration value="Project Board Meeting Minutes"/>
          <xsd:enumeration value="Monitoring/Field visit report"/>
          <xsd:enumeration value="Sustainability Plan"/>
          <xsd:enumeration value="Combined Delivery reports (CDR)"/>
        </xsd:restriction>
      </xsd:simpleType>
    </xsd:element>
    <xsd:element name="MediaServiceBillingMetadata" ma:index="3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1d5986-7c29-4ed1-8a54-b8fb378ed47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89ecd518-8760-4857-902e-5583cb61199f}" ma:internalName="TaxCatchAll" ma:showField="CatchAllData" ma:web="e91d5986-7c29-4ed1-8a54-b8fb378ed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fficeCountry xmlns="d9cf0e28-81d2-4dc7-8b10-820d80ed680d">B0408 - Indonesia - Jakarta</OfficeCountry>
    <DocumentStatus xmlns="d9cf0e28-81d2-4dc7-8b10-820d80ed680d">Approved</DocumentStatus>
    <DocCoverageEndDate xmlns="d9cf0e28-81d2-4dc7-8b10-820d80ed680d">2019-06-30T04:00:00+00:00</DocCoverageEndDate>
    <TaxCatchAll xmlns="e91d5986-7c29-4ed1-8a54-b8fb378ed474" xsi:nil="true"/>
    <EventDate xmlns="d9cf0e28-81d2-4dc7-8b10-820d80ed680d" xsi:nil="true"/>
    <ProjectDocumentTypes xmlns="d9cf0e28-81d2-4dc7-8b10-820d80ed680d" xsi:nil="true"/>
    <FunctionalArea xmlns="d9cf0e28-81d2-4dc7-8b10-820d80ed680d">Programme and Project</FunctionalArea>
    <FileNameDescription xmlns="d9cf0e28-81d2-4dc7-8b10-820d80ed680d">KALFOR Progress Report</FileNameDescription>
    <ProjectNumber xmlns="d9cf0e28-81d2-4dc7-8b10-820d80ed680d">00085815</ProjectNumber>
    <DocumentType xmlns="d9cf0e28-81d2-4dc7-8b10-820d80ed680d">Progress Report</DocumentType>
    <Language xmlns="d9cf0e28-81d2-4dc7-8b10-820d80ed680d">English</Language>
    <AuthorName xmlns="d9cf0e28-81d2-4dc7-8b10-820d80ed680d">UNDP</AuthorName>
    <DocumentCategory xmlns="d9cf0e28-81d2-4dc7-8b10-820d80ed680d">Project</DocumentCategory>
    <OperatingUnit xmlns="d9cf0e28-81d2-4dc7-8b10-820d80ed680d">UNDP-IDN</OperatingUnit>
    <lcf76f155ced4ddcb4097134ff3c332f xmlns="d9cf0e28-81d2-4dc7-8b10-820d80ed680d">
      <Terms xmlns="http://schemas.microsoft.com/office/infopath/2007/PartnerControls"/>
    </lcf76f155ced4ddcb4097134ff3c332f>
    <FocusArea xmlns="d9cf0e28-81d2-4dc7-8b10-820d80ed680d">Environment and Energy</FocusArea>
    <DocCoverageStartDate xmlns="d9cf0e28-81d2-4dc7-8b10-820d80ed680d">2018-07-01T04:00:00+00:00</DocCoverageStartDate>
    <FileClassificationMode xmlns="d9cf0e28-81d2-4dc7-8b10-820d80ed680d">Public</FileClassificationMode>
    <OutputNumber xmlns="d9cf0e28-81d2-4dc7-8b10-820d80ed680d">00093330</OutputNumber>
  </documentManagement>
</p:properties>
</file>

<file path=customXml/itemProps1.xml><?xml version="1.0" encoding="utf-8"?>
<ds:datastoreItem xmlns:ds="http://schemas.openxmlformats.org/officeDocument/2006/customXml" ds:itemID="{CDC6E308-DD42-4A47-9BC1-4E75F09E36E7}"/>
</file>

<file path=customXml/itemProps2.xml><?xml version="1.0" encoding="utf-8"?>
<ds:datastoreItem xmlns:ds="http://schemas.openxmlformats.org/officeDocument/2006/customXml" ds:itemID="{F0361CDE-1C44-4CF0-9077-FD58B5080A44}"/>
</file>

<file path=customXml/itemProps3.xml><?xml version="1.0" encoding="utf-8"?>
<ds:datastoreItem xmlns:ds="http://schemas.openxmlformats.org/officeDocument/2006/customXml" ds:itemID="{D1A3F443-D42A-41B2-8ADE-77E083D90B6B}"/>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KALFOR Progress Report</dc:title>
  <dc:subject/>
  <dc:creator/>
  <cp:keywords/>
  <dc:description/>
  <cp:lastModifiedBy/>
  <dcterms:created xsi:type="dcterms:W3CDTF">2019-09-25T20:36:25Z</dcterms:created>
  <dcterms:modified xsi:type="dcterms:W3CDTF">2019-09-25T20:36:25Z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0x010100155F732436BD414ABE4F9007290F88BC</vt:lpwstr>
  </property>
</Properties>
</file>