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2024</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KALFOR Strengthening Forest Area Planning</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Annex - Ratings Definitions</w:t>
        </w:r>
        <w:r>
          <w:tab/>
        </w:r>
        <w:r>
          <w:fldChar w:fldCharType="begin"/>
        </w:r>
        <w:r>
          <w:instrText xml:space="preserve">PAGEREF _Toc16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5029</w:t>
            </w:r>
          </w:p>
        </w:tc>
      </w:tr>
      <w:tr>
        <w:trPr/>
        <w:tc>
          <w:tcPr>
            <w:tcW w:w="5000" w:type="dxa"/>
            <w:gridSpan w:val="1"/>
          </w:tcPr>
          <w:p>
            <w:pPr/>
            <w:r>
              <w:rPr/>
              <w:t xml:space="preserve">GEF ID</w:t>
            </w:r>
          </w:p>
        </w:tc>
        <w:tc>
          <w:tcPr>
            <w:tcW w:w="5000" w:type="dxa"/>
            <w:gridSpan w:val="1"/>
          </w:tcPr>
          <w:p>
            <w:pPr/>
            <w:r>
              <w:rPr/>
              <w:t xml:space="preserve">6965</w:t>
            </w:r>
          </w:p>
        </w:tc>
      </w:tr>
      <w:tr>
        <w:trPr/>
        <w:tc>
          <w:tcPr>
            <w:tcW w:w="5000" w:type="dxa"/>
            <w:gridSpan w:val="1"/>
          </w:tcPr>
          <w:p>
            <w:pPr/>
            <w:r>
              <w:rPr/>
              <w:t xml:space="preserve">Title</w:t>
            </w:r>
          </w:p>
        </w:tc>
        <w:tc>
          <w:tcPr>
            <w:tcW w:w="5000" w:type="dxa"/>
            <w:gridSpan w:val="1"/>
          </w:tcPr>
          <w:p>
            <w:pPr/>
            <w:r>
              <w:rPr/>
              <w:t xml:space="preserve">Strengthening Forest Area Planning and Management in Kalimantan</w:t>
            </w:r>
          </w:p>
        </w:tc>
      </w:tr>
      <w:tr>
        <w:trPr/>
        <w:tc>
          <w:tcPr>
            <w:tcW w:w="5000" w:type="dxa"/>
            <w:gridSpan w:val="1"/>
          </w:tcPr>
          <w:p>
            <w:pPr/>
            <w:r>
              <w:rPr/>
              <w:t xml:space="preserve">Country(ies)</w:t>
            </w:r>
          </w:p>
        </w:tc>
        <w:tc>
          <w:tcPr>
            <w:tcW w:w="5000" w:type="dxa"/>
            <w:gridSpan w:val="1"/>
          </w:tcPr>
          <w:p>
            <w:pPr/>
            <w:r>
              <w:rPr/>
              <w:t xml:space="preserve">Indonesia, Indonesia</w:t>
            </w:r>
          </w:p>
        </w:tc>
      </w:tr>
      <w:tr>
        <w:trPr/>
        <w:tc>
          <w:tcPr>
            <w:tcW w:w="5000" w:type="dxa"/>
            <w:gridSpan w:val="1"/>
          </w:tcPr>
          <w:p>
            <w:pPr/>
            <w:r>
              <w:rPr/>
              <w:t xml:space="preserve">UNDP Technical Team</w:t>
            </w:r>
          </w:p>
        </w:tc>
        <w:tc>
          <w:tcPr>
            <w:tcW w:w="5000" w:type="dxa"/>
            <w:gridSpan w:val="1"/>
          </w:tcPr>
          <w:p>
            <w:pPr/>
            <w:r>
              <w:rPr/>
              <w:t xml:space="preserve">Ecosystems and Biodiversity</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Ministry of Environment and Forestry (MoEF)</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7th PIR</w:t>
            </w:r>
          </w:p>
        </w:tc>
      </w:tr>
      <w:tr>
        <w:trPr/>
        <w:tc>
          <w:tcPr>
            <w:tcW w:w="5000" w:type="dxa"/>
            <w:gridSpan w:val="1"/>
          </w:tcPr>
          <w:p>
            <w:pPr/>
            <w:r>
              <w:rPr/>
              <w:t xml:space="preserve">GEF Fiscal Year</w:t>
            </w:r>
          </w:p>
        </w:tc>
        <w:tc>
          <w:tcPr>
            <w:tcW w:w="5000" w:type="dxa"/>
            <w:gridSpan w:val="1"/>
          </w:tcPr>
          <w:p>
            <w:pPr/>
            <w:r>
              <w:rPr/>
              <w:t xml:space="preserve">FY24</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development challenge targeted by the present project involves the need for Indonesia to define, plan for and create a better balance between the development and management of major estate crops such as rubber, coffee, and oil palm, and the need for improved forest protection. The project thus focuses on creating more effective land allocations and management of forest areas with high biodiversity and ecosystem services in the context of potential estate crop development in Kalimantan and particularly in the Heart of Borneo (HoB) area. Competing priorities between the country’s targeted increase in palm oil production and associated growth and employment targets for the sector need to be reconciled with commitments at both national and international levels to reducing rates of deforestation, forest fires and associated GHG emissions and biodiversity loss.</w:t>
            </w:r>
          </w:p>
          <w:p>
            <w:pPr/>
            <w:r>
              <w:rPr/>
              <w:t xml:space="preserve">The project strategy and theory of change is based on carrying out a clear process of identifying priority locations and testing approaches where enhanced forest area planning, management and associated use of incentives can be used to generate national and global incremental benefits without harming the potential for economic growth and development of the relevant Kalimantan provinces associated with increased production of estate crops. In addition to providing extensive benefits to Kalimantan including the HoB area, the national-level policies and tools to be developed by the project will also be of significant potential value to other areas of Indonesia facing similar development challenges. The strategy is focused on developing and implementing various approaches to enhancing protection of forested areas in the Non-Forest Land and in the convertible forest, both of which are subject to potential conversion (administratively and/or physically) to estate crops despite their remaining forest cover.</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 BPPS Technical Advisor</w:t>
            </w:r>
          </w:p>
        </w:tc>
        <w:tc>
          <w:tcPr>
            <w:tcW w:w="5000" w:type="dxa"/>
            <w:gridSpan w:val="1"/>
          </w:tcPr>
          <w:p>
            <w:pPr/>
            <w:r>
              <w:rPr/>
              <w:t xml:space="preserve">Ms. Kaavya Varma (kaavya.varma@undp.org)</w:t>
            </w:r>
          </w:p>
        </w:tc>
      </w:tr>
      <w:tr>
        <w:trPr/>
        <w:tc>
          <w:tcPr>
            <w:tcW w:w="5000" w:type="dxa"/>
            <w:gridSpan w:val="1"/>
          </w:tcPr>
          <w:p>
            <w:pPr/>
            <w:r>
              <w:rPr/>
              <w:t xml:space="preserve">UNDP BPPS Programme Associate</w:t>
            </w:r>
          </w:p>
        </w:tc>
        <w:tc>
          <w:tcPr>
            <w:tcW w:w="5000" w:type="dxa"/>
            <w:gridSpan w:val="1"/>
          </w:tcPr>
          <w:p>
            <w:pPr/>
            <w:r>
              <w:rPr/>
              <w:t xml:space="preserve">Mr. Sarawut TANGSAKHA (sarawut.tangsakha@undp.org)</w:t>
            </w:r>
          </w:p>
        </w:tc>
      </w:tr>
      <w:tr>
        <w:trPr/>
        <w:tc>
          <w:tcPr>
            <w:tcW w:w="5000" w:type="dxa"/>
            <w:gridSpan w:val="1"/>
          </w:tcPr>
          <w:p>
            <w:pPr/>
            <w:r>
              <w:rPr/>
              <w:t xml:space="preserve">Project Manager/Coordinator</w:t>
            </w:r>
          </w:p>
        </w:tc>
        <w:tc>
          <w:tcPr>
            <w:tcW w:w="5000" w:type="dxa"/>
            <w:gridSpan w:val="1"/>
          </w:tcPr>
          <w:p>
            <w:pPr/>
            <w:r>
              <w:rPr/>
              <w:t xml:space="preserve">Ms. LAKSMI BANOWATI (laksmi.banowati@undp.org)</w:t>
            </w:r>
          </w:p>
        </w:tc>
      </w:tr>
      <w:tr>
        <w:trPr/>
        <w:tc>
          <w:tcPr>
            <w:tcW w:w="5000" w:type="dxa"/>
            <w:gridSpan w:val="1"/>
          </w:tcPr>
          <w:p>
            <w:pPr/>
            <w:r>
              <w:rPr/>
              <w:t xml:space="preserve">UNDP Country Office Programme Officer</w:t>
            </w:r>
          </w:p>
        </w:tc>
        <w:tc>
          <w:tcPr>
            <w:tcW w:w="5000" w:type="dxa"/>
            <w:gridSpan w:val="1"/>
          </w:tcPr>
          <w:p>
            <w:pPr/>
            <w:r>
              <w:rPr/>
              <w:t xml:space="preserve">Mr. Anton Sri Probiyantono</w:t>
            </w:r>
          </w:p>
        </w:tc>
      </w:tr>
      <w:tr>
        <w:trPr/>
        <w:tc>
          <w:tcPr>
            <w:tcW w:w="5000" w:type="dxa"/>
            <w:gridSpan w:val="1"/>
          </w:tcPr>
          <w:p>
            <w:pPr/>
            <w:r>
              <w:rPr/>
              <w:t xml:space="preserve">UNDP Country Office Deputy Resident Representative</w:t>
            </w:r>
          </w:p>
        </w:tc>
        <w:tc>
          <w:tcPr>
            <w:tcW w:w="5000" w:type="dxa"/>
            <w:gridSpan w:val="1"/>
          </w:tcPr>
          <w:p>
            <w:pPr/>
            <w:r>
              <w:rPr/>
              <w:t xml:space="preserve">Ms. Sujala Pant (sujala.pant@undp.org)</w:t>
            </w:r>
          </w:p>
          <w:p>
            <w:pPr/>
            <w:r>
              <w:rPr/>
              <w:t xml:space="preserve">Aretha Aprilia (aretha.aprilia@undp.org)</w:t>
            </w:r>
          </w:p>
        </w:tc>
      </w:tr>
      <w:tr>
        <w:trPr/>
        <w:tc>
          <w:tcPr>
            <w:tcW w:w="5000" w:type="dxa"/>
            <w:gridSpan w:val="1"/>
          </w:tcPr>
          <w:p>
            <w:pPr/>
            <w:r>
              <w:rPr/>
              <w:t xml:space="preserve">UNDP Regional Bureau Desk Officer</w:t>
            </w:r>
          </w:p>
        </w:tc>
        <w:tc>
          <w:tcPr>
            <w:tcW w:w="5000" w:type="dxa"/>
            <w:gridSpan w:val="1"/>
          </w:tcPr>
          <w:p>
            <w:pPr/>
            <w:r>
              <w:rPr/>
              <w:t xml:space="preserve">Ms. Ranjita Mohanty (ranjita.mohanty@undp.org)</w:t>
            </w:r>
          </w:p>
        </w:tc>
      </w:tr>
      <w:tr>
        <w:trPr/>
        <w:tc>
          <w:tcPr>
            <w:tcW w:w="5000" w:type="dxa"/>
            <w:gridSpan w:val="1"/>
          </w:tcPr>
          <w:p>
            <w:pPr/>
            <w:r>
              <w:rPr/>
              <w:t xml:space="preserve">GEF Operational Focal Point</w:t>
            </w:r>
          </w:p>
        </w:tc>
        <w:tc>
          <w:tcPr>
            <w:tcW w:w="5000" w:type="dxa"/>
            <w:gridSpan w:val="1"/>
          </w:tcPr>
          <w:p>
            <w:pPr/>
            <w:r>
              <w:rPr/>
              <w:t xml:space="preserve">Ms. Laksmi Dhewanthi (gefsecindonesia@gmail.com)</w:t>
            </w:r>
          </w:p>
        </w:tc>
      </w:tr>
      <w:tr>
        <w:trPr/>
        <w:tc>
          <w:tcPr>
            <w:tcW w:w="5000" w:type="dxa"/>
            <w:gridSpan w:val="1"/>
          </w:tcPr>
          <w:p>
            <w:pPr/>
            <w:r>
              <w:rPr/>
              <w:t xml:space="preserve">Project Implementing Partner</w:t>
            </w:r>
          </w:p>
        </w:tc>
        <w:tc>
          <w:tcPr>
            <w:tcW w:w="5000" w:type="dxa"/>
            <w:gridSpan w:val="1"/>
          </w:tcPr>
          <w:p>
            <w:pPr/>
            <w:r>
              <w:rPr/>
              <w:t xml:space="preserve">Mr. Erik Teguh Primiantoro (eriktpmes2000@gmail.com)</w:t>
            </w:r>
          </w:p>
        </w:tc>
      </w:tr>
      <w:tr>
        <w:trPr/>
        <w:tc>
          <w:tcPr>
            <w:tcW w:w="5000" w:type="dxa"/>
            <w:gridSpan w:val="1"/>
          </w:tcPr>
          <w:p>
            <w:pPr/>
            <w:r>
              <w:rPr/>
              <w:t xml:space="preserve">Other Partners</w:t>
            </w:r>
          </w:p>
        </w:tc>
        <w:tc>
          <w:tcPr>
            <w:tcW w:w="5000" w:type="dxa"/>
            <w:gridSpan w:val="1"/>
          </w:tcPr>
          <w:p>
            <w:pPr/>
            <w:r>
              <w:rPr/>
              <w:t xml:space="preserve">Mr. Medrilzam  (medrilzam@bappenas.go.id)</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Highly Satisfactory</w:t>
            </w:r>
          </w:p>
        </w:tc>
      </w:tr>
      <w:tr>
        <w:trPr/>
        <w:tc>
          <w:tcPr>
            <w:tcW w:w="8000" w:type="dxa"/>
            <w:gridSpan w:val="1"/>
          </w:tcPr>
          <w:p>
            <w:pPr/>
            <w:r>
              <w:rPr/>
              <w:t xml:space="preserve">Overall IP Rating</w:t>
            </w:r>
          </w:p>
        </w:tc>
        <w:tc>
          <w:tcPr>
            <w:tcW w:w="8000" w:type="dxa"/>
            <w:gridSpan w:val="1"/>
          </w:tcPr>
          <w:p>
            <w:pPr/>
            <w:r>
              <w:rPr/>
              <w:t xml:space="preserve">Highly Satisfactory</w:t>
            </w:r>
          </w:p>
        </w:tc>
      </w:tr>
      <w:tr>
        <w:trPr/>
        <w:tc>
          <w:tcPr>
            <w:tcW w:w="8000" w:type="dxa"/>
            <w:gridSpan w:val="1"/>
          </w:tcPr>
          <w:p>
            <w:pPr/>
            <w:r>
              <w:rPr/>
              <w:t xml:space="preserve">Overall Risk Rating</w:t>
            </w:r>
          </w:p>
        </w:tc>
        <w:tc>
          <w:tcPr>
            <w:tcW w:w="8000" w:type="dxa"/>
            <w:gridSpan w:val="1"/>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Maintaining forest areas, including the biodiversity and ecosystem functions of Kalimantan’s lowland and montane areas, from the development of estate crops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Total net area of HCV-equivalent forest within Kalimantan portions of HoB identified, mapped and with significantly enhanced legal protection due to: (i) reclassification from APL to permanent forest, (ii) removal from convertible forest category or (iii) other legal protections (e.g. within plantation set aside rules, KEE implementation, etc.)</w:t>
            </w:r>
          </w:p>
        </w:tc>
        <w:tc>
          <w:tcPr>
            <w:tcW w:w="2000" w:type="dxa"/>
            <w:gridSpan w:val="1"/>
          </w:tcPr>
          <w:p>
            <w:pPr/>
            <w:r>
              <w:rPr/>
              <w:t xml:space="preserve">Baseline estimate to emerge from mapping exercise during year 1 and 2</w:t>
            </w:r>
          </w:p>
        </w:tc>
        <w:tc>
          <w:tcPr>
            <w:tcW w:w="2000" w:type="dxa"/>
            <w:gridSpan w:val="1"/>
          </w:tcPr>
          <w:p>
            <w:pPr/>
            <w:r>
              <w:rPr/>
              <w:t xml:space="preserve">Increase from baseline of 250,000 ha of HCV-equivalent forest</w:t>
            </w:r>
          </w:p>
        </w:tc>
        <w:tc>
          <w:tcPr>
            <w:tcW w:w="2000" w:type="dxa"/>
            <w:gridSpan w:val="1"/>
          </w:tcPr>
          <w:p>
            <w:pPr/>
            <w:r>
              <w:rPr/>
              <w:t xml:space="preserve">Increase from baseline of 500,000 ha of HCV-equivalent forest</w:t>
            </w:r>
          </w:p>
        </w:tc>
        <w:tc>
          <w:tcPr>
            <w:tcW w:w="4000" w:type="dxa"/>
            <w:gridSpan w:val="1"/>
          </w:tcPr>
          <w:p>
            <w:pPr/>
            <w:r>
              <w:rPr/>
              <w:t xml:space="preserve">This indicator has been achieved and exceeded.</w:t>
            </w:r>
          </w:p>
          <w:p>
            <w:pPr/>
            <w:r>
              <w:rPr/>
              <w:t xml:space="preserve">By June 2023, cumulative progress reached 133% towards the End of Project target, as a result of an additional 21,497ha of APL forest coming under enhanced protection in the 3 provinces. Therefore, the cumulative total area of APL forest under enhanced protection in the 3 provinces reached  665,871 ha, surpassing the end-target of 500,000 ha by 33 percent.</w:t>
            </w:r>
          </w:p>
          <w:p>
            <w:pPr/>
            <w:r>
              <w:rPr/>
              <w:t xml:space="preserve"/>
            </w:r>
          </w:p>
          <w:p>
            <w:pPr/>
            <w:r>
              <w:rPr/>
              <w:t xml:space="preserve">Overall, the KalFor project has facilitated data collection, expert and multi stakeholder discussions to develop 8 regulations in East Kalimantan; 3 regulations in Central Kalimantan; 3 regulations in West Kalimantan.</w:t>
            </w:r>
          </w:p>
          <w:p>
            <w:pPr/>
            <w:r>
              <w:rPr/>
              <w:t xml:space="preserve"/>
            </w:r>
          </w:p>
          <w:p>
            <w:pPr/>
            <w:r>
              <w:rPr/>
              <w:t xml:space="preserve">The 665,871 ha of APL forest under enhanced protection is the outcome of regulations in three provinces and four districts and villages. Cumulatively, the project has supported the development of 14 regulations, of which three (No. 1-3 below) were produced during the reporting period::</w:t>
            </w:r>
          </w:p>
          <w:p>
            <w:pPr/>
            <w:r>
              <w:rPr/>
              <w:t xml:space="preserve">1.	Head of Village Letter of Tepian Terap No. 3/2022 on Village Owned Forest (102 ha)</w:t>
            </w:r>
          </w:p>
          <w:p>
            <w:pPr/>
            <w:r>
              <w:rPr/>
              <w:t xml:space="preserve">2.	Governor Decision of Central Kalimantan No. 188.44/2/2023 on Nyaru Menteng Urban Forest (100 ha)</w:t>
            </w:r>
          </w:p>
          <w:p>
            <w:pPr/>
            <w:r>
              <w:rPr/>
              <w:t xml:space="preserve">3.	Draft of Governor Regulation of Central Kalimantan on Grand Forest Park (Tahura Lapak Jaru 4.119 ha), Recapitulation of Community Forest in Central Kalimantan (19.528 ha), Urban Forest (3.026 ha).</w:t>
            </w:r>
          </w:p>
          <w:p>
            <w:pPr/>
            <w:r>
              <w:rPr/>
              <w:t xml:space="preserve">4.	Ministerial Decision of MoEF No. SK. 241/MENLHK/SETJEN/PLA.0/6/2020 on Lempake for KHDTK Mulawarman University (299 ha)</w:t>
            </w:r>
          </w:p>
          <w:p>
            <w:pPr/>
            <w:r>
              <w:rPr/>
              <w:t xml:space="preserve">5.	Governor Regulations of West Kalimantan as a derivative of West Kalimantan Regional Regulation number 6/2018 concerning the allocation of 7% of forest area for land-based businesses: (1) Multi-stakeholder engagement, (2) Sanctions, (3) Conservation and (4) Forest protection management, (99.404 ha).</w:t>
            </w:r>
          </w:p>
          <w:p>
            <w:pPr/>
            <w:r>
              <w:rPr/>
              <w:t xml:space="preserve">6.	Governor Decision of East Kalimantan No. 525/K.244/2022 on Map of HCV in estate area (456.827 ha)</w:t>
            </w:r>
          </w:p>
          <w:p>
            <w:pPr/>
            <w:r>
              <w:rPr/>
              <w:t xml:space="preserve">7.	Governor Decision of West Kalimantan No. 536/BKAD/2022 on Teluk Akar Begantung Urban Forest (106 ha)</w:t>
            </w:r>
          </w:p>
          <w:p>
            <w:pPr/>
            <w:r>
              <w:rPr/>
              <w:t xml:space="preserve">8.	Regent Regulation of Sintang No. 122/2021 on Rimba Gupung (56.277 ha)</w:t>
            </w:r>
          </w:p>
          <w:p>
            <w:pPr/>
            <w:r>
              <w:rPr/>
              <w:t xml:space="preserve">9.	Regent Letter of Kotawaringin Barat No. 660/1128/DLH.1/X/2021 on Monitor and secure forested areas in APL (17.316 ha) including Grand Forest Park proposal area is 4.600 ha, and Ministerial Decision of Kotawaringin Barat No. SK.10175/MENLHK-PSKL/PKPS/PSL.0/12/2022 on Granting Forest Management Approval to the Jurung Tiga Farmer Group 199 Ha.</w:t>
            </w:r>
          </w:p>
          <w:p>
            <w:pPr/>
            <w:r>
              <w:rPr/>
              <w:t xml:space="preserve">10.	Regent Letter of Kutai Timur No. 525/K.498/2022 on Determination of Indicative HCVA maps in Areas Designated for Plantations (48.933 ha)</w:t>
            </w:r>
          </w:p>
          <w:p>
            <w:pPr/>
            <w:r>
              <w:rPr/>
              <w:t xml:space="preserve">11.	Kutai Timur Regent Decision of Botanical Garden Bukit Pelangi (Meaning “Rainbow Hill”) No. 454/02.188.45/KH/XII/2003 on Botanical Garden of Bukit Pelangi (20,5 ha)</w:t>
            </w:r>
          </w:p>
          <w:p>
            <w:pPr/>
            <w:r>
              <w:rPr/>
              <w:t xml:space="preserve">12.	Head of Village Decision of Batu Lepoq No. 141/281/XI/2020 on Designation of Forested Areas Outside Forest Areas as Village Owned Forest (1.460 ha)</w:t>
            </w:r>
          </w:p>
          <w:p>
            <w:pPr/>
            <w:r>
              <w:rPr/>
              <w:t xml:space="preserve">13.	Village Regulation of Sempayau No. 1/2021 on Determination of Use and Protection Areas (6.746 ha)</w:t>
            </w:r>
          </w:p>
          <w:p>
            <w:pPr/>
            <w:r>
              <w:rPr/>
              <w:t xml:space="preserve">14.	Village Regulation of Saka No. 1/2021 on Designation of Village Owned Forest (541 ha)</w:t>
            </w:r>
          </w:p>
          <w:p>
            <w:pPr/>
            <w:r>
              <w:rPr/>
              <w:t xml:space="preserve"/>
            </w:r>
          </w:p>
          <w:p>
            <w:pPr/>
            <w:r>
              <w:rPr/>
              <w:t xml:space="preserve">In addition, during the reporting period, the project facilitated the preparation of the Draft Governor Regulation of TAHURA, Urban Forest and Community Forest in Central Kalimantan in order to encourage/regulate the establishment of TAHURA, Urban Forest and Community Forest in other Regencies. The evolving political situation due to changes in decision makers has caused delays in the signing of the regulation, in spite of indications of commitment by the local government. In early 2023, the Provincial Government requested the project to support its technical consultations with the National Government, through MoEF, regarding the draft regulation. Consequently, it is anticipated that the regulation will be signed by the end of 2023.</w:t>
            </w:r>
          </w:p>
          <w:p>
            <w:pPr/>
            <w:r>
              <w:rPr/>
              <w:t xml:space="preserve">Evidence:</w:t>
            </w:r>
          </w:p>
          <w:p>
            <w:pPr/>
            <w:r>
              <w:rPr/>
              <w:t xml:space="preserve">1.	Perda (Kalbar) No. 6/2018 [Pengelolaan Usaha Berbasis Lahan Berkelanjutan].pdf</w:t>
            </w:r>
          </w:p>
          <w:p>
            <w:pPr/>
            <w:r>
              <w:rPr/>
              <w:t xml:space="preserve">2.	SK Gubernur (Kalbar) No. 536/BKAD/2022 [Urban Forest Teluk Akar Begantung].pdf</w:t>
            </w:r>
          </w:p>
          <w:p>
            <w:pPr/>
            <w:r>
              <w:rPr/>
              <w:t xml:space="preserve">3.	Perbup (Gunung Mas) No. 23/2019 [Petunjuk Pelaksanaan Pemungutan Retribusi Lapak Jaru].pdf</w:t>
            </w:r>
          </w:p>
          <w:p>
            <w:pPr/>
            <w:r>
              <w:rPr/>
              <w:t xml:space="preserve">4.	SK Gubernur (Kalteng) No. 188.44-2-2023 [Hutan Kota Nyaru Menteng].pdf</w:t>
            </w:r>
          </w:p>
          <w:p>
            <w:pPr/>
            <w:r>
              <w:rPr/>
              <w:t xml:space="preserve">5.	SK Gubernur (Kaltim) No. 525/K.244/2022 [Map of HCV in estate area].pdf</w:t>
            </w:r>
          </w:p>
          <w:p>
            <w:pPr/>
            <w:r>
              <w:rPr/>
              <w:t xml:space="preserve">6.	SK Menteri LHK No. SK. 241/MENLHK/SETJEN/PLA.0/6/2020 [Lempake untuk KHDTK UNMUL].pdf</w:t>
            </w:r>
          </w:p>
          <w:p>
            <w:pPr/>
            <w:r>
              <w:rPr/>
              <w:t xml:space="preserve">7.	Perbup (Sintang) No. 122/2021 [Rimba Gupung].pdf</w:t>
            </w:r>
          </w:p>
          <w:p>
            <w:pPr/>
            <w:r>
              <w:rPr/>
              <w:t xml:space="preserve">8.	Surat Bupati (Kobar) No. 660/1128/DLH.1/X/2021 [Mengawasi dan mengamankan areal berhutan di APL].pdf</w:t>
            </w:r>
          </w:p>
          <w:p>
            <w:pPr/>
            <w:r>
              <w:rPr/>
              <w:t xml:space="preserve">9.	Perbup (Kobar) No. 60-2022 [RTH Kawasan Perkotaan].pdf</w:t>
            </w:r>
          </w:p>
          <w:p>
            <w:pPr/>
            <w:r>
              <w:rPr/>
              <w:t xml:space="preserve">10.	SK Menteri LHK SK.10175_MenLHK-PSKL_PKPS_PSL.0_12_2022 [Pemberian Persetujuan Pengelolaan Hutan pada Kelompok Tani Jurung Tiga].pdf</w:t>
            </w:r>
          </w:p>
          <w:p>
            <w:pPr/>
            <w:r>
              <w:rPr/>
              <w:t xml:space="preserve">11.	SK Bupati (Kutim) No. 525/K.498/2022 [Protecting HCV in plantation area].pdf</w:t>
            </w:r>
          </w:p>
          <w:p>
            <w:pPr/>
            <w:r>
              <w:rPr/>
              <w:t xml:space="preserve">12.	SK Bupati (Kutim) No. 454/02.188.45/KH/XII/2003 [Taman Botani].pdf</w:t>
            </w:r>
          </w:p>
          <w:p>
            <w:pPr/>
            <w:r>
              <w:rPr/>
              <w:t xml:space="preserve">13.	SK Kades Batu Lepoq (Kutim) No. 141/281/XI/2020 [Penetapan Areal Berhutan di Luar Kawasan Hutan sebagai HMD].pdf</w:t>
            </w:r>
          </w:p>
          <w:p>
            <w:pPr/>
            <w:r>
              <w:rPr/>
              <w:t xml:space="preserve">14.	Perdes Saka (Kutim) No. 1/2021 [Penetapan Hutan Milik Desa].pdf</w:t>
            </w:r>
          </w:p>
          <w:p>
            <w:pPr/>
            <w:r>
              <w:rPr/>
              <w:t xml:space="preserve">15.	Perdes Sempayau (Kutim) No. 1/2021 [Penetapan Kawasan Pemanfaatan dan Perlindungan].pdf</w:t>
            </w:r>
          </w:p>
          <w:p>
            <w:pPr/>
            <w:r>
              <w:rPr/>
              <w:t xml:space="preserve">16.	Perdes Tepian Terap (Kutim) No. 3-2022 [Hutan Milik Desa].pdf</w:t>
            </w:r>
          </w:p>
          <w:p>
            <w:pPr/>
            <w:r>
              <w:rPr/>
              <w:t xml:space="preserve"/>
            </w:r>
          </w:p>
        </w:tc>
        <w:tc>
          <w:tcPr>
            <w:tcW w:w="4000" w:type="dxa"/>
            <w:gridSpan w:val="1"/>
          </w:tcPr>
          <w:p>
            <w:pPr/>
            <w:r>
              <w:rPr/>
              <w:t xml:space="preserve">This indicator has been achieved and exceeded.</w:t>
            </w:r>
          </w:p>
          <w:p>
            <w:pPr/>
            <w:r>
              <w:rPr/>
              <w:t xml:space="preserve"/>
            </w:r>
          </w:p>
          <w:p>
            <w:pPr/>
            <w:r>
              <w:rPr/>
              <w:t xml:space="preserve">KalFor has achieved 134% of the expected end of project target.</w:t>
            </w:r>
          </w:p>
          <w:p>
            <w:pPr/>
            <w:r>
              <w:rPr/>
              <w:t xml:space="preserve"/>
            </w:r>
          </w:p>
          <w:p>
            <w:pPr/>
            <w:r>
              <w:rPr/>
              <w:t xml:space="preserve">During the reporting period, 4,609 ha was protected through one regulation i.e.:</w:t>
            </w:r>
          </w:p>
          <w:p>
            <w:pPr/>
            <w:r>
              <w:rPr/>
              <w:t xml:space="preserve">Ministerial Decision of MoEF No. SK.940/MENLHK/SETJEN/PLA.2/8/2023 for the Grand Forest Park in Kotawaringin Barat.  This regulation protects the Grand Forest Park that was previously a Production Forest and therefore, the new status of Forest makes it safeguarded.</w:t>
            </w:r>
          </w:p>
          <w:p>
            <w:pPr/>
            <w:r>
              <w:rPr/>
              <w:t xml:space="preserve"/>
            </w:r>
          </w:p>
          <w:p>
            <w:pPr/>
            <w:r>
              <w:rPr/>
              <w:t xml:space="preserve">Consequently, at the end the project, it will have cumulatively achieved 670,480 ha (570,649 ha in HCVF area) – well above the final target of 500,000 ha -  through the development and implementation of 8 regulations in East Kalimantan; 4 regulations in Central Kalimantan; 3 regulations in West Kalimantan and 1 Ministerial Regulation for Central Kalimantan.</w:t>
            </w:r>
          </w:p>
          <w:p>
            <w:pPr/>
            <w:r>
              <w:rPr/>
              <w:t xml:space="preserve"/>
            </w:r>
          </w:p>
          <w:p>
            <w:pPr/>
            <w:r>
              <w:rPr/>
              <w:t xml:space="preserve">All regulations reported in the previous PIRs are summarized in the document entitled KalFor Achievement dated August 2024, which has been uploaded as evidence in the File Library.</w:t>
            </w:r>
          </w:p>
        </w:tc>
      </w:tr>
      <w:tr>
        <w:trPr/>
        <w:tc>
          <w:tcPr>
            <w:tcW w:w="4000" w:type="dxa"/>
            <w:gridSpan w:val="1"/>
          </w:tcPr>
          <w:p>
            <w:pPr/>
            <w:r>
              <w:rPr/>
              <w:t xml:space="preserve">Number of new partnership mechanisms with funding for sustainable management solutions of natural resources, ecosystem services, chemicals and waste at national and/or subnational level.</w:t>
            </w:r>
          </w:p>
        </w:tc>
        <w:tc>
          <w:tcPr>
            <w:tcW w:w="2000" w:type="dxa"/>
            <w:gridSpan w:val="1"/>
          </w:tcPr>
          <w:p>
            <w:pPr/>
            <w:r>
              <w:rPr/>
              <w:t xml:space="preserve">0 provincial forest and estate crops platforms and 0 multi-province Task Forces</w:t>
            </w:r>
          </w:p>
        </w:tc>
        <w:tc>
          <w:tcPr>
            <w:tcW w:w="2000" w:type="dxa"/>
            <w:gridSpan w:val="1"/>
          </w:tcPr>
          <w:p>
            <w:pPr/>
            <w:r>
              <w:rPr/>
              <w:t xml:space="preserve">At least 20 private sector, civil society, and donor organizations newly connected and engaged in broad-based dialogue through 3 provincial platforms and 1 multi-province Task Force</w:t>
            </w:r>
          </w:p>
        </w:tc>
        <w:tc>
          <w:tcPr>
            <w:tcW w:w="2000" w:type="dxa"/>
            <w:gridSpan w:val="1"/>
          </w:tcPr>
          <w:p>
            <w:pPr/>
            <w:r>
              <w:rPr/>
              <w:t xml:space="preserve">At least 30 private sector, civil society, and donor organizations newly connected and engaged in broad-based dialogue through 3 provincial platforms and 1 multi-province Task Force</w:t>
            </w:r>
          </w:p>
        </w:tc>
        <w:tc>
          <w:tcPr>
            <w:tcW w:w="4000" w:type="dxa"/>
            <w:gridSpan w:val="1"/>
          </w:tcPr>
          <w:p>
            <w:pPr/>
            <w:r>
              <w:rPr/>
              <w:t xml:space="preserve">This indicator has been achieved and exceeded.</w:t>
            </w:r>
          </w:p>
          <w:p>
            <w:pPr/>
            <w:r>
              <w:rPr/>
              <w:t xml:space="preserve">As of mid-2023, there have been 8 provincial and district-level forums involving a total of over 390 engaged organization members. These signify that the KalFor project has exceeded by over ten-fold against end-target</w:t>
            </w:r>
          </w:p>
          <w:p>
            <w:pPr/>
            <w:r>
              <w:rPr/>
              <w:t xml:space="preserve"/>
            </w:r>
          </w:p>
          <w:p>
            <w:pPr/>
            <w:r>
              <w:rPr/>
              <w:t xml:space="preserve">By June 2023, cumulative progress reached is 1300% (390 organizations/stakeholder) towards the End of Project target of stakeholders engaged in broad-based dialogues.</w:t>
            </w:r>
          </w:p>
          <w:p>
            <w:pPr/>
            <w:r>
              <w:rPr/>
              <w:t xml:space="preserve"/>
            </w:r>
          </w:p>
          <w:p>
            <w:pPr/>
            <w:r>
              <w:rPr/>
              <w:t xml:space="preserve">In addition, the cumulative progress towards provincial platforms achieved is 267% while the progress of multi-province Task Force was 100% of the End of Project targets.</w:t>
            </w:r>
          </w:p>
          <w:p>
            <w:pPr/>
            <w:r>
              <w:rPr/>
              <w:t xml:space="preserve"/>
            </w:r>
          </w:p>
          <w:p>
            <w:pPr/>
            <w:r>
              <w:rPr/>
              <w:t xml:space="preserve">While all these had been achieved in the previous reporting period, during the current reporting period, the multi-province Task Force was strengthened for the availability of forest cover GIS data in a more detailed scale than the available data, as well as the development of a roadmap for future KalFor activities, additionally KalFor will use those platform to share the lesson learn. via Kalimantan university forum through the leadership of Palangkaraya Muhammadiyah University in Central Kalimantan and Mulawarman University in East Kalimantan.</w:t>
            </w:r>
          </w:p>
          <w:p>
            <w:pPr/>
            <w:r>
              <w:rPr/>
              <w:t xml:space="preserve"/>
            </w:r>
          </w:p>
          <w:p>
            <w:pPr/>
            <w:r>
              <w:rPr/>
              <w:t xml:space="preserve">The existing forums have been the platforms for the KalFor Project to disseminate project results and lessons learned, and to discuss all activities related to APL protection.</w:t>
            </w:r>
          </w:p>
          <w:p>
            <w:pPr/>
            <w:r>
              <w:rPr/>
              <w:t xml:space="preserve">The project is continuing facilitating the discussion through these platform forums to ensure multi-stakeholder involvement. This will be facilitated for the remaining time of the project as well.</w:t>
            </w:r>
          </w:p>
          <w:p>
            <w:pPr/>
            <w:r>
              <w:rPr/>
              <w:t xml:space="preserve">The forums and their members representing government agencies, academia, communities, NGOs, external experts, and private companies include:</w:t>
            </w:r>
          </w:p>
          <w:p>
            <w:pPr/>
            <w:r>
              <w:rPr/>
              <w:t xml:space="preserve">1.In West Kalimantan Province, the Provincial Joint Secretariat Forum consists of 18 Local Government Agencies, NGOs/Associations/practitioners)</w:t>
            </w:r>
          </w:p>
          <w:p>
            <w:pPr/>
            <w:r>
              <w:rPr/>
              <w:t xml:space="preserve">2.Multistakeholder Forum on Natural Resources Management of West Kalimantan Province involves 71 organization members.</w:t>
            </w:r>
          </w:p>
          <w:p>
            <w:pPr/>
            <w:r>
              <w:rPr/>
              <w:t xml:space="preserve">3.In Sintang district, a Joint Secretariat for Sustainable Development comprises 59 institutions.</w:t>
            </w:r>
          </w:p>
          <w:p>
            <w:pPr/>
            <w:r>
              <w:rPr/>
              <w:t xml:space="preserve">4.In Ketapang District, the Multi-stakeholder Joint Secretariat in Sustainable Natural Resources Management is composed of 41 members.</w:t>
            </w:r>
          </w:p>
          <w:p>
            <w:pPr/>
            <w:r>
              <w:rPr/>
              <w:t xml:space="preserve">5.Central Kalimantan, existing forums has 15 parties.</w:t>
            </w:r>
          </w:p>
          <w:p>
            <w:pPr/>
            <w:r>
              <w:rPr/>
              <w:t xml:space="preserve">6.Kotawaringin Barat District Environment and Forestry discussion forum consists of 28 parties.</w:t>
            </w:r>
          </w:p>
          <w:p>
            <w:pPr/>
            <w:r>
              <w:rPr/>
              <w:t xml:space="preserve">7.East Kalimantan DDPI (Dewan Daerah Perubahan Iklim/Climate Change Province Council) has 58 Institutions.</w:t>
            </w:r>
          </w:p>
          <w:p>
            <w:pPr/>
            <w:r>
              <w:rPr/>
              <w:t xml:space="preserve">8.East Kalimantan Province Sustainable Plantation Forum encompasses 100 institutions.</w:t>
            </w:r>
          </w:p>
          <w:p>
            <w:pPr/>
            <w:r>
              <w:rPr/>
              <w:t xml:space="preserve"/>
            </w:r>
          </w:p>
          <w:p>
            <w:pPr/>
            <w:r>
              <w:rPr/>
              <w:t xml:space="preserve">Evidence:</w:t>
            </w:r>
          </w:p>
          <w:p>
            <w:pPr/>
            <w:r>
              <w:rPr/>
              <w:t xml:space="preserve">1.BTOR - Monev SIGAP and Projection activity in IKN.doc</w:t>
            </w:r>
          </w:p>
          <w:p>
            <w:pPr/>
            <w:r>
              <w:rPr/>
              <w:t xml:space="preserve">2.[English] 0 - Gender Strategy and Action Plan – MCS.pdf</w:t>
            </w:r>
          </w:p>
          <w:p>
            <w:pPr/>
            <w:r>
              <w:rPr/>
              <w:t xml:space="preserve">3.[English] 0 - CNA n Building Strategy Capacity KalFor – LSP.pdf</w:t>
            </w:r>
          </w:p>
          <w:p>
            <w:pPr/>
            <w:r>
              <w:rPr/>
              <w:t xml:space="preserve">4.[English] 3 - Training Pilot Drone Report 2022.pdf</w:t>
            </w:r>
          </w:p>
          <w:p>
            <w:pPr/>
            <w:r>
              <w:rPr/>
              <w:t xml:space="preserve">5.[Bahasa] 3 - Safety Drone.pdf</w:t>
            </w:r>
          </w:p>
          <w:p>
            <w:pPr/>
            <w:r>
              <w:rPr/>
              <w:t xml:space="preserve">6.[English] 21 - Local Champion Empowerment Programme in Kobar – ASPPUK.pdf</w:t>
            </w:r>
          </w:p>
          <w:p>
            <w:pPr/>
            <w:r>
              <w:rPr/>
              <w:t xml:space="preserve">7.[English] 31 - Local Champion Empowerment Programme in Kutim – ASPPUK.pdf</w:t>
            </w:r>
          </w:p>
          <w:p>
            <w:pPr/>
            <w:r>
              <w:rPr/>
              <w:t xml:space="preserve">8. Explanation General Indicator.pdf</w:t>
            </w:r>
          </w:p>
          <w:p>
            <w:pPr/>
            <w:r>
              <w:rPr/>
              <w:t xml:space="preserve"/>
            </w:r>
          </w:p>
        </w:tc>
        <w:tc>
          <w:tcPr>
            <w:tcW w:w="4000" w:type="dxa"/>
            <w:gridSpan w:val="1"/>
          </w:tcPr>
          <w:p>
            <w:pPr/>
            <w:r>
              <w:rPr/>
              <w:t xml:space="preserve">This indicator has been achieved and exceeded.</w:t>
            </w:r>
          </w:p>
          <w:p>
            <w:pPr/>
            <w:r>
              <w:rPr/>
              <w:t xml:space="preserve"/>
            </w:r>
          </w:p>
          <w:p>
            <w:pPr/>
            <w:r>
              <w:rPr/>
              <w:t xml:space="preserve">KalFor has achieved 1,317% of the End of Project target. During the reporting period, 5 new parties were engaged in various project activities listed below – bringing the total number of parties engaged to 395.</w:t>
            </w:r>
          </w:p>
          <w:p>
            <w:pPr/>
            <w:r>
              <w:rPr/>
              <w:t xml:space="preserve"/>
            </w:r>
          </w:p>
          <w:p>
            <w:pPr/>
            <w:r>
              <w:rPr/>
              <w:t xml:space="preserve">During the reporting period, the project invited more stakeholders to participate in various activities as follows:</w:t>
            </w:r>
          </w:p>
          <w:p>
            <w:pPr/>
            <w:r>
              <w:rPr/>
              <w:t xml:space="preserve">•	To assure inclusivity, KalFor collaborated with Perwita Wana Kencana (Activities for the Elderly Group) through a tree-planting event during the World Environment Day.</w:t>
            </w:r>
          </w:p>
          <w:p>
            <w:pPr/>
            <w:r>
              <w:rPr/>
              <w:t xml:space="preserve">•	To anticipate the disasters that may occur, the project added relevant stakeholders, including Provincial Technical Office for Law Enforcement and Disaster Management.</w:t>
            </w:r>
          </w:p>
          <w:p>
            <w:pPr/>
            <w:r>
              <w:rPr/>
              <w:t xml:space="preserve">•	In the context of Proklim training (Programme Climate Village provided by MoEF), the project added stakeholders from Provincial Technical Office of Climate Changes in Pontianak.</w:t>
            </w:r>
          </w:p>
          <w:p>
            <w:pPr/>
            <w:r>
              <w:rPr/>
              <w:t xml:space="preserve">•	To enhance Flora and Wildlife Protection the project invited the East Java Biodiversity Management Unit, Water Police, and the Quarantine Agency to get involved in the training of officers from the Forest Management Unit, Village Governments and Community members in flora and fauna protection.</w:t>
            </w:r>
          </w:p>
          <w:p>
            <w:pPr/>
            <w:r>
              <w:rPr/>
              <w:t xml:space="preserve"/>
            </w:r>
          </w:p>
          <w:p>
            <w:pPr/>
            <w:r>
              <w:rPr/>
              <w:t xml:space="preserve">In addition, for this reporting period, the Project achieved the following:</w:t>
            </w:r>
          </w:p>
          <w:p>
            <w:pPr/>
            <w:r>
              <w:rPr/>
              <w:t xml:space="preserve">a)	The Project continued using the Stakeholder Engagement Platform of 8 provincial and district level forums involving more than 390 member organizations involved to obtain local stakeholders’ inputs on new draft regulations as well as to provide impart new knowledge to the stakeholders and to discuss lesson learns, KalFor exit strategy document, etc.</w:t>
            </w:r>
          </w:p>
          <w:p>
            <w:pPr/>
            <w:r>
              <w:rPr/>
              <w:t xml:space="preserve"/>
            </w:r>
          </w:p>
          <w:p>
            <w:pPr/>
            <w:r>
              <w:rPr/>
              <w:t xml:space="preserve">b)	A number of working groups were established by KalFor Project:</w:t>
            </w:r>
          </w:p>
          <w:p>
            <w:pPr/>
            <w:r>
              <w:rPr/>
              <w:t xml:space="preserve">At the Provincial Level</w:t>
            </w:r>
          </w:p>
          <w:p>
            <w:pPr/>
            <w:r>
              <w:rPr/>
              <w:t xml:space="preserve">•	West Kalimantan: 89 parties</w:t>
            </w:r>
          </w:p>
          <w:p>
            <w:pPr/>
            <w:r>
              <w:rPr/>
              <w:t xml:space="preserve">•	Central Kalimantan: 15 parties</w:t>
            </w:r>
          </w:p>
          <w:p>
            <w:pPr/>
            <w:r>
              <w:rPr/>
              <w:t xml:space="preserve">•	East Kalimantan: 158 parties</w:t>
            </w:r>
          </w:p>
          <w:p>
            <w:pPr/>
            <w:r>
              <w:rPr/>
              <w:t xml:space="preserve">At the District Level</w:t>
            </w:r>
          </w:p>
          <w:p>
            <w:pPr/>
            <w:r>
              <w:rPr/>
              <w:t xml:space="preserve">•	Sintang: 59 parties</w:t>
            </w:r>
          </w:p>
          <w:p>
            <w:pPr/>
            <w:r>
              <w:rPr/>
              <w:t xml:space="preserve">•	Ketapang: 41 parties</w:t>
            </w:r>
          </w:p>
          <w:p>
            <w:pPr/>
            <w:r>
              <w:rPr/>
              <w:t xml:space="preserve">•	Kotawaringin Barat: 28 parties</w:t>
            </w:r>
          </w:p>
          <w:p>
            <w:pPr/>
            <w:r>
              <w:rPr/>
              <w:t xml:space="preserve"/>
            </w:r>
          </w:p>
          <w:p>
            <w:pPr/>
            <w:r>
              <w:rPr/>
              <w:t xml:space="preserve">The information about the forum has been reported in the previous PIRs and it has been summarized in the document entitled KalFor Achievements dated August 2024, which has been uploaded as evidence in the File Library</w:t>
            </w:r>
          </w:p>
        </w:tc>
      </w:tr>
      <w:tr>
        <w:trPr/>
        <w:tc>
          <w:tcPr>
            <w:tcW w:w="4000" w:type="dxa"/>
            <w:gridSpan w:val="1"/>
          </w:tcPr>
          <w:p>
            <w:pPr/>
            <w:r>
              <w:rPr/>
              <w:t xml:space="preserve">Number of additional people benefitting from strengthened livelihoods through solutions for management of natural resources, ecosystems services, chemicals and waste</w:t>
            </w:r>
          </w:p>
        </w:tc>
        <w:tc>
          <w:tcPr>
            <w:tcW w:w="2000" w:type="dxa"/>
            <w:gridSpan w:val="1"/>
          </w:tcPr>
          <w:p>
            <w:pPr/>
            <w:r>
              <w:rPr/>
              <w:t xml:space="preserve">0 additional people</w:t>
            </w:r>
          </w:p>
        </w:tc>
        <w:tc>
          <w:tcPr>
            <w:tcW w:w="2000" w:type="dxa"/>
            <w:gridSpan w:val="1"/>
          </w:tcPr>
          <w:p>
            <w:pPr/>
            <w:r>
              <w:rPr/>
              <w:t xml:space="preserve">1,000 people from local communities and including forest-dependent peoples, benefitting from strengthened livelihoods due to improved systems for protection of ecosystem services (green goods and services’) coming from conserved APL and convertible forest areas</w:t>
            </w:r>
          </w:p>
        </w:tc>
        <w:tc>
          <w:tcPr>
            <w:tcW w:w="2000" w:type="dxa"/>
            <w:gridSpan w:val="1"/>
          </w:tcPr>
          <w:p>
            <w:pPr/>
            <w:r>
              <w:rPr/>
              <w:t xml:space="preserve">2,000 people benefitting</w:t>
            </w:r>
          </w:p>
        </w:tc>
        <w:tc>
          <w:tcPr>
            <w:tcW w:w="4000" w:type="dxa"/>
            <w:gridSpan w:val="1"/>
          </w:tcPr>
          <w:p>
            <w:pPr/>
            <w:r>
              <w:rPr/>
              <w:t xml:space="preserve">This indicator has been achieved and exceeded.</w:t>
            </w:r>
          </w:p>
          <w:p>
            <w:pPr/>
            <w:r>
              <w:rPr/>
              <w:t xml:space="preserve">By June 2023, cumulative progress reached is 132% against the End of Project target, as a result of an additional 574 beneficiaries (257 men, 307 women) whose livelihoods were strengthened this year.</w:t>
            </w:r>
          </w:p>
          <w:p>
            <w:pPr/>
            <w:r>
              <w:rPr/>
              <w:t xml:space="preserve"/>
            </w:r>
          </w:p>
          <w:p>
            <w:pPr/>
            <w:r>
              <w:rPr/>
              <w:t xml:space="preserve">Therefore, a cumulative total of 2,641 people consisting of 1,724 men (65%) and 917 women (35%), have so far benefited from capacity building through LVGA (Low Value Grant Agreement) and training activities in 13 villages and also provincial level.</w:t>
            </w:r>
          </w:p>
          <w:p>
            <w:pPr/>
            <w:r>
              <w:rPr/>
              <w:t xml:space="preserve"/>
            </w:r>
          </w:p>
          <w:p>
            <w:pPr/>
            <w:r>
              <w:rPr/>
              <w:t xml:space="preserve">The capacity building through LVGA conducted involve training potential CSO candidates on procedures ranging from community preparation, proposal submission, financial reporting, to accountability reporting in managing a grant.</w:t>
            </w:r>
          </w:p>
          <w:p>
            <w:pPr/>
            <w:r>
              <w:rPr/>
              <w:t xml:space="preserve">Trainings in 13 villages include:</w:t>
            </w:r>
          </w:p>
          <w:p>
            <w:pPr/>
            <w:r>
              <w:rPr/>
              <w:t xml:space="preserve">•	Product marketing training</w:t>
            </w:r>
          </w:p>
          <w:p>
            <w:pPr/>
            <w:r>
              <w:rPr/>
              <w:t xml:space="preserve">•	Ecotourism training</w:t>
            </w:r>
          </w:p>
          <w:p>
            <w:pPr/>
            <w:r>
              <w:rPr/>
              <w:t xml:space="preserve">•	Village regulation crafting training</w:t>
            </w:r>
          </w:p>
          <w:p>
            <w:pPr/>
            <w:r>
              <w:rPr/>
              <w:t xml:space="preserve"/>
            </w:r>
          </w:p>
          <w:p>
            <w:pPr/>
            <w:r>
              <w:rPr/>
              <w:t xml:space="preserve">Evidence:</w:t>
            </w:r>
          </w:p>
          <w:p>
            <w:pPr/>
            <w:r>
              <w:rPr/>
              <w:t xml:space="preserve">[English] 21 - Local Champion Empowerment Programme in Kobar – ASPPUK.pdf</w:t>
            </w:r>
          </w:p>
          <w:p>
            <w:pPr/>
            <w:r>
              <w:rPr/>
              <w:t xml:space="preserve">[English] 31 - Local Champion Empowerment Programme in Kutim – ASPPUK.pdf</w:t>
            </w:r>
          </w:p>
          <w:p>
            <w:pPr/>
            <w:r>
              <w:rPr/>
              <w:t xml:space="preserve">Explanation General Indicator.pdf</w:t>
            </w:r>
          </w:p>
          <w:p>
            <w:pPr/>
            <w:r>
              <w:rPr/>
              <w:t xml:space="preserve"/>
            </w:r>
          </w:p>
        </w:tc>
        <w:tc>
          <w:tcPr>
            <w:tcW w:w="4000" w:type="dxa"/>
            <w:gridSpan w:val="1"/>
          </w:tcPr>
          <w:p>
            <w:pPr/>
            <w:r>
              <w:rPr/>
              <w:t xml:space="preserve">This indicator has been achieved and exceeded.</w:t>
            </w:r>
          </w:p>
          <w:p>
            <w:pPr/>
            <w:r>
              <w:rPr/>
              <w:t xml:space="preserve"/>
            </w:r>
          </w:p>
          <w:p>
            <w:pPr/>
            <w:r>
              <w:rPr/>
              <w:t xml:space="preserve">KalFor has achieved 765% of the expected target with 192 additional beneficiaries recorded during the reporting period. This brings the total number of beneficiaries to 15,297 compared to the end of project target of 2,000 people.</w:t>
            </w:r>
          </w:p>
          <w:p>
            <w:pPr/>
            <w:r>
              <w:rPr/>
              <w:t xml:space="preserve"/>
            </w:r>
          </w:p>
          <w:p>
            <w:pPr/>
            <w:r>
              <w:rPr/>
              <w:t xml:space="preserve">During the reporting period, KalFor facilitated 12 villages in 4 districts, through LVGA done by CSO:</w:t>
            </w:r>
          </w:p>
          <w:p>
            <w:pPr/>
            <w:r>
              <w:rPr/>
              <w:t xml:space="preserve">1. Sintang (Yayasan Teraju)</w:t>
            </w:r>
          </w:p>
          <w:p>
            <w:pPr/>
            <w:r>
              <w:rPr/>
              <w:t xml:space="preserve">2. ketapang (YNKI)</w:t>
            </w:r>
          </w:p>
          <w:p>
            <w:pPr/>
            <w:r>
              <w:rPr/>
              <w:t xml:space="preserve">3. Kotawaringin Barat (Yayorin)</w:t>
            </w:r>
          </w:p>
          <w:p>
            <w:pPr/>
            <w:r>
              <w:rPr/>
              <w:t xml:space="preserve">4. Kutai Timur (Yayasan BIKAL)</w:t>
            </w:r>
          </w:p>
          <w:p>
            <w:pPr/>
            <w:r>
              <w:rPr/>
              <w:t xml:space="preserve">The additional beneficiaries from the villages are 117 male and 75 female.</w:t>
            </w:r>
          </w:p>
          <w:p>
            <w:pPr/>
            <w:r>
              <w:rPr/>
              <w:t xml:space="preserve"/>
            </w:r>
          </w:p>
          <w:p>
            <w:pPr/>
            <w:r>
              <w:rPr/>
              <w:t xml:space="preserve">Therefore, the total beneficiaries are 15,297 people (consisting of 10,708 male and 4,589 female) who have received benefits through activities carried out by KalFor, including:</w:t>
            </w:r>
          </w:p>
          <w:p>
            <w:pPr/>
            <w:r>
              <w:rPr/>
              <w:t xml:space="preserve">1.	Webinar on the Role of Forests in APL Towards Economic, Social and Environmental Balance in the Digital Era (498 people)</w:t>
            </w:r>
          </w:p>
          <w:p>
            <w:pPr/>
            <w:r>
              <w:rPr/>
              <w:t xml:space="preserve">2.	COP25 UNFCCC Madrid (50 people), COP 26 (1 Session); COP26 UNFCCC Glasgow – Jakarta, (4 session), Offline/Online (600 people), Offline Booth for 10 days (777 people); COP 27 UNFCCC Sharm el Sheikh Egypt (3 Session) (200 people).</w:t>
            </w:r>
          </w:p>
          <w:p>
            <w:pPr/>
            <w:r>
              <w:rPr/>
              <w:t xml:space="preserve">3.	Comparative Study (117 people)</w:t>
            </w:r>
          </w:p>
          <w:p>
            <w:pPr/>
            <w:r>
              <w:rPr/>
              <w:t xml:space="preserve">a.	Comparative study of PKTL and PMU KalFor teams to Kuala Lumpur, Malaysia. This visit was to learn about the types of cooperation between communities on peatlands and oil palm plantation companies (4 people)</w:t>
            </w:r>
          </w:p>
          <w:p>
            <w:pPr/>
            <w:r>
              <w:rPr/>
              <w:t xml:space="preserve">b.	Ensaid Panjang Villagers to DIY/Central Java (20 people)</w:t>
            </w:r>
          </w:p>
          <w:p>
            <w:pPr/>
            <w:r>
              <w:rPr/>
              <w:t xml:space="preserve">c.	Ketapang District to Tae Village (15 people)</w:t>
            </w:r>
          </w:p>
          <w:p>
            <w:pPr/>
            <w:r>
              <w:rPr/>
              <w:t xml:space="preserve">d.	Kutai Timur District to the Self-Help Rural Agriculture Training Centre (P4S) Lau Kawar Samboja Sub-district, Kutai Kartanegara and HKM in Balikpapan (18 people)</w:t>
            </w:r>
          </w:p>
          <w:p>
            <w:pPr/>
            <w:r>
              <w:rPr/>
              <w:t xml:space="preserve">e.	OPD &amp; Kotawaringin Barat Gevernment to Semarang and Yogyakarta (20 people)</w:t>
            </w:r>
          </w:p>
          <w:p>
            <w:pPr/>
            <w:r>
              <w:rPr/>
              <w:t xml:space="preserve">f.	Study Tour of the winners of the Infographics competition in the context of World Wetlands Day in Pontianak to the Forestry Museum, Bogor Botanical Gardens and Manggala Arboretum (2 people)</w:t>
            </w:r>
          </w:p>
          <w:p>
            <w:pPr/>
            <w:r>
              <w:rPr/>
              <w:t xml:space="preserve">g.	Study tour of the winners of the English Speech Competition for International Forest Day to Bromo National Park (4 people)</w:t>
            </w:r>
          </w:p>
          <w:p>
            <w:pPr/>
            <w:r>
              <w:rPr/>
              <w:t xml:space="preserve">h.	Study tour of the winners of the KalFor Creation Competition to Baluran National Park and Ijen Crater (4 people)</w:t>
            </w:r>
          </w:p>
          <w:p>
            <w:pPr/>
            <w:r>
              <w:rPr/>
              <w:t xml:space="preserve">i.	OPD &amp; Kotawaringin Barat Government and Central Kalimantan Province to Tahura Sultan Adam, South Kalimantan (15 people)</w:t>
            </w:r>
          </w:p>
          <w:p>
            <w:pPr/>
            <w:r>
              <w:rPr/>
              <w:t xml:space="preserve">j.	Forest and Land Fire Control Training for MPA (Community Fire Awareness) Ketapang District to Sintang District (6 people)</w:t>
            </w:r>
          </w:p>
          <w:p>
            <w:pPr/>
            <w:r>
              <w:rPr/>
              <w:t xml:space="preserve">k.	Comparative Study of Urban Forest Management from the West Kalimantan Provincial Government to Kuching, Malaysia (9 people)</w:t>
            </w:r>
          </w:p>
          <w:p>
            <w:pPr/>
            <w:r>
              <w:rPr/>
              <w:t xml:space="preserve">4.	Training in National, Provincial and District level (1,228 people)</w:t>
            </w:r>
          </w:p>
          <w:p>
            <w:pPr/>
            <w:r>
              <w:rPr/>
              <w:t xml:space="preserve">a.	Knowledge Management (48 people)</w:t>
            </w:r>
          </w:p>
          <w:p>
            <w:pPr/>
            <w:r>
              <w:rPr/>
              <w:t xml:space="preserve">b.	Young generation (youth) to realize ideas and entrepreneurship (KalFor Youth Innovation 2020 : 20 team, 62 people), 376 proposal ideas, (KalFor Youth Innovation 2023 : 20 team, 58 people : 545 proposals).</w:t>
            </w:r>
          </w:p>
          <w:p>
            <w:pPr/>
            <w:r>
              <w:rPr/>
              <w:t xml:space="preserve">c.	GIS Basic (81 people) and GIS Advance (55 people)</w:t>
            </w:r>
          </w:p>
          <w:p>
            <w:pPr/>
            <w:r>
              <w:rPr/>
              <w:t xml:space="preserve">d.	Training SESP (34 people)</w:t>
            </w:r>
          </w:p>
          <w:p>
            <w:pPr/>
            <w:r>
              <w:rPr/>
              <w:t xml:space="preserve">e.	Technical Guidance for Protection of Wild Plants and Animals and Community-Based Law Enforcement (38 people)</w:t>
            </w:r>
          </w:p>
          <w:p>
            <w:pPr/>
            <w:r>
              <w:rPr/>
              <w:t xml:space="preserve">f.	Central Kalimantan Community Forest Planting (30 people)</w:t>
            </w:r>
          </w:p>
          <w:p>
            <w:pPr/>
            <w:r>
              <w:rPr/>
              <w:t xml:space="preserve">g.	Safety Drone Monitoring Forest Cover area (30 people), Forest Protection and Saving in APL (35 people), and Carbon Measurement in Forested HCV Areas (East Kalimantan) (35 people)</w:t>
            </w:r>
          </w:p>
          <w:p>
            <w:pPr/>
            <w:r>
              <w:rPr/>
              <w:t xml:space="preserve">h.	Drone Fixed Wing-VTOL Training (30 people)</w:t>
            </w:r>
          </w:p>
          <w:p>
            <w:pPr/>
            <w:r>
              <w:rPr/>
              <w:t xml:space="preserve">i.	Technical Guidance for Gender-Based Planning and Dissemination of KalFor (117 people)</w:t>
            </w:r>
          </w:p>
          <w:p>
            <w:pPr/>
            <w:r>
              <w:rPr/>
              <w:t xml:space="preserve">j.	East Kalimantan PUG Gender Technical Guidance (73 people)</w:t>
            </w:r>
          </w:p>
          <w:p>
            <w:pPr/>
            <w:r>
              <w:rPr/>
              <w:t xml:space="preserve">k.	Preparation of Village Regulations on Planning and Management of Forested APL in Sintang District (52 people)</w:t>
            </w:r>
          </w:p>
          <w:p>
            <w:pPr/>
            <w:r>
              <w:rPr/>
              <w:t xml:space="preserve">l.	Use of drones for forest and land fires (57 people)</w:t>
            </w:r>
          </w:p>
          <w:p>
            <w:pPr/>
            <w:r>
              <w:rPr/>
              <w:t xml:space="preserve">m.	Water content reduction &amp; Packaging, Kelulut Honey in Kotawaringin Barat (14 people)</w:t>
            </w:r>
          </w:p>
          <w:p>
            <w:pPr/>
            <w:r>
              <w:rPr/>
              <w:t xml:space="preserve">n.	Basic photography and storytelling as well as the use of social media to promote woven products and NTFPs in Ensaid Panjang Village (20 people),</w:t>
            </w:r>
          </w:p>
          <w:p>
            <w:pPr/>
            <w:r>
              <w:rPr/>
              <w:t xml:space="preserve">o.	Training on the use of social media (20 people)</w:t>
            </w:r>
          </w:p>
          <w:p>
            <w:pPr/>
            <w:r>
              <w:rPr/>
              <w:t xml:space="preserve">p.	Development of natural dye plant nurseries (20 people)</w:t>
            </w:r>
          </w:p>
          <w:p>
            <w:pPr/>
            <w:r>
              <w:rPr/>
              <w:t xml:space="preserve">q.	Diversification of Weaving products (20 people)</w:t>
            </w:r>
          </w:p>
          <w:p>
            <w:pPr/>
            <w:r>
              <w:rPr/>
              <w:t xml:space="preserve">r.	Development of Medicinal Plants/Immune Boosters in Kutai Timur (15 people)</w:t>
            </w:r>
          </w:p>
          <w:p>
            <w:pPr/>
            <w:r>
              <w:rPr/>
              <w:t xml:space="preserve">s.	Technical Guidance for Forest and Land Fire Control for Community Fire Awareness (MPA) in Sintang District (186 people)</w:t>
            </w:r>
          </w:p>
          <w:p>
            <w:pPr/>
            <w:r>
              <w:rPr/>
              <w:t xml:space="preserve">t.	Technical Guidance for Updating and Uploading Geospatial Data on the Sintang Regency Geoportal for OPD (43 people)</w:t>
            </w:r>
          </w:p>
          <w:p>
            <w:pPr/>
            <w:r>
              <w:rPr/>
              <w:t xml:space="preserve">u.	Technical Guidance for Preparing and Uploading Geospatial Data on the GIS Web of the Multi-Stakeholder Joint Secretariat in Sintang District for NGOs/CSOs (34 people)</w:t>
            </w:r>
          </w:p>
          <w:p>
            <w:pPr/>
            <w:r>
              <w:rPr/>
              <w:t xml:space="preserve">5.	Dissemination</w:t>
            </w:r>
          </w:p>
          <w:p>
            <w:pPr/>
            <w:r>
              <w:rPr/>
              <w:t xml:space="preserve">a.	Dissemination FoLU NET SINK on 3 Provinces and 4 District (1,471 people)</w:t>
            </w:r>
          </w:p>
          <w:p>
            <w:pPr/>
            <w:r>
              <w:rPr/>
              <w:t xml:space="preserve">b.	Dissemination SIGAP and SIMONTANA in 3 Provinces and 4 District (1,471 people)</w:t>
            </w:r>
          </w:p>
          <w:p>
            <w:pPr/>
            <w:r>
              <w:rPr/>
              <w:t xml:space="preserve">c.	Dissemination to increase understanding of the parties (more than 5,497 people)</w:t>
            </w:r>
          </w:p>
          <w:p>
            <w:pPr/>
            <w:r>
              <w:rPr/>
              <w:t xml:space="preserve">6.	Study</w:t>
            </w:r>
          </w:p>
          <w:p>
            <w:pPr/>
            <w:r>
              <w:rPr/>
              <w:t xml:space="preserve">a.	Study of the Forest Fire Module (30 people)</w:t>
            </w:r>
          </w:p>
          <w:p>
            <w:pPr/>
            <w:r>
              <w:rPr/>
              <w:t xml:space="preserve">b.	Study of Biodiversity in East Kalimantan (20 people)</w:t>
            </w:r>
          </w:p>
          <w:p>
            <w:pPr/>
            <w:r>
              <w:rPr/>
              <w:t xml:space="preserve">7.	Mentoring</w:t>
            </w:r>
          </w:p>
          <w:p>
            <w:pPr/>
            <w:r>
              <w:rPr/>
              <w:t xml:space="preserve">a.	Assistance for 13 cluster 1 villages in 4 districts (1,806 people)</w:t>
            </w:r>
          </w:p>
          <w:p>
            <w:pPr/>
            <w:r>
              <w:rPr/>
              <w:t xml:space="preserve">b.	Assistance for 12 cluster 2 villages in 4 districts (1,532 people)</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Mainstreaming of forest ecosystem service and biodiversity considerations into national and provincial policies and decision-making processes for forest area planning and management. Forest ecosystem services, including carbon and biodiversity aspects, are more fully taken into account in policies, decisions, and management actions at national and provincial (West, Central and East Kalimantan) levels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Indicator 1.1</w:t>
            </w:r>
          </w:p>
          <w:p>
            <w:pPr/>
            <w:r>
              <w:rPr/>
              <w:t xml:space="preserve">No. of national and/or provincial-level policy and regulatory changes.</w:t>
            </w:r>
          </w:p>
          <w:p>
            <w:pPr/>
            <w:r>
              <w:rPr/>
              <w:t xml:space="preserve"/>
            </w:r>
          </w:p>
        </w:tc>
        <w:tc>
          <w:tcPr>
            <w:tcW w:w="2000" w:type="dxa"/>
            <w:gridSpan w:val="1"/>
          </w:tcPr>
          <w:p>
            <w:pPr/>
            <w:r>
              <w:rPr/>
              <w:t xml:space="preserve">Baseline</w:t>
            </w:r>
          </w:p>
          <w:p>
            <w:pPr/>
            <w:r>
              <w:rPr/>
              <w:t xml:space="preserve">1.1	0 policy and regulatory priorities realized</w:t>
            </w:r>
          </w:p>
          <w:p>
            <w:pPr/>
            <w:r>
              <w:rPr/>
              <w:t xml:space="preserve"/>
            </w:r>
          </w:p>
        </w:tc>
        <w:tc>
          <w:tcPr>
            <w:tcW w:w="2000" w:type="dxa"/>
            <w:gridSpan w:val="1"/>
          </w:tcPr>
          <w:p>
            <w:pPr/>
            <w:r>
              <w:rPr/>
              <w:t xml:space="preserve">Mid-term Target</w:t>
            </w:r>
          </w:p>
          <w:p>
            <w:pPr/>
            <w:r>
              <w:rPr/>
              <w:t xml:space="preserve">1.1	3 policy and regulatory priorities realized</w:t>
            </w:r>
          </w:p>
          <w:p>
            <w:pPr/>
            <w:r>
              <w:rPr/>
              <w:t xml:space="preserve"/>
            </w:r>
          </w:p>
        </w:tc>
        <w:tc>
          <w:tcPr>
            <w:tcW w:w="2000" w:type="dxa"/>
            <w:gridSpan w:val="1"/>
          </w:tcPr>
          <w:p>
            <w:pPr/>
            <w:r>
              <w:rPr/>
              <w:t xml:space="preserve">End of Project Targets</w:t>
            </w:r>
          </w:p>
          <w:p>
            <w:pPr/>
            <w:r>
              <w:rPr/>
              <w:t xml:space="preserve">1.1 At least 6 changes, including: (1) rules regarding oversight of high biodiversity multiple-use forest landscapes, (2) national and provincial concession-granting processes, (3) regulations governing land classification, including “abandoned lands” regulations, (4) establishment of a mechanism to promote / incentivize use of degraded lands by estate crops sector</w:t>
            </w:r>
          </w:p>
          <w:p>
            <w:pPr/>
            <w:r>
              <w:rPr/>
              <w:t xml:space="preserve"/>
            </w:r>
          </w:p>
        </w:tc>
        <w:tc>
          <w:tcPr>
            <w:tcW w:w="4000" w:type="dxa"/>
            <w:gridSpan w:val="1"/>
          </w:tcPr>
          <w:p>
            <w:pPr/>
            <w:r>
              <w:rPr/>
              <w:t xml:space="preserve">This indicator has been achieved and exceeded.</w:t>
            </w:r>
          </w:p>
          <w:p>
            <w:pPr/>
            <w:r>
              <w:rPr/>
              <w:t xml:space="preserve">By June 2023, the project achieved 233% against the End of Project target and has thus exceeded the project target. In the reporting period, the key development was the signing of 1 regulation and, therefore, cumulatively, untilJune 2023, KalFor has provided expert and multi stakeholder discussions to develop 14 regulations at the national and provincial levels. This achievement is more than the end-target of at least 6 new regulations developed.</w:t>
            </w:r>
          </w:p>
          <w:p>
            <w:pPr/>
            <w:r>
              <w:rPr/>
              <w:t xml:space="preserve"/>
            </w:r>
          </w:p>
          <w:p>
            <w:pPr/>
            <w:r>
              <w:rPr/>
              <w:t xml:space="preserve">Notes:</w:t>
            </w:r>
          </w:p>
          <w:p>
            <w:pPr/>
            <w:r>
              <w:rPr/>
              <w:t xml:space="preserve">“Note: The signed regulation is weighted as 1 and the draft is weighted as 0.5. Thus when the achievement is quantified, it reflected the percentage of signed and draft regulation using this weighing criteria.”</w:t>
            </w:r>
          </w:p>
          <w:p>
            <w:pPr/>
            <w:r>
              <w:rPr/>
              <w:t xml:space="preserve"/>
            </w:r>
          </w:p>
          <w:p>
            <w:pPr/>
            <w:r>
              <w:rPr/>
              <w:t xml:space="preserve">From July 2022 to June 2023, KalFor facilitated the development of the following 2 regulations:</w:t>
            </w:r>
          </w:p>
          <w:p>
            <w:pPr/>
            <w:r>
              <w:rPr/>
              <w:t xml:space="preserve">1.	Ministerial Decision of MoEF No. SK.3554/MENLHK-PKTL/IPSDH/PLA.1/3/2023 on Forest Moratorium Period phase 1</w:t>
            </w:r>
          </w:p>
          <w:p>
            <w:pPr/>
            <w:r>
              <w:rPr/>
              <w:t xml:space="preserve">2.	Governor Decision of Central Kalimantan No. 188.44/2/2023 on Nyaru Menteng Urban Forest</w:t>
            </w:r>
          </w:p>
          <w:p>
            <w:pPr/>
            <w:r>
              <w:rPr/>
              <w:t xml:space="preserve"/>
            </w:r>
          </w:p>
          <w:p>
            <w:pPr/>
            <w:r>
              <w:rPr/>
              <w:t xml:space="preserve">Other achievements of the KalFor project in terms of expert and multi-stakeholder  discussions supported to develop regulations (12 signed and 4 draft) are as follows.</w:t>
            </w:r>
          </w:p>
          <w:p>
            <w:pPr/>
            <w:r>
              <w:rPr/>
              <w:t xml:space="preserve">3.	Governor Decision of West Kalimantan No. 536/BKAD/2022 on Teluk Akar Begantung Urban Forest</w:t>
            </w:r>
          </w:p>
          <w:p>
            <w:pPr/>
            <w:r>
              <w:rPr/>
              <w:t xml:space="preserve">4.	East Kalimantan Governor Regulation No. 43/2021 on HCVF Management in Estate. East Kalimantan Governor Decision of East Kalimantan No. 525/K.244/2022 on Map of HCV in estate area</w:t>
            </w:r>
          </w:p>
          <w:p>
            <w:pPr/>
            <w:r>
              <w:rPr/>
              <w:t xml:space="preserve">5.	Government Regulation of Indonesia No. 23/2021 on Forestry Management</w:t>
            </w:r>
          </w:p>
          <w:p>
            <w:pPr/>
            <w:r>
              <w:rPr/>
              <w:t xml:space="preserve">6.	Government Regulation of Indonesia No. 24/2021 on Administrative Sanctions and Procedures for PNBD in the Forestry Sector, Settlement of administrative sanctions for oil palm and mining plantations in forest areas related to protecting forests in non-state forest areas</w:t>
            </w:r>
          </w:p>
          <w:p>
            <w:pPr/>
            <w:r>
              <w:rPr/>
              <w:t xml:space="preserve">7.	Governor Regulation of East Kalimantan No. 12/2021 on HCV Criteria</w:t>
            </w:r>
          </w:p>
          <w:p>
            <w:pPr/>
            <w:r>
              <w:rPr/>
              <w:t xml:space="preserve">8.	Governor Regulation of East Kalimantan No. 33/2021 on GHG Reduction Benefit Sharing Mechanism</w:t>
            </w:r>
          </w:p>
          <w:p>
            <w:pPr/>
            <w:r>
              <w:rPr/>
              <w:t xml:space="preserve">9.	Ministerial Regulation of MoEF No. 7/2021 on Forestry Planning</w:t>
            </w:r>
          </w:p>
          <w:p>
            <w:pPr/>
            <w:r>
              <w:rPr/>
              <w:t xml:space="preserve">10.	Governor Regulation of East Kalimantan No. 43/2021 on HCV Management in Plantation Area</w:t>
            </w:r>
          </w:p>
          <w:p>
            <w:pPr/>
            <w:r>
              <w:rPr/>
              <w:t xml:space="preserve">11.	Law of Indonesia No. 11/2020 on Omnibus Law. As a derivative of omnibus law No. 11/2020 articles related to forest protection in APL and incentives have been included in PP 23/2021 regarding Forestry, (article 1 paragraph 73, article 41 paragraph 10, article 246 paragraph 2, article 249 paragraph 7) &amp; Formulation of regulations for providing incentives for local governments to protect forests in APL (PP 23/2021 regarding Forestry, article 41 paragraph 10, article 246 paragraph 2)</w:t>
            </w:r>
          </w:p>
          <w:p>
            <w:pPr/>
            <w:r>
              <w:rPr/>
              <w:t xml:space="preserve">12.	Presidential Instruction of Indonesia No. 5/2019 on Termination of New Permits for Primary Natural Forests and Peatlands</w:t>
            </w:r>
          </w:p>
          <w:p>
            <w:pPr/>
            <w:r>
              <w:rPr/>
              <w:t xml:space="preserve">13.	Provincial Regulation of East Kalimantan No. 7/2018 on Sustainable Plantation</w:t>
            </w:r>
          </w:p>
          <w:p>
            <w:pPr/>
            <w:r>
              <w:rPr/>
              <w:t xml:space="preserve">14.	Provincial Regulation of West Kalimantan No. 6/2018 on Sustainable Land-Based Business Management concerning the allocation of 7% of forest area for land-based businesses : (1) Multi-stakeholder engagement, (2) Sanctions,  (3) Conservation and (4) Forest protection management</w:t>
            </w:r>
          </w:p>
          <w:p>
            <w:pPr/>
            <w:r>
              <w:rPr/>
              <w:t xml:space="preserve"/>
            </w:r>
          </w:p>
          <w:p>
            <w:pPr/>
            <w:r>
              <w:rPr/>
              <w:t xml:space="preserve">Draft regulation:</w:t>
            </w:r>
          </w:p>
          <w:p>
            <w:pPr/>
            <w:r>
              <w:rPr/>
              <w:t xml:space="preserve">15.	Draft of Governor Regulation of Central Kalimantan on Urban Forest</w:t>
            </w:r>
          </w:p>
          <w:p>
            <w:pPr/>
            <w:r>
              <w:rPr/>
              <w:t xml:space="preserve">16.	Draft of Governor Regulation of Central Kalimantan on Community Forest</w:t>
            </w:r>
          </w:p>
          <w:p>
            <w:pPr/>
            <w:r>
              <w:rPr/>
              <w:t xml:space="preserve">17.	Draft of Governor Regulation of Central Kalimantan on Grand Forest Park</w:t>
            </w:r>
          </w:p>
          <w:p>
            <w:pPr/>
            <w:r>
              <w:rPr/>
              <w:t xml:space="preserve">18.	Draft MoEF Regulation on national mechanism incentive as a derivative of Government Regulation No.46/2017 on Instrument of Economic of Environment</w:t>
            </w:r>
          </w:p>
          <w:p>
            <w:pPr/>
            <w:r>
              <w:rPr/>
              <w:t xml:space="preserve"/>
            </w:r>
          </w:p>
          <w:p>
            <w:pPr/>
            <w:r>
              <w:rPr/>
              <w:t xml:space="preserve">Evidence:</w:t>
            </w:r>
          </w:p>
          <w:p>
            <w:pPr/>
            <w:r>
              <w:rPr/>
              <w:t xml:space="preserve">SK Gubernur (Kalteng) No. 188.44-2-2023 [Hutan Kota Nyaru Menteng].pdf</w:t>
            </w:r>
          </w:p>
          <w:p>
            <w:pPr/>
            <w:r>
              <w:rPr/>
              <w:t xml:space="preserve">SK Gubernur (Kaltim) No. 525/K.244/2022 [Map of HCV in estate area].pdf</w:t>
            </w:r>
          </w:p>
          <w:p>
            <w:pPr/>
            <w:r>
              <w:rPr/>
              <w:t xml:space="preserve">Pergub (Kaltim) No. 12/2021 [Kriteria ANKT].pdf</w:t>
            </w:r>
          </w:p>
          <w:p>
            <w:pPr/>
            <w:r>
              <w:rPr/>
              <w:t xml:space="preserve">SK Bupati (Kutim) No. 525/K.498/2022 [Protecting HCV in plantation area].pdf</w:t>
            </w:r>
          </w:p>
          <w:p>
            <w:pPr/>
            <w:r>
              <w:rPr/>
              <w:t xml:space="preserve">UU No. 11/2020 [Cipta Kerja].pdf</w:t>
            </w:r>
          </w:p>
          <w:p>
            <w:pPr/>
            <w:r>
              <w:rPr/>
              <w:t xml:space="preserve">PP No. 23/2021 [Penyelenggaraan Kehutanan].pdf</w:t>
            </w:r>
          </w:p>
          <w:p>
            <w:pPr/>
            <w:r>
              <w:rPr/>
              <w:t xml:space="preserve">PP No. 24/2021 [Sanksi Administratif dan Tata Cara PNBD bidang Kehutanan].pdf</w:t>
            </w:r>
          </w:p>
          <w:p>
            <w:pPr/>
            <w:r>
              <w:rPr/>
              <w:t xml:space="preserve">Permen (KLHK) No. 7/2021 [Forestry Planning].pdf</w:t>
            </w:r>
          </w:p>
          <w:p>
            <w:pPr/>
            <w:r>
              <w:rPr/>
              <w:t xml:space="preserve">Inpres No. 5/2019 [Penghentian Pemberian Izin Baru Hutan Alam Primer dan Lahan Gambut].pdf</w:t>
            </w:r>
          </w:p>
          <w:p>
            <w:pPr/>
            <w:r>
              <w:rPr/>
              <w:t xml:space="preserve"/>
            </w:r>
          </w:p>
        </w:tc>
        <w:tc>
          <w:tcPr>
            <w:tcW w:w="4000" w:type="dxa"/>
            <w:gridSpan w:val="1"/>
          </w:tcPr>
          <w:p>
            <w:pPr/>
            <w:r>
              <w:rPr/>
              <w:t xml:space="preserve">This indicator has been achieved and exceeded.</w:t>
            </w:r>
          </w:p>
          <w:p>
            <w:pPr/>
            <w:r>
              <w:rPr/>
              <w:t xml:space="preserve"/>
            </w:r>
          </w:p>
          <w:p>
            <w:pPr/>
            <w:r>
              <w:rPr/>
              <w:t xml:space="preserve">KalFor has achieved 367% of the expected target. During the reporting period, the project facilitated 3 regulatory changes which brought the total number of regulatory instruments supported by the project to 22, which is almost four-fold the end of project target.</w:t>
            </w:r>
          </w:p>
          <w:p>
            <w:pPr/>
            <w:r>
              <w:rPr/>
              <w:t xml:space="preserve"/>
            </w:r>
          </w:p>
          <w:p>
            <w:pPr/>
            <w:r>
              <w:rPr/>
              <w:t xml:space="preserve"/>
            </w:r>
          </w:p>
          <w:p>
            <w:pPr/>
            <w:r>
              <w:rPr/>
              <w:t xml:space="preserve">During the reporting period, KalFor facilitated the multistakeholder discussion and expert to develop:</w:t>
            </w:r>
          </w:p>
          <w:p>
            <w:pPr/>
            <w:r>
              <w:rPr/>
              <w:t xml:space="preserve">1.	Government Regulation of Indonesia PP No. 37/2023 on Management of Ecological Fiscal Transfers to Regions in article number 25, stated that the characteristic variable of the forest conservation based on the index data of regional forest cover. This regulation based on the letter of Ministry of Environment and Forestry to Ministry of Finance on concept note of Regional Incentive Fund for Environment and Forestry.</w:t>
            </w:r>
          </w:p>
          <w:p>
            <w:pPr/>
            <w:r>
              <w:rPr/>
              <w:t xml:space="preserve">2.	Governor Decision of Central Kalimantan No. 40/2023 on Implementation of Strategic Activities funded by profit sharing funds.</w:t>
            </w:r>
          </w:p>
          <w:p>
            <w:pPr/>
            <w:r>
              <w:rPr/>
              <w:t xml:space="preserve">3.	Governor Decision of West Kalimantan No. 1/2024 on Instructions for implementing Regional Regulation No 6/2018 concerning sustainable management of land-based businesses.</w:t>
            </w:r>
          </w:p>
          <w:p>
            <w:pPr/>
            <w:r>
              <w:rPr/>
              <w:t xml:space="preserve"/>
            </w:r>
          </w:p>
          <w:p>
            <w:pPr/>
            <w:r>
              <w:rPr/>
              <w:t xml:space="preserve">All other regulations previously supported by the KalFor Project have been reported in previous PIRs and summarized in the document entitled KalFor Achievements dated August 2024, which has been uploaded as evidence in the File Library.</w:t>
            </w:r>
          </w:p>
          <w:p>
            <w:pPr/>
            <w:r>
              <w:rPr/>
              <w:t xml:space="preserve"/>
            </w:r>
          </w:p>
          <w:p>
            <w:pPr/>
            <w:r>
              <w:rPr/>
              <w:t xml:space="preserve">The cumulative of regulations as follows:</w:t>
            </w:r>
          </w:p>
          <w:p>
            <w:pPr/>
            <w:r>
              <w:rPr/>
              <w:t xml:space="preserve">Oversight of high biodiversity multiple-use forest landscapes</w:t>
            </w:r>
          </w:p>
          <w:p>
            <w:pPr/>
            <w:r>
              <w:rPr/>
              <w:t xml:space="preserve">1.	Presidential Instruction of Indonesia No. 8/2018 on Moratorium and Evaluation of Permits and Increasing Palm Oil Productivity</w:t>
            </w:r>
          </w:p>
          <w:p>
            <w:pPr/>
            <w:r>
              <w:rPr/>
              <w:t xml:space="preserve">2.	Presidential Instruction of Indonesia No. 5/2019 on Termination of New Permits for Primary Natural Forests and Peatlands</w:t>
            </w:r>
          </w:p>
          <w:p>
            <w:pPr/>
            <w:r>
              <w:rPr/>
              <w:t xml:space="preserve">3.	Ministerial Decision of MoEF No. SK. 241/MENLHK/SETJEN/PLA.0/6/2020 on Lempake for KHDTK Mulawarman University</w:t>
            </w:r>
          </w:p>
          <w:p>
            <w:pPr/>
            <w:r>
              <w:rPr/>
              <w:t xml:space="preserve">4.	Ministerial Decision of MoEF No. SK.3554/MENLHK-PKTL/IPSDH/PLA.1/3/2023 on Forest Moratorium Period phase 1</w:t>
            </w:r>
          </w:p>
          <w:p>
            <w:pPr/>
            <w:r>
              <w:rPr/>
              <w:t xml:space="preserve">5.	Governor Decision of West Kalimantan No. 536/BKAD/2022 on Teluk Akar Begantung Urban</w:t>
            </w:r>
          </w:p>
          <w:p>
            <w:pPr/>
            <w:r>
              <w:rPr/>
              <w:t xml:space="preserve">6.	Forest Result of Recapitulation of Community Forest in Central Kalimantan 19,528 ha</w:t>
            </w:r>
          </w:p>
          <w:p>
            <w:pPr/>
            <w:r>
              <w:rPr/>
              <w:t xml:space="preserve"/>
            </w:r>
          </w:p>
          <w:p>
            <w:pPr/>
            <w:r>
              <w:rPr/>
              <w:t xml:space="preserve">National and provincial concession-granting processes</w:t>
            </w:r>
          </w:p>
          <w:p>
            <w:pPr/>
            <w:r>
              <w:rPr/>
              <w:t xml:space="preserve">1.	Law of Indonesia No. 11/2020 on Omnibus Law</w:t>
            </w:r>
          </w:p>
          <w:p>
            <w:pPr/>
            <w:r>
              <w:rPr/>
              <w:t xml:space="preserve">2.	Government Regulation of Indonesia No. 23/2021 on Forestry Management</w:t>
            </w:r>
          </w:p>
          <w:p>
            <w:pPr/>
            <w:r>
              <w:rPr/>
              <w:t xml:space="preserve">3.	Government Regulation of Indonesia No. 24/2021 on Administrative Sanctions and Procedures for PNBD in the Forestry Sector.</w:t>
            </w:r>
          </w:p>
          <w:p>
            <w:pPr/>
            <w:r>
              <w:rPr/>
              <w:t xml:space="preserve">4.	Ministerial Regulation of MoEF No. 7/2021 on Forestry Planning</w:t>
            </w:r>
          </w:p>
          <w:p>
            <w:pPr/>
            <w:r>
              <w:rPr/>
              <w:t xml:space="preserve">5.	Draft of Governor Regulation of Central Kalimantan on Urban Forest</w:t>
            </w:r>
          </w:p>
          <w:p>
            <w:pPr/>
            <w:r>
              <w:rPr/>
              <w:t xml:space="preserve">6.	Draft of Governor Regulation of Central Kalimantan on Community Forest</w:t>
            </w:r>
          </w:p>
          <w:p>
            <w:pPr/>
            <w:r>
              <w:rPr/>
              <w:t xml:space="preserve">7.	Draft of Governor Regulation of Central Kalimantan on Grand Forest Park</w:t>
            </w:r>
          </w:p>
          <w:p>
            <w:pPr/>
            <w:r>
              <w:rPr/>
              <w:t xml:space="preserve"/>
            </w:r>
          </w:p>
          <w:p>
            <w:pPr/>
            <w:r>
              <w:rPr/>
              <w:t xml:space="preserve">Regulations governing land classification, including “abandoned lands” regulations</w:t>
            </w:r>
          </w:p>
          <w:p>
            <w:pPr/>
            <w:r>
              <w:rPr/>
              <w:t xml:space="preserve">1.	Governor Decision of West Kalimantan No. 1/2024 on Instructions for implementing regional regulation no 6-2018 concerning sustainable management of land-based businesses</w:t>
            </w:r>
          </w:p>
          <w:p>
            <w:pPr/>
            <w:r>
              <w:rPr/>
              <w:t xml:space="preserve">2.	4 (four) Regulations of the Governor of West Kalimantan as derivatives Provincial Regulation of West Kalimantan No. 6/2018 on Sustainable Land-Based Business Management si 99.404 ha, i.e.:</w:t>
            </w:r>
          </w:p>
          <w:p>
            <w:pPr/>
            <w:r>
              <w:rPr/>
              <w:t xml:space="preserve">a.	Governor Regulation of West Kalimantan No. 60/2019 on Procedures and Mechanisms for Determining Conservation Areas in sustainable land-based business management</w:t>
            </w:r>
          </w:p>
          <w:p>
            <w:pPr/>
            <w:r>
              <w:rPr/>
              <w:t xml:space="preserve">b.	Governor Regulation of West Kalimantan No. 115/2020 on Protection management and assistance</w:t>
            </w:r>
          </w:p>
          <w:p>
            <w:pPr/>
            <w:r>
              <w:rPr/>
              <w:t xml:space="preserve">c.	Governor Regulation of West Kalimantan No. 137/2020 on Community Participation in Supervision of Conservation Areas</w:t>
            </w:r>
          </w:p>
          <w:p>
            <w:pPr/>
            <w:r>
              <w:rPr/>
              <w:t xml:space="preserve">d.	Governor Regulation of West Kalimantan No. 139/2020 on Guidelines for Imposing Administrative Sanctions in Sustainable Land-Based Business Management</w:t>
            </w:r>
          </w:p>
          <w:p>
            <w:pPr/>
            <w:r>
              <w:rPr/>
              <w:t xml:space="preserve">1.	Governor Regulation of East Kalimantan No. 12/2021 on HCV Criteria</w:t>
            </w:r>
          </w:p>
          <w:p>
            <w:pPr/>
            <w:r>
              <w:rPr/>
              <w:t xml:space="preserve">2.	Governor Regulation of East Kalimantan No. 43/2021 on HCV Management in Plantation Area.</w:t>
            </w:r>
          </w:p>
          <w:p>
            <w:pPr/>
            <w:r>
              <w:rPr/>
              <w:t xml:space="preserve">3.	Governor Decision of East Kalimantan No. 525/K.244/2022 on Map of HCV in estate area and head of districts commitment (impact regulation from Governor Regulation of East Kalimantan No. 43/2021 on HCV Management in Plantation Area)</w:t>
            </w:r>
          </w:p>
          <w:p>
            <w:pPr/>
            <w:r>
              <w:rPr/>
              <w:t xml:space="preserve"/>
            </w:r>
          </w:p>
          <w:p>
            <w:pPr/>
            <w:r>
              <w:rPr/>
              <w:t xml:space="preserve">Establishment of a mechanism to promote / incentivize use of degraded lands by estate crops sector</w:t>
            </w:r>
          </w:p>
          <w:p>
            <w:pPr/>
            <w:r>
              <w:rPr/>
              <w:t xml:space="preserve">1.	Governor Regulation of East Kalimantan No. 52/2018 on Development of the East Kalimantan Plantation and Agribisnis Forum</w:t>
            </w:r>
          </w:p>
          <w:p>
            <w:pPr/>
            <w:r>
              <w:rPr/>
              <w:t xml:space="preserve">2.	Government Regulation of Indonesia PP No. 37-2023 on Management of Ecological Fiscal Transfers to Regions</w:t>
            </w:r>
          </w:p>
          <w:p>
            <w:pPr/>
            <w:r>
              <w:rPr/>
              <w:t xml:space="preserve">3.	Governor Decision of Central Kalimantan No. 40/2023 on Implementation of Strategic Activities funded by profit sharing funds.</w:t>
            </w:r>
          </w:p>
          <w:p>
            <w:pPr/>
            <w:r>
              <w:rPr/>
              <w:t xml:space="preserve"/>
            </w:r>
          </w:p>
        </w:tc>
      </w:tr>
      <w:tr>
        <w:trPr/>
        <w:tc>
          <w:tcPr>
            <w:tcW w:w="4000" w:type="dxa"/>
            <w:gridSpan w:val="1"/>
          </w:tcPr>
          <w:p>
            <w:pPr/>
            <w:r>
              <w:rPr/>
              <w:t xml:space="preserve">Outcome Indicator 1.2</w:t>
            </w:r>
          </w:p>
          <w:p>
            <w:pPr/>
            <w:r>
              <w:rPr/>
              <w:t xml:space="preserve">Area of High Conservation Value (HCV) forests located within the three participating provinces and currently classified as either APL or convertible forest reclassified and/or subject to new and enforceable regulatory protections.</w:t>
            </w:r>
          </w:p>
          <w:p>
            <w:pPr/>
            <w:r>
              <w:rPr/>
              <w:t xml:space="preserve"/>
            </w:r>
          </w:p>
        </w:tc>
        <w:tc>
          <w:tcPr>
            <w:tcW w:w="2000" w:type="dxa"/>
            <w:gridSpan w:val="1"/>
          </w:tcPr>
          <w:p>
            <w:pPr/>
            <w:r>
              <w:rPr/>
              <w:t xml:space="preserve">1.2 Forested APL, including HCV areas, has few enforceable or enforced legal or regulatory protections and is therefore subject to high levels of conversion</w:t>
            </w:r>
          </w:p>
        </w:tc>
        <w:tc>
          <w:tcPr>
            <w:tcW w:w="2000" w:type="dxa"/>
            <w:gridSpan w:val="1"/>
          </w:tcPr>
          <w:p>
            <w:pPr/>
            <w:r>
              <w:rPr/>
              <w:t xml:space="preserve">1.2 At least 100,000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tc>
        <w:tc>
          <w:tcPr>
            <w:tcW w:w="2000" w:type="dxa"/>
            <w:gridSpan w:val="1"/>
          </w:tcPr>
          <w:p>
            <w:pPr/>
            <w:r>
              <w:rPr/>
              <w:t xml:space="preserve">1.2 At least 250,000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tc>
        <w:tc>
          <w:tcPr>
            <w:tcW w:w="4000" w:type="dxa"/>
            <w:gridSpan w:val="1"/>
          </w:tcPr>
          <w:p>
            <w:pPr/>
            <w:r>
              <w:rPr/>
              <w:t xml:space="preserve">This indicator has been achieved and exceeded.</w:t>
            </w:r>
          </w:p>
          <w:p>
            <w:pPr/>
            <w:r>
              <w:rPr/>
              <w:t xml:space="preserve"/>
            </w:r>
          </w:p>
          <w:p>
            <w:pPr/>
            <w:r>
              <w:rPr/>
              <w:t xml:space="preserve">Cumulatively, the project has achieved 233% against the End of Project indicator and has thus exceeded the project target. During the reporting period an additional 1,992 ha of HCV classified as APL forest area fell under provisional regulatory protection.</w:t>
            </w:r>
          </w:p>
          <w:p>
            <w:pPr/>
            <w:r>
              <w:rPr/>
              <w:t xml:space="preserve"/>
            </w:r>
          </w:p>
          <w:p>
            <w:pPr/>
            <w:r>
              <w:rPr/>
              <w:t xml:space="preserve">Therefore, cumulatively total HCV forest area currently categorized as APL which is either reclassified as permanent forest estate or subject to new and enforceable regulatory protections as forested APL under provincial regulatory protection is 573,647 ha, in the three participating provinces.</w:t>
            </w:r>
          </w:p>
          <w:p>
            <w:pPr/>
            <w:r>
              <w:rPr/>
              <w:t xml:space="preserve"/>
            </w:r>
          </w:p>
          <w:p>
            <w:pPr/>
            <w:r>
              <w:rPr/>
              <w:t xml:space="preserve">The number of hectares under protection up to June 2023 in each province are:</w:t>
            </w:r>
          </w:p>
          <w:p>
            <w:pPr/>
            <w:r>
              <w:rPr/>
              <w:t xml:space="preserve">1.	West Kalimantan 99.404 ha</w:t>
            </w:r>
          </w:p>
          <w:p>
            <w:pPr/>
            <w:r>
              <w:rPr/>
              <w:t xml:space="preserve">West Kalimantan Governor Regulations as a derivative of West Kalimantan Regional Regulation number 6/2018 concerning the allocation of 7% of forest area for land-based businesses : (1) Multi-stakeholder engagement, (2) Sanctions,  (3) Conservation and (4) Forest protection management.</w:t>
            </w:r>
          </w:p>
          <w:p>
            <w:pPr/>
            <w:r>
              <w:rPr/>
              <w:t xml:space="preserve">2.	Central Kalimantan 17.316 ha</w:t>
            </w:r>
          </w:p>
          <w:p>
            <w:pPr/>
            <w:r>
              <w:rPr/>
              <w:t xml:space="preserve">Update Baseline Kotawaringin Barat District, Head of Kotawaringin Barat Circulation Letter No. 660/128/DLH.1/X/2021 on Monitoring ND Protect Forest in APL</w:t>
            </w:r>
          </w:p>
          <w:p>
            <w:pPr/>
            <w:r>
              <w:rPr/>
              <w:t xml:space="preserve">Governor Decision of Central Kalimantan No. 188.44/2/2023 on Nyaru Menteng Urban Forest</w:t>
            </w:r>
          </w:p>
          <w:p>
            <w:pPr/>
            <w:r>
              <w:rPr/>
              <w:t xml:space="preserve"/>
            </w:r>
          </w:p>
          <w:p>
            <w:pPr/>
            <w:r>
              <w:rPr/>
              <w:t xml:space="preserve">3.	East Kalimantan 457.126 ha</w:t>
            </w:r>
          </w:p>
          <w:p>
            <w:pPr/>
            <w:r>
              <w:rPr/>
              <w:t xml:space="preserve">East Kalimantan Governor Regulation No. 43/2021 on HCVF Management in Estate. East &amp; Kalimantan Governor Regulation No. 525/K.244/2022 on Map of HCV in estate area (impact regulation no 43/2021)</w:t>
            </w:r>
          </w:p>
          <w:p>
            <w:pPr/>
            <w:r>
              <w:rPr/>
              <w:t xml:space="preserve"/>
            </w:r>
          </w:p>
          <w:p>
            <w:pPr/>
            <w:r>
              <w:rPr/>
              <w:t xml:space="preserve">Evidence:</w:t>
            </w:r>
          </w:p>
          <w:p>
            <w:pPr/>
            <w:r>
              <w:rPr/>
              <w:t xml:space="preserve">Surat Edaran Bupati (Ketapang) No. P 1 PERKIMLH-C.600 4 1 XII 2022 [Pendataan Areal HCV].pdf</w:t>
            </w:r>
          </w:p>
          <w:p>
            <w:pPr/>
            <w:r>
              <w:rPr/>
              <w:t xml:space="preserve">SK Bupati (Kutim) No. 525/K.498/2022 [Protecting HCV in plantation area].pdf</w:t>
            </w:r>
          </w:p>
          <w:p>
            <w:pPr/>
            <w:r>
              <w:rPr/>
              <w:t xml:space="preserve">SK Gubernur (Kalbar) No. 536/BKAD/2022 [Urban Forest Teluk Akar Begantung].pdf</w:t>
            </w:r>
          </w:p>
          <w:p>
            <w:pPr/>
            <w:r>
              <w:rPr/>
              <w:t xml:space="preserve">Perdes Tepian Terap (Kutim) No. 3-2022 [Hutan Milik Desa].pdf</w:t>
            </w:r>
          </w:p>
          <w:p>
            <w:pPr/>
            <w:r>
              <w:rPr/>
              <w:t xml:space="preserve">Perbup (Sintang) No. 122/2021 [Rimba Gupung].pdf</w:t>
            </w:r>
          </w:p>
          <w:p>
            <w:pPr/>
            <w:r>
              <w:rPr/>
              <w:t xml:space="preserve">SK Bupati (Sintang) No. 660_716_KEP-DLH_2022 [Rimba Melapi].pdf</w:t>
            </w:r>
          </w:p>
          <w:p>
            <w:pPr/>
            <w:r>
              <w:rPr/>
              <w:t xml:space="preserve">SK Bupati (Sintang) No. 660_717_KEP-DLH_2022 [Rimba Piangan].pdf</w:t>
            </w:r>
          </w:p>
          <w:p>
            <w:pPr/>
            <w:r>
              <w:rPr/>
              <w:t xml:space="preserve">SK Bupati (Sintang) No. 660_1191_KEP-DLH_2022 [Gupung Debau &amp; Gupung Empaling].pdf</w:t>
            </w:r>
          </w:p>
          <w:p>
            <w:pPr/>
            <w:r>
              <w:rPr/>
              <w:t xml:space="preserve">SK Bupati (Sintang) No. 660_1192_KEP-DLH_2022 [Rimba Sungai Lalau &amp; Rimba Sungai Nis].pdf</w:t>
            </w:r>
          </w:p>
          <w:p>
            <w:pPr/>
            <w:r>
              <w:rPr/>
              <w:t xml:space="preserve">SK Bupati (Sintang) No. 660_1193_KEP-DLH_2022 [Rimba Kerintak Babah Ulu Temiang].pdf</w:t>
            </w:r>
          </w:p>
          <w:p>
            <w:pPr/>
            <w:r>
              <w:rPr/>
              <w:t xml:space="preserve">SK Bupati (Sintang) No. 660_1251_KEP-DLH_2022 [Rimba Bukit Liang Pelimping].pdf</w:t>
            </w:r>
          </w:p>
          <w:p>
            <w:pPr/>
            <w:r>
              <w:rPr/>
              <w:t xml:space="preserve">SK Bupati (Sintang) No. 660_1250_KEP-DLH_2022 [Rimba Bukit Liang Sungai Pukat].pdf</w:t>
            </w:r>
          </w:p>
          <w:p>
            <w:pPr/>
            <w:r>
              <w:rPr/>
              <w:t xml:space="preserve">SK Bupati (Sintang) No. 660_1285_KEP-DLH_2022 [Rimba Tawang Selubang].pdf</w:t>
            </w:r>
          </w:p>
          <w:p>
            <w:pPr/>
            <w:r>
              <w:rPr/>
              <w:t xml:space="preserve">SK Bupati (Sintang) No. 660_1286_KEP-DLH_2022 [Gupung Pendam Ketungau &amp; Gupung Sengkulang Lebuk].pdf</w:t>
            </w:r>
          </w:p>
          <w:p>
            <w:pPr/>
            <w:r>
              <w:rPr/>
              <w:t xml:space="preserve">SK Bupati (Sintang) No. 660_1287_KEP-DLH_2022 [Rimba Seringin].pdf</w:t>
            </w:r>
          </w:p>
          <w:p>
            <w:pPr/>
            <w:r>
              <w:rPr/>
              <w:t xml:space="preserve">SK Bupati (Sintang) No. 660_1288_KEP-DLH_2022 [Rimba Perauh].pdf</w:t>
            </w:r>
          </w:p>
          <w:p>
            <w:pPr/>
            <w:r>
              <w:rPr/>
              <w:t xml:space="preserve">SK Bupati (Sintang) No. 660_1289_KEP-DLH_2022 [Gupung Selabang &amp; Gupung Senibung].pdf</w:t>
            </w:r>
          </w:p>
          <w:p>
            <w:pPr/>
            <w:r>
              <w:rPr/>
              <w:t xml:space="preserve">SK Bupati (Sintang) No. 660_1299_KEP-DLH_2022 [Rimba Tawang].pdf</w:t>
            </w:r>
          </w:p>
          <w:p>
            <w:pPr/>
            <w:r>
              <w:rPr/>
              <w:t xml:space="preserve">Surat Bupati (Kobar) No. 660/1128/DLH.1/X/2021 [Mengawasi dan mengamankan areal berhutan di APL].pdf</w:t>
            </w:r>
          </w:p>
          <w:p>
            <w:pPr/>
            <w:r>
              <w:rPr/>
              <w:t xml:space="preserve">Surat Bupati (Sintang) No. 522/1827/SDA/2021 [Penetapan Areal Konservasi dalam Izin Sawit].pdf</w:t>
            </w:r>
          </w:p>
          <w:p>
            <w:pPr/>
            <w:r>
              <w:rPr/>
              <w:t xml:space="preserve">SK Bupati (Kutim) No. 454/02.188.45/KH/XII/2003 [Taman Botani].pdf</w:t>
            </w:r>
          </w:p>
          <w:p>
            <w:pPr/>
            <w:r>
              <w:rPr/>
              <w:t xml:space="preserve">SK Kades Batu Lepoq (Kutim) No. 141/281/XI/2020 [Penetapan Areal Berhutan di Luar Kawasan Hutan sebagai HMD].pdf</w:t>
            </w:r>
          </w:p>
          <w:p>
            <w:pPr/>
            <w:r>
              <w:rPr/>
              <w:t xml:space="preserve">SK Kades Sempayau (Kutim) No. 05.2011/71/SH.TGL/SPY/IX/20 [Tim Groundcheck Lapangan].pdf</w:t>
            </w:r>
          </w:p>
          <w:p>
            <w:pPr/>
            <w:r>
              <w:rPr/>
              <w:t xml:space="preserve">Nota Kesepakatan (Kutim) No. 02/K-PEM/I/2021 [Kesepakatan Bersama Kades dan BPD Saka].pdf</w:t>
            </w:r>
          </w:p>
          <w:p>
            <w:pPr/>
            <w:r>
              <w:rPr/>
              <w:t xml:space="preserve">Perdes Saka (Kutim) No. 1/2021 [Penetapan Hutan Milik Desa].pdf</w:t>
            </w:r>
          </w:p>
          <w:p>
            <w:pPr/>
            <w:r>
              <w:rPr/>
              <w:t xml:space="preserve">Perdes Sempayau (Kutim) No. 1/2021 [Penetapan Kawasan Pemanfaatan dan Perlindungan].pdf</w:t>
            </w:r>
          </w:p>
          <w:p>
            <w:pPr/>
            <w:r>
              <w:rPr/>
              <w:t xml:space="preserve">Perdes Tepian Terap (Kutim) No. 3-2022 [Hutan Milik Desa].pdf</w:t>
            </w:r>
          </w:p>
          <w:p>
            <w:pPr/>
            <w:r>
              <w:rPr/>
              <w:t xml:space="preserve"/>
            </w:r>
          </w:p>
        </w:tc>
        <w:tc>
          <w:tcPr>
            <w:tcW w:w="4000" w:type="dxa"/>
            <w:gridSpan w:val="1"/>
          </w:tcPr>
          <w:p>
            <w:pPr/>
            <w:r>
              <w:rPr/>
              <w:t xml:space="preserve">This indicator has been achieved and exceeded.</w:t>
            </w:r>
          </w:p>
          <w:p>
            <w:pPr/>
            <w:r>
              <w:rPr/>
              <w:t xml:space="preserve"/>
            </w:r>
          </w:p>
          <w:p>
            <w:pPr/>
            <w:r>
              <w:rPr/>
              <w:t xml:space="preserve">Although during the reporting period the project did not contribute to an increase in the HCV area, the KalFor Project has, so far, achieved 228% of the expected target having protected 570,649 ha of forest with HCV - exceeded the final target of 250,000 ha.</w:t>
            </w:r>
          </w:p>
          <w:p>
            <w:pPr/>
            <w:r>
              <w:rPr/>
              <w:t xml:space="preserve"/>
            </w:r>
          </w:p>
          <w:p>
            <w:pPr/>
            <w:r>
              <w:rPr/>
              <w:t xml:space="preserve">During previous reporting periods, KalFor facilitated the revised regulation on Provincial Regulation of West Kalimantan No. 6/2018 on Sustainable Land-Based Business Management to the new regulation i.e. Governor Regulation of West Kalimantan No. 1/2024 on Instructions for implementing regional regulation no 6-2018 concerning sustainable management of land-based businesses. In this regulation there is an overarching article that enables the district government to monitor the HCV area at the district level.</w:t>
            </w:r>
          </w:p>
          <w:p>
            <w:pPr/>
            <w:r>
              <w:rPr/>
              <w:t xml:space="preserve"/>
            </w:r>
          </w:p>
          <w:p>
            <w:pPr/>
            <w:r>
              <w:rPr/>
              <w:t xml:space="preserve">Cumulatively, KalFor has facilitated 8 regulations in West Kalimantan (6 regulations), Central Kalimantan (1 regulation) and East Kalimantan (1 regulation), to protect forests in APL in the HCV area so that the total area of forest with HCV that has been protected in 3 provinces is 570,649 ha, which has exceeded the final target of 250,000 ha.</w:t>
            </w:r>
          </w:p>
          <w:p>
            <w:pPr/>
            <w:r>
              <w:rPr/>
              <w:t xml:space="preserve"/>
            </w:r>
          </w:p>
          <w:p>
            <w:pPr/>
            <w:r>
              <w:rPr/>
              <w:t xml:space="preserve">The progress for indicator has been reported in the previous PIRs and is summarized in the document entitled KalFor Achievement dated August 2024, which has been uploaded as evidence in the File Library</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Development and demonstration of strategies for integrating forest area planning, management and conservation with estate crop spatial planning and management across four districts of Kalimantan (Ketapang, Sintang, Kota Waringin Barat, and Kutai Timur) and at target landscapes within those districts. Policies and plans to deliver global and national benefits from forest conservation and estate crop development are in place in four districts of Kalimantan and innovative approaches to their implementation have been demonstrated in target landscapes containing at least 200,000 ha of forest area currently outside of the forest estate</w:t>
            </w:r>
          </w:p>
          <w:p>
            <w:pPr/>
            <w:r>
              <w:rPr>
                <w:b w:val="1"/>
                <w:bCs w:val="1"/>
              </w:rPr>
              <w:t xml:space="preserve"/>
            </w:r>
          </w:p>
          <w:p>
            <w:pPr/>
            <w:r>
              <w:rPr>
                <w:b w:val="1"/>
                <w:bCs w:val="1"/>
              </w:rPr>
              <w:t xml:space="preserve"/>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Indicator 2.1</w:t>
            </w:r>
          </w:p>
          <w:p>
            <w:pPr/>
            <w:r>
              <w:rPr/>
              <w:t xml:space="preserve">Tons of CO2e emissions avoided within the three Kalimantan provinces</w:t>
            </w:r>
          </w:p>
          <w:p>
            <w:pPr/>
            <w:r>
              <w:rPr/>
              <w:t xml:space="preserve"/>
            </w:r>
          </w:p>
        </w:tc>
        <w:tc>
          <w:tcPr>
            <w:tcW w:w="2000" w:type="dxa"/>
            <w:gridSpan w:val="1"/>
          </w:tcPr>
          <w:p>
            <w:pPr/>
            <w:r>
              <w:rPr/>
              <w:t xml:space="preserve">Baseline 2.1</w:t>
            </w:r>
          </w:p>
          <w:p>
            <w:pPr/>
            <w:r>
              <w:rPr/>
              <w:t xml:space="preserve">0 additional tons of CO2e avoided</w:t>
            </w:r>
          </w:p>
          <w:p>
            <w:pPr/>
            <w:r>
              <w:rPr/>
              <w:t xml:space="preserve"/>
            </w:r>
          </w:p>
        </w:tc>
        <w:tc>
          <w:tcPr>
            <w:tcW w:w="2000" w:type="dxa"/>
            <w:gridSpan w:val="1"/>
          </w:tcPr>
          <w:p>
            <w:pPr/>
            <w:r>
              <w:rPr/>
              <w:t xml:space="preserve">Mid-term Target 2.1</w:t>
            </w:r>
          </w:p>
          <w:p>
            <w:pPr/>
            <w:r>
              <w:rPr/>
              <w:t xml:space="preserve">10 million tons CO2e emissions projected to be avoided on actions to date</w:t>
            </w:r>
          </w:p>
          <w:p>
            <w:pPr/>
            <w:r>
              <w:rPr/>
              <w:t xml:space="preserve"/>
            </w:r>
          </w:p>
        </w:tc>
        <w:tc>
          <w:tcPr>
            <w:tcW w:w="2000" w:type="dxa"/>
            <w:gridSpan w:val="1"/>
          </w:tcPr>
          <w:p>
            <w:pPr/>
            <w:r>
              <w:rPr/>
              <w:t xml:space="preserve">End of Project Target 2.1</w:t>
            </w:r>
          </w:p>
          <w:p>
            <w:pPr/>
            <w:r>
              <w:rPr/>
              <w:t xml:space="preserve">24.16 million tons CO2e emissions projected to be avoided through  landscape-level demonstrations</w:t>
            </w:r>
          </w:p>
          <w:p>
            <w:pPr/>
            <w:r>
              <w:rPr/>
              <w:t xml:space="preserve"/>
            </w:r>
          </w:p>
        </w:tc>
        <w:tc>
          <w:tcPr>
            <w:tcW w:w="4000" w:type="dxa"/>
            <w:gridSpan w:val="1"/>
          </w:tcPr>
          <w:p>
            <w:pPr/>
            <w:r>
              <w:rPr/>
              <w:t xml:space="preserve">This indicator has been achieved and exceeded.</w:t>
            </w:r>
          </w:p>
          <w:p>
            <w:pPr/>
            <w:r>
              <w:rPr/>
              <w:t xml:space="preserve"/>
            </w:r>
          </w:p>
          <w:p>
            <w:pPr/>
            <w:r>
              <w:rPr/>
              <w:t xml:space="preserve">As of June 2023, the project had cumulatively achieved about 296% against the End of the Project target, arising from 26 million tons of CO2-eq avoided during the current reporting period.</w:t>
            </w:r>
          </w:p>
          <w:p>
            <w:pPr/>
            <w:r>
              <w:rPr/>
              <w:t xml:space="preserve"/>
            </w:r>
          </w:p>
          <w:p>
            <w:pPr/>
            <w:r>
              <w:rPr/>
              <w:t xml:space="preserve">The big jump in CO2eq emission avoided during the reporting period is a result of 2 regulations signed, such as in Ketapang and Kutai Timur districts. In essence, large increase in CO2eq emissions avoided come from the additional HCVF protection in these areas.</w:t>
            </w:r>
          </w:p>
          <w:p>
            <w:pPr/>
            <w:r>
              <w:rPr/>
              <w:t xml:space="preserve"/>
            </w:r>
          </w:p>
          <w:p>
            <w:pPr/>
            <w:r>
              <w:rPr/>
              <w:t xml:space="preserve">At the district level, 71.514.917 tons CO2-eq have been avoided from 197.152 ha. The total 141.779 ha (51.428.803 tons CO2-eq) from strengthen status which has protected area via regulation and the total 54.420 ha is the potential deforestation avoided if the Head of Sintang District No. 112/2021 on Rimba Gupung were to protect APL in non-permit area (procedure for community to request the head of district regulation that the forest to be ecoculture area or customary forest) proposed by all villages (56.277 ha).</w:t>
            </w:r>
          </w:p>
          <w:p>
            <w:pPr/>
            <w:r>
              <w:rPr/>
              <w:t xml:space="preserve">From the total 56.277 ha of the all-potential areas offered by the Regent for Rimba/Gupung, 13 areas have been regulated as community-owned forests with a total area of 904 ha.</w:t>
            </w:r>
          </w:p>
          <w:p>
            <w:pPr/>
            <w:r>
              <w:rPr/>
              <w:t xml:space="preserve"/>
            </w:r>
          </w:p>
          <w:p>
            <w:pPr/>
            <w:r>
              <w:rPr/>
              <w:t xml:space="preserve">Carbon stock figures are obtained using the conversion of biomass stocks to carbon (1.67) or to CO2eq (3.67) based on the 2006 IPCC book.</w:t>
            </w:r>
          </w:p>
          <w:p>
            <w:pPr/>
            <w:r>
              <w:rPr/>
              <w:t xml:space="preserve"/>
            </w:r>
          </w:p>
          <w:p>
            <w:pPr/>
            <w:r>
              <w:rPr/>
              <w:t xml:space="preserve">The CO2e figure was calculated using MOEF methodology used in reporting to the UNFCCC and accepted by that body.</w:t>
            </w:r>
          </w:p>
          <w:p>
            <w:pPr/>
            <w:r>
              <w:rPr/>
              <w:t xml:space="preserve"/>
            </w:r>
          </w:p>
          <w:p>
            <w:pPr/>
            <w:r>
              <w:rPr/>
              <w:t xml:space="preserve">The project achieved this since the beginning by providing expert and multi stakeholder forum for developing 23 regulations to protect forested area in APL in Sintang and Kutai Timur districts, with a total area 197.152 ha as follows:</w:t>
            </w:r>
          </w:p>
          <w:p>
            <w:pPr/>
            <w:r>
              <w:rPr/>
              <w:t xml:space="preserve">1.	Circulation Letter of Ketapang No. P/1/PERKIMLH-C.600/4/1/XII/2022 on HCV Area Data Collection in Palm Oil Company, potentially to protect 39.320 ha (to fulfil obligations Provincial Regulation of West Kalimantan No. 6/2018 on Sustainable Land-Based Business Management, and (1) Governor Regulation of West Kalimantan No. 60/2019 on Procedures and Mechanisms for Determining Conservation Areas in sustainable land-based business management, (2) Governor Regulation of West Kalimantan No. 115/2020 on Protection management and assistance, (3) Governor Regulation of West Kalimantan No. 137/2020 on Community Participation in Supervision of Conservation Areas, (4) Governor Regulation of West Kalimantan No. 139/2020 on Guidelines for Imposing Administrative Sanctions in Sustainable Land-Based Business Management.</w:t>
            </w:r>
          </w:p>
          <w:p>
            <w:pPr/>
            <w:r>
              <w:rPr/>
              <w:t xml:space="preserve">2.	Governor Decision of West Kalimantan No. 536/BKAD/2022 on Teluk Akar Begantung Urban Forest is 106 ha</w:t>
            </w:r>
          </w:p>
          <w:p>
            <w:pPr/>
            <w:r>
              <w:rPr/>
              <w:t xml:space="preserve">3. 	Regent Decision of Kutai Timur No. 525/K.498/2022 on Protecting HCV in plantation area is 48.934 ha</w:t>
            </w:r>
          </w:p>
          <w:p>
            <w:pPr/>
            <w:r>
              <w:rPr/>
              <w:t xml:space="preserve">4.	Head of Village Letter of Tepian Terap No. 3/2022 on Village Owned Forest is 102 ha.</w:t>
            </w:r>
          </w:p>
          <w:p>
            <w:pPr/>
            <w:r>
              <w:rPr/>
              <w:t xml:space="preserve">5.	Head of Sintang District No. 112/2021 on Rimba Gupung to protect APL in non-permit area (procedure for community to request head of district regulation that the forest to be ecoculture area or customary forest is 56.277 ha (potentially regulated to protect forest in APL).</w:t>
            </w:r>
          </w:p>
          <w:p>
            <w:pPr/>
            <w:r>
              <w:rPr/>
              <w:t xml:space="preserve">From the 56.277 ha, the regulations have been issued covering an area of 1.857 ha, namely:</w:t>
            </w:r>
          </w:p>
          <w:p>
            <w:pPr/>
            <w:r>
              <w:rPr/>
              <w:t xml:space="preserve">a.	Regent Decision of Sintang No. 660/716/KEP-DLH/2022 on Rimba Melapi is 72 ha.</w:t>
            </w:r>
          </w:p>
          <w:p>
            <w:pPr/>
            <w:r>
              <w:rPr/>
              <w:t xml:space="preserve">b.	Regent Decision of Sintang No. 660/717/KEP-DLH/2022 on Rimba Piangan is 49 ha.</w:t>
            </w:r>
          </w:p>
          <w:p>
            <w:pPr/>
            <w:r>
              <w:rPr/>
              <w:t xml:space="preserve">c.	Regent Decision of Sintang No. 660/1191/KEP-DLH/2022 on Gupung Debau &amp; Gupung Empaling is 14 ha.</w:t>
            </w:r>
          </w:p>
          <w:p>
            <w:pPr/>
            <w:r>
              <w:rPr/>
              <w:t xml:space="preserve">d.	Regent Decision of Sintang No. 660/1192/KEP-DLH/2022 on Rimba Sungai Lalau &amp; Rimba Sungai Nis is 46 ha.</w:t>
            </w:r>
          </w:p>
          <w:p>
            <w:pPr/>
            <w:r>
              <w:rPr/>
              <w:t xml:space="preserve">e.	Regent Decision of Sintang No. 660/1193/KEP-DLH/2022 on Rimba Kerintak Babah Ulu Temiang is 71 ha.</w:t>
            </w:r>
          </w:p>
          <w:p>
            <w:pPr/>
            <w:r>
              <w:rPr/>
              <w:t xml:space="preserve">f.	Regent Decision of Sintang No. 660/1251/KEP-DLH/2022 on Rimba Bukit Liang Pelimping is 282 ha.</w:t>
            </w:r>
          </w:p>
          <w:p>
            <w:pPr/>
            <w:r>
              <w:rPr/>
              <w:t xml:space="preserve">g.	Regent Decision of Sintang No. 660/1250/KEP-DLH/2022 on Rimba Bukit Liang Sungai Pukat is 117 ha.</w:t>
            </w:r>
          </w:p>
          <w:p>
            <w:pPr/>
            <w:r>
              <w:rPr/>
              <w:t xml:space="preserve">h.	Regent Decision of Sintang No. 660/1285/KEP-DLH/2022 on Rimba Tawang Selubang is 14 ha.</w:t>
            </w:r>
          </w:p>
          <w:p>
            <w:pPr/>
            <w:r>
              <w:rPr/>
              <w:t xml:space="preserve">i.	Regent Decision of Sintang No. 660/1286/KEP-DLH/2022 on Gupung Pendam Ketungau &amp; Gupung Sengkulang Lebuk is 36 ha.</w:t>
            </w:r>
          </w:p>
          <w:p>
            <w:pPr/>
            <w:r>
              <w:rPr/>
              <w:t xml:space="preserve">j.	Regent Decision of Sintang No. 660/1287/KEP-DLH/2022 on Rimba Seringin is 14 ha.</w:t>
            </w:r>
          </w:p>
          <w:p>
            <w:pPr/>
            <w:r>
              <w:rPr/>
              <w:t xml:space="preserve">k.	Regent Decision of Sintang No. 660/1288/KEP-DLH/2022 on Rimba Perauh is 32 ha.</w:t>
            </w:r>
          </w:p>
          <w:p>
            <w:pPr/>
            <w:r>
              <w:rPr/>
              <w:t xml:space="preserve">l.	Regent Decision of Sintang No. 660/1289/KEP-DLH/2022 on Gupung Selabang &amp; Gupung Senibung is 2 ha.</w:t>
            </w:r>
          </w:p>
          <w:p>
            <w:pPr/>
            <w:r>
              <w:rPr/>
              <w:t xml:space="preserve">m.	Regent Decision of Sintang No. 660/1299/KEP-DLH/2022 on Rimba Tawang is 153 ha</w:t>
            </w:r>
          </w:p>
          <w:p>
            <w:pPr/>
            <w:r>
              <w:rPr/>
              <w:t xml:space="preserve">6.	Regent Letter of Kotawaringin Barat No. 660/1128/DLH.1/X/2021 on Monitor and secure forested areas in APL is 17.316 ha, including Grand Forest Park proposal area is 4.600 ha. And Ministerial Decision of Kotawaringin Barat No. SK.10175/MENLHK-PSKL/PKPS/PSL.0/12/2022 on Granting Forest Management Approval to the Jurung Tiga Farmer Group 199 Ha, Which consists of: ±37 hectares of permanent production forest area and ±162 hectares of convertible production forest area in Pasir Panjang Village, Arut Selatan Sub-District, Kotawaringin Barat District, Central Kalimantan Province.</w:t>
            </w:r>
          </w:p>
          <w:p>
            <w:pPr/>
            <w:r>
              <w:rPr/>
              <w:t xml:space="preserve">7.	Regent Letter of Sintang No. 522/827/SDA/2021 on Determination of Conservation Area in Palm Oil Permit is 26.330 ha</w:t>
            </w:r>
          </w:p>
          <w:p>
            <w:pPr/>
            <w:r>
              <w:rPr/>
              <w:t xml:space="preserve">8.	Sempayau Village Consultative Body Decree No. 1/2021 - The Agreement on the Establishment of Draft Village Regulations concerning the Designation of Utilization Areas and Protected Areas for Sempayau Village is 6.746 ha</w:t>
            </w:r>
          </w:p>
          <w:p>
            <w:pPr/>
            <w:r>
              <w:rPr/>
              <w:t xml:space="preserve">9.	Village Regulation of Saka Village No. 1/2021 is 541 ha</w:t>
            </w:r>
          </w:p>
          <w:p>
            <w:pPr/>
            <w:r>
              <w:rPr/>
              <w:t xml:space="preserve">10.	Batu Lepoq Village Head Decree No. 141/2020 - Designation of Non-state owned forest area as Batu Lepoq's Forest is 1.460 ha.</w:t>
            </w:r>
          </w:p>
          <w:p>
            <w:pPr/>
            <w:r>
              <w:rPr/>
              <w:t xml:space="preserve">11.	Regent Decision of Botanical Garden Bukit Pelangi No. 454/02.188.45/KH/XII/2003 on Botanical Garden of Bukit Pelangi. December 31, 2003 (Masterplan Development, facilitated in 2020) is 20,5 ha</w:t>
            </w:r>
          </w:p>
          <w:p>
            <w:pPr/>
            <w:r>
              <w:rPr/>
              <w:t xml:space="preserve"/>
            </w:r>
          </w:p>
          <w:p>
            <w:pPr/>
            <w:r>
              <w:rPr/>
              <w:t xml:space="preserve">Evidence:</w:t>
            </w:r>
          </w:p>
          <w:p>
            <w:pPr/>
            <w:r>
              <w:rPr/>
              <w:t xml:space="preserve">Surat Edaran Bupati (Ketapang) No. P 1 PERKIMLH-C.600 4 1 XII 2022 [Pendataan Areal HCV].pdf</w:t>
            </w:r>
          </w:p>
          <w:p>
            <w:pPr/>
            <w:r>
              <w:rPr/>
              <w:t xml:space="preserve">SK Bupati (Kutim) No. 525/K.498/2022 [Protecting HCV in plantation area].pdf</w:t>
            </w:r>
          </w:p>
          <w:p>
            <w:pPr/>
            <w:r>
              <w:rPr/>
              <w:t xml:space="preserve">SK Gubernur (Kalbar) No. 536/BKAD/2022 [Urban Forest Teluk Akar Begantung].pdf</w:t>
            </w:r>
          </w:p>
          <w:p>
            <w:pPr/>
            <w:r>
              <w:rPr/>
              <w:t xml:space="preserve">Perdes Tepian Terap (Kutim) No. 3-2022 [Hutan Milik Desa].pdf</w:t>
            </w:r>
          </w:p>
          <w:p>
            <w:pPr/>
            <w:r>
              <w:rPr/>
              <w:t xml:space="preserve">Perbup (Sintang) No. 122/2021 [Rimba Gupung].pdf</w:t>
            </w:r>
          </w:p>
          <w:p>
            <w:pPr/>
            <w:r>
              <w:rPr/>
              <w:t xml:space="preserve">SK Bupati (Sintang) No. 660_716_KEP-DLH_2022 [Rimba Melapi].pdf</w:t>
            </w:r>
          </w:p>
          <w:p>
            <w:pPr/>
            <w:r>
              <w:rPr/>
              <w:t xml:space="preserve">SK Bupati (Sintang) No. 660_717_KEP-DLH_2022 [Rimba Piangan].pdf</w:t>
            </w:r>
          </w:p>
          <w:p>
            <w:pPr/>
            <w:r>
              <w:rPr/>
              <w:t xml:space="preserve">SK Bupati (Sintang) No. 660_1191_KEP-DLH_2022 [Gupung Debau &amp; Gupung Empaling].pdf</w:t>
            </w:r>
          </w:p>
          <w:p>
            <w:pPr/>
            <w:r>
              <w:rPr/>
              <w:t xml:space="preserve">SK Bupati (Sintang) No. 660_1192_KEP-DLH_2022 [Rimba Sungai Lalau &amp; Rimba Sungai Nis].pdf</w:t>
            </w:r>
          </w:p>
          <w:p>
            <w:pPr/>
            <w:r>
              <w:rPr/>
              <w:t xml:space="preserve">SK Bupati (Sintang) No. 660_1193_KEP-DLH_2022 [Rimba Kerintak Babah Ulu Temiang].pdf</w:t>
            </w:r>
          </w:p>
          <w:p>
            <w:pPr/>
            <w:r>
              <w:rPr/>
              <w:t xml:space="preserve">SK Bupati (Sintang) No. 660_1251_KEP-DLH_2022 [Rimba Bukit Liang Pelimping].pdf</w:t>
            </w:r>
          </w:p>
          <w:p>
            <w:pPr/>
            <w:r>
              <w:rPr/>
              <w:t xml:space="preserve">SK Bupati (Sintang) No. 660_1250_KEP-DLH_2022 [Rimba Bukit Liang Sungai Pukat].pdf</w:t>
            </w:r>
          </w:p>
          <w:p>
            <w:pPr/>
            <w:r>
              <w:rPr/>
              <w:t xml:space="preserve">SK Bupati (Sintang) No. 660_1285_KEP-DLH_2022 [Rimba Tawang Selubang].pdf</w:t>
            </w:r>
          </w:p>
          <w:p>
            <w:pPr/>
            <w:r>
              <w:rPr/>
              <w:t xml:space="preserve">SK Bupati (Sintang) No. 660_1286_KEP-DLH_2022 [Gupung Pendam Ketungau &amp; Gupung Sengkulang Lebuk].pdf</w:t>
            </w:r>
          </w:p>
          <w:p>
            <w:pPr/>
            <w:r>
              <w:rPr/>
              <w:t xml:space="preserve">SK Bupati (Sintang) No. 660_1287_KEP-DLH_2022 [Rimba Seringin].pdf</w:t>
            </w:r>
          </w:p>
          <w:p>
            <w:pPr/>
            <w:r>
              <w:rPr/>
              <w:t xml:space="preserve">SK Bupati (Sintang) No. 660_1288_KEP-DLH_2022 [Rimba Perauh].pdf</w:t>
            </w:r>
          </w:p>
          <w:p>
            <w:pPr/>
            <w:r>
              <w:rPr/>
              <w:t xml:space="preserve">SK Bupati (Sintang) No. 660_1289_KEP-DLH_2022 [Gupung Selabang &amp; Gupung Senibung].pdf</w:t>
            </w:r>
          </w:p>
          <w:p>
            <w:pPr/>
            <w:r>
              <w:rPr/>
              <w:t xml:space="preserve">SK Bupati (Sintang) No. 660_1299_KEP-DLH_2022 [Rimba Tawang].pdf</w:t>
            </w:r>
          </w:p>
          <w:p>
            <w:pPr/>
            <w:r>
              <w:rPr/>
              <w:t xml:space="preserve">Surat Bupati (Kobar) No. 660/1128/DLH.1/X/2021 [Mengawasi dan mengamankan areal berhutan di APL].pdf</w:t>
            </w:r>
          </w:p>
          <w:p>
            <w:pPr/>
            <w:r>
              <w:rPr/>
              <w:t xml:space="preserve">Surat Bupati (Sintang) No. 522/1827/SDA/2021 [Penetapan Areal Konservasi dalam Izin Sawit].pdf</w:t>
            </w:r>
          </w:p>
          <w:p>
            <w:pPr/>
            <w:r>
              <w:rPr/>
              <w:t xml:space="preserve">SK Bupati (Kutim) No. 454/02.188.45/KH/XII/2003 [Taman Botani].pdf</w:t>
            </w:r>
          </w:p>
          <w:p>
            <w:pPr/>
            <w:r>
              <w:rPr/>
              <w:t xml:space="preserve">SK Kades Batu Lepoq (Kutim) No. 141/281/XI/2020 [Penetapan Areal Berhutan di Luar Kawasan Hutan sebagai HMD].pdf</w:t>
            </w:r>
          </w:p>
          <w:p>
            <w:pPr/>
            <w:r>
              <w:rPr/>
              <w:t xml:space="preserve">SK Kades Sempayau (Kutim) No. 05.2011/71/SH.TGL/SPY/IX/20 [Tim Groundcheck Lapangan].pdf</w:t>
            </w:r>
          </w:p>
          <w:p>
            <w:pPr/>
            <w:r>
              <w:rPr/>
              <w:t xml:space="preserve">Nota Kesepakatan (Kutim) No. 02/K-PEM/I/2021 [Kesepakatan Bersama Kades dan BPD Saka].pdf</w:t>
            </w:r>
          </w:p>
          <w:p>
            <w:pPr/>
            <w:r>
              <w:rPr/>
              <w:t xml:space="preserve">Perdes Saka (Kutim) No. 1/2021 [Penetapan Hutan Milik Desa].pdf</w:t>
            </w:r>
          </w:p>
          <w:p>
            <w:pPr/>
            <w:r>
              <w:rPr/>
              <w:t xml:space="preserve">Perdes Sempayau (Kutim) No. 1/2021 [Penetapan Kawasan Pemanfaatan dan Perlindungan].pdf</w:t>
            </w:r>
          </w:p>
          <w:p>
            <w:pPr/>
            <w:r>
              <w:rPr/>
              <w:t xml:space="preserve">Perdes Tepian Terap (Kutim) No. 3-2022 [Hutan Milik Desa].pdf</w:t>
            </w:r>
          </w:p>
          <w:p>
            <w:pPr/>
            <w:r>
              <w:rPr/>
              <w:t xml:space="preserve"/>
            </w:r>
          </w:p>
        </w:tc>
        <w:tc>
          <w:tcPr>
            <w:tcW w:w="4000" w:type="dxa"/>
            <w:gridSpan w:val="1"/>
          </w:tcPr>
          <w:p>
            <w:pPr/>
            <w:r>
              <w:rPr/>
              <w:t xml:space="preserve">This indicator has been achieved and exceeded.</w:t>
            </w:r>
          </w:p>
          <w:p>
            <w:pPr/>
            <w:r>
              <w:rPr/>
              <w:t xml:space="preserve"/>
            </w:r>
          </w:p>
          <w:p>
            <w:pPr/>
            <w:r>
              <w:rPr/>
              <w:t xml:space="preserve">While during the reporting period, KalFor Project did not contribute to any additional CO2e emissions avoided, however, so far, the project has achieved 296% of the expected target, having contributed to a cumulative total of 71.5 m tons of CO2e emissions avoided.</w:t>
            </w:r>
          </w:p>
          <w:p>
            <w:pPr/>
            <w:r>
              <w:rPr/>
              <w:t xml:space="preserve"/>
            </w:r>
          </w:p>
          <w:p>
            <w:pPr/>
            <w:r>
              <w:rPr/>
              <w:t xml:space="preserve">In this reporting period, KalFor has facilitated 2 regulations to protect forest in APL:</w:t>
            </w:r>
          </w:p>
          <w:p>
            <w:pPr/>
            <w:r>
              <w:rPr/>
              <w:t xml:space="preserve">1.	Regent Decision of Sintang No. 660.4/1338/KEP-DLH/2023 on Rimba Hulu Berbatak</w:t>
            </w:r>
          </w:p>
          <w:p>
            <w:pPr/>
            <w:r>
              <w:rPr/>
              <w:t xml:space="preserve">2.	Regent Decision of Sintang No. 660.4/1339/KEP-DLH/2023 on Rimba Bukit Pengurin</w:t>
            </w:r>
          </w:p>
          <w:p>
            <w:pPr/>
            <w:r>
              <w:rPr/>
              <w:t xml:space="preserve"/>
            </w:r>
          </w:p>
          <w:p>
            <w:pPr/>
            <w:r>
              <w:rPr/>
              <w:t xml:space="preserve">The above regulations do not count towards additional CO2e emissions avoided in order to prevent double counting. A previously enacted regulation (i.e Sintang Regency Regulation No. 122/2021 concerning Rimba Gupung) was supported by the KalFor Project and provided the procedure for local communities to request for Regent's regulation so that forests in APL in non-licensed areas can become ecotourism areas or customary forests. Regulation No. 122/2021 was an overarching regulatory instrument providing overall protection of the respective forest area and the estimated CO2e emissions avoided was accounted for in the respective PIR, where this development was recorded. The 2 new regulations only cover parts of the forest areas and are meant to allow the local communities to utilize specific areas of the forest as indicated previously.</w:t>
            </w:r>
          </w:p>
          <w:p>
            <w:pPr/>
            <w:r>
              <w:rPr/>
              <w:t xml:space="preserve"/>
            </w:r>
          </w:p>
          <w:p>
            <w:pPr/>
            <w:r>
              <w:rPr/>
              <w:t xml:space="preserve">Cumulatively, at the district level, as much as 71.5 m tons of CO2e emissions have been  avoided by strengthening status of forested areas in APL covering an area of 197,152 ha.</w:t>
            </w:r>
          </w:p>
          <w:p>
            <w:pPr/>
            <w:r>
              <w:rPr/>
              <w:t xml:space="preserve"/>
            </w:r>
          </w:p>
          <w:p>
            <w:pPr/>
            <w:r>
              <w:rPr/>
              <w:t xml:space="preserve">The full list of regulations contributing to this indicator that have been reported in the previous PIRs are summarized in the document entitled KalFor Achievement dated August 2024, which has been uploaded as evidence in the File Library</w:t>
            </w:r>
          </w:p>
          <w:p>
            <w:pPr/>
            <w:r>
              <w:rPr/>
              <w:t xml:space="preserve"/>
            </w:r>
          </w:p>
        </w:tc>
      </w:tr>
      <w:tr>
        <w:trPr/>
        <w:tc>
          <w:tcPr>
            <w:tcW w:w="4000" w:type="dxa"/>
            <w:gridSpan w:val="1"/>
          </w:tcPr>
          <w:p>
            <w:pPr/>
            <w:r>
              <w:rPr/>
              <w:t xml:space="preserve">Outcome Indicator 2.2</w:t>
            </w:r>
          </w:p>
          <w:p>
            <w:pPr/>
            <w:r>
              <w:rPr/>
              <w:t xml:space="preserve">Area of High Conservation Value (HCV) forests located within the four demonstration landscapes and currently classified as either APL or convertible forest reclassified and/or subject to new and enforceable regulatory protections.</w:t>
            </w:r>
          </w:p>
          <w:p>
            <w:pPr/>
            <w:r>
              <w:rPr/>
              <w:t xml:space="preserve"/>
            </w:r>
          </w:p>
        </w:tc>
        <w:tc>
          <w:tcPr>
            <w:tcW w:w="2000" w:type="dxa"/>
            <w:gridSpan w:val="1"/>
          </w:tcPr>
          <w:p>
            <w:pPr/>
            <w:r>
              <w:rPr/>
              <w:t xml:space="preserve">Baseline 2.2</w:t>
            </w:r>
          </w:p>
          <w:p>
            <w:pPr/>
            <w:r>
              <w:rPr/>
              <w:t xml:space="preserve">Forested APL, including HCV areas, has few enforceable or enforced legal or regulatory protections and is therefore subject to high levels of conversion</w:t>
            </w:r>
          </w:p>
          <w:p>
            <w:pPr/>
            <w:r>
              <w:rPr/>
              <w:t xml:space="preserve"/>
            </w:r>
          </w:p>
        </w:tc>
        <w:tc>
          <w:tcPr>
            <w:tcW w:w="2000" w:type="dxa"/>
            <w:gridSpan w:val="1"/>
          </w:tcPr>
          <w:p>
            <w:pPr/>
            <w:r>
              <w:rPr/>
              <w:t xml:space="preserve">Mid-term Target 2.2</w:t>
            </w:r>
          </w:p>
          <w:p>
            <w:pPr/>
            <w:r>
              <w:rPr/>
              <w:t xml:space="preserve">At least 15,000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p>
            <w:pPr/>
            <w:r>
              <w:rPr/>
              <w:t xml:space="preserve"/>
            </w:r>
          </w:p>
        </w:tc>
        <w:tc>
          <w:tcPr>
            <w:tcW w:w="2000" w:type="dxa"/>
            <w:gridSpan w:val="1"/>
          </w:tcPr>
          <w:p>
            <w:pPr/>
            <w:r>
              <w:rPr/>
              <w:t xml:space="preserve">EoP Target 2.2</w:t>
            </w:r>
          </w:p>
          <w:p>
            <w:pPr/>
            <w:r>
              <w:rPr/>
              <w:t xml:space="preserve">At least 30,000 ha of HCV currently categorized as APL or convertible forest is either reclassified as permanent forest estate or subject to new and enforceable regulatory protections as forested APL. Areas to be prioritized based on factors including ongoing provision of critical ecosystem services and related risk of environmental damages (peat fires, etc.).</w:t>
            </w:r>
          </w:p>
          <w:p>
            <w:pPr/>
            <w:r>
              <w:rPr/>
              <w:t xml:space="preserve"/>
            </w:r>
          </w:p>
        </w:tc>
        <w:tc>
          <w:tcPr>
            <w:tcW w:w="4000" w:type="dxa"/>
            <w:gridSpan w:val="1"/>
          </w:tcPr>
          <w:p>
            <w:pPr/>
            <w:r>
              <w:rPr/>
              <w:t xml:space="preserve">This indicator has been achieved and exceeded.</w:t>
            </w:r>
          </w:p>
          <w:p>
            <w:pPr/>
            <w:r>
              <w:rPr/>
              <w:t xml:space="preserve"/>
            </w:r>
          </w:p>
          <w:p>
            <w:pPr/>
            <w:r>
              <w:rPr/>
              <w:t xml:space="preserve">As of June 2023, the project cumulatively achieved 440% against the End of the Project target, following an additional 59,180 ha coming under enhanced protection during the reporting period.</w:t>
            </w:r>
          </w:p>
          <w:p>
            <w:pPr/>
            <w:r>
              <w:rPr/>
              <w:t xml:space="preserve">Cumulatively, a total of 131,899 ha in the 4 demonstration districts is under enhanced protection, which is more than quadruple of the End of Project target.</w:t>
            </w:r>
          </w:p>
          <w:p>
            <w:pPr/>
            <w:r>
              <w:rPr/>
              <w:t xml:space="preserve"/>
            </w:r>
          </w:p>
          <w:p>
            <w:pPr/>
            <w:r>
              <w:rPr/>
              <w:t xml:space="preserve">These outcomes underscore the project's resounding success in reclassifying and fortifying the regulatory protection of High Conservation Value (HCV) forests within the designated landscapes, amplifying their environmental significance and ensuring the long-term vitality of these critical ecosystems.</w:t>
            </w:r>
          </w:p>
          <w:p>
            <w:pPr/>
            <w:r>
              <w:rPr/>
              <w:t xml:space="preserve"/>
            </w:r>
          </w:p>
          <w:p>
            <w:pPr/>
            <w:r>
              <w:rPr/>
              <w:t xml:space="preserve">Evidence:</w:t>
            </w:r>
          </w:p>
          <w:p>
            <w:pPr/>
            <w:r>
              <w:rPr/>
              <w:t xml:space="preserve">Surat Edaran Bupati (Ketapang) No. P 1 PERKIMLH-C.600 4 1 XII 2022 [Pendataan Areal HCV].pdf</w:t>
            </w:r>
          </w:p>
          <w:p>
            <w:pPr/>
            <w:r>
              <w:rPr/>
              <w:t xml:space="preserve">SK Bupati (Kutim) No. 525/K.498/2022 [Protecting HCV in plantation area].pdf</w:t>
            </w:r>
          </w:p>
          <w:p>
            <w:pPr/>
            <w:r>
              <w:rPr/>
              <w:t xml:space="preserve">Surat Bupati (Kobar) No. 660/1128/DLH.1/X/2021 [Mengawasi dan mengamankan areal berhutan di APL].pdf</w:t>
            </w:r>
          </w:p>
          <w:p>
            <w:pPr/>
            <w:r>
              <w:rPr/>
              <w:t xml:space="preserve">Surat Bupati (Sintang) No. 522/827/SDA/2021 [Penetapan Areal Konservasi dalam Izin Sawit].pdf</w:t>
            </w:r>
          </w:p>
          <w:p>
            <w:pPr/>
            <w:r>
              <w:rPr/>
              <w:t xml:space="preserve">Explanation Outcome 2.pdf</w:t>
            </w:r>
          </w:p>
          <w:p>
            <w:pPr/>
            <w:r>
              <w:rPr/>
              <w:t xml:space="preserve"/>
            </w:r>
          </w:p>
        </w:tc>
        <w:tc>
          <w:tcPr>
            <w:tcW w:w="4000" w:type="dxa"/>
            <w:gridSpan w:val="1"/>
          </w:tcPr>
          <w:p>
            <w:pPr/>
            <w:r>
              <w:rPr/>
              <w:t xml:space="preserve">This indicator has been achieved and exceeded.</w:t>
            </w:r>
          </w:p>
          <w:p>
            <w:pPr/>
            <w:r>
              <w:rPr/>
              <w:t xml:space="preserve"/>
            </w:r>
          </w:p>
          <w:p>
            <w:pPr/>
            <w:r>
              <w:rPr/>
              <w:t xml:space="preserve">Even though during the reporting period there is no additional HCVF in district protected, the KalFor Project has, so far, achieved 440% of the expected target. A total of 131,899 ha of HCVF at the district level that are protected from regulations facilitated by the KalFor Project – by far exceeding the end of project target of 30,000 ha.</w:t>
            </w:r>
          </w:p>
          <w:p>
            <w:pPr/>
            <w:r>
              <w:rPr/>
              <w:t xml:space="preserve"/>
            </w:r>
          </w:p>
          <w:p>
            <w:pPr/>
            <w:r>
              <w:rPr/>
              <w:t xml:space="preserve">The list of regulations contributing to this indicator that have been reported in the previous PIRs are summarized in the document entitled KalFor Achievement dated August 2024, which has been uploaded as evidence in the File Library</w:t>
            </w:r>
          </w:p>
          <w:p>
            <w:pPr/>
            <w:r>
              <w:rPr/>
              <w:t xml:space="preserve"/>
            </w:r>
          </w:p>
        </w:tc>
      </w:tr>
      <w:tr>
        <w:trPr/>
        <w:tc>
          <w:tcPr>
            <w:tcW w:w="4000" w:type="dxa"/>
            <w:gridSpan w:val="1"/>
          </w:tcPr>
          <w:p>
            <w:pPr/>
            <w:r>
              <w:rPr/>
              <w:t xml:space="preserve">Outcome Indicator 2.3</w:t>
            </w:r>
          </w:p>
          <w:p>
            <w:pPr/>
            <w:r>
              <w:rPr/>
              <w:t xml:space="preserve">Local institution capacity (Note: Baselines and targets to be determined during year 1)</w:t>
            </w:r>
          </w:p>
          <w:p>
            <w:pPr/>
            <w:r>
              <w:rPr/>
              <w:t xml:space="preserve"/>
            </w:r>
          </w:p>
          <w:p>
            <w:pPr/>
            <w:r>
              <w:rPr/>
              <w:t xml:space="preserve"/>
            </w:r>
          </w:p>
        </w:tc>
        <w:tc>
          <w:tcPr>
            <w:tcW w:w="2000" w:type="dxa"/>
            <w:gridSpan w:val="1"/>
          </w:tcPr>
          <w:p>
            <w:pPr/>
            <w:r>
              <w:rPr/>
              <w:t xml:space="preserve">Baseline 2.3</w:t>
            </w:r>
          </w:p>
          <w:p>
            <w:pPr/>
            <w:r>
              <w:rPr/>
              <w:t xml:space="preserve">Ketapang KPH: #</w:t>
            </w:r>
          </w:p>
          <w:p>
            <w:pPr/>
            <w:r>
              <w:rPr/>
              <w:t xml:space="preserve">Sintang KPH: #</w:t>
            </w:r>
          </w:p>
          <w:p>
            <w:pPr/>
            <w:r>
              <w:rPr/>
              <w:t xml:space="preserve">Kota Waringin Barat KPH: #</w:t>
            </w:r>
          </w:p>
          <w:p>
            <w:pPr/>
            <w:r>
              <w:rPr/>
              <w:t xml:space="preserve">Kutai Timur KPH: #</w:t>
            </w:r>
          </w:p>
          <w:p>
            <w:pPr/>
            <w:r>
              <w:rPr/>
              <w:t xml:space="preserve"/>
            </w:r>
          </w:p>
        </w:tc>
        <w:tc>
          <w:tcPr>
            <w:tcW w:w="2000" w:type="dxa"/>
            <w:gridSpan w:val="1"/>
          </w:tcPr>
          <w:p>
            <w:pPr/>
            <w:r>
              <w:rPr/>
              <w:t xml:space="preserve">Mid-term Target 2.3</w:t>
            </w:r>
          </w:p>
          <w:p>
            <w:pPr/>
            <w:r>
              <w:rPr/>
              <w:t xml:space="preserve">Ketapang KPH: #</w:t>
            </w:r>
          </w:p>
          <w:p>
            <w:pPr/>
            <w:r>
              <w:rPr/>
              <w:t xml:space="preserve">Sintang KPH: #</w:t>
            </w:r>
          </w:p>
          <w:p>
            <w:pPr/>
            <w:r>
              <w:rPr/>
              <w:t xml:space="preserve">Kota Waringin Barat KPH: #</w:t>
            </w:r>
          </w:p>
          <w:p>
            <w:pPr/>
            <w:r>
              <w:rPr/>
              <w:t xml:space="preserve">Kutai Timur KPH: #</w:t>
            </w:r>
          </w:p>
          <w:p>
            <w:pPr/>
            <w:r>
              <w:rPr/>
              <w:t xml:space="preserve"/>
            </w:r>
          </w:p>
        </w:tc>
        <w:tc>
          <w:tcPr>
            <w:tcW w:w="2000" w:type="dxa"/>
            <w:gridSpan w:val="1"/>
          </w:tcPr>
          <w:p>
            <w:pPr/>
            <w:r>
              <w:rPr/>
              <w:t xml:space="preserve">End of Project Target 2.3</w:t>
            </w:r>
          </w:p>
          <w:p>
            <w:pPr/>
            <w:r>
              <w:rPr/>
              <w:t xml:space="preserve">Ketapang KPH: #</w:t>
            </w:r>
          </w:p>
          <w:p>
            <w:pPr/>
            <w:r>
              <w:rPr/>
              <w:t xml:space="preserve">Sintang KPH: #</w:t>
            </w:r>
          </w:p>
          <w:p>
            <w:pPr/>
            <w:r>
              <w:rPr/>
              <w:t xml:space="preserve">Kota Waringin Barat KPH: #</w:t>
            </w:r>
          </w:p>
          <w:p>
            <w:pPr/>
            <w:r>
              <w:rPr/>
              <w:t xml:space="preserve">Kutai Timur KPH: #</w:t>
            </w:r>
          </w:p>
          <w:p>
            <w:pPr/>
            <w:r>
              <w:rPr/>
              <w:t xml:space="preserve"/>
            </w:r>
          </w:p>
        </w:tc>
        <w:tc>
          <w:tcPr>
            <w:tcW w:w="4000" w:type="dxa"/>
            <w:gridSpan w:val="1"/>
          </w:tcPr>
          <w:p>
            <w:pPr/>
            <w:r>
              <w:rPr/>
              <w:t xml:space="preserve">This indicator has been achieved.</w:t>
            </w:r>
          </w:p>
          <w:p>
            <w:pPr/>
            <w:r>
              <w:rPr/>
              <w:t xml:space="preserve"/>
            </w:r>
          </w:p>
          <w:p>
            <w:pPr/>
            <w:r>
              <w:rPr/>
              <w:t xml:space="preserve">Based on the baseline data where 9 KPHs (Forest Management Units - FMUs) were identified as candidates for institutional capacity development, cumulative progress towards the End of Project target, as of June 2023, was 100%.</w:t>
            </w:r>
          </w:p>
          <w:p>
            <w:pPr/>
            <w:r>
              <w:rPr/>
              <w:t xml:space="preserve"/>
            </w:r>
          </w:p>
          <w:p>
            <w:pPr/>
            <w:r>
              <w:rPr/>
              <w:t xml:space="preserve">This progress was achieved following 1 additional KPH/FMU (Melawi KPH/FMU in Sintang District) whose capacity was enhanced during the reporting period.</w:t>
            </w:r>
          </w:p>
          <w:p>
            <w:pPr/>
            <w:r>
              <w:rPr/>
              <w:t xml:space="preserve">Consequently, the cumulative progress for this outcome indicator is that a total of 9 KPHs/FMUs have benefited from the project’s effort to improve their capacity.</w:t>
            </w:r>
          </w:p>
          <w:p>
            <w:pPr/>
            <w:r>
              <w:rPr/>
              <w:t xml:space="preserve"/>
            </w:r>
          </w:p>
          <w:p>
            <w:pPr/>
            <w:r>
              <w:rPr/>
              <w:t xml:space="preserve">Over the past five years of KalFor implementation, PMU and local governments have engaged with 9 KPHs/FMUs that have significant roles to work with district governments to protect forests in APL.</w:t>
            </w:r>
          </w:p>
          <w:p>
            <w:pPr/>
            <w:r>
              <w:rPr/>
              <w:t xml:space="preserve"/>
            </w:r>
          </w:p>
          <w:p>
            <w:pPr/>
            <w:r>
              <w:rPr/>
              <w:t xml:space="preserve">The following is the distribution of KPHs/FMUs located in each district area:</w:t>
            </w:r>
          </w:p>
          <w:p>
            <w:pPr/>
            <w:r>
              <w:rPr/>
              <w:t xml:space="preserve">1.	Ketapang district = 2 KPHs (KPH Ketapang Selatan and KPH Ketapang Utara).</w:t>
            </w:r>
          </w:p>
          <w:p>
            <w:pPr/>
            <w:r>
              <w:rPr/>
              <w:t xml:space="preserve">2.	Sintang district= 3 KPHs (KPH Sintang Utara, KPH Sintang Timur and KPH Melawi).</w:t>
            </w:r>
          </w:p>
          <w:p>
            <w:pPr/>
            <w:r>
              <w:rPr/>
              <w:t xml:space="preserve">3.	Kotawaringin barat district = 1 KPH (KPH Kotawaringin Barat).</w:t>
            </w:r>
          </w:p>
          <w:p>
            <w:pPr/>
            <w:r>
              <w:rPr/>
              <w:t xml:space="preserve">4.	Kutai Timur district = 3 KPHs (KPHP Bengalon, KPHP Kelinjau and KPH Manubar).</w:t>
            </w:r>
          </w:p>
          <w:p>
            <w:pPr/>
            <w:r>
              <w:rPr/>
              <w:t xml:space="preserve"/>
            </w:r>
          </w:p>
          <w:p>
            <w:pPr/>
            <w:r>
              <w:rPr/>
              <w:t xml:space="preserve">While progress for all the 9 KPHs/FMUs in the pilot districts has already been achieved, capacity development will continue until the end of the project, in order to deepen the KPHs/FMUs’ capacity pertaining to forest fire prevention, detection and response. Other related support to KPHs/FMUs includes Focus Group Discussions, Monitoring and Evaluation, Data Collection among others.</w:t>
            </w:r>
          </w:p>
          <w:p>
            <w:pPr/>
            <w:r>
              <w:rPr/>
              <w:t xml:space="preserve"/>
            </w:r>
          </w:p>
          <w:p>
            <w:pPr/>
            <w:r>
              <w:rPr/>
              <w:t xml:space="preserve">Below is a summary of the capacity building support to be provided to the KPHs/FMUs for the remaining period until the end of the project:</w:t>
            </w:r>
          </w:p>
          <w:p>
            <w:pPr/>
            <w:r>
              <w:rPr/>
              <w:t xml:space="preserve">1.	Training on land and forest fires control for Masyarakat Peduli Api (MPA, a Fire Care Society) in KPH Sintang Utara, KPH Sintang Timur dan KPH Melawi.</w:t>
            </w:r>
          </w:p>
          <w:p>
            <w:pPr/>
            <w:r>
              <w:rPr/>
              <w:t xml:space="preserve">2.	Drafting Regulation di Sintang Districts</w:t>
            </w:r>
          </w:p>
          <w:p>
            <w:pPr/>
            <w:r>
              <w:rPr/>
              <w:t xml:space="preserve">3.	Assessment new villages to be assisted in Sintang Districts</w:t>
            </w:r>
          </w:p>
          <w:p>
            <w:pPr/>
            <w:r>
              <w:rPr/>
              <w:t xml:space="preserve">4.	FGD on Design Master Plan KELUTAP  in Sintang District</w:t>
            </w:r>
          </w:p>
          <w:p>
            <w:pPr/>
            <w:r>
              <w:rPr/>
              <w:t xml:space="preserve">5.	Drone Training in East Kalimantan Province</w:t>
            </w:r>
          </w:p>
          <w:p>
            <w:pPr/>
            <w:r>
              <w:rPr/>
              <w:t xml:space="preserve">6.	FGD on Ecological Fiscal Transfer in Central Kalimantan</w:t>
            </w:r>
          </w:p>
          <w:p>
            <w:pPr/>
            <w:r>
              <w:rPr/>
              <w:t xml:space="preserve">7.	FGD on Non Forest Timber Product and market assessment in 4 districts</w:t>
            </w:r>
          </w:p>
          <w:p>
            <w:pPr/>
            <w:r>
              <w:rPr/>
              <w:t xml:space="preserve">8.	Training on Economic Valuation in 4 Districts</w:t>
            </w:r>
          </w:p>
          <w:p>
            <w:pPr/>
            <w:r>
              <w:rPr/>
              <w:t xml:space="preserve"/>
            </w:r>
          </w:p>
          <w:p>
            <w:pPr/>
            <w:r>
              <w:rPr/>
              <w:t xml:space="preserve">Notes:</w:t>
            </w:r>
          </w:p>
          <w:p>
            <w:pPr/>
            <w:r>
              <w:rPr/>
              <w:t xml:space="preserve">All training measures pre and post-test training to see the participant improvement</w:t>
            </w:r>
          </w:p>
          <w:p>
            <w:pPr/>
            <w:r>
              <w:rPr/>
              <w:t xml:space="preserve">Evidence:</w:t>
            </w:r>
          </w:p>
          <w:p>
            <w:pPr/>
            <w:r>
              <w:rPr/>
              <w:t xml:space="preserve">Explanation Outcome 2.pdf</w:t>
            </w:r>
          </w:p>
          <w:p>
            <w:pPr/>
            <w:r>
              <w:rPr/>
              <w:t xml:space="preserve"/>
            </w:r>
          </w:p>
        </w:tc>
        <w:tc>
          <w:tcPr>
            <w:tcW w:w="4000" w:type="dxa"/>
            <w:gridSpan w:val="1"/>
          </w:tcPr>
          <w:p>
            <w:pPr/>
            <w:r>
              <w:rPr/>
              <w:t xml:space="preserve">This indicator has been achieved through the establishment of Kesatuan Pengelolaan Hutan (KPH)/Forest Management Units (FMUs) as follows:</w:t>
            </w:r>
          </w:p>
          <w:p>
            <w:pPr/>
            <w:r>
              <w:rPr/>
              <w:t xml:space="preserve">•	Ketapang KPH: 2 Kesatuan Pengelolaan Hutan (KPH)/Forest Management Units (FMUs)</w:t>
            </w:r>
          </w:p>
          <w:p>
            <w:pPr/>
            <w:r>
              <w:rPr/>
              <w:t xml:space="preserve">•	Sintang KPH: 3 Kesatuan Pengelolaan Hutan (KPH)/Forest Management Units (FMUs)</w:t>
            </w:r>
          </w:p>
          <w:p>
            <w:pPr/>
            <w:r>
              <w:rPr/>
              <w:t xml:space="preserve">•	Kota Waringin Barat KPH: 1 Kesatuan Pengelolaan Hutan (KPH)/Forest Management Units (FMUs)</w:t>
            </w:r>
          </w:p>
          <w:p>
            <w:pPr/>
            <w:r>
              <w:rPr/>
              <w:t xml:space="preserve">•	Kutai Timur KPH: 3 Kesatuan Pengelolaan Hutan (KPH)/Forest Management Units (FMUs)</w:t>
            </w:r>
          </w:p>
          <w:p>
            <w:pPr/>
            <w:r>
              <w:rPr/>
              <w:t xml:space="preserve"/>
            </w:r>
          </w:p>
          <w:p>
            <w:pPr/>
            <w:r>
              <w:rPr/>
              <w:t xml:space="preserve">In this reporting period, the project continued its activities to strengthen the capacities of the 9 FMUs until the end of the project, which included deepening the capacity of the FMUs on:</w:t>
            </w:r>
          </w:p>
          <w:p>
            <w:pPr/>
            <w:r>
              <w:rPr/>
              <w:t xml:space="preserve">a.	Technical Guidance for Protection of Wild Plants and Animals and Community-based Law Enforcement for 3 Kutai Timur FMUs</w:t>
            </w:r>
          </w:p>
          <w:p>
            <w:pPr/>
            <w:r>
              <w:rPr/>
              <w:t xml:space="preserve">b.	Ecoprint Training in Palangka Raya for 1 Kotawaringin Barat FMU</w:t>
            </w:r>
          </w:p>
          <w:p>
            <w:pPr/>
            <w:r>
              <w:rPr/>
              <w:t xml:space="preserve">c.	Forest Fire Prevention Control Training for MPA in Sintang District,  for 3 SIntang FMUs</w:t>
            </w:r>
          </w:p>
          <w:p>
            <w:pPr/>
            <w:r>
              <w:rPr/>
              <w:t xml:space="preserve">d.	Proklim Training for 3 Sintang FMUs</w:t>
            </w:r>
          </w:p>
          <w:p>
            <w:pPr/>
            <w:r>
              <w:rPr/>
              <w:t xml:space="preserve"/>
            </w:r>
          </w:p>
          <w:p>
            <w:pPr/>
            <w:r>
              <w:rPr/>
              <w:t xml:space="preserve">During the seven years of implementing KalFor, the partners have worked together, including with 9 FMUs which have an important role in protecting forests in APL. The 9 FMUs are, namely:</w:t>
            </w:r>
          </w:p>
          <w:p>
            <w:pPr/>
            <w:r>
              <w:rPr/>
              <w:t xml:space="preserve"/>
            </w:r>
          </w:p>
          <w:p>
            <w:pPr/>
            <w:r>
              <w:rPr/>
              <w:t xml:space="preserve">1.	Sintang district</w:t>
            </w:r>
          </w:p>
          <w:p>
            <w:pPr/>
            <w:r>
              <w:rPr/>
              <w:t xml:space="preserve">•	FMU Sintang Utara</w:t>
            </w:r>
          </w:p>
          <w:p>
            <w:pPr/>
            <w:r>
              <w:rPr/>
              <w:t xml:space="preserve">•	FMU Sintang Timur</w:t>
            </w:r>
          </w:p>
          <w:p>
            <w:pPr/>
            <w:r>
              <w:rPr/>
              <w:t xml:space="preserve">•	FMU Melawi</w:t>
            </w:r>
          </w:p>
          <w:p>
            <w:pPr/>
            <w:r>
              <w:rPr/>
              <w:t xml:space="preserve"/>
            </w:r>
          </w:p>
          <w:p>
            <w:pPr/>
            <w:r>
              <w:rPr/>
              <w:t xml:space="preserve">2.	Ketapang district</w:t>
            </w:r>
          </w:p>
          <w:p>
            <w:pPr/>
            <w:r>
              <w:rPr/>
              <w:t xml:space="preserve">•	FMU Ketapang Utara</w:t>
            </w:r>
          </w:p>
          <w:p>
            <w:pPr/>
            <w:r>
              <w:rPr/>
              <w:t xml:space="preserve">•	FMU Ketapang Selatan</w:t>
            </w:r>
          </w:p>
          <w:p>
            <w:pPr/>
            <w:r>
              <w:rPr/>
              <w:t xml:space="preserve"/>
            </w:r>
          </w:p>
          <w:p>
            <w:pPr/>
            <w:r>
              <w:rPr/>
              <w:t xml:space="preserve">3.	Kotawaringin Barat district</w:t>
            </w:r>
          </w:p>
          <w:p>
            <w:pPr/>
            <w:r>
              <w:rPr/>
              <w:t xml:space="preserve">•	FMU Kotawaringin Barat</w:t>
            </w:r>
          </w:p>
          <w:p>
            <w:pPr/>
            <w:r>
              <w:rPr/>
              <w:t xml:space="preserve"/>
            </w:r>
          </w:p>
          <w:p>
            <w:pPr/>
            <w:r>
              <w:rPr/>
              <w:t xml:space="preserve">4.	Kutai Timur district</w:t>
            </w:r>
          </w:p>
          <w:p>
            <w:pPr/>
            <w:r>
              <w:rPr/>
              <w:t xml:space="preserve">•	FMU Bengalon</w:t>
            </w:r>
          </w:p>
          <w:p>
            <w:pPr/>
            <w:r>
              <w:rPr/>
              <w:t xml:space="preserve">•	FMU Kelinjau</w:t>
            </w:r>
          </w:p>
          <w:p>
            <w:pPr/>
            <w:r>
              <w:rPr/>
              <w:t xml:space="preserve">•	FMU Manubar</w:t>
            </w:r>
          </w:p>
          <w:p>
            <w:pPr/>
            <w:r>
              <w:rPr/>
              <w:t xml:space="preserve"/>
            </w:r>
          </w:p>
        </w:tc>
      </w:tr>
      <w:tr>
        <w:trPr/>
        <w:tc>
          <w:tcPr>
            <w:tcW w:w="4000" w:type="dxa"/>
            <w:gridSpan w:val="1"/>
          </w:tcPr>
          <w:p>
            <w:pPr/>
            <w:r>
              <w:rPr/>
              <w:t xml:space="preserve">Outcome Indicator 2.4</w:t>
            </w:r>
          </w:p>
          <w:p>
            <w:pPr/>
            <w:r>
              <w:rPr/>
              <w:t xml:space="preserve">No. of district-level forest safeguarding plans approved and endorsed by key stakeholders</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Mid-term Target 2.4 Draft plans prepared covering an estimated 3.7 million ha of forest, 416,000 ha of which are currently outside of the forest estate</w:t>
            </w:r>
          </w:p>
        </w:tc>
        <w:tc>
          <w:tcPr>
            <w:tcW w:w="2000" w:type="dxa"/>
            <w:gridSpan w:val="1"/>
          </w:tcPr>
          <w:p>
            <w:pPr/>
            <w:r>
              <w:rPr/>
              <w:t xml:space="preserve">End of Project Target 2.4</w:t>
            </w:r>
          </w:p>
          <w:p>
            <w:pPr/>
            <w:r>
              <w:rPr/>
              <w:t xml:space="preserve">Plans covering an estimated 3.7 million ha of forest, 416,000 ha of which are currently outside of the forest estate.</w:t>
            </w:r>
          </w:p>
          <w:p>
            <w:pPr/>
            <w:r>
              <w:rPr/>
              <w:t xml:space="preserve"/>
            </w:r>
          </w:p>
        </w:tc>
        <w:tc>
          <w:tcPr>
            <w:tcW w:w="4000" w:type="dxa"/>
            <w:gridSpan w:val="1"/>
          </w:tcPr>
          <w:p>
            <w:pPr/>
            <w:r>
              <w:rPr/>
              <w:t xml:space="preserve">This indicator is on track to being achieved.</w:t>
            </w:r>
          </w:p>
          <w:p>
            <w:pPr/>
            <w:r>
              <w:rPr/>
              <w:t xml:space="preserve"/>
            </w:r>
          </w:p>
          <w:p>
            <w:pPr/>
            <w:r>
              <w:rPr/>
              <w:t xml:space="preserve">The cumulative progress up to June 2023 for this outcome indicator is 90% against the End of Project target, of which during the reporting period approximately 21,497 ha of protected forest area was added. This brought the cumulative total of forested APL in three provinces to 665,871 ha which is protected by regulations, with inputs from KalFor’s expertise and data.</w:t>
            </w:r>
          </w:p>
          <w:p>
            <w:pPr/>
            <w:r>
              <w:rPr/>
              <w:t xml:space="preserve"/>
            </w:r>
          </w:p>
          <w:p>
            <w:pPr/>
            <w:r>
              <w:rPr/>
              <w:t xml:space="preserve">While only 665,871 ha of forest are under the direct protection of the regulations, it is worth noting that the provisions of the regulations can lead to the development of safeguarding plans covering an estimated 3.7 million ha (APL and conversion forest in Kalimantan) of forest, 347.922 ha (miss reported in previous years 376.174 ha) of which is currently outside of the forest estate (APL not including Conversion Forest in three provinces).</w:t>
            </w:r>
          </w:p>
          <w:p>
            <w:pPr/>
            <w:r>
              <w:rPr/>
              <w:t xml:space="preserve"/>
            </w:r>
          </w:p>
          <w:p>
            <w:pPr/>
            <w:r>
              <w:rPr/>
              <w:t xml:space="preserve">In 4 Districts KalFor, facilitated by an International Expert, together with the district government develop the green spatial planning as a basis data to review their regular spatial planning. In 2023 the book as a reference will be finalized at the end of 2023.</w:t>
            </w:r>
          </w:p>
          <w:p>
            <w:pPr/>
            <w:r>
              <w:rPr/>
              <w:t xml:space="preserve"/>
            </w:r>
          </w:p>
          <w:p>
            <w:pPr/>
            <w:r>
              <w:rPr/>
              <w:t xml:space="preserve">KalFor provided experts and data to be used by Kutai Timur district to revise spatial planning in order to protect State Forest area in East Kalimantan 8,3 m ha and benefited the forested APL as buffer zone. (forested APL 178.189 ha).</w:t>
            </w:r>
          </w:p>
          <w:p>
            <w:pPr/>
            <w:r>
              <w:rPr/>
              <w:t xml:space="preserve"/>
            </w:r>
          </w:p>
          <w:p>
            <w:pPr/>
            <w:r>
              <w:rPr/>
              <w:t xml:space="preserve">KalFor provided expert and data to be used by Sintang and Ketapang districts to revise spatial planning in order to protect State Forest area in West Kalimantan 8,2 m ha and benefited the forested APL as buffer zone. (forested APL 82.607 ha + 97.044 ha = 179.681 ha).</w:t>
            </w:r>
          </w:p>
          <w:p>
            <w:pPr/>
            <w:r>
              <w:rPr/>
              <w:t xml:space="preserve"/>
            </w:r>
          </w:p>
          <w:p>
            <w:pPr/>
            <w:r>
              <w:rPr/>
              <w:t xml:space="preserve">KalFor provided expert and data to be used by Kotawaringin Barat district to revise spatial planning in order to protect State Forest area in Central Kalimantan 12,7 m ha and benefited the forested in APL as buffer zone. (forested APL 18.334 ha).</w:t>
            </w:r>
          </w:p>
          <w:p>
            <w:pPr/>
            <w:r>
              <w:rPr/>
              <w:t xml:space="preserve"/>
            </w:r>
          </w:p>
          <w:p>
            <w:pPr/>
            <w:r>
              <w:rPr/>
              <w:t xml:space="preserve">Additionally, KalFor provided experts and study to develop the masterplan of Kelutap Area as the model of forested area in APL as the buffer zone of state-owned forest.  Connectivity between forests in non-state-owned areas and surrounding protected / conservation forests) in Sintang District.</w:t>
            </w:r>
          </w:p>
          <w:p>
            <w:pPr/>
            <w:r>
              <w:rPr/>
              <w:t xml:space="preserve"/>
            </w:r>
          </w:p>
          <w:p>
            <w:pPr/>
            <w:r>
              <w:rPr/>
              <w:t xml:space="preserve">Before 2021, based on the baseline result, KalFor facilitated the availability of forest cover data outside the forest area for reviewing the RTRW of Kutai Timur District 161,374 ha.</w:t>
            </w:r>
          </w:p>
          <w:p>
            <w:pPr/>
            <w:r>
              <w:rPr/>
              <w:t xml:space="preserve"/>
            </w:r>
          </w:p>
          <w:p>
            <w:pPr/>
            <w:r>
              <w:rPr/>
              <w:t xml:space="preserve">Additionally, KalFor provided experts and study of management models and endemic flora and fauna in Kutai Timur Botanical Gardens 20.5 ha and provided forest protection study to avoid fragmentation of forest locations outside the forest area (connectivity between forests outside the area and surrounding protected / conservation forests) in Kutai Timur District</w:t>
            </w:r>
          </w:p>
          <w:p>
            <w:pPr/>
            <w:r>
              <w:rPr/>
              <w:t xml:space="preserve"/>
            </w:r>
          </w:p>
          <w:p>
            <w:pPr/>
            <w:r>
              <w:rPr/>
              <w:t xml:space="preserve">Evidence:</w:t>
            </w:r>
          </w:p>
          <w:p>
            <w:pPr/>
            <w:r>
              <w:rPr/>
              <w:t xml:space="preserve">[English] 0 - Spatial Modelling EESV</w:t>
            </w:r>
          </w:p>
          <w:p>
            <w:pPr/>
            <w:r>
              <w:rPr/>
              <w:t xml:space="preserve"/>
            </w:r>
          </w:p>
        </w:tc>
        <w:tc>
          <w:tcPr>
            <w:tcW w:w="4000" w:type="dxa"/>
            <w:gridSpan w:val="1"/>
          </w:tcPr>
          <w:p>
            <w:pPr/>
            <w:r>
              <w:rPr/>
              <w:t xml:space="preserve">This indicator has been achieved, based on the revised area of Non-State Forest.</w:t>
            </w:r>
          </w:p>
          <w:p>
            <w:pPr/>
            <w:r>
              <w:rPr/>
              <w:t xml:space="preserve"/>
            </w:r>
          </w:p>
          <w:p>
            <w:pPr/>
            <w:r>
              <w:rPr/>
              <w:t xml:space="preserve">As noted in previous PIRs, the ProDoc’s estimation of 416,000 ha was based on 2015 data using lower resolution satellite imagery and maps of 1:250,000 scale – this scale is more appropriate for national level assessment. However, in 2019, the KalFor Project commissioned recalculations of the Non-State Forests using higher resolution satellite imagery and maps using the scale of 1:25,000. The much higher resolution is more appropriate for use at the district level and the result of the assessment yielded a figure of 347,920 ha.</w:t>
            </w:r>
          </w:p>
          <w:p>
            <w:pPr/>
            <w:r>
              <w:rPr/>
              <w:t xml:space="preserve"/>
            </w:r>
          </w:p>
          <w:p>
            <w:pPr/>
            <w:r>
              <w:rPr/>
              <w:t xml:space="preserve">Based on the new baseline of Forested area in Non-State Forest area, the KalFor project has achieved the intended objective of this indicator as the KalFor Project has facilitated the establishment of 347,920 ha Non-State Forest area which serves as a buffer zone for the State Forest, through the facilitation activities in 4 districts level as follows:</w:t>
            </w:r>
          </w:p>
          <w:p>
            <w:pPr/>
            <w:r>
              <w:rPr/>
              <w:t xml:space="preserve">1.	District level work plan/roadmap report to protect forests outside the Forest Area.</w:t>
            </w:r>
          </w:p>
          <w:p>
            <w:pPr/>
            <w:r>
              <w:rPr/>
              <w:t xml:space="preserve">2.	The implementation of FPIC guidelines, Gender Assessment in 4 districts by village partners (Solidaridad, Kawal Borneo, OWT, Terasmitra, ASPPUK, Tropenbos, BIKAL, Teraju, Yayorin, YNKI)</w:t>
            </w:r>
          </w:p>
          <w:p>
            <w:pPr/>
            <w:r>
              <w:rPr/>
              <w:t xml:space="preserve">3.	Facilitation of experts and study of management models and endemic flora and fauna in the Botanical Gardens of  Kutai Timur and Biodiversity study in Kotawaringin Barat.</w:t>
            </w:r>
          </w:p>
          <w:p>
            <w:pPr/>
            <w:r>
              <w:rPr/>
              <w:t xml:space="preserve">4.	Study of forest protection to avoid fragmentation of forest locations outside the forest area (connectivity between forests outside the area and surrounding protected/conservation forests) in the District of Kutai Timur</w:t>
            </w:r>
          </w:p>
          <w:p>
            <w:pPr/>
            <w:r>
              <w:rPr/>
              <w:t xml:space="preserve">5.	Facilitate experts in the study "Value chain analysis and market assessment of non-timber forest products”.</w:t>
            </w:r>
          </w:p>
          <w:p>
            <w:pPr/>
            <w:r>
              <w:rPr/>
              <w:t xml:space="preserve">6.	Facilitate experts in the study of Economic Valuation</w:t>
            </w:r>
          </w:p>
          <w:p>
            <w:pPr/>
            <w:r>
              <w:rPr/>
              <w:t xml:space="preserve">7.	Facilitate experts in the study of interconnection of KELUTAP Sintang District</w:t>
            </w:r>
          </w:p>
          <w:p>
            <w:pPr/>
            <w:r>
              <w:rPr/>
              <w:t xml:space="preserve">8.	Facilitate experts in preparation of watershed plans Kutai Timur District</w:t>
            </w:r>
          </w:p>
          <w:p>
            <w:pPr/>
            <w:r>
              <w:rPr/>
              <w:t xml:space="preserve">9.	Facilitate experts in preparation Disaster Management in Kutai Timur District</w:t>
            </w:r>
          </w:p>
          <w:p>
            <w:pPr/>
            <w:r>
              <w:rPr/>
              <w:t xml:space="preserve">10.	Facilitate experts in the study of Forest Fire Modul</w:t>
            </w:r>
          </w:p>
          <w:p>
            <w:pPr/>
            <w:r>
              <w:rPr/>
              <w:t xml:space="preserve">11.	Facilitate experts in the study of Biodiversity</w:t>
            </w:r>
          </w:p>
          <w:p>
            <w:pPr/>
            <w:r>
              <w:rPr/>
              <w:t xml:space="preserve"/>
            </w:r>
          </w:p>
        </w:tc>
      </w:tr>
      <w:tr>
        <w:trPr/>
        <w:tc>
          <w:tcPr>
            <w:tcW w:w="4000" w:type="dxa"/>
            <w:gridSpan w:val="1"/>
          </w:tcPr>
          <w:p>
            <w:pPr/>
            <w:r>
              <w:rPr/>
              <w:t xml:space="preserve">Outcome Indicator 2.5</w:t>
            </w:r>
          </w:p>
          <w:p>
            <w:pPr/>
            <w:r>
              <w:rPr/>
              <w:t xml:space="preserve">Number of policies and regulatory changes at district level</w:t>
            </w:r>
          </w:p>
          <w:p>
            <w:pPr/>
            <w:r>
              <w:rPr/>
              <w:t xml:space="preserve"/>
            </w:r>
          </w:p>
        </w:tc>
        <w:tc>
          <w:tcPr>
            <w:tcW w:w="2000" w:type="dxa"/>
            <w:gridSpan w:val="1"/>
          </w:tcPr>
          <w:p>
            <w:pPr/>
            <w:r>
              <w:rPr/>
              <w:t xml:space="preserve">0 policies and regulatory changes at district level</w:t>
            </w:r>
          </w:p>
        </w:tc>
        <w:tc>
          <w:tcPr>
            <w:tcW w:w="2000" w:type="dxa"/>
            <w:gridSpan w:val="1"/>
          </w:tcPr>
          <w:p>
            <w:pPr/>
            <w:r>
              <w:rPr/>
              <w:t xml:space="preserve">Mid-term Target 2.5: At least 4 revised policies and regulatory changes at district level</w:t>
            </w:r>
          </w:p>
        </w:tc>
        <w:tc>
          <w:tcPr>
            <w:tcW w:w="2000" w:type="dxa"/>
            <w:gridSpan w:val="1"/>
          </w:tcPr>
          <w:p>
            <w:pPr/>
            <w:r>
              <w:rPr/>
              <w:t xml:space="preserve">End of Project Target 2.5</w:t>
            </w:r>
          </w:p>
          <w:p>
            <w:pPr/>
            <w:r>
              <w:rPr/>
              <w:t xml:space="preserve">At least 8 revised policies and regulatory changes at district level</w:t>
            </w:r>
          </w:p>
          <w:p>
            <w:pPr/>
            <w:r>
              <w:rPr/>
              <w:t xml:space="preserve"/>
            </w:r>
          </w:p>
        </w:tc>
        <w:tc>
          <w:tcPr>
            <w:tcW w:w="4000" w:type="dxa"/>
            <w:gridSpan w:val="1"/>
          </w:tcPr>
          <w:p>
            <w:pPr/>
            <w:r>
              <w:rPr/>
              <w:t xml:space="preserve">This indicator has been achieved and exceeded.</w:t>
            </w:r>
          </w:p>
          <w:p>
            <w:pPr/>
            <w:r>
              <w:rPr/>
              <w:t xml:space="preserve"/>
            </w:r>
          </w:p>
          <w:p>
            <w:pPr/>
            <w:r>
              <w:rPr/>
              <w:t xml:space="preserve">As of June 2023, the cumulative achievement for this indicator was 300% against the End of Project target, where 16 additional regulations came into effect, with inputs from the KalFor Project through provision of expertise and convening multistakeholder discussions at the district level. As a result, cumulatively, 24 regulations have been past at district level, compared to the 8 targeted by project end.</w:t>
            </w:r>
          </w:p>
          <w:p>
            <w:pPr/>
            <w:r>
              <w:rPr/>
              <w:t xml:space="preserve"/>
            </w:r>
          </w:p>
          <w:p>
            <w:pPr/>
            <w:r>
              <w:rPr/>
              <w:t xml:space="preserve">This massive increase for this indicator is attributed to the Sintang Regent’s Regulation No. 122/2021 on Rimba Gupung which serves as an overarching regulation which allows for villages to propose their forested APL to be legally designated through a separate Regent regulation - referred to as a “Regent Decision”. Consequently, 13 villages in Sintang requested for the Regent’s proclamation of Regent Decisions. As a result 13 new regulatory instruments were signed by the Regent of Sintang giving each village the mandate to protect their respective forest areas within the APL.</w:t>
            </w:r>
          </w:p>
          <w:p>
            <w:pPr/>
            <w:r>
              <w:rPr/>
              <w:t xml:space="preserve"/>
            </w:r>
          </w:p>
          <w:p>
            <w:pPr/>
            <w:r>
              <w:rPr/>
              <w:t xml:space="preserve">During the reporting period, the following are the new regulations:</w:t>
            </w:r>
          </w:p>
          <w:p>
            <w:pPr/>
            <w:r>
              <w:rPr/>
              <w:t xml:space="preserve">1.	Regent Decision of Sintang No. 660/716/KEP-DLH/2022 on Rimba Melapi is 72 ha</w:t>
            </w:r>
          </w:p>
          <w:p>
            <w:pPr/>
            <w:r>
              <w:rPr/>
              <w:t xml:space="preserve">2.	Regent Decision of Sintang No. 660/717/KEP-DLH/2022 on Rimba Piangan is 49 ha</w:t>
            </w:r>
          </w:p>
          <w:p>
            <w:pPr/>
            <w:r>
              <w:rPr/>
              <w:t xml:space="preserve">3.	Regent Decision of Sintang No. 660/1191/KEP-DLH/2022 on Gupung Debau &amp; Gupung Empaling is 14 ha</w:t>
            </w:r>
          </w:p>
          <w:p>
            <w:pPr/>
            <w:r>
              <w:rPr/>
              <w:t xml:space="preserve">4.	Regent Decision of Sintang No. 660/1192/KEP-DLH/2022 on Rimba Sungai Lalau &amp; Rimba Sungai Nis is 46 ha</w:t>
            </w:r>
          </w:p>
          <w:p>
            <w:pPr/>
            <w:r>
              <w:rPr/>
              <w:t xml:space="preserve">5.	Regent Decision of Sintang No. 660/1193/KEP-DLH/2022 on Rimba Kerintak Babah Ulu Temiang is 71 ha</w:t>
            </w:r>
          </w:p>
          <w:p>
            <w:pPr/>
            <w:r>
              <w:rPr/>
              <w:t xml:space="preserve">6.	Regent Decision of Sintang No. 660/1251/KEP-DLH/2022 on Rimba Bukit Liang Pelimping is 282 ha</w:t>
            </w:r>
          </w:p>
          <w:p>
            <w:pPr/>
            <w:r>
              <w:rPr/>
              <w:t xml:space="preserve">7.	Regent Decision of Sintang No. 660/1250/KEP-DLH/2022 on Rimba Bukit Liang Sungai Pukat is 117 ha</w:t>
            </w:r>
          </w:p>
          <w:p>
            <w:pPr/>
            <w:r>
              <w:rPr/>
              <w:t xml:space="preserve">8.	Regent Decision of Sintang No. 660/1285/KEP-DLH/2022 on Rimba Tawang Selubang is 14 ha</w:t>
            </w:r>
          </w:p>
          <w:p>
            <w:pPr/>
            <w:r>
              <w:rPr/>
              <w:t xml:space="preserve">9.	Regent Decision of Sintang No. 660/1286/KEP-DLH/2022 on Gupung Pendam Ketungau &amp; Gupung Sengkulang Lebuk is 36 ha</w:t>
            </w:r>
          </w:p>
          <w:p>
            <w:pPr/>
            <w:r>
              <w:rPr/>
              <w:t xml:space="preserve">10.	Regent Decision of Sintang No. 660/1287/KEP-DLH/2022 on Rimba Seringin is 14 ha</w:t>
            </w:r>
          </w:p>
          <w:p>
            <w:pPr/>
            <w:r>
              <w:rPr/>
              <w:t xml:space="preserve">11.	Regent Decision of Sintang No. 660/1288/KEP-DLH/2022 on Rimba Perauh is 32 ha</w:t>
            </w:r>
          </w:p>
          <w:p>
            <w:pPr/>
            <w:r>
              <w:rPr/>
              <w:t xml:space="preserve">12.	Regent Decision of Sintang No. 660/1289/KEP-DLH/2022 on Gupung Selabang &amp; Gupung Senibung is 2 ha</w:t>
            </w:r>
          </w:p>
          <w:p>
            <w:pPr/>
            <w:r>
              <w:rPr/>
              <w:t xml:space="preserve">13.	Regent Decision of Sintang No. 660/1299/KEP-DLH/2022 on Rimba Tawang is 153 ha</w:t>
            </w:r>
          </w:p>
          <w:p>
            <w:pPr/>
            <w:r>
              <w:rPr/>
              <w:t xml:space="preserve">14.	Ministerial Decision of Kotawaringin Barat No. SK.10175/MENLHK-PSKL/PKPS/PSL.0/12/2022 on Granting Forest Management Approval to the Jurung Tiga Farmer Group 199 Ha</w:t>
            </w:r>
          </w:p>
          <w:p>
            <w:pPr/>
            <w:r>
              <w:rPr/>
              <w:t xml:space="preserve">15.	Circulation Letter of Ketapang No. P/1/PERKIMLH-C.600/4/1/XII/2022 on HCV Area Data Collection in Palm Oil Company, potentially to protect 39.320 ha</w:t>
            </w:r>
          </w:p>
          <w:p>
            <w:pPr/>
            <w:r>
              <w:rPr/>
              <w:t xml:space="preserve">16.	Head of Village Letter of Tepian Terap No. 3/2022 on Village Owned Forest is 102 ha.</w:t>
            </w:r>
          </w:p>
          <w:p>
            <w:pPr/>
            <w:r>
              <w:rPr/>
              <w:t xml:space="preserve">Other regulations that came in force prior to the reporting period include the following:</w:t>
            </w:r>
          </w:p>
          <w:p>
            <w:pPr/>
            <w:r>
              <w:rPr/>
              <w:t xml:space="preserve">17.	Regent Decision of Kutai Timur No. 525/K.498/2022 on Protecting HCV in plantation area is 48.934 ha</w:t>
            </w:r>
          </w:p>
          <w:p>
            <w:pPr/>
            <w:r>
              <w:rPr/>
              <w:t xml:space="preserve">18.	Head of Village Decision of Sungai Buluh No. 5225/38/PEM/EP/2021 on Application for Hulu Berbatak Decree is 558 ha.</w:t>
            </w:r>
          </w:p>
          <w:p>
            <w:pPr/>
            <w:r>
              <w:rPr/>
              <w:t xml:space="preserve">19.	Head of Village Decision of Bangun No. 1/2021 on Tuja Semirah is 364 ha.</w:t>
            </w:r>
          </w:p>
          <w:p>
            <w:pPr/>
            <w:r>
              <w:rPr/>
              <w:t xml:space="preserve">20.	Regent Letter of Kotawaringin Barat No. 660/1128/DLH.1/X/2021 on Monitor and secure forested areas in APL is 17.316 ha, including Grand Forest Park proposal area is 4.600 ha</w:t>
            </w:r>
          </w:p>
          <w:p>
            <w:pPr/>
            <w:r>
              <w:rPr/>
              <w:t xml:space="preserve">21.	Governor Decision of West Kalimantan No. 536/BKAD/2022 on Teluk Akar Begantung Urban Forest is 106 ha</w:t>
            </w:r>
          </w:p>
          <w:p>
            <w:pPr/>
            <w:r>
              <w:rPr/>
              <w:t xml:space="preserve">22.	Regent Letter of Kotawaringin Barat No. 660/1128/DLH.1/X/2021 on Monitor and secure forested areas in APL is 17.316 ha, including Grand Head of Sintang District No. 112/2021 on Rimba Gupung to protect APL in non-permit area (procedure for community to request head of district regulation that the forest to be ecoculture area or customary forest is 56.277 ha</w:t>
            </w:r>
          </w:p>
          <w:p>
            <w:pPr/>
            <w:r>
              <w:rPr/>
              <w:t xml:space="preserve">23.	Regent Letter of Sintang No. 522/827/SDA/2021 on Determination of Conservation Area in Palm Oil Permit is 26.330 ha</w:t>
            </w:r>
          </w:p>
          <w:p>
            <w:pPr/>
            <w:r>
              <w:rPr/>
              <w:t xml:space="preserve">24.	Regent Decision of Botanical Garden Bukit Pelangi No. 454/02.188.45/KH/XII/2003 on Botanical Garden of Bukit Pelangi. December 31, 2003 (Masterplan Development, facilitated in 2020) is 20,5 ha</w:t>
            </w:r>
          </w:p>
          <w:p>
            <w:pPr/>
            <w:r>
              <w:rPr/>
              <w:t xml:space="preserve"/>
            </w:r>
          </w:p>
          <w:p>
            <w:pPr/>
            <w:r>
              <w:rPr/>
              <w:t xml:space="preserve">Evidence:</w:t>
            </w:r>
          </w:p>
          <w:p>
            <w:pPr/>
            <w:r>
              <w:rPr/>
              <w:t xml:space="preserve">Perbup (Sintang) No. 122/2021 [Rimba Gupung].pdf</w:t>
            </w:r>
          </w:p>
          <w:p>
            <w:pPr/>
            <w:r>
              <w:rPr/>
              <w:t xml:space="preserve">Perbup (Kobar) No. 19/2021 [Penerapan Alokasi Anggaran Kabupaten Berbasis Lingkungan Hidup dan Kehutanan].pdf</w:t>
            </w:r>
          </w:p>
          <w:p>
            <w:pPr/>
            <w:r>
              <w:rPr/>
              <w:t xml:space="preserve">SK Bupati (Kutim) No. 525/K.498/2022 [Protecting HCV in plantation area].pdf</w:t>
            </w:r>
          </w:p>
          <w:p>
            <w:pPr/>
            <w:r>
              <w:rPr/>
              <w:t xml:space="preserve">Perbup (Kobar) No. 60-2022 [RTH Kawasan Perkotaan].pdf</w:t>
            </w:r>
          </w:p>
          <w:p>
            <w:pPr/>
            <w:r>
              <w:rPr/>
              <w:t xml:space="preserve"/>
            </w:r>
          </w:p>
        </w:tc>
        <w:tc>
          <w:tcPr>
            <w:tcW w:w="4000" w:type="dxa"/>
            <w:gridSpan w:val="1"/>
          </w:tcPr>
          <w:p>
            <w:pPr/>
            <w:r>
              <w:rPr/>
              <w:t xml:space="preserve">This indicator has been achieved and exceeded.</w:t>
            </w:r>
          </w:p>
          <w:p>
            <w:pPr/>
            <w:r>
              <w:rPr/>
              <w:t xml:space="preserve"/>
            </w:r>
          </w:p>
          <w:p>
            <w:pPr/>
            <w:r>
              <w:rPr/>
              <w:t xml:space="preserve">The KalFor Project has achieved 400% of the expected target after 2 additional regulations were facilitated by the project during the reporting period. Therefore, cumulatively, KalFor has produced a total of 32 new and/or revised policies and regulatory across the 4 districts.</w:t>
            </w:r>
          </w:p>
          <w:p>
            <w:pPr/>
            <w:r>
              <w:rPr/>
              <w:t xml:space="preserve"/>
            </w:r>
          </w:p>
          <w:p>
            <w:pPr/>
            <w:r>
              <w:rPr/>
              <w:t xml:space="preserve">During the reporting period, KalFor developed two new policy and regulatory changes in the form of Regent Decisions for protecting forest in APL belonging to local communitings. The enactment of the following regulations involved facilitating multistakeholder discussions and experts:</w:t>
            </w:r>
          </w:p>
          <w:p>
            <w:pPr/>
            <w:r>
              <w:rPr/>
              <w:t xml:space="preserve">1.	Regent Decision of Sintang No. 660.4/1338/KEP-DLH/2023 on Rimba Hulu Berbatak in Bangun village with a total area 512 ha.</w:t>
            </w:r>
          </w:p>
          <w:p>
            <w:pPr/>
            <w:r>
              <w:rPr/>
              <w:t xml:space="preserve">2.	Regent Decision of Sintang No. 660.4/1339/KEP-DLH/2023 on Rimba Bukit Pengurin in Sungai Buluh village with a total area 11 ha.</w:t>
            </w:r>
          </w:p>
          <w:p>
            <w:pPr/>
            <w:r>
              <w:rPr/>
              <w:t xml:space="preserve"/>
            </w:r>
          </w:p>
          <w:p>
            <w:pPr/>
            <w:r>
              <w:rPr/>
              <w:t xml:space="preserve">The list of relevant policies and regulations have been reported in the previous PIRs and summarized in the document entitled KalFor Achievement dated August 2024, which has been uploaded as evidence in the File Library</w:t>
            </w:r>
          </w:p>
          <w:p>
            <w:pPr/>
            <w:r>
              <w:rPr/>
              <w:t xml:space="preserve"/>
            </w:r>
          </w:p>
        </w:tc>
      </w:tr>
      <w:tr>
        <w:trPr/>
        <w:tc>
          <w:tcPr>
            <w:tcW w:w="4000" w:type="dxa"/>
            <w:gridSpan w:val="1"/>
          </w:tcPr>
          <w:p>
            <w:pPr/>
            <w:r>
              <w:rPr/>
              <w:t xml:space="preserve">Outcome Indicator 2.6</w:t>
            </w:r>
          </w:p>
          <w:p>
            <w:pPr/>
            <w:r>
              <w:rPr/>
              <w:t xml:space="preserve">Percentage of forested lands within the pilot districts currently classified as either APL or convertible forest that has been reclassified to an enhanced protective status</w:t>
            </w:r>
          </w:p>
          <w:p>
            <w:pPr/>
            <w:r>
              <w:rPr/>
              <w:t xml:space="preserve"/>
            </w:r>
          </w:p>
        </w:tc>
        <w:tc>
          <w:tcPr>
            <w:tcW w:w="2000" w:type="dxa"/>
            <w:gridSpan w:val="1"/>
          </w:tcPr>
          <w:p>
            <w:pPr/>
            <w:r>
              <w:rPr/>
              <w:t xml:space="preserve">Approximately 416,000 ha of forested APL and forested convertible forest in four pilot districts</w:t>
            </w:r>
          </w:p>
        </w:tc>
        <w:tc>
          <w:tcPr>
            <w:tcW w:w="2000" w:type="dxa"/>
            <w:gridSpan w:val="1"/>
          </w:tcPr>
          <w:p>
            <w:pPr/>
            <w:r>
              <w:rPr/>
              <w:t xml:space="preserve">Mid-term Target 2.6: 10% of selected forest areas currently classified as either APL or convertible forest to be reclassified as permanent forest estate, with a corresponding shift of non-forested, lower priority areas out of the forest estate, as appropriate.  Chosen according to factors including ongoing provision of critical ecosystem services and related risk of environmental damages (peat fires, etc.).</w:t>
            </w:r>
          </w:p>
        </w:tc>
        <w:tc>
          <w:tcPr>
            <w:tcW w:w="2000" w:type="dxa"/>
            <w:gridSpan w:val="1"/>
          </w:tcPr>
          <w:p>
            <w:pPr/>
            <w:r>
              <w:rPr/>
              <w:t xml:space="preserve">End of Project Target 2.6: 25% of selected forest areas currently classified as either APL or convertible forest to be reclassified as permanent forest estate, with a corresponding shift of non-forested, lower priority areas out of the forest estate, as appropriate.  Chosen according to factors including ongoing provision of critical ecosystem services and related risk of environmental damages (peat fires, etc.).</w:t>
            </w:r>
          </w:p>
        </w:tc>
        <w:tc>
          <w:tcPr>
            <w:tcW w:w="4000" w:type="dxa"/>
            <w:gridSpan w:val="1"/>
          </w:tcPr>
          <w:p>
            <w:pPr/>
            <w:r>
              <w:rPr/>
              <w:t xml:space="preserve">This indicator has been achieved and exceeded.</w:t>
            </w:r>
          </w:p>
          <w:p>
            <w:pPr/>
            <w:r>
              <w:rPr/>
              <w:t xml:space="preserve"/>
            </w:r>
          </w:p>
          <w:p>
            <w:pPr/>
            <w:r>
              <w:rPr/>
              <w:t xml:space="preserve">By June 2023, the cumulative progress reached 164% towards the End of Project target (25% of total APL forest area of 347,922 ha in the 4 pilot districts or 86,980 ha) of selected forest area currently classified as APL to be a reclassified into permanent forest area), arising from an additional 70,013 ha of forest area in the APL is now under enhanced protection and reclassified as permanent forest area though regulations.</w:t>
            </w:r>
          </w:p>
          <w:p>
            <w:pPr/>
            <w:r>
              <w:rPr/>
              <w:t xml:space="preserve">Cumulatively, the total area of APL forest reclassified into permanent forest reached 142,732 ha (41%), surpassing the end of project target of 86,980 ha (25%).</w:t>
            </w:r>
          </w:p>
          <w:p>
            <w:pPr/>
            <w:r>
              <w:rPr/>
              <w:t xml:space="preserve"/>
            </w:r>
          </w:p>
          <w:p>
            <w:pPr/>
            <w:r>
              <w:rPr/>
              <w:t xml:space="preserve">Evidence:</w:t>
            </w:r>
          </w:p>
          <w:p>
            <w:pPr/>
            <w:r>
              <w:rPr/>
              <w:t xml:space="preserve">Explanation Outcome 2.pdf</w:t>
            </w:r>
          </w:p>
          <w:p>
            <w:pPr/>
            <w:r>
              <w:rPr/>
              <w:t xml:space="preserve"/>
            </w:r>
          </w:p>
          <w:p>
            <w:pPr/>
            <w:r>
              <w:rPr/>
              <w:t xml:space="preserve"/>
            </w:r>
          </w:p>
        </w:tc>
        <w:tc>
          <w:tcPr>
            <w:tcW w:w="4000" w:type="dxa"/>
            <w:gridSpan w:val="1"/>
          </w:tcPr>
          <w:p>
            <w:pPr/>
            <w:r>
              <w:rPr/>
              <w:t xml:space="preserve">This indicator has been achieved and exceeded, considering that an equivalent of 25% of 347,920 ha is 86,890 ha, while the cumulative achievement is 142,732 ha (41% of selected forest areas currently classified as APL), which translates to 164% of the expected target.</w:t>
            </w:r>
          </w:p>
          <w:p>
            <w:pPr/>
            <w:r>
              <w:rPr/>
              <w:t xml:space="preserve"/>
            </w:r>
          </w:p>
          <w:p>
            <w:pPr/>
            <w:r>
              <w:rPr/>
              <w:t xml:space="preserve">During the reporting period, there is no additional APL forest protected .</w:t>
            </w:r>
          </w:p>
          <w:p>
            <w:pPr/>
            <w:r>
              <w:rPr/>
              <w:t xml:space="preserve"/>
            </w:r>
          </w:p>
          <w:p>
            <w:pPr/>
            <w:r>
              <w:rPr/>
              <w:t xml:space="preserve">The list of policies and regulations has been reported in previous PIRs has been summarized in the document entitled KalFor Achievement dated August 2024, which has been uploaded as evidence in the File Library.</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Testing / demonstration of incentives mechanism(s) to reduce deforestation associated with the estate crops sector . Innovative ways of using financial incentives (and eliminating disincentives), designed to help reduce deforestation and forest fragmentation driven by estate crop development, have been demonstrated in target landscapes within four districts in Kalimantan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Indicator 3.1</w:t>
            </w:r>
          </w:p>
          <w:p>
            <w:pPr/>
            <w:r>
              <w:rPr/>
              <w:t xml:space="preserve">Incentive mechanisms in place and operational - to drive changes that significantly reduce the long-term threat or actual incidence of estate-crop driven deforestation</w:t>
            </w:r>
          </w:p>
          <w:p>
            <w:pPr/>
            <w:r>
              <w:rPr/>
              <w:t xml:space="preserve"/>
            </w:r>
          </w:p>
        </w:tc>
        <w:tc>
          <w:tcPr>
            <w:tcW w:w="2000" w:type="dxa"/>
            <w:gridSpan w:val="1"/>
          </w:tcPr>
          <w:p>
            <w:pPr/>
            <w:r>
              <w:rPr/>
              <w:t xml:space="preserve">Baseline 3.1</w:t>
            </w:r>
          </w:p>
          <w:p>
            <w:pPr/>
            <w:r>
              <w:rPr/>
              <w:t xml:space="preserve">Few if any proven schemes in place</w:t>
            </w:r>
          </w:p>
          <w:p>
            <w:pPr/>
            <w:r>
              <w:rPr/>
              <w:t xml:space="preserve"/>
            </w:r>
          </w:p>
        </w:tc>
        <w:tc>
          <w:tcPr>
            <w:tcW w:w="2000" w:type="dxa"/>
            <w:gridSpan w:val="1"/>
          </w:tcPr>
          <w:p>
            <w:pPr/>
            <w:r>
              <w:rPr/>
              <w:t xml:space="preserve">Mid-term Target 3.1</w:t>
            </w:r>
          </w:p>
          <w:p>
            <w:pPr/>
            <w:r>
              <w:rPr/>
              <w:t xml:space="preserve">Incentive payment schemes designed and ready for implementation</w:t>
            </w:r>
          </w:p>
          <w:p>
            <w:pPr/>
            <w:r>
              <w:rPr/>
              <w:t xml:space="preserve"/>
            </w:r>
          </w:p>
        </w:tc>
        <w:tc>
          <w:tcPr>
            <w:tcW w:w="2000" w:type="dxa"/>
            <w:gridSpan w:val="1"/>
          </w:tcPr>
          <w:p>
            <w:pPr/>
            <w:r>
              <w:rPr/>
              <w:t xml:space="preserve">End of Project Target</w:t>
            </w:r>
          </w:p>
          <w:p>
            <w:pPr/>
            <w:r>
              <w:rPr/>
              <w:t xml:space="preserve">3.1 At least four documented examples of incentive payments being used. Together involving at least $5 million in incentives and 50,000 ha in avoided deforestation and significant changes in landscape biodiversity health index due to reduced fragmentation, both compared with baselines to be determined in Year 1.</w:t>
            </w:r>
          </w:p>
          <w:p>
            <w:pPr/>
            <w:r>
              <w:rPr/>
              <w:t xml:space="preserve"/>
            </w:r>
          </w:p>
        </w:tc>
        <w:tc>
          <w:tcPr>
            <w:tcW w:w="4000" w:type="dxa"/>
            <w:gridSpan w:val="1"/>
          </w:tcPr>
          <w:p>
            <w:pPr/>
            <w:r>
              <w:rPr/>
              <w:t xml:space="preserve">This indicator has been achieved and exceeded.</w:t>
            </w:r>
          </w:p>
          <w:p>
            <w:pPr/>
            <w:r>
              <w:rPr/>
              <w:t xml:space="preserve"/>
            </w:r>
          </w:p>
          <w:p>
            <w:pPr/>
            <w:r>
              <w:rPr/>
              <w:t xml:space="preserve">As of June 2023, the cumulative progress of this indicator was 125% compared to the End of Project target, owing to an increase of 3 incentive schemes documented during the reporting period. The project facilitated expert and multistakeholder forum to discuss and developed the schemes.</w:t>
            </w:r>
          </w:p>
          <w:p>
            <w:pPr/>
            <w:r>
              <w:rPr/>
              <w:t xml:space="preserve"/>
            </w:r>
          </w:p>
          <w:p>
            <w:pPr/>
            <w:r>
              <w:rPr/>
              <w:t xml:space="preserve">Therefore, the KalFor project has cumulatively documented a total of five examples of incentive mechanisms, thereby exceeding the target of four. Moreover, the documentation of another 4 (four) schemes is in draft stages and will be developed further in due course.</w:t>
            </w:r>
          </w:p>
          <w:p>
            <w:pPr/>
            <w:r>
              <w:rPr/>
              <w:t xml:space="preserve">1.	Reviving local events such as exhibitions, community product bazaars held at the district, regency, and provincial levels. These activities really help the promotion and the marketing of the community products managed by the Local Champions.</w:t>
            </w:r>
          </w:p>
          <w:p>
            <w:pPr/>
            <w:r>
              <w:rPr/>
              <w:t xml:space="preserve">2.	Providing Business Capital assistance as supports for the development of group/ community businesses by Local Champions. (This happens in East Kutai Regency where the government allocates 10% of the neighbourhood funds (dana RT) to be managed for productive activities. For Sempayau and Saka Villages in Sangkulirang District, the Local Champion groups get a funding support of IDR 10,000,000 and also supports for increasing the production capacity of processed fish floss. For Batu Lepoq Village of Karangan District, the Local Champion group also get a funding support of IDR 50,000,000 for group business development and supports for increasing the production capacity of fish floss.)</w:t>
            </w:r>
          </w:p>
          <w:p>
            <w:pPr/>
            <w:r>
              <w:rPr/>
              <w:t xml:space="preserve">3.	The government supports the legality of the products, in particular food products produced by the Local Champions.</w:t>
            </w:r>
          </w:p>
          <w:p>
            <w:pPr/>
            <w:r>
              <w:rPr/>
              <w:t xml:space="preserve">4.	Private sectors support the sustainability of Community Business development by the Local champions. In East Kutai Regency, PT. GAM supports the Local Champion group in Sempayau Village of Karangan District to develop their Community Business by providing advanced training supports for the development of appropriate technology to develop community products. In addition, PT. GAM's CSR supports the establishment of the SMSEs Cooperative in Karangan District by involving the Local Champion groups of Sempayau and Saka Villages to allow the community businesses to develop further</w:t>
            </w:r>
          </w:p>
          <w:p>
            <w:pPr/>
            <w:r>
              <w:rPr/>
              <w:t xml:space="preserve"/>
            </w:r>
          </w:p>
          <w:p>
            <w:pPr/>
            <w:r>
              <w:rPr/>
              <w:t xml:space="preserve">Evidence:</w:t>
            </w:r>
          </w:p>
          <w:p>
            <w:pPr/>
            <w:r>
              <w:rPr/>
              <w:t xml:space="preserve">Explanation Outcome 3.pdf</w:t>
            </w:r>
          </w:p>
          <w:p>
            <w:pPr/>
            <w:r>
              <w:rPr/>
              <w:t xml:space="preserve"/>
            </w:r>
          </w:p>
        </w:tc>
        <w:tc>
          <w:tcPr>
            <w:tcW w:w="4000" w:type="dxa"/>
            <w:gridSpan w:val="1"/>
          </w:tcPr>
          <w:p>
            <w:pPr/>
            <w:r>
              <w:rPr/>
              <w:t xml:space="preserve">This indicator has been achieved 148%, taking into account the average of achievement of all the 4 sub-indicators as follows:</w:t>
            </w:r>
          </w:p>
          <w:p>
            <w:pPr/>
            <w:r>
              <w:rPr/>
              <w:t xml:space="preserve"/>
            </w:r>
          </w:p>
          <w:p>
            <w:pPr/>
            <w:r>
              <w:rPr/>
              <w:t xml:space="preserve">a) At Least 4Examples of Incentive Payments Being Used Documented:</w:t>
            </w:r>
          </w:p>
          <w:p>
            <w:pPr/>
            <w:r>
              <w:rPr/>
              <w:t xml:space="preserve">The achievement for this sub-indicator is 100%.</w:t>
            </w:r>
          </w:p>
          <w:p>
            <w:pPr/>
            <w:r>
              <w:rPr/>
              <w:t xml:space="preserve"/>
            </w:r>
          </w:p>
          <w:p>
            <w:pPr/>
            <w:r>
              <w:rPr/>
              <w:t xml:space="preserve">During the reporting period, in Central Kalimantan Province, there was one incentive mechanism regulation issued, i.e: Governor Decision of Central Kalimantan No. 40/2023 on Implementation of Strategic Activities funded by profit sharing funds.  The total funding for the Ecological Fiscal Transfer is Rp.28 Billion (approx. USD 1.9 Million)</w:t>
            </w:r>
          </w:p>
          <w:p>
            <w:pPr/>
            <w:r>
              <w:rPr/>
              <w:t xml:space="preserve"/>
            </w:r>
          </w:p>
          <w:p>
            <w:pPr/>
            <w:r>
              <w:rPr/>
              <w:t xml:space="preserve">In East Kalimantan Province there is also one the Governor Decision of East Kalimantan No. 100.3.3.1/K.825/2023 on Land-based GHG Beneficiaries. Based on the forest cover indicator 7 Villages that have been facilitated by KalFor have received the total amount of Rp.1.9 Billion (approx. USD 127,000).</w:t>
            </w:r>
          </w:p>
          <w:p>
            <w:pPr/>
            <w:r>
              <w:rPr/>
              <w:t xml:space="preserve"/>
            </w:r>
          </w:p>
          <w:p>
            <w:pPr/>
            <w:r>
              <w:rPr/>
              <w:t xml:space="preserve">Through LVGA, KalFor gave assistance to 3 villages in each district to develop incentives by increasing economic potential other than palm oil, namely:</w:t>
            </w:r>
          </w:p>
          <w:p>
            <w:pPr/>
            <w:r>
              <w:rPr/>
              <w:t xml:space="preserve">1.	Innovative incentive mechanism in the pilot village in Kutai Timur by taking the initiative to connect the community and the herbal medicine industry.</w:t>
            </w:r>
          </w:p>
          <w:p>
            <w:pPr/>
            <w:r>
              <w:rPr/>
              <w:t xml:space="preserve">2.	Innovative incentive mechanism in Ensaid Panjang village, Sintang District to make modified ikat woven masks, training on business promotion via social media, training on preparing nurseries for natural dye plants, training on displaying woven products and HHBK as well as managing a "meeting booth" as an information centre and HHBK gallery.</w:t>
            </w:r>
          </w:p>
          <w:p>
            <w:pPr/>
            <w:r>
              <w:rPr/>
              <w:t xml:space="preserve">3.	Innovative incentive mechanism in the pilot village of Kotawaringin Barat District to produce kelulut honey as one of the NTFPs.</w:t>
            </w:r>
          </w:p>
          <w:p>
            <w:pPr/>
            <w:r>
              <w:rPr/>
              <w:t xml:space="preserve">4.	Innovative incentive mechanism in Mayak and Tanjung Pura villages, Ketapang District, such as Training innovative and product packaging in small scale business &amp; honey processing.</w:t>
            </w:r>
          </w:p>
          <w:p>
            <w:pPr/>
            <w:r>
              <w:rPr/>
              <w:t xml:space="preserve"/>
            </w:r>
          </w:p>
          <w:p>
            <w:pPr/>
            <w:r>
              <w:rPr/>
              <w:t xml:space="preserve">Additionally, KalFor also facilitated the MoU on incentive for community from private sector as follows:</w:t>
            </w:r>
          </w:p>
          <w:p>
            <w:pPr/>
            <w:r>
              <w:rPr/>
              <w:t xml:space="preserve">1.	Sintang</w:t>
            </w:r>
          </w:p>
          <w:p>
            <w:pPr/>
            <w:r>
              <w:rPr/>
              <w:t xml:space="preserve">•	PT. Kencana Alam Permai</w:t>
            </w:r>
          </w:p>
          <w:p>
            <w:pPr/>
            <w:r>
              <w:rPr/>
              <w:t xml:space="preserve">•	PT. Dharma Satya Nusantara</w:t>
            </w:r>
          </w:p>
          <w:p>
            <w:pPr/>
            <w:r>
              <w:rPr/>
              <w:t xml:space="preserve">2.	Ketapang</w:t>
            </w:r>
          </w:p>
          <w:p>
            <w:pPr/>
            <w:r>
              <w:rPr/>
              <w:t xml:space="preserve">•	PT. Sandai Makmur Sawit</w:t>
            </w:r>
          </w:p>
          <w:p>
            <w:pPr/>
            <w:r>
              <w:rPr/>
              <w:t xml:space="preserve">•	PT. Sepanjang Inti Surya Mulia</w:t>
            </w:r>
          </w:p>
          <w:p>
            <w:pPr/>
            <w:r>
              <w:rPr/>
              <w:t xml:space="preserve">3.	Kutai Timur</w:t>
            </w:r>
          </w:p>
          <w:p>
            <w:pPr/>
            <w:r>
              <w:rPr/>
              <w:t xml:space="preserve">•	PT. Sumber Kharisma Persada</w:t>
            </w:r>
          </w:p>
          <w:p>
            <w:pPr/>
            <w:r>
              <w:rPr/>
              <w:t xml:space="preserve">•	PT. Sinar Bumi Wijaya</w:t>
            </w:r>
          </w:p>
          <w:p>
            <w:pPr/>
            <w:r>
              <w:rPr/>
              <w:t xml:space="preserve">•	PT. Ganda Alam Makmur</w:t>
            </w:r>
          </w:p>
          <w:p>
            <w:pPr/>
            <w:r>
              <w:rPr/>
              <w:t xml:space="preserve">•	PT. Etam Bersama Lestari</w:t>
            </w:r>
          </w:p>
          <w:p>
            <w:pPr/>
            <w:r>
              <w:rPr/>
              <w:t xml:space="preserve">•	PT Indexim Coalindo</w:t>
            </w:r>
          </w:p>
          <w:p>
            <w:pPr/>
            <w:r>
              <w:rPr/>
              <w:t xml:space="preserve"/>
            </w:r>
          </w:p>
          <w:p>
            <w:pPr/>
            <w:r>
              <w:rPr/>
              <w:t xml:space="preserve">Cumulatively, there are a total of four documented examples of incentive payments resulting from regulations developed and being implemented with support from the KalFor Project. These are as follows:</w:t>
            </w:r>
          </w:p>
          <w:p>
            <w:pPr/>
            <w:r>
              <w:rPr/>
              <w:t xml:space="preserve"/>
            </w:r>
          </w:p>
          <w:p>
            <w:pPr/>
            <w:r>
              <w:rPr/>
              <w:t xml:space="preserve">1.	Governor Decision of Central Kalimantan No. 40/2023 on Implementation of Strategic Activities funded by profit sharing funds.</w:t>
            </w:r>
          </w:p>
          <w:p>
            <w:pPr/>
            <w:r>
              <w:rPr/>
              <w:t xml:space="preserve">2.	Governor Decision of East Kalimantan No. 100.3.3.1/K.825/2023 on Land-based GHG.</w:t>
            </w:r>
          </w:p>
          <w:p>
            <w:pPr/>
            <w:r>
              <w:rPr/>
              <w:t xml:space="preserve">3.	Regent Regulation of Kotawaringin Barat No. 19/2021 on Implementation of Environment and Forestry-Based District Budget Allocations.</w:t>
            </w:r>
          </w:p>
          <w:p>
            <w:pPr/>
            <w:r>
              <w:rPr/>
              <w:t xml:space="preserve">4.	Government Regulation of Indonesia PP No. 37/2023 on Management of Ecological Fiscal Transfers to Regions.</w:t>
            </w:r>
          </w:p>
          <w:p>
            <w:pPr/>
            <w:r>
              <w:rPr/>
              <w:t xml:space="preserve"/>
            </w:r>
          </w:p>
          <w:p>
            <w:pPr/>
            <w:r>
              <w:rPr/>
              <w:t xml:space="preserve">The above documented examples have been reported in the previous PIRs and summarized in the document entitled KalFor Achievement dated August 2024 which has been uploaded as evidence in the File Library.</w:t>
            </w:r>
          </w:p>
          <w:p>
            <w:pPr/>
            <w:r>
              <w:rPr/>
              <w:t xml:space="preserve"/>
            </w:r>
          </w:p>
          <w:p>
            <w:pPr/>
            <w:r>
              <w:rPr/>
              <w:t xml:space="preserve">b) At Least US$ 5 million in Incentives:</w:t>
            </w:r>
          </w:p>
          <w:p>
            <w:pPr/>
            <w:r>
              <w:rPr/>
              <w:t xml:space="preserve">The achievement for this sub-indicator is 106%, as the total amount of incentives funding generated with the support of the KalFor Project is a total of USD 5.3 Million as follows:</w:t>
            </w:r>
          </w:p>
          <w:p>
            <w:pPr/>
            <w:r>
              <w:rPr/>
              <w:t xml:space="preserve"/>
            </w:r>
          </w:p>
          <w:p>
            <w:pPr/>
            <w:r>
              <w:rPr/>
              <w:t xml:space="preserve">1.	Governor Decision of Central Kalimantan No. 40/2023 on Implementation of Strategic Activities funded by profit sharing funds. (Rp.28 billion, approx. USD 1.9 million)</w:t>
            </w:r>
          </w:p>
          <w:p>
            <w:pPr/>
            <w:r>
              <w:rPr/>
              <w:t xml:space="preserve">2.	Governor Decision of East Kalimantan No. 100.3.3.1/K.825/2023 on Land-based GHG. (Rp.1.9 billion, approx. USD 127,000).</w:t>
            </w:r>
          </w:p>
          <w:p>
            <w:pPr/>
            <w:r>
              <w:rPr/>
              <w:t xml:space="preserve">3.	Regent Regulation of Kotawaringin Barat No. 19/2021 on Implementation of Environment and Forestry-Based District Budget Allocations. The budget amount allocated for the incentives in 2023 and 2024 amounted to Rp.13.2 billion (approx. USD 880,000).</w:t>
            </w:r>
          </w:p>
          <w:p>
            <w:pPr/>
            <w:r>
              <w:rPr/>
              <w:t xml:space="preserve">4.	Government Regulation of Indonesia PP No. 37/2023 on Management of Ecological Fiscal Transfers to Regions (Estimated allocation for Kalimantan amounts to Rp. 38.2 billion (approx. USD 2.4 million)</w:t>
            </w:r>
          </w:p>
          <w:p>
            <w:pPr/>
            <w:r>
              <w:rPr/>
              <w:t xml:space="preserve"/>
            </w:r>
          </w:p>
          <w:p>
            <w:pPr/>
            <w:r>
              <w:rPr/>
              <w:t xml:space="preserve">The above incentives have been reported in the previous PIRs and summarized in the document entitled KalFor Achievement dated August 2024 which has been uploaded as evidence in the File Library.</w:t>
            </w:r>
          </w:p>
          <w:p>
            <w:pPr/>
            <w:r>
              <w:rPr/>
              <w:t xml:space="preserve"/>
            </w:r>
          </w:p>
          <w:p>
            <w:pPr/>
            <w:r>
              <w:rPr/>
              <w:t xml:space="preserve">c) 50,000 ha in Avoided Deforestation</w:t>
            </w:r>
          </w:p>
          <w:p>
            <w:pPr/>
            <w:r>
              <w:rPr/>
              <w:t xml:space="preserve">The achievement for this sub-indicator is 285% with the 142,311 ha of forested area protected from deforestation with support from the KalFor Project through the following regulations:</w:t>
            </w:r>
          </w:p>
          <w:p>
            <w:pPr/>
            <w:r>
              <w:rPr/>
              <w:t xml:space="preserve">1.	Regent Decision of Sintang No. 660/716/KEP-DLH/2022 on Rimba Melapi is 71,8 ha</w:t>
            </w:r>
          </w:p>
          <w:p>
            <w:pPr/>
            <w:r>
              <w:rPr/>
              <w:t xml:space="preserve">2.	Regent Decision of Sintang No. 660/717/KEP-DLH/2022 on Rimba Piangan is 48,57 ha</w:t>
            </w:r>
          </w:p>
          <w:p>
            <w:pPr/>
            <w:r>
              <w:rPr/>
              <w:t xml:space="preserve">3.	Regent Decision of Sintang No. 660/1191/KEP-DLH/2022 on Gupung Debau &amp; Gupung Empaling is 14,47 ha</w:t>
            </w:r>
          </w:p>
          <w:p>
            <w:pPr/>
            <w:r>
              <w:rPr/>
              <w:t xml:space="preserve">4.	Regent Decision of Sintang No. 660/1192/KEP-DLH/2022 on Rimba Sungai Lalau &amp; Rimba Sungai Nis is 46,43 ha</w:t>
            </w:r>
          </w:p>
          <w:p>
            <w:pPr/>
            <w:r>
              <w:rPr/>
              <w:t xml:space="preserve">5.	Regent Decision of Sintang No. 660/1193/KEP-DLH/2022 on Rimba Kerintak Babah Ulu Temiang is 70,95 ha</w:t>
            </w:r>
          </w:p>
          <w:p>
            <w:pPr/>
            <w:r>
              <w:rPr/>
              <w:t xml:space="preserve">6.	Regent Decision of Sintang No. 660/1251/KEP-DLH/2022 on Rimba Bukit Liang Pelimping is 281,61 ha</w:t>
            </w:r>
          </w:p>
          <w:p>
            <w:pPr/>
            <w:r>
              <w:rPr/>
              <w:t xml:space="preserve">7.	Regent Decision of Sintang No. 660/1250/KEP-DLH/2022 on Rimba Bukit Liang Sungai Pukat is 117,13 ha</w:t>
            </w:r>
          </w:p>
          <w:p>
            <w:pPr/>
            <w:r>
              <w:rPr/>
              <w:t xml:space="preserve">8.	Regent Decision of Sintang No. 660/1285/KEP-DLH/2022 on Rimba Tawang Selubang is 14,268 ha</w:t>
            </w:r>
          </w:p>
          <w:p>
            <w:pPr/>
            <w:r>
              <w:rPr/>
              <w:t xml:space="preserve">9.	Regent Decision of Sintang No. 660/1286/KEP-DLH/2022 on Gupung Pendam Ketungau &amp; Gupung Sengkulang Lebuk is 36,47 ha</w:t>
            </w:r>
          </w:p>
          <w:p>
            <w:pPr/>
            <w:r>
              <w:rPr/>
              <w:t xml:space="preserve">10.	Regent Decision of Sintang No. 660/1287/KEP-DLH/2022 on Rimba Seringin is 14,16 ha</w:t>
            </w:r>
          </w:p>
          <w:p>
            <w:pPr/>
            <w:r>
              <w:rPr/>
              <w:t xml:space="preserve">11.	Regent Decision of Sintang No. 660/1288/KEP-DLH/2022 on Rimba Perauh is 32,2 ha</w:t>
            </w:r>
          </w:p>
          <w:p>
            <w:pPr/>
            <w:r>
              <w:rPr/>
              <w:t xml:space="preserve">12.	Regent Decision of Sintang No. 660/1289/KEP-DLH/2022 on Gupung Selabang &amp; Gupung Senibung is 2,39 ha</w:t>
            </w:r>
          </w:p>
          <w:p>
            <w:pPr/>
            <w:r>
              <w:rPr/>
              <w:t xml:space="preserve">13.	Regent Decision of Sintang No. 660/1299/KEP-DLH/2022 on Rimba Tawang is 153,28 ha</w:t>
            </w:r>
          </w:p>
          <w:p>
            <w:pPr/>
            <w:r>
              <w:rPr/>
              <w:t xml:space="preserve">14.	Regent Decision of Sintang No. 660.4/1338/KEP-DLH/2023 on Rimba Hulu Berbatak is 512 ha</w:t>
            </w:r>
          </w:p>
          <w:p>
            <w:pPr/>
            <w:r>
              <w:rPr/>
              <w:t xml:space="preserve">15.	Regent Decision of Sintang No. 660.4/1339/KEP-DLH/2023 on Rimba Bukit Pengurin is 11 ha</w:t>
            </w:r>
          </w:p>
          <w:p>
            <w:pPr/>
            <w:r>
              <w:rPr/>
              <w:t xml:space="preserve">16.	Head of Village Decision of Bangun No. 1/2021 on Tuja Semirah is 363,73 ha</w:t>
            </w:r>
          </w:p>
          <w:p>
            <w:pPr/>
            <w:r>
              <w:rPr/>
              <w:t xml:space="preserve">17.	Regent Letter of Sintang No. 522/827/SDA/2021 on Determination of Conservation Area in Palm Oil Permit is 26330 ha</w:t>
            </w:r>
          </w:p>
          <w:p>
            <w:pPr/>
            <w:r>
              <w:rPr/>
              <w:t xml:space="preserve">18.	Governor Decision of West Kalimantan No. 536/BKAD/2022 on Teluk Akar Begantung Urban Forest is 106 ha</w:t>
            </w:r>
          </w:p>
          <w:p>
            <w:pPr/>
            <w:r>
              <w:rPr/>
              <w:t xml:space="preserve">19.	Circulation Letter of Ketapang No. P/1/PERKIMLH-C.600/4/1/XII/2022 on HCV Area Data Collection is 39319,785 ha</w:t>
            </w:r>
          </w:p>
          <w:p>
            <w:pPr/>
            <w:r>
              <w:rPr/>
              <w:t xml:space="preserve">20.	Regent Letter of Kotawaringin Barat No. 660/1128/DLH.1/X/2021 on Monitor and secure forested areas in APL is 17316 ha</w:t>
            </w:r>
          </w:p>
          <w:p>
            <w:pPr/>
            <w:r>
              <w:rPr/>
              <w:t xml:space="preserve">21.	Regent Decision of Kutai Timur No. 525/K.498/2022 on Protecting HCV in plantation area is 48933,68 ha</w:t>
            </w:r>
          </w:p>
          <w:p>
            <w:pPr/>
            <w:r>
              <w:rPr/>
              <w:t xml:space="preserve">22.	Head of Village Decision of Batu Lepoq No. 141/281/XI/2020 on Designation of Forested Areas Outside Forest Areas as Village Owned Forest is 1460 ha</w:t>
            </w:r>
          </w:p>
          <w:p>
            <w:pPr/>
            <w:r>
              <w:rPr/>
              <w:t xml:space="preserve">23.	Village Regulation of Sempayau No. 1/2021 on Determination of Use and Protection Areas is 6746 ha</w:t>
            </w:r>
          </w:p>
          <w:p>
            <w:pPr/>
            <w:r>
              <w:rPr/>
              <w:t xml:space="preserve">24.	Village Regulation of Saka No. 1/2021 on Designation of Village Owned Forest is 541 ha</w:t>
            </w:r>
          </w:p>
          <w:p>
            <w:pPr/>
            <w:r>
              <w:rPr/>
              <w:t xml:space="preserve">25.	Regent Decision of Botanical Garden Bukit Pelangi No. 454/02.188.45/KH/XII/2003 on Botanical Garden of Bukit Pelangi is 20,5 ha</w:t>
            </w:r>
          </w:p>
          <w:p>
            <w:pPr/>
            <w:r>
              <w:rPr/>
              <w:t xml:space="preserve">26.	Head of Village Letter of Tepian Terap No. 3/2022 on Village Owned Forest is 102 ha</w:t>
            </w:r>
          </w:p>
          <w:p>
            <w:pPr/>
            <w:r>
              <w:rPr/>
              <w:t xml:space="preserve"/>
            </w:r>
          </w:p>
          <w:p>
            <w:pPr/>
            <w:r>
              <w:rPr/>
              <w:t xml:space="preserve">The above regulations have been reported in the previous PIRs and summarized in the document entitled KalFor Achievement dated August 2024 which has been uploaded as evidence in the File Library.</w:t>
            </w:r>
          </w:p>
          <w:p>
            <w:pPr/>
            <w:r>
              <w:rPr/>
              <w:t xml:space="preserve"/>
            </w:r>
          </w:p>
          <w:p>
            <w:pPr/>
            <w:r>
              <w:rPr/>
              <w:t xml:space="preserve">d) Significant Changes in Landscape Biodiversity Health Index</w:t>
            </w:r>
          </w:p>
          <w:p>
            <w:pPr/>
            <w:r>
              <w:rPr/>
              <w:t xml:space="preserve">The achievement for this sub-indicator is 101,2%, based on the Environmental Index used as a proxy for Landscape Biodiversity Health Index which is not available from the Government of Indonesia.</w:t>
            </w:r>
          </w:p>
          <w:p>
            <w:pPr/>
            <w:r>
              <w:rPr/>
              <w:t xml:space="preserve">If the environmental index increases, then the assumption is that the Landscape Biodiversity Health Index will also increase, because the environmental index is measured from the condition of water, air and forest cover.</w:t>
            </w:r>
          </w:p>
          <w:p>
            <w:pPr/>
            <w:r>
              <w:rPr/>
              <w:t xml:space="preserve"/>
            </w:r>
          </w:p>
          <w:p>
            <w:pPr/>
            <w:r>
              <w:rPr/>
              <w:t xml:space="preserve">The average of Environment Index in 4 district KalFor is</w:t>
            </w:r>
          </w:p>
          <w:p>
            <w:pPr/>
            <w:r>
              <w:rPr/>
              <w:t xml:space="preserve">2022 is 71.61</w:t>
            </w:r>
          </w:p>
          <w:p>
            <w:pPr/>
            <w:r>
              <w:rPr/>
              <w:t xml:space="preserve">2023 is 72.44</w:t>
            </w:r>
          </w:p>
          <w:p>
            <w:pPr/>
            <w:r>
              <w:rPr/>
              <w:t xml:space="preserve"/>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Knowledge management and M&amp;E. Increased knowledge and understanding of the multiple factors underlying successful implementation of reduced deforestation, green growth strategies for Indonesia’s estate crops sector</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Indicator 4.1</w:t>
            </w:r>
          </w:p>
          <w:p>
            <w:pPr/>
            <w:r>
              <w:rPr/>
              <w:t xml:space="preserve">Technical understanding of level of jurisdictional readiness for reduced-deforestation commodity production and impacts of associated capacity building interventions</w:t>
            </w:r>
          </w:p>
          <w:p>
            <w:pPr/>
            <w:r>
              <w:rPr/>
              <w:t xml:space="preserve"/>
            </w:r>
          </w:p>
        </w:tc>
        <w:tc>
          <w:tcPr>
            <w:tcW w:w="2000" w:type="dxa"/>
            <w:gridSpan w:val="1"/>
          </w:tcPr>
          <w:p>
            <w:pPr/>
            <w:r>
              <w:rPr/>
              <w:t xml:space="preserve">Baseline 4.1.1</w:t>
            </w:r>
          </w:p>
          <w:p>
            <w:pPr/>
            <w:r>
              <w:rPr/>
              <w:t xml:space="preserve">Baseline capacity assessment using the scorecard methodology developed by the Commodities IAP for four districts.</w:t>
            </w:r>
          </w:p>
          <w:p>
            <w:pPr/>
            <w:r>
              <w:rPr/>
              <w:t xml:space="preserve"/>
            </w:r>
          </w:p>
        </w:tc>
        <w:tc>
          <w:tcPr>
            <w:tcW w:w="2000" w:type="dxa"/>
            <w:gridSpan w:val="1"/>
          </w:tcPr>
          <w:p>
            <w:pPr/>
            <w:r>
              <w:rPr/>
              <w:t xml:space="preserve">Mid-term Target 4.1.1</w:t>
            </w:r>
          </w:p>
          <w:p>
            <w:pPr/>
            <w:r>
              <w:rPr/>
              <w:t xml:space="preserve">Increase vs. baseline readiness assessment (amount TBD)</w:t>
            </w:r>
          </w:p>
          <w:p>
            <w:pPr/>
            <w:r>
              <w:rPr/>
              <w:t xml:space="preserve"/>
            </w:r>
          </w:p>
        </w:tc>
        <w:tc>
          <w:tcPr>
            <w:tcW w:w="2000" w:type="dxa"/>
            <w:gridSpan w:val="1"/>
          </w:tcPr>
          <w:p>
            <w:pPr/>
            <w:r>
              <w:rPr/>
              <w:t xml:space="preserve">End of Project Target 4.1.1</w:t>
            </w:r>
          </w:p>
          <w:p>
            <w:pPr/>
            <w:r>
              <w:rPr/>
              <w:t xml:space="preserve">Increase vs. baseline readiness assessment (amount TBD)</w:t>
            </w:r>
          </w:p>
          <w:p>
            <w:pPr/>
            <w:r>
              <w:rPr/>
              <w:t xml:space="preserve"/>
            </w:r>
          </w:p>
        </w:tc>
        <w:tc>
          <w:tcPr>
            <w:tcW w:w="4000" w:type="dxa"/>
            <w:gridSpan w:val="1"/>
          </w:tcPr>
          <w:p>
            <w:pPr/>
            <w:r>
              <w:rPr/>
              <w:t xml:space="preserve">This indicator is on track to being achieved.</w:t>
            </w:r>
          </w:p>
          <w:p>
            <w:pPr/>
            <w:r>
              <w:rPr/>
              <w:t xml:space="preserve"/>
            </w:r>
          </w:p>
          <w:p>
            <w:pPr/>
            <w:r>
              <w:rPr/>
              <w:t xml:space="preserve">Progress of achievement is 95% against the End of Project target. This is due to the consideration that, although the scorecard assessment has been completed, the outcome of the scoring did not achieve the minimum rating of between 2.40 - 2.70, depending on the indicator assessed. Details of the assessment methodology and the scores of the scorecard assessment are contained in the relevant evidence document. The project will proceed with conducting a three-stage Capacity Need Assessment, which will take place at the beginning, middle, and end of the project. Assessments for the beginning and middle stages have already been completed, while the assessment for the end of the project will be carried out next year, in the early 2024</w:t>
            </w:r>
          </w:p>
          <w:p>
            <w:pPr/>
            <w:r>
              <w:rPr/>
              <w:t xml:space="preserve"/>
            </w:r>
          </w:p>
          <w:p>
            <w:pPr/>
            <w:r>
              <w:rPr/>
              <w:t xml:space="preserve">Evidence:</w:t>
            </w:r>
          </w:p>
          <w:p>
            <w:pPr/>
            <w:r>
              <w:rPr/>
              <w:t xml:space="preserve">[English] 0 - CNA n Building Strategy Capacity KalFor – LSP.pdf</w:t>
            </w:r>
          </w:p>
          <w:p>
            <w:pPr/>
            <w:r>
              <w:rPr/>
              <w:t xml:space="preserve">Explanation Outcome 4.pdf</w:t>
            </w:r>
          </w:p>
          <w:p>
            <w:pPr/>
            <w:r>
              <w:rPr/>
              <w:t xml:space="preserve"/>
            </w:r>
          </w:p>
        </w:tc>
        <w:tc>
          <w:tcPr>
            <w:tcW w:w="4000" w:type="dxa"/>
            <w:gridSpan w:val="1"/>
          </w:tcPr>
          <w:p>
            <w:pPr/>
            <w:r>
              <w:rPr/>
              <w:t xml:space="preserve">Overall, the achievement of this indicator is 94% against the End of Project targets.</w:t>
            </w:r>
          </w:p>
          <w:p>
            <w:pPr/>
            <w:r>
              <w:rPr/>
              <w:t xml:space="preserve"/>
            </w:r>
          </w:p>
          <w:p>
            <w:pPr/>
            <w:r>
              <w:rPr/>
              <w:t xml:space="preserve">The KalFor project conducted several Capacity Needs Assessments which took place at the beginning, middle, and end of the project using the UNDP scorecard. The results were as follows:</w:t>
            </w:r>
          </w:p>
          <w:p>
            <w:pPr/>
            <w:r>
              <w:rPr/>
              <w:t xml:space="preserve"/>
            </w:r>
          </w:p>
          <w:p>
            <w:pPr/>
            <w:r>
              <w:rPr/>
              <w:t xml:space="preserve">1.	Capacities for engagement</w:t>
            </w:r>
          </w:p>
          <w:p>
            <w:pPr/>
            <w:r>
              <w:rPr/>
              <w:t xml:space="preserve">EoP Target: 2.70</w:t>
            </w:r>
          </w:p>
          <w:p>
            <w:pPr/>
            <w:r>
              <w:rPr/>
              <w:t xml:space="preserve">2018 : 1.35 (Baseline)</w:t>
            </w:r>
          </w:p>
          <w:p>
            <w:pPr/>
            <w:r>
              <w:rPr/>
              <w:t xml:space="preserve">2020 : 1.76</w:t>
            </w:r>
          </w:p>
          <w:p>
            <w:pPr/>
            <w:r>
              <w:rPr/>
              <w:t xml:space="preserve">2022 : 2.01</w:t>
            </w:r>
          </w:p>
          <w:p>
            <w:pPr/>
            <w:r>
              <w:rPr/>
              <w:t xml:space="preserve">2024 : 2.36 (87.4% of EoP Target)</w:t>
            </w:r>
          </w:p>
          <w:p>
            <w:pPr/>
            <w:r>
              <w:rPr/>
              <w:t xml:space="preserve"/>
            </w:r>
          </w:p>
          <w:p>
            <w:pPr/>
            <w:r>
              <w:rPr/>
              <w:t xml:space="preserve">2.	Capacities to generate, access and use information &amp; knowledge</w:t>
            </w:r>
          </w:p>
          <w:p>
            <w:pPr/>
            <w:r>
              <w:rPr/>
              <w:t xml:space="preserve">EoP Target: 2.70</w:t>
            </w:r>
          </w:p>
          <w:p>
            <w:pPr/>
            <w:r>
              <w:rPr/>
              <w:t xml:space="preserve">2018 : 1.88 (Baseline)</w:t>
            </w:r>
          </w:p>
          <w:p>
            <w:pPr/>
            <w:r>
              <w:rPr/>
              <w:t xml:space="preserve">2020 : 1.85</w:t>
            </w:r>
          </w:p>
          <w:p>
            <w:pPr/>
            <w:r>
              <w:rPr/>
              <w:t xml:space="preserve">2022 : 2.36</w:t>
            </w:r>
          </w:p>
          <w:p>
            <w:pPr/>
            <w:r>
              <w:rPr/>
              <w:t xml:space="preserve">2024 : 2.46 (91.1% of EoP Target)</w:t>
            </w:r>
          </w:p>
          <w:p>
            <w:pPr/>
            <w:r>
              <w:rPr/>
              <w:t xml:space="preserve"/>
            </w:r>
          </w:p>
          <w:p>
            <w:pPr/>
            <w:r>
              <w:rPr/>
              <w:t xml:space="preserve">3.	Capacities for strategy, policy, and legislation development</w:t>
            </w:r>
          </w:p>
          <w:p>
            <w:pPr/>
            <w:r>
              <w:rPr/>
              <w:t xml:space="preserve">EoP Target: 2.40</w:t>
            </w:r>
          </w:p>
          <w:p>
            <w:pPr/>
            <w:r>
              <w:rPr/>
              <w:t xml:space="preserve">2018 : 1.60 (Baseline)</w:t>
            </w:r>
          </w:p>
          <w:p>
            <w:pPr/>
            <w:r>
              <w:rPr/>
              <w:t xml:space="preserve">2020 : 2.08</w:t>
            </w:r>
          </w:p>
          <w:p>
            <w:pPr/>
            <w:r>
              <w:rPr/>
              <w:t xml:space="preserve">2022 : 2.04</w:t>
            </w:r>
          </w:p>
          <w:p>
            <w:pPr/>
            <w:r>
              <w:rPr/>
              <w:t xml:space="preserve">2024 : 2.29 (95.4% of EoP Target)</w:t>
            </w:r>
          </w:p>
          <w:p>
            <w:pPr/>
            <w:r>
              <w:rPr/>
              <w:t xml:space="preserve"/>
            </w:r>
          </w:p>
          <w:p>
            <w:pPr/>
            <w:r>
              <w:rPr/>
              <w:t xml:space="preserve">4.	Capacities for management and implementation</w:t>
            </w:r>
          </w:p>
          <w:p>
            <w:pPr/>
            <w:r>
              <w:rPr/>
              <w:t xml:space="preserve">EoP Target: 2.40</w:t>
            </w:r>
          </w:p>
          <w:p>
            <w:pPr/>
            <w:r>
              <w:rPr/>
              <w:t xml:space="preserve">2018 : 1.58 (Baseline)</w:t>
            </w:r>
          </w:p>
          <w:p>
            <w:pPr/>
            <w:r>
              <w:rPr/>
              <w:t xml:space="preserve">2020 : 1.76</w:t>
            </w:r>
          </w:p>
          <w:p>
            <w:pPr/>
            <w:r>
              <w:rPr/>
              <w:t xml:space="preserve">2022 : 2.01</w:t>
            </w:r>
          </w:p>
          <w:p>
            <w:pPr/>
            <w:r>
              <w:rPr/>
              <w:t xml:space="preserve">2024 : 2.28 (95.0% of EoP Target)</w:t>
            </w:r>
          </w:p>
          <w:p>
            <w:pPr/>
            <w:r>
              <w:rPr/>
              <w:t xml:space="preserve"/>
            </w:r>
          </w:p>
          <w:p>
            <w:pPr/>
            <w:r>
              <w:rPr/>
              <w:t xml:space="preserve">5.	Capacities to monitor and evaluate</w:t>
            </w:r>
          </w:p>
          <w:p>
            <w:pPr/>
            <w:r>
              <w:rPr/>
              <w:t xml:space="preserve">EoP Target: 2.40</w:t>
            </w:r>
          </w:p>
          <w:p>
            <w:pPr/>
            <w:r>
              <w:rPr/>
              <w:t xml:space="preserve">2018 : 1.42 (Baseline)</w:t>
            </w:r>
          </w:p>
          <w:p>
            <w:pPr/>
            <w:r>
              <w:rPr/>
              <w:t xml:space="preserve">2020 : 1.81</w:t>
            </w:r>
          </w:p>
          <w:p>
            <w:pPr/>
            <w:r>
              <w:rPr/>
              <w:t xml:space="preserve">2022 : 2.02</w:t>
            </w:r>
          </w:p>
          <w:p>
            <w:pPr/>
            <w:r>
              <w:rPr/>
              <w:t xml:space="preserve">2024 : 2.44 (101.7% of EoP Target)</w:t>
            </w:r>
          </w:p>
          <w:p>
            <w:pPr/>
            <w:r>
              <w:rPr/>
              <w:t xml:space="preserve"/>
            </w:r>
          </w:p>
          <w:p>
            <w:pPr/>
            <w:r>
              <w:rPr/>
              <w:t xml:space="preserve">Our of the 5 areas of assessment completed, the outcome of the scoring indicates that only 1 criteria achieved the minimum end of project target of between 2.40 or 2.70, respectively. Details of the assessment methodology and the scores of the scorecard assessment are contained in the relevant evidence document.</w:t>
            </w:r>
          </w:p>
          <w:p>
            <w:pPr/>
            <w:r>
              <w:rPr/>
              <w:t xml:space="preserve"/>
            </w:r>
          </w:p>
          <w:p>
            <w:pPr/>
            <w:r>
              <w:rPr/>
              <w:t xml:space="preserve">Moreover, the above assessments have been reported in the previous PIRs (except 2024) and summarized in the document entitled KalFor Achievement dated August 2024 which has been uploaded as evidence in the File Library</w:t>
            </w:r>
          </w:p>
          <w:p>
            <w:pPr/>
            <w:r>
              <w:rPr/>
              <w:t xml:space="preserve"/>
            </w:r>
          </w:p>
        </w:tc>
      </w:tr>
      <w:tr>
        <w:trPr/>
        <w:tc>
          <w:tcPr>
            <w:tcW w:w="4000" w:type="dxa"/>
            <w:gridSpan w:val="1"/>
          </w:tcPr>
          <w:p>
            <w:pPr/>
            <w:r>
              <w:rPr/>
              <w:t xml:space="preserve">Outcome indicator 4.2</w:t>
            </w:r>
          </w:p>
          <w:p>
            <w:pPr/>
            <w:r>
              <w:rPr/>
              <w:t xml:space="preserve">Documented examples of specific lessons shared and applied in other sub-national and national situations</w:t>
            </w:r>
          </w:p>
          <w:p>
            <w:pPr/>
            <w:r>
              <w:rPr/>
              <w:t xml:space="preserve"/>
            </w:r>
          </w:p>
        </w:tc>
        <w:tc>
          <w:tcPr>
            <w:tcW w:w="2000" w:type="dxa"/>
            <w:gridSpan w:val="1"/>
          </w:tcPr>
          <w:p>
            <w:pPr/>
            <w:r>
              <w:rPr/>
              <w:t xml:space="preserve">Baseline 4.1.1</w:t>
            </w:r>
          </w:p>
          <w:p>
            <w:pPr/>
            <w:r>
              <w:rPr/>
              <w:t xml:space="preserve"/>
            </w:r>
          </w:p>
          <w:p>
            <w:pPr/>
            <w:r>
              <w:rPr/>
              <w:t xml:space="preserve">0 examples</w:t>
            </w:r>
          </w:p>
          <w:p>
            <w:pPr/>
            <w:r>
              <w:rPr/>
              <w:t xml:space="preserve"/>
            </w:r>
          </w:p>
        </w:tc>
        <w:tc>
          <w:tcPr>
            <w:tcW w:w="2000" w:type="dxa"/>
            <w:gridSpan w:val="1"/>
          </w:tcPr>
          <w:p>
            <w:pPr/>
            <w:r>
              <w:rPr/>
              <w:t xml:space="preserve">Mid-term Target 4.1.1</w:t>
            </w:r>
          </w:p>
          <w:p>
            <w:pPr/>
            <w:r>
              <w:rPr/>
              <w:t xml:space="preserve"/>
            </w:r>
          </w:p>
          <w:p>
            <w:pPr/>
            <w:r>
              <w:rPr/>
              <w:t xml:space="preserve">3 examples applied</w:t>
            </w:r>
          </w:p>
          <w:p>
            <w:pPr/>
            <w:r>
              <w:rPr/>
              <w:t xml:space="preserve"/>
            </w:r>
          </w:p>
        </w:tc>
        <w:tc>
          <w:tcPr>
            <w:tcW w:w="2000" w:type="dxa"/>
            <w:gridSpan w:val="1"/>
          </w:tcPr>
          <w:p>
            <w:pPr/>
            <w:r>
              <w:rPr/>
              <w:t xml:space="preserve">End of Project Target 4.1.1</w:t>
            </w:r>
          </w:p>
          <w:p>
            <w:pPr/>
            <w:r>
              <w:rPr/>
              <w:t xml:space="preserve"/>
            </w:r>
          </w:p>
          <w:p>
            <w:pPr/>
            <w:r>
              <w:rPr/>
              <w:t xml:space="preserve">7 examples applied</w:t>
            </w:r>
          </w:p>
          <w:p>
            <w:pPr/>
            <w:r>
              <w:rPr/>
              <w:t xml:space="preserve"/>
            </w:r>
          </w:p>
        </w:tc>
        <w:tc>
          <w:tcPr>
            <w:tcW w:w="4000" w:type="dxa"/>
            <w:gridSpan w:val="1"/>
          </w:tcPr>
          <w:p>
            <w:pPr/>
            <w:r>
              <w:rPr/>
              <w:t xml:space="preserve">This indicator has been achieved and exceeded.</w:t>
            </w:r>
          </w:p>
          <w:p>
            <w:pPr/>
            <w:r>
              <w:rPr/>
              <w:t xml:space="preserve"/>
            </w:r>
          </w:p>
          <w:p>
            <w:pPr/>
            <w:r>
              <w:rPr/>
              <w:t xml:space="preserve">As of June 2023, the cumulative achievement for this indicator stood at 114% against the End of the Project target, with 8 examples of lessons learned documented against the target of 7. These examples are documented in the evidence provided for this indicator.</w:t>
            </w:r>
          </w:p>
          <w:p>
            <w:pPr/>
            <w:r>
              <w:rPr/>
              <w:t xml:space="preserve"/>
            </w:r>
          </w:p>
          <w:p>
            <w:pPr/>
            <w:r>
              <w:rPr/>
              <w:t xml:space="preserve">In 2022-2023 the project has shared additional examples of lessons from its experience to a variety of stakeholders, but the application of these lessons is yet to be seen. some of the activities undertaken were, as follows:</w:t>
            </w:r>
          </w:p>
          <w:p>
            <w:pPr/>
            <w:r>
              <w:rPr/>
              <w:t xml:space="preserve"/>
            </w:r>
          </w:p>
          <w:p>
            <w:pPr/>
            <w:r>
              <w:rPr/>
              <w:t xml:space="preserve">1.	Development of Knowledge Management System Book as lessons learned has been shared in Project Board Meeting and other occasions.</w:t>
            </w:r>
          </w:p>
          <w:p>
            <w:pPr/>
            <w:r>
              <w:rPr/>
              <w:t xml:space="preserve">2.	Pojok Iklim Webinar &amp; discussion was titled "Synergy between central and local governments, communities and academics in protecting forests on APL".Held on Wednesday, May 31, 2023, Keynote Speaker by Belinda Margono, Ph.D (Director of Forest Resources Inventory and Monitoring, DG PKTL, MoEF) and Resource person are (1) Ir. H. Adi Yani, M.H. | Head of Environment and Forestry Service of West Kalimantan Province. (2) Syahyani, S.P., M.P. | Focal Point at the West Kotawaringin District Environment Office. (3) Prof. Dr. Esti Handayani Hardi, S.Pi., M.Si. | Professor of Mulawarman University. (4) Emmy Astuti | Executive Director of the Association of Small Business Women Facilitators (ASPPUK ). Moderator by Doni Nugroho, S.Hut., M.T., M.P.P. | Head of Sub-Directorate of Geospatial Information Network for Environment and Forestry, Dit. IPSDH Ditjen PKTL, KLHK. total participants who attended the webinar were around 200 people. Watch this Webinar on this link : https://www.youtube.com/watch?v=hHuuTjCaN4o</w:t>
            </w:r>
          </w:p>
          <w:p>
            <w:pPr/>
            <w:r>
              <w:rPr/>
              <w:t xml:space="preserve"/>
            </w:r>
          </w:p>
          <w:p>
            <w:pPr/>
            <w:r>
              <w:rPr/>
              <w:t xml:space="preserve">The Climate Corner Webinar also serves as a KalFor Project dissemination event attended by various groups, such as the Environmental Agencies at the Provincial and District levels, academics, private sector representatives, partners, and community members who are concerned about forests in Other Land Use Zones (APL).</w:t>
            </w:r>
          </w:p>
          <w:p>
            <w:pPr/>
            <w:r>
              <w:rPr/>
              <w:t xml:space="preserve"/>
            </w:r>
          </w:p>
          <w:p>
            <w:pPr/>
            <w:r>
              <w:rPr/>
              <w:t xml:space="preserve">3.	PODCAST: "Young Generation Talks Forest, Environment &amp; Innovation", Shooting process held on 26-28 May 2023 in “Pusat Suaka Satwa Elang Jawa”  Loji Mount Halimun National Park Bogor collaborate with HUMAS MoEF team.  Host by VJ Laissti and there are 3 resource person (1) M Naufal from Carbon Addons (KalFor Youth Innovation 2020 Winner), (2)Ratih Rachmatika from SIAB Indonesia (KalFor Youth Innovation 2020 Winner) &amp; (3) Zaira Adeeva Student from Global Mandiri School Cibubur. This podcast aired on MoEF channel, Watch on this link : https://www.youtube.com/watch?v=WvL4MurYHNw</w:t>
            </w:r>
          </w:p>
          <w:p>
            <w:pPr/>
            <w:r>
              <w:rPr/>
              <w:t xml:space="preserve">4.	Dissemination on MoEF Geospatial Information System and conservation to junior high and elementary school on Global Mandiri School Cibubur on 28 May 2023 in Gunung Halimun National Park.</w:t>
            </w:r>
          </w:p>
          <w:p>
            <w:pPr/>
            <w:r>
              <w:rPr/>
              <w:t xml:space="preserve">5.	WPSC Bali 5th World Planning Schools Congress , 16th Asian Planning Schools Association Congress. "Planning A Global Village: Inclusion, Innovation, and Disruption" held in Bali Nusa Dua Convention Center, 29 August - 2 September 2022. KalFor Support PKTL MoEF join in Parallel session 9 with title: “Landscape Approach On Forest Cover Adequacy Based On Strengthened Planning And Management: Connectivity From National, Province, District, To Village”. Keynote Speech: National Policy on Forest Planning and Management in Indonesia. Theme: Robust Forest Monitoring System for Indonesia’s FOLU Net Sink 2030, The Roles of Research and Education for Forest Planning and Management in Indonesia, The Roles of Local Government in Forest Planning and Management in Indonesia Institutional and Legal Frameworks for Forest Planning and Management in Indonesia. Presentation by: Dr. Ruandha Agung Sugardiman, M.Sc. ; Ir. Belinda Arunarwati Margono, M.Sc. PhD. -; Ali Suhardiman, S.Hut, M.P, PhD. ; Dr. Rachmat Budiwijaya Suba, S.Hut. M.Sc, Moderated by KalFor NPM, Laksmi Banowati. Posted in KalFor instagram, check on this link https://www.instagram.com/p/Ch_UTlXPylO/?utm_source=ig_web_copy_link&amp;igshid=MzRlODBiNWFlZA==</w:t>
            </w:r>
          </w:p>
          <w:p>
            <w:pPr/>
            <w:r>
              <w:rPr/>
              <w:t xml:space="preserve">6.	KalFor participated on GEF Asia Pacific Workshop on Integrated Programs 10-12 January 2023, collaboration with the CIWT project participated in the exhibition by making a display booth and socializing the progress of the ongoing project, on this occasion also attended the KalFor booth of the deputy minister of Environment and Forestry and GEF CEO and Chairperson Mr Carlos Manuel Rodríguez.  National Dialogue Indonesia 16-18 Januari 2023, Directorate General of Forestry Planning and Environmental Management (PKTL) , MoEF represented by Director of Forest Resources Monitoring Inventory (IPSDH,  Belinda A.Margono, Ph.D, delivered her presentation in the NATIONAL PRIORITIES and MEAs MANDATES session entitled "Forest Conservation and Land-use Planning towards FOLU Net Sink 2030". The Director of IPSDH, who is also the National Project Director of the KalFor Project, also presented the achievements of the KalFor Project program in its 5th year, which is also part of GEF-6.</w:t>
            </w:r>
          </w:p>
          <w:p>
            <w:pPr/>
            <w:r>
              <w:rPr/>
              <w:t xml:space="preserve">7.	Participate Award Equator Prize 2022, KalFor nominates Ensaid Panjang Village for Equator Prize Submission. KalFor tells the story of Ensaid Panjang village in terms of innovation, governance &amp; partnership, environmental impacts and sustainable development as long as it becomes one of the assisted villages of the KalFor project in protecting forests in APL.</w:t>
            </w:r>
          </w:p>
          <w:p>
            <w:pPr/>
            <w:r>
              <w:rPr/>
              <w:t xml:space="preserve">8.	Participate GEF Assembly Challenge Program 2023, on 29 May, Kalfor participated and co-proposed an initiative entitled “An independent and sustainable small-scale plantation development model through intensification without converting forests in Non-State Forest, and improving community economic sovereignty in Bangun Village, Sintang District, West Kalimantan, Indonesia”. Winners will be announced at the Seventh GEF Assembly in August 2023 and Each initiative will also be provided up to $100,000 of funding support to maximize its impacts in delivering adaptation and environmental benefits of global and local importance.</w:t>
            </w:r>
          </w:p>
          <w:p>
            <w:pPr/>
            <w:r>
              <w:rPr/>
              <w:t xml:space="preserve">9.	Participation in COP27 in Sharm El Sheik Egypt, Nov 6, 2022 – Nov 18, 2022. KalFor Support MoEF in 2 session in COP 27, Session A.1. “Strengthening Policies and Work Implementation to Achieve Indonesia’s FOLU Net Sink 2030” with Resource person (1) Ruandha Sugardiman, DG PKTL MoEF, (2)Iwan Gunawan, Ph.D -World Bank, (3)Ms. Amy Duchelle, Senior Forestry Officer, FAO (4)Ms Sujala Pant, Deputy Resident Representative UNDP Indonesia. Session A.2. “Coherency Local Government Policy in Achieving FOLU Net sink 2030” with Resource person (1) Ruandha Sugardiman, DG PKTL MoEF, (2) Belinda A. Margono, Ph.D - Director of IPSDH, MoEF, (3) Dr. Tatang Tiryana, Ph.D -IPB University, (4)Yenny Syarif Ali Almuthahar - West Kalimantan Environment and Forestry Service and (5)Ir. Yuyu Rahayu, M.Sc, - Senior advisor for MoEF. All Documentation video posted on Indonesia Pavilion Youtube Channel https://www.youtube.com/@indonesiapavilion8692</w:t>
            </w:r>
          </w:p>
          <w:p>
            <w:pPr/>
            <w:r>
              <w:rPr/>
              <w:t xml:space="preserve"/>
            </w:r>
          </w:p>
          <w:p>
            <w:pPr/>
            <w:r>
              <w:rPr/>
              <w:t xml:space="preserve">10.	Review &amp; Strengthening Gender Equality, Disability &amp; Social Inclusion (GEDSI) Strategy Kalfor Project</w:t>
            </w:r>
          </w:p>
          <w:p>
            <w:pPr/>
            <w:r>
              <w:rPr/>
              <w:t xml:space="preserve"/>
            </w:r>
          </w:p>
          <w:p>
            <w:pPr/>
            <w:r>
              <w:rPr/>
              <w:t xml:space="preserve">Seeing the extent to which the strategy can be operationalized: this includes looking at which parts of the strategy work, and conversely, which parts of the strategy do not work and need adjustments. It was found that in the gender strategy that has been prepared previously, even though it has used an intersectionality approach which sees gender as intersecting with other social statuses, it is felt that it needs to be strengthened to ensure the integration of aspects of social inclusion, including disability inclusion.</w:t>
            </w:r>
          </w:p>
          <w:p>
            <w:pPr/>
            <w:r>
              <w:rPr/>
              <w:t xml:space="preserve"/>
            </w:r>
          </w:p>
          <w:p>
            <w:pPr/>
            <w:r>
              <w:rPr/>
              <w:t xml:space="preserve">A more comprehensive approach known as GEDSI is a necessity for projects to make project benefits felt by all parties without exception.  Review of the gender strategy as well as sharpening aspects of social inclusion including disability inclusion was carried out. Within this framework, a review and strengthening of the gender strategy into the GEDSI Strategy was carried out for the Kalfor project.</w:t>
            </w:r>
          </w:p>
          <w:p>
            <w:pPr/>
            <w:r>
              <w:rPr/>
              <w:t xml:space="preserve"/>
            </w:r>
          </w:p>
          <w:p>
            <w:pPr/>
            <w:r>
              <w:rPr/>
              <w:t xml:space="preserve">KALFOR Project believes that awareness and active participation of the younger generation is one of the important  elements  in  continuity  and  sustainability when tackling environmental  issues. Therefore, it created a series of events under component 4 called KALFOR Youth  Innovation (KYI) 2020 with  a  theme "Bringing Ideas to Life: Indonesia's Youth Innovation in Environment and Forestry" as a concrete effort in engaging  and  involving  younger  generations to  not just be the  observer  but  also to  make a positive impact as an active contributor in finding practical and creative solutions to our very own environmental issues. The KYI 2020 scored 379 proposals from participants across Indonesia who came up with brilliant ideas  and solutions  based  on the UN's  own Sustainable  Development  Goals  (SDGs) for  Indonesia's environmental issues.</w:t>
            </w:r>
          </w:p>
          <w:p>
            <w:pPr/>
            <w:r>
              <w:rPr/>
              <w:t xml:space="preserve"/>
            </w:r>
          </w:p>
          <w:p>
            <w:pPr/>
            <w:r>
              <w:rPr/>
              <w:t xml:space="preserve">The success of KYI 2020 inspired the KALFOR Project and the IP to create KYI-II 2023, and this series of the event is expected to be one of the tools for not only a platform for the younger generation to make their  ideas  into  something  real  but  also as a knowledge management  transfer,  so  the  fight  against deforestation is learned by all. The KYI-II 2022 will be held for only the youth of Kalimantan and will be more focused on the specific theme "The Forest of Kalimantan" environmental issues.</w:t>
            </w:r>
          </w:p>
          <w:p>
            <w:pPr/>
            <w:r>
              <w:rPr/>
              <w:t xml:space="preserve"/>
            </w:r>
          </w:p>
          <w:p>
            <w:pPr/>
            <w:r>
              <w:rPr/>
              <w:t xml:space="preserve">In 2023 KalFor Youth Innovation 2 start to be held and now the consultant has conducted the kick off meeting and will socialize the event and share the invitation in July 2023</w:t>
            </w:r>
          </w:p>
          <w:p>
            <w:pPr/>
            <w:r>
              <w:rPr/>
              <w:t xml:space="preserve"/>
            </w:r>
          </w:p>
          <w:p>
            <w:pPr/>
            <w:r>
              <w:rPr/>
              <w:t xml:space="preserve">Evidence:</w:t>
            </w:r>
          </w:p>
          <w:p>
            <w:pPr/>
            <w:r>
              <w:rPr/>
              <w:t xml:space="preserve">Kick Off Meeting Nakama.ppt</w:t>
            </w:r>
          </w:p>
          <w:p>
            <w:pPr/>
            <w:r>
              <w:rPr/>
              <w:t xml:space="preserve">Ruanda Sugardiman - Proposal Session for WPSCAPSA2022.pdf</w:t>
            </w:r>
          </w:p>
          <w:p>
            <w:pPr/>
            <w:r>
              <w:rPr/>
              <w:t xml:space="preserve">Belinda Margono - Proposal Session for WPSCAPSA2022.pdf</w:t>
            </w:r>
          </w:p>
          <w:p>
            <w:pPr/>
            <w:r>
              <w:rPr/>
              <w:t xml:space="preserve">Ali Suhardiman - Proposal Session for WPSCAPSA2022.pdf</w:t>
            </w:r>
          </w:p>
          <w:p>
            <w:pPr/>
            <w:r>
              <w:rPr/>
              <w:t xml:space="preserve">Rachmat Suba - Proposal Session for WPSCAPSA2022.pdf</w:t>
            </w:r>
          </w:p>
          <w:p>
            <w:pPr/>
            <w:r>
              <w:rPr/>
              <w:t xml:space="preserve">Explanation Outcome 4.pdf</w:t>
            </w:r>
          </w:p>
          <w:p>
            <w:pPr/>
            <w:r>
              <w:rPr/>
              <w:t xml:space="preserve"/>
            </w:r>
          </w:p>
        </w:tc>
        <w:tc>
          <w:tcPr>
            <w:tcW w:w="4000" w:type="dxa"/>
            <w:gridSpan w:val="1"/>
          </w:tcPr>
          <w:p>
            <w:pPr/>
            <w:r>
              <w:rPr/>
              <w:t xml:space="preserve">The achievement for this indicator is 129%, as there are 9 known instances of lessons from the KalFor project which have been applied in other initiatives.</w:t>
            </w:r>
          </w:p>
          <w:p>
            <w:pPr/>
            <w:r>
              <w:rPr/>
              <w:t xml:space="preserve"/>
            </w:r>
          </w:p>
          <w:p>
            <w:pPr/>
            <w:r>
              <w:rPr/>
              <w:t xml:space="preserve">During the reporting period, the following are examples from the KalFor Project that are known to have been applied:</w:t>
            </w:r>
          </w:p>
          <w:p>
            <w:pPr/>
            <w:r>
              <w:rPr/>
              <w:t xml:space="preserve"/>
            </w:r>
          </w:p>
          <w:p>
            <w:pPr/>
            <w:r>
              <w:rPr/>
              <w:t xml:space="preserve">1.	The Ketapang District Government used the KalFor study “Economic Valuation and Environmental Services Report of Ketapang District” and included it in the KLHS (Strategic Environmental Assessment) document for the Ketapang District RPJMD (Regional Medium-Term Development Plan).</w:t>
            </w:r>
          </w:p>
          <w:p>
            <w:pPr/>
            <w:r>
              <w:rPr/>
              <w:t xml:space="preserve">2.	The Sintang District Government has embraced Collaborative Governance by issuing Regent Regulation No. 41 of 2024. This regulation follows the creation of the Joint Secretariat for the Sintang District Multi-Stakeholder Forum, which was established by KalFor in 2019 to facilitate synergy between development partners and the local government.</w:t>
            </w:r>
          </w:p>
          <w:p>
            <w:pPr/>
            <w:r>
              <w:rPr/>
              <w:t xml:space="preserve">3.	Sharing of best practices and lessons learnt from the EFT development/ PAKLIK in Kotawaringin Barat by KalFor’s Focal Point at the event conduct by USAID “Assistance for Proposing Ecological-Based Financial Assistance through 2024 DBH DR Incentive Programme in SAMPIT District”</w:t>
            </w:r>
          </w:p>
          <w:p>
            <w:pPr/>
            <w:r>
              <w:rPr/>
              <w:t xml:space="preserve">4.	KalFor’s MoU for Data Sharing in Kutai Timur, East Kalimantan - Sintang &amp; Berau adopted the MoU model from SIGAP.</w:t>
            </w:r>
          </w:p>
          <w:p>
            <w:pPr/>
            <w:r>
              <w:rPr/>
              <w:t xml:space="preserve">5.	Solidaridad Network Indonesia Foundation facilitates villages in Sintang obtained a total of 15 Regent Decree of Rimba/Gupung following the KalFor approach.</w:t>
            </w:r>
          </w:p>
          <w:p>
            <w:pPr/>
            <w:r>
              <w:rPr/>
              <w:t xml:space="preserve">6.	USAID SEGAR supported villages in Sintang in acquiring SK Rimba/Gupung – permits for the local communities to utilize forests.</w:t>
            </w:r>
          </w:p>
          <w:p>
            <w:pPr/>
            <w:r>
              <w:rPr/>
              <w:t xml:space="preserve">7.	The INFLORES Project uses KalFor as a model for Project Management.</w:t>
            </w:r>
          </w:p>
          <w:p>
            <w:pPr/>
            <w:r>
              <w:rPr/>
              <w:t xml:space="preserve">8.	FOLUR utilizes KalFor’s best practices for developing effective land allocation and forest area management for the potential development of plantation crops in Kalimantan - Stakeholder Engagement</w:t>
            </w:r>
          </w:p>
          <w:p>
            <w:pPr/>
            <w:r>
              <w:rPr/>
              <w:t xml:space="preserve">9.	FOLUR also utilizes KalFor’s best practives for integrated landscape management.</w:t>
            </w:r>
          </w:p>
          <w:p>
            <w:pPr/>
            <w:r>
              <w:rPr/>
              <w:t xml:space="preserve"/>
            </w:r>
          </w:p>
          <w:p>
            <w:pPr/>
            <w:r>
              <w:rPr/>
              <w:t xml:space="preserve"/>
            </w:r>
          </w:p>
          <w:p>
            <w:pPr/>
            <w:r>
              <w:rPr/>
              <w:t xml:space="preserve">In addition to the above examples of lessons applied, the KalFor Project has shared its technical outputs, expertise, experiences and lesson learned in different forums as follows:</w:t>
            </w:r>
          </w:p>
          <w:p>
            <w:pPr/>
            <w:r>
              <w:rPr/>
              <w:t xml:space="preserve"/>
            </w:r>
          </w:p>
          <w:p>
            <w:pPr/>
            <w:r>
              <w:rPr/>
              <w:t xml:space="preserve"/>
            </w:r>
          </w:p>
          <w:p>
            <w:pPr/>
            <w:r>
              <w:rPr/>
              <w:t xml:space="preserve">The project shared lessons and enhanced knowledge during the reporting period. Below are the achievements starting from June 2023 to June 2024, as for the previous achievements, in the previous PIRs.</w:t>
            </w:r>
          </w:p>
          <w:p>
            <w:pPr/>
            <w:r>
              <w:rPr/>
              <w:t xml:space="preserve"/>
            </w:r>
          </w:p>
          <w:p>
            <w:pPr/>
            <w:r>
              <w:rPr/>
              <w:t xml:space="preserve">In 2023 - 2024 KalFor facilitated the formulation of 8 additional lessons learned, such as:</w:t>
            </w:r>
          </w:p>
          <w:p>
            <w:pPr/>
            <w:r>
              <w:rPr/>
              <w:t xml:space="preserve">1.	PANORAMA Solution for Strengthening Forested Area Planning and Management in Non-State Forest areas in Kalimantan</w:t>
            </w:r>
          </w:p>
          <w:p>
            <w:pPr/>
            <w:r>
              <w:rPr/>
              <w:t xml:space="preserve">2.	Photo story of Kelulut Honey Production in Kotawaringin Barat</w:t>
            </w:r>
          </w:p>
          <w:p>
            <w:pPr/>
            <w:r>
              <w:rPr/>
              <w:t xml:space="preserve">3.	Technical Guidance for Protection of Wild Plants and Animals and Community-Based Law Enforcement</w:t>
            </w:r>
          </w:p>
          <w:p>
            <w:pPr/>
            <w:r>
              <w:rPr/>
              <w:t xml:space="preserve">4.	Proklim Training</w:t>
            </w:r>
          </w:p>
          <w:p>
            <w:pPr/>
            <w:r>
              <w:rPr/>
              <w:t xml:space="preserve">5.	Terasmitra Webinar</w:t>
            </w:r>
          </w:p>
          <w:p>
            <w:pPr/>
            <w:r>
              <w:rPr/>
              <w:t xml:space="preserve">6.	Asean Youth Sustainability Camp</w:t>
            </w:r>
          </w:p>
          <w:p>
            <w:pPr/>
            <w:r>
              <w:rPr/>
              <w:t xml:space="preserve">7.	KalFor Youth Innovation II Awards</w:t>
            </w:r>
          </w:p>
          <w:p>
            <w:pPr/>
            <w:r>
              <w:rPr/>
              <w:t xml:space="preserve">8.	SIGAP Awards Exhibition by the President</w:t>
            </w:r>
          </w:p>
          <w:p>
            <w:pPr/>
            <w:r>
              <w:rPr/>
              <w:t xml:space="preserve"/>
            </w:r>
          </w:p>
          <w:p>
            <w:pPr/>
            <w:r>
              <w:rPr/>
              <w:t xml:space="preserve">The KalFor project gained knowledge from its implementation and shared it through these following activities:</w:t>
            </w:r>
          </w:p>
          <w:p>
            <w:pPr/>
            <w:r>
              <w:rPr/>
              <w:t xml:space="preserve"/>
            </w:r>
          </w:p>
          <w:p>
            <w:pPr/>
            <w:r>
              <w:rPr/>
              <w:t xml:space="preserve">1.	Compilation of the Study Book "Spatial Modelling Economic and Ecosystem Services Valuation in Forested Land within APL to Support Decision Making over Land Use Management"</w:t>
            </w:r>
          </w:p>
          <w:p>
            <w:pPr/>
            <w:r>
              <w:rPr/>
              <w:t xml:space="preserve">2.	Nyaru Menteng Biodiversity Study</w:t>
            </w:r>
          </w:p>
          <w:p>
            <w:pPr/>
            <w:r>
              <w:rPr/>
              <w:t xml:space="preserve">3.	Photo story of Kelulut Honey Production in Kotawaringin Barat</w:t>
            </w:r>
          </w:p>
          <w:p>
            <w:pPr/>
            <w:r>
              <w:rPr/>
              <w:t xml:space="preserve">4.	PANORAMA Solution for Strengthening Forested Area Planning and Management in Non-State Forest areas in Kalimantan</w:t>
            </w:r>
          </w:p>
          <w:p>
            <w:pPr/>
            <w:r>
              <w:rPr/>
              <w:t xml:space="preserve">5.	Virtual Tour Kotawaringin Barat to find potential tourism of Eco Tourism in ekowisatakobar.com</w:t>
            </w:r>
          </w:p>
          <w:p>
            <w:pPr/>
            <w:r>
              <w:rPr/>
              <w:t xml:space="preserve"/>
            </w:r>
          </w:p>
          <w:p>
            <w:pPr/>
            <w:r>
              <w:rPr/>
              <w:t xml:space="preserve">KalFor also conducted comparative studies to increase the capacity of the parties:</w:t>
            </w:r>
          </w:p>
          <w:p>
            <w:pPr/>
            <w:r>
              <w:rPr/>
              <w:t xml:space="preserve">1.	Comparative Study to Kuching, Malaysia (HCV management)</w:t>
            </w:r>
          </w:p>
          <w:p>
            <w:pPr/>
            <w:r>
              <w:rPr/>
              <w:t xml:space="preserve"/>
            </w:r>
          </w:p>
          <w:p>
            <w:pPr/>
            <w:r>
              <w:rPr/>
              <w:t xml:space="preserve">KalFor also facilitated various kinds of training to increase capacity to local community:</w:t>
            </w:r>
          </w:p>
          <w:p>
            <w:pPr/>
            <w:r>
              <w:rPr/>
              <w:t xml:space="preserve">1.	Training carried out by the Natural Kapital Indonesia Foundation, Indonesian Orangutan Foundation, Teraju Foundation, BIKAL Foundation in 2023</w:t>
            </w:r>
          </w:p>
          <w:p>
            <w:pPr/>
            <w:r>
              <w:rPr/>
              <w:t xml:space="preserve">2.	Sign Language Training</w:t>
            </w:r>
          </w:p>
          <w:p>
            <w:pPr/>
            <w:r>
              <w:rPr/>
              <w:t xml:space="preserve">3.	Forest Fire Prevention Control Training for MPA in Sintang District, Sarawak Sintang</w:t>
            </w:r>
          </w:p>
          <w:p>
            <w:pPr/>
            <w:r>
              <w:rPr/>
              <w:t xml:space="preserve">4.	Technical Guidance for Protection of Wild Plants and Animals and Community-Based Law Enforcement</w:t>
            </w:r>
          </w:p>
          <w:p>
            <w:pPr/>
            <w:r>
              <w:rPr/>
              <w:t xml:space="preserve">5.	Proklim Training</w:t>
            </w:r>
          </w:p>
          <w:p>
            <w:pPr/>
            <w:r>
              <w:rPr/>
              <w:t xml:space="preserve"/>
            </w:r>
          </w:p>
          <w:p>
            <w:pPr/>
            <w:r>
              <w:rPr/>
              <w:t xml:space="preserve">KalFor also participated in national and international forums to share lessons learned internationally for replication, namely:</w:t>
            </w:r>
          </w:p>
          <w:p>
            <w:pPr/>
            <w:r>
              <w:rPr/>
              <w:t xml:space="preserve">1.	Towards a big data revolution for the planet Data System For the Future, Vienna 2023</w:t>
            </w:r>
          </w:p>
          <w:p>
            <w:pPr/>
            <w:r>
              <w:rPr/>
              <w:t xml:space="preserve">2.	Festival LIKE, Jakarta 2023</w:t>
            </w:r>
          </w:p>
          <w:p>
            <w:pPr/>
            <w:r>
              <w:rPr/>
              <w:t xml:space="preserve">3.	West Kalimantan/University of Tanjungpura Symposium on Forest Product</w:t>
            </w:r>
          </w:p>
          <w:p>
            <w:pPr/>
            <w:r>
              <w:rPr/>
              <w:t xml:space="preserve">4.	Asean Youth Sustainability Camp</w:t>
            </w:r>
          </w:p>
          <w:p>
            <w:pPr/>
            <w:r>
              <w:rPr/>
              <w:t xml:space="preserve">5.	Terasmitra Webinar on APL Protection by villages as the lesson learned</w:t>
            </w:r>
          </w:p>
          <w:p>
            <w:pPr/>
            <w:r>
              <w:rPr/>
              <w:t xml:space="preserve">6.	Lesson Learn KalFor in Folur Project for Sorong District.</w:t>
            </w:r>
          </w:p>
          <w:p>
            <w:pPr/>
            <w:r>
              <w:rPr/>
              <w:t xml:space="preserve">7.	Lesson Learn KalFor in In-Flores project for East Nusa Province</w:t>
            </w:r>
          </w:p>
          <w:p>
            <w:pPr/>
            <w:r>
              <w:rPr/>
              <w:t xml:space="preserve"/>
            </w:r>
          </w:p>
          <w:p>
            <w:pPr/>
            <w:r>
              <w:rPr/>
              <w:t xml:space="preserve">The project held a talk shows inviting the Young Generation from the winner of KalFor Youth Innovation:</w:t>
            </w:r>
          </w:p>
          <w:p>
            <w:pPr/>
            <w:r>
              <w:rPr/>
              <w:t xml:space="preserve">1.	Young Generation Talks about Forests and the Environment</w:t>
            </w:r>
          </w:p>
          <w:p>
            <w:pPr/>
            <w:r>
              <w:rPr/>
              <w:t xml:space="preserve">2.	Think Globally Act Locally: Lesson Learnt from Local Community to Global Environment</w:t>
            </w:r>
          </w:p>
          <w:p>
            <w:pPr/>
            <w:r>
              <w:rPr/>
              <w:t xml:space="preserve">3.	Building the contribution of the younger generation in LHK Development (Talk show)</w:t>
            </w:r>
          </w:p>
          <w:p>
            <w:pPr/>
            <w:r>
              <w:rPr/>
              <w:t xml:space="preserve">4.	LIKE 2 Talk show  The security of spatial data of the Ministry of Environment and Forestry in controlling deforestation, inviting Jejak Baik Pohon Team from KYI 2023 Winner.</w:t>
            </w:r>
          </w:p>
          <w:p>
            <w:pPr/>
            <w:r>
              <w:rPr/>
              <w:t xml:space="preserve"/>
            </w:r>
          </w:p>
          <w:p>
            <w:pPr/>
            <w:r>
              <w:rPr/>
              <w:t xml:space="preserve">KalFor has facilitated international consultants to conduct studies on EESV which has been uploaded as evidence material. The information resulted from EESV modelling could also be used to revise the current management plan through some interventions.</w:t>
            </w:r>
          </w:p>
          <w:p>
            <w:pPr/>
            <w:r>
              <w:rPr/>
              <w:t xml:space="preserve">In order to make ecosystem services work for local economic development, there are some aspects need to be considered:</w:t>
            </w:r>
          </w:p>
          <w:p>
            <w:pPr/>
            <w:r>
              <w:rPr/>
              <w:t xml:space="preserve">1.	Explore the market for any NTFP products and link the NTFP to any industry that could produce more derivative products</w:t>
            </w:r>
          </w:p>
          <w:p>
            <w:pPr/>
            <w:r>
              <w:rPr/>
              <w:t xml:space="preserve">2.	Public private partnership in fostering NTFP productions through agroforestry system</w:t>
            </w:r>
          </w:p>
          <w:p>
            <w:pPr/>
            <w:r>
              <w:rPr/>
              <w:t xml:space="preserve">3.	Refining spatial plan to accommodate agroforestry development</w:t>
            </w:r>
          </w:p>
          <w:p>
            <w:pPr/>
            <w:r>
              <w:rPr/>
              <w:t xml:space="preserve"/>
            </w:r>
          </w:p>
          <w:p>
            <w:pPr/>
            <w:r>
              <w:rPr/>
              <w:t xml:space="preserve">Knowledge Sharing, KalFor shared lessons regarding success in achieving project achievements and targets to other GEF-7 and GEF-8 projects in Indonesia, including:</w:t>
            </w:r>
          </w:p>
          <w:p>
            <w:pPr/>
            <w:r>
              <w:rPr/>
              <w:t xml:space="preserve">1.	In-Flores, is a new project using GEF-7 funds with an East Nusa locus. With the In-Forest project, KalFor shares knowledge in managing data, achievements, reports, and also how to achieve the project's annual targets.</w:t>
            </w:r>
          </w:p>
          <w:p>
            <w:pPr/>
            <w:r>
              <w:rPr/>
              <w:t xml:space="preserve">2.	Folur, a project that has been running for 2 years using GEF-7 funds with a West Papua and Aceh focus. With the Folur project, KalFor also shares knowledge in establishing relationships with local governments, increasing community capacity, and capturing potential human resources. can still be elaborated.</w:t>
            </w:r>
          </w:p>
          <w:p>
            <w:pPr/>
            <w:r>
              <w:rPr/>
              <w:t xml:space="preserve">KalFor shares knowledge with Folur regarding the development of strategies to support the progress of Indonesian farmers with context.</w:t>
            </w:r>
          </w:p>
          <w:p>
            <w:pPr/>
            <w:r>
              <w:rPr/>
              <w:t xml:space="preserve">KalFor also shared knowledge with Folur regarding a case study on integrated landscape management with the example of the Kelutap Interconnection locus in Sintang</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94.75%</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94.75%</w:t>
            </w:r>
          </w:p>
        </w:tc>
      </w:tr>
      <w:tr>
        <w:trPr/>
        <w:tc>
          <w:tcPr>
            <w:tcW w:w="5000" w:type="dxa"/>
            <w:gridSpan w:val="1"/>
          </w:tcPr>
          <w:p>
            <w:pPr/>
            <w:r>
              <w:rPr/>
              <w:t xml:space="preserve">Cumulative disbursement as of Jul 31, 2024:</w:t>
            </w:r>
          </w:p>
        </w:tc>
        <w:tc>
          <w:tcPr>
            <w:tcW w:w="5000" w:type="dxa"/>
            <w:vAlign w:val="center"/>
            <w:gridSpan w:val="1"/>
          </w:tcPr>
          <w:p>
            <w:pPr>
              <w:jc w:val="right"/>
            </w:pPr>
            <w:r>
              <w:rPr/>
              <w:t xml:space="preserve">8,527,139</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195,000</w:t>
            </w:r>
          </w:p>
        </w:tc>
      </w:tr>
      <w:tr>
        <w:trPr/>
        <w:tc>
          <w:tcPr>
            <w:tcW w:w="5000" w:type="dxa"/>
            <w:gridSpan w:val="1"/>
          </w:tcPr>
          <w:p>
            <w:pPr/>
            <w:r>
              <w:rPr/>
              <w:t xml:space="preserve">GEF Grant Amount</w:t>
            </w:r>
          </w:p>
        </w:tc>
        <w:tc>
          <w:tcPr>
            <w:tcW w:w="5000" w:type="dxa"/>
            <w:vAlign w:val="center"/>
            <w:gridSpan w:val="1"/>
          </w:tcPr>
          <w:p>
            <w:pPr>
              <w:jc w:val="right"/>
            </w:pPr>
            <w:r>
              <w:rPr/>
              <w:t xml:space="preserve">9,000,000</w:t>
            </w:r>
          </w:p>
        </w:tc>
      </w:tr>
      <w:tr>
        <w:trPr/>
        <w:tc>
          <w:tcPr>
            <w:tcW w:w="5000" w:type="dxa"/>
            <w:gridSpan w:val="1"/>
          </w:tcPr>
          <w:p>
            <w:pPr/>
            <w:r>
              <w:rPr/>
              <w:t xml:space="preserve">Co-financing</w:t>
            </w:r>
          </w:p>
        </w:tc>
        <w:tc>
          <w:tcPr>
            <w:tcW w:w="5000" w:type="dxa"/>
            <w:vAlign w:val="center"/>
            <w:gridSpan w:val="1"/>
          </w:tcPr>
          <w:p>
            <w:pPr>
              <w:jc w:val="right"/>
            </w:pPr>
            <w:r>
              <w:rPr/>
              <w:t xml:space="preserve">50,050,000</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84 months</w:t>
            </w:r>
          </w:p>
        </w:tc>
      </w:tr>
      <w:tr>
        <w:trPr/>
        <w:tc>
          <w:tcPr>
            <w:tcW w:w="5000" w:type="dxa"/>
            <w:gridSpan w:val="1"/>
          </w:tcPr>
          <w:p>
            <w:pPr/>
            <w:r>
              <w:rPr/>
              <w:t xml:space="preserve">PIF Approval Date</w:t>
            </w:r>
          </w:p>
        </w:tc>
        <w:tc>
          <w:tcPr>
            <w:tcW w:w="5000" w:type="dxa"/>
            <w:vAlign w:val="center"/>
            <w:gridSpan w:val="1"/>
          </w:tcPr>
          <w:p>
            <w:pPr>
              <w:jc w:val="right"/>
            </w:pPr>
            <w:r>
              <w:rPr/>
              <w:t xml:space="preserve">Jun 1, 2015</w:t>
            </w:r>
          </w:p>
        </w:tc>
      </w:tr>
      <w:tr>
        <w:trPr/>
        <w:tc>
          <w:tcPr>
            <w:tcW w:w="5000" w:type="dxa"/>
            <w:gridSpan w:val="1"/>
          </w:tcPr>
          <w:p>
            <w:pPr/>
            <w:r>
              <w:rPr/>
              <w:t xml:space="preserve">CEO Endorsement Date</w:t>
            </w:r>
          </w:p>
        </w:tc>
        <w:tc>
          <w:tcPr>
            <w:tcW w:w="5000" w:type="dxa"/>
            <w:vAlign w:val="center"/>
            <w:gridSpan w:val="1"/>
          </w:tcPr>
          <w:p>
            <w:pPr>
              <w:jc w:val="right"/>
            </w:pPr>
            <w:r>
              <w:rPr/>
              <w:t xml:space="preserve">Jun 9, 2017</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Dec 22, 2017</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Apr 25, 2018</w:t>
            </w:r>
          </w:p>
        </w:tc>
      </w:tr>
      <w:tr>
        <w:trPr/>
        <w:tc>
          <w:tcPr>
            <w:tcW w:w="5000" w:type="dxa"/>
            <w:gridSpan w:val="1"/>
          </w:tcPr>
          <w:p>
            <w:pPr/>
            <w:r>
              <w:rPr/>
              <w:t xml:space="preserve">First Disbursement Date</w:t>
            </w:r>
          </w:p>
        </w:tc>
        <w:tc>
          <w:tcPr>
            <w:tcW w:w="5000" w:type="dxa"/>
            <w:vAlign w:val="center"/>
            <w:gridSpan w:val="1"/>
          </w:tcPr>
          <w:p>
            <w:pPr>
              <w:jc w:val="right"/>
            </w:pPr>
            <w:r>
              <w:rPr/>
              <w:t xml:space="preserve">Jan 2, 2018</w:t>
            </w:r>
          </w:p>
        </w:tc>
      </w:tr>
      <w:tr>
        <w:trPr/>
        <w:tc>
          <w:tcPr>
            <w:tcW w:w="5000" w:type="dxa"/>
            <w:gridSpan w:val="1"/>
          </w:tcPr>
          <w:p>
            <w:pPr/>
            <w:r>
              <w:rPr/>
              <w:t xml:space="preserve">Expected Date of Mid-term Review</w:t>
            </w:r>
          </w:p>
        </w:tc>
        <w:tc>
          <w:tcPr>
            <w:tcW w:w="5000" w:type="dxa"/>
            <w:vAlign w:val="center"/>
            <w:gridSpan w:val="1"/>
          </w:tcPr>
          <w:p>
            <w:pPr>
              <w:jc w:val="right"/>
            </w:pPr>
            <w:r>
              <w:rPr/>
              <w:t xml:space="preserve">Jun 22, 2021</w:t>
            </w:r>
          </w:p>
        </w:tc>
      </w:tr>
      <w:tr>
        <w:trPr/>
        <w:tc>
          <w:tcPr>
            <w:tcW w:w="5000" w:type="dxa"/>
            <w:gridSpan w:val="1"/>
          </w:tcPr>
          <w:p>
            <w:pPr/>
            <w:r>
              <w:rPr/>
              <w:t xml:space="preserve">Actual Date of Mid-term Review</w:t>
            </w:r>
          </w:p>
        </w:tc>
        <w:tc>
          <w:tcPr>
            <w:tcW w:w="5000" w:type="dxa"/>
            <w:vAlign w:val="center"/>
            <w:gridSpan w:val="1"/>
          </w:tcPr>
          <w:p>
            <w:pPr>
              <w:jc w:val="right"/>
            </w:pPr>
            <w:r>
              <w:rPr/>
              <w:t xml:space="preserve">Jul 15, 2021</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Sep 22, 2024</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Dec 22, 2024</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2023 to 1 July 2024)</w:t>
            </w:r>
          </w:p>
        </w:tc>
      </w:tr>
      <w:tr>
        <w:trPr/>
        <w:tc>
          <w:tcPr>
            <w:tcW w:w="10000" w:type="dxa"/>
            <w:gridSpan w:val="1"/>
          </w:tcPr>
          <w:p>
            <w:pPr/>
            <w:r>
              <w:rPr/>
              <w:t xml:space="preserve">2024-04-26</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As a CO Programme Officer, I have responsibility to assure KALFOR project is implemented in accordance with UNDP's National Implementation Modality - with Country Office Support Services (NIM-COSS). I have been working closely with the Implementing Partner (Ministry of Environment and Forestry (MoEF)), UNDP CO Senior Management, RTA/RPA to monitor the project implementation at national level and sub-national levels. I provide oversight and quality assurance on the performance of project implementation achieving its targets, outputs, and outcomes, financial delivery, and other relevant guidance in accordance with UNDP's POPP.</w:t>
            </w:r>
          </w:p>
          <w:p>
            <w:pPr/>
            <w:r>
              <w:rPr/>
              <w:t xml:space="preserve"/>
            </w:r>
          </w:p>
          <w:p>
            <w:pPr/>
            <w:r>
              <w:rPr/>
              <w:t xml:space="preserve">Although I have been working with various Director Generals (Echelon 1) and Directors (Echelon 2) in charge for the KALFOR project implementation, I have been observing that the project has been keeping its performance in accordance with the agreed objective, outputs and outcomes without obstacles. The project has been implemented as planned. I observe the project that was started on 22 December 2017 (expected to operationally close its implementation on 22 December 2024) has been in line with the National priorities, UN Convention on Biological Diversity, UNDP Strategic Plan, UNDP CPD 2016-2020 and 2021-2025, and UNPDF 2016-2020 and UNSDCF 2021-2025. In 2024 (the last year of implementation), I facilitate the development of Exit Strategy in coordination with the Implementing Partner, Project Management Unit and assure the project to go through the Terminal Evaluation.</w:t>
            </w:r>
          </w:p>
          <w:p>
            <w:pPr/>
            <w:r>
              <w:rPr/>
              <w:t xml:space="preserve"/>
            </w:r>
          </w:p>
          <w:p>
            <w:pPr/>
            <w:r>
              <w:rPr/>
              <w:t xml:space="preserve">The remaining budget is less than 5%. I ensure the project to spend it for the documentation of lessons-learned and best practices that should be shared to other stakeholders and public. To officially close its operations, I have ensured the project to conduct final Project Board Meeting in October 2024.</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include specific measures to manage the project's implementation performance.</w:t>
            </w:r>
          </w:p>
        </w:tc>
      </w:tr>
      <w:tr>
        <w:trPr/>
        <w:tc>
          <w:tcPr>
            <w:tcW w:w="10000" w:type="dxa"/>
            <w:gridSpan w:val="1"/>
          </w:tcPr>
          <w:p>
            <w:pPr/>
            <w:r>
              <w:rPr/>
              <w:t xml:space="preserve">As RTA and with the RPA, I provide regular oversight and monitor progress of the project’s financial delivery, safeguards, risk management and performance on gender as per the GEN2 rating. I also ensure the key project milestones and dates are well prepared for by the CO and the project team through regular calls with them. This is the last PIR of the project with closure coming up at the end of the year and the TE deadline of September 2024. The UNDP CO prepared ToRs for the TE well in advance following my advice on the timeline, completed recruitment and initiated the assessment with the TE consultants. The TE is currently ongoing and expected to be finalized in a timely manner.</w:t>
            </w:r>
          </w:p>
          <w:p>
            <w:pPr/>
            <w:r>
              <w:rPr/>
              <w:t xml:space="preserve"/>
            </w:r>
          </w:p>
          <w:p>
            <w:pPr/>
            <w:r>
              <w:rPr/>
              <w:t xml:space="preserve">The discussion on an exit and sustainability strategy was started with the CO and project team last year and it has already been developed for the project and operationalized with roles and responsibilities of government agencies outlined and agreed with them to ensure continuation of project interventions in the long-term. The project’s lessons are valuable and I have guided the project team to strengthen capturing of best practices, sharing of lessons, developing knowledge products and communication pieces, which they have done well as noted by the various publications and other products produced which are mentioned in this PIR. Throughout project implementation we have discussed the importance of the project’s focus on mainstreaming gender and the project has exceeded its targets here as noted in the PIR. The project is very well managed with an efficient PM and with regular oversight by UNDP CO and I have encouraged them to also share their implementation approach, familiarity with GEF processes and expectations of project milestones with new GEF-7 and GEF-8 project teams in UNDP Indonesia through exchange between project teams facilitated by CO.</w:t>
            </w:r>
          </w:p>
          <w:p>
            <w:pPr/>
            <w:r>
              <w:rPr/>
              <w:t xml:space="preserve"/>
            </w:r>
          </w:p>
          <w:p>
            <w:pPr/>
            <w:r>
              <w:rPr/>
              <w:t xml:space="preserve">The RPA and I address any challenges that come up in discussion with the CO and project team. We also make diary entries in PIMS+ and upload key materials in the PIMS+ library to fully capture project status and issues. I also liaise closely with the Safeguards Technical Advisor in BBPS for the project and provide guidance on any risk management and safeguards issues collaboratively. The CO and project team are well aware of the necessary actions to finalize the TE milestone and for project financial and operational closure. The RPA and I will continue to monitor the TE and the remaining financial delivery of the project to resolve any challenges that may come up. Overall, the project has delivered transformational results on the ground for the forestry sector in Indonesia and its management approach is a best-practice that should be replicated.</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enter the dates of Project Board meetings during the reporting period (1 July 2023 to 30 June 2024)</w:t>
            </w:r>
          </w:p>
        </w:tc>
      </w:tr>
      <w:tr>
        <w:trPr/>
        <w:tc>
          <w:tcPr>
            <w:tcW w:w="10000" w:type="dxa"/>
            <w:gridSpan w:val="1"/>
          </w:tcPr>
          <w:p>
            <w:pPr/>
            <w:r>
              <w:rPr/>
              <w:t xml:space="preserve">2024-04-26</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2024 Development Objective Progress Rating</w:t>
            </w:r>
          </w:p>
        </w:tc>
        <w:tc>
          <w:tcPr>
            <w:tcW w:w="5000" w:type="dxa"/>
            <w:gridSpan w:val="1"/>
          </w:tcPr>
          <w:p>
            <w:pPr/>
            <w:r>
              <w:rPr>
                <w:b w:val="1"/>
                <w:bCs w:val="1"/>
              </w:rPr>
              <w:t xml:space="preserve">2024 Implementation Progress Rating</w:t>
            </w:r>
          </w:p>
        </w:tc>
      </w:tr>
      <w:tr>
        <w:trPr/>
        <w:tc>
          <w:tcPr>
            <w:tcW w:w="5000" w:type="dxa"/>
            <w:gridSpan w:val="1"/>
          </w:tcPr>
          <w:p>
            <w:pPr/>
            <w:r>
              <w:rPr>
                <w:b w:val="1"/>
                <w:bCs w:val="1"/>
              </w:rPr>
              <w:t xml:space="preserve">UNDP BPPS Technical Advisor</w:t>
            </w:r>
          </w:p>
        </w:tc>
        <w:tc>
          <w:tcPr>
            <w:tcW w:w="5000" w:type="dxa"/>
            <w:gridSpan w:val="1"/>
          </w:tcPr>
          <w:p>
            <w:pPr/>
            <w:r>
              <w:rPr/>
              <w:t xml:space="preserve">Highly Satisfactory</w:t>
            </w:r>
          </w:p>
        </w:tc>
        <w:tc>
          <w:tcPr>
            <w:tcW w:w="5000" w:type="dxa"/>
            <w:gridSpan w:val="1"/>
          </w:tcPr>
          <w:p>
            <w:pPr/>
            <w:r>
              <w:rPr/>
              <w:t xml:space="preserve">Highly 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Highly Satisfactory</w:t>
            </w:r>
          </w:p>
        </w:tc>
        <w:tc>
          <w:tcPr>
            <w:tcW w:w="5000" w:type="dxa"/>
            <w:gridSpan w:val="1"/>
          </w:tcPr>
          <w:p>
            <w:pPr/>
            <w:r>
              <w:rPr/>
              <w:t xml:space="preserve">Highly 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2024 Overall Assessment</w:t>
            </w:r>
          </w:p>
        </w:tc>
      </w:tr>
      <w:tr>
        <w:trPr/>
        <w:tc>
          <w:tcPr>
            <w:tcW w:w="5000" w:type="dxa"/>
            <w:gridSpan w:val="1"/>
          </w:tcPr>
          <w:p>
            <w:pPr/>
            <w:r>
              <w:rPr>
                <w:b w:val="1"/>
                <w:bCs w:val="1"/>
              </w:rPr>
              <w:t xml:space="preserve">UNDP BPPS Technical Advisor</w:t>
            </w:r>
          </w:p>
        </w:tc>
        <w:tc>
          <w:tcPr>
            <w:tcW w:w="10000" w:type="dxa"/>
            <w:gridSpan w:val="1"/>
          </w:tcPr>
          <w:p>
            <w:pPr/>
            <w:r>
              <w:rPr/>
              <w:t xml:space="preserve">Progress towards development objective:</w:t>
            </w:r>
          </w:p>
          <w:p>
            <w:pPr/>
            <w:r>
              <w:rPr/>
              <w:t xml:space="preserve"/>
            </w:r>
          </w:p>
          <w:p>
            <w:pPr/>
            <w:r>
              <w:rPr/>
              <w:t xml:space="preserve">My rating for progress towards development objectives is Highly Satisfactory which is consistent with the rating given by CO. The project has met all its end-of-project targets and in several cases it has far exceeded them. Where targets were already achieved in previous PIRs, the project has continued to build capacities of provincial governments and other stakeholders to improve recognition and management of APL forests bringing a significant 670,480 Ha of forests in East, West and Central Kalimantan under better legal protection and regulatory frameworks, and generating benefits for the livelihoods of 8,561 people. A total of 14 regional and provincial level regulations, including at the village level, have been developed in the 3 provinces improving protection of High Conservation Value (HCV) areas that lie outside of officially designated forests and would otherwise be under threat from unplanned land use and deforestation. The regulations guide sustainable land management, including for the private sector in terms of plantation practices and for businesses. They provide the framework for administration, management and participation for the management of APL forests. A notable achievement is the set up of 8 forums at the provincial and district level that have 390 active members from the government, academia, communities, NGOs and private companies to foster sharing of lessons and encourage dialogue resulting in more buy-in and a more collaborative approach for the management of APL forests in the long-term. The engagement of key stakeholders, such as the Ministry of National Development Planning (BAPPENAS), the Provincial Planning and Development Agencies (BAPPEDA) and various local governments, ensured that biodiversity conservation became an integral part of provincial and district planning processes. On the whole, the incorporation of biodiversity objectives into policy frameworks has helped to strengthen governance and fostered a more coordinated approach to forest conservation in Indonesia.</w:t>
            </w:r>
          </w:p>
          <w:p>
            <w:pPr/>
            <w:r>
              <w:rPr/>
              <w:t xml:space="preserve"/>
            </w:r>
          </w:p>
          <w:p>
            <w:pPr/>
            <w:r>
              <w:rPr/>
              <w:t xml:space="preserve">Outcome 1 aims to mainstream forest ecosystem services and biodiversity into national and provincial policies and decision-making processes for forest area planning and management at the national and provincial levels. One of the aims is to improve policies and regulations by enabling integration of biodiversity and better land use governance. The project has achieved this through 48 national, provincial and village level policy changes surpassing the target of 6, which reflects the strong government support created leading to the legislative frameworks necessary to be in place to protect biodiversity and APL forests. A key achievement was the development of the Governor Decisions in Central and West Kalimantan, alongside the formulation and implementation of various national laws and presidential instructions aimed at enhancing sustainable forest management. Regulations such as the Provincial Regulation of West Kalimantan No. 6/2018 on Sustainable Land-Based Business Management and subsequent Governor Regulations ensured robust mechanisms for conservation area determination, protection management, community participation, and the imposition of administrative sanctions. In addition, with regard to enhancing protection for HCV forests by reclassifying them as permanent forests or under enforceable regulations, the project has established regulations and supported their implementation protecting a total of 570,649 Ha of HCV in APL forest areas across the 3 provinces which is more than the target of 250,000 ha. As the indicators were achieved in previous reporting periods, the project continued to support implementation of the regulations and policies through providing experts to develop specific management plans, gaps in baselines and forestry data.</w:t>
            </w:r>
          </w:p>
          <w:p>
            <w:pPr/>
            <w:r>
              <w:rPr/>
              <w:t xml:space="preserve"/>
            </w:r>
          </w:p>
          <w:p>
            <w:pPr/>
            <w:r>
              <w:rPr/>
              <w:t xml:space="preserve">Outcome 2 focuses on development and demonstration of strategies for integrating forest area planning, management and conservation with estate crop spatial planning and management across four districts of Kalimantan. In terms of demonstration landscapes resulting in CO2 emissions avoided, the project has facilitated several district level regulations that strengthen the protection of APL forests resulting in a total of 123.1 million tons of CO2e emissions avoided which is much more than the 24.16 million tons end-of-project target. In terms of improving institutional capacities across the four districts of Sintang, Ketapang, Kotawaringin Barat and Kutai Timur, as noted in last years PIR, 9 Forest Management Units have been established and the project has continued to support their capacity improvement such as for fire management, detection and response times. The FMUs played a crucial role in protecting forests classified as APL. This year, the project also facilitated various studies and training programs to enhance skills of the FMUs for forest fire prevention, detection, and response, as well as GIS and drone usage training for monitoring and management. These efforts resulted in the establishment of 347,920 hectares of forest area as buffer zones and the implementation of multiple district-level forest safeguarding plans, promoting sustainable forest management and community engagement in conservation across Kalimantan.</w:t>
            </w:r>
          </w:p>
          <w:p>
            <w:pPr/>
            <w:r>
              <w:rPr/>
              <w:t xml:space="preserve"/>
            </w:r>
          </w:p>
          <w:p>
            <w:pPr/>
            <w:r>
              <w:rPr/>
              <w:t xml:space="preserve">Under Outcome Indicator 2.4, the project received the approval and endorsement of forest safeguarding plans by key stakeholders. One of the major accomplishments was the establishment of 347,920 ha of forest area in Non-State Forests as buffer zones for State Forests. This was facilitated through the development of district-level work plans and roadmaps. To avoid forest fragmentation and maintain connectivity between protected/conservation forests, a comprehensive study on forest protection was conducted in Kutai Timur. Furthermore, the project supported studies on the value chain analysis and market assessment of non-timber forest products. Preparation of watershed plans, disaster management strategies, forest fire modules, and biodiversity assessments in Kutai Timur District were also key achievements, demonstrating the project's comprehensive approach to sustainable forest management and protection.</w:t>
            </w:r>
          </w:p>
          <w:p>
            <w:pPr/>
            <w:r>
              <w:rPr/>
              <w:t xml:space="preserve"/>
            </w:r>
          </w:p>
          <w:p>
            <w:pPr/>
            <w:r>
              <w:rPr/>
              <w:t xml:space="preserve">In addition to the 32 policy and regulatory changes reported in previous years towards improving management of APL forests and biodiversity, this year two more district Regent Decisions were developed by bringing together multi stakeholders. This year another 55,752 ha of APL forests were given legal protection through the establishment of 26 different Regent Decisions enabled in the districts. As a result, a total of 142,732 ha (41%) of APL forests have been given better protection exceeding the target of 25%.</w:t>
            </w:r>
          </w:p>
          <w:p>
            <w:pPr/>
            <w:r>
              <w:rPr/>
              <w:t xml:space="preserve"/>
            </w:r>
          </w:p>
          <w:p>
            <w:pPr/>
            <w:r>
              <w:rPr/>
              <w:t xml:space="preserve">In terms of Outcome 3, which is about testing and demonstration of innovative incentive mechanisms in the landscapes to reduce deforestation and fragmentation associated with the estate crops sector, 9 fiscal mechanisms and policies have been developed. Key achievements include facilitating multi-stakeholder discussions and expert consultations that led to several critical policy developments. Notably, the Governor Decision of Central Kalimantan No. 40/2023 allocated $ 1.9 million USD for Ecological Fiscal Transfers, and the Governor Decision of East Kalimantan No. 100.3.3.1/K.825/2023 allocated $127,000 USD to seven villages for land-based GHG beneficiaries. Four incentive mechanism models were implemented, including regulations in East and Central Kalimantan and Kotawaringin Barat, involving substantial budget allocations. The project also secured an MoU with the private sector in Sintang to develop local enterprises and businesses based on traditional practices and NTFPs. The project also continued to strengthen the fiscal policies developed through supporting multistakeholder consultations to ensure longevity as the project moves towards closure.</w:t>
            </w:r>
          </w:p>
          <w:p>
            <w:pPr/>
            <w:r>
              <w:rPr/>
              <w:t xml:space="preserve"/>
            </w:r>
          </w:p>
          <w:p>
            <w:pPr/>
            <w:r>
              <w:rPr/>
              <w:t xml:space="preserve">Outcome 4 on “Increased knowledge and understanding of the multiple factors underlying successful implementation of reduced deforestation, green growth strategies for Indonesia’s estate crops sector”, the project has achieved its targets of raising awareness as demonstrated by the results of the UNDP scorecard measuring improvements in capacities. The project has especially been very good in capturing lessons, developing knowledge and communications products and sharing them in the last 2.5 years as it got to an advanced stage. For instance, a PANORAMA solution was published this year along with a photo story on Kelulut Honey Production in Kotawaringin Barat. The project facilitated numerous activities such as technical guidance for wildlife protection and the ASEAN Youth Sustainability Camp. It also organized youth and gender environmental awareness competitions, including the KalFor Youth Innovation Awards and SIGAP Awards Exhibition by the President. The project’s engagement with government agencies like the Directorate General of PKTL and various local partners resulted in comprehensive communication strategies, gender mainstreaming efforts, and community-based law enforcement.</w:t>
            </w:r>
          </w:p>
          <w:p>
            <w:pPr/>
            <w:r>
              <w:rPr/>
              <w:t xml:space="preserve"/>
            </w:r>
          </w:p>
          <w:p>
            <w:pPr/>
            <w:r>
              <w:rPr/>
              <w:t xml:space="preserve">As detailed under indicator 4.2, best-practices and lessons were presented at a number of international forums, meetings and conferences such as the UNFCCC COP 25, 26, and 27, the World Planning Schools Congress, GEF-8 Asia Pacific Regional Workshop and other events. The project organized impactful outreach opportunities like the "Young Generation Talks about Forests and the Environment" talk show to engage and educate youth.</w:t>
            </w:r>
          </w:p>
          <w:p>
            <w:pPr/>
            <w:r>
              <w:rPr/>
              <w:t xml:space="preserve"/>
            </w:r>
          </w:p>
          <w:p>
            <w:pPr/>
            <w:r>
              <w:rPr/>
              <w:t xml:space="preserve">I have reviewed the evidence uploaded to this PIR and confirm that it accurately reflects the achievements of the project.</w:t>
            </w:r>
          </w:p>
          <w:p>
            <w:pPr/>
            <w:r>
              <w:rPr/>
              <w:t xml:space="preserve"/>
            </w:r>
          </w:p>
          <w:p>
            <w:pPr/>
            <w:r>
              <w:rPr/>
              <w:t xml:space="preserve">Implementation Progress:</w:t>
            </w:r>
          </w:p>
          <w:p>
            <w:pPr/>
            <w:r>
              <w:rPr/>
              <w:t xml:space="preserve"/>
            </w:r>
          </w:p>
          <w:p>
            <w:pPr/>
            <w:r>
              <w:rPr/>
              <w:t xml:space="preserve">My rating is ‘Highly Satisfactory’ which coincides with CO rating and reflects the efficient and effective management of this project by the project team from the beginning. The PMU is proactive and has ensured consistent financial delivery with no serious impediments or challenges. The project milestones have been prepared for in advance and my guidance on TORs, consultants, ASL, etc have been taken into account and this is reflected in the fact that the milestones have been completed in a timely manner. The CO provides close and regular oversight and raises any issues with me. The PB meetings were held consistently throughout the implementation of this project, including one in this reporting period which monitored project progress on its indicators, addressed any challenges and supported adaptive management measures. All the project targets were not only met but many have been exceeded. A final PB meeting will take place on 3 October 2024.</w:t>
            </w:r>
          </w:p>
          <w:p>
            <w:pPr/>
            <w:r>
              <w:rPr/>
              <w:t xml:space="preserve"/>
            </w:r>
          </w:p>
          <w:p>
            <w:pPr/>
            <w:r>
              <w:rPr/>
              <w:t xml:space="preserve">This is the last PIR for the project and cumulative financial delivery as of 30th June is 94.22%. By the time of closure the project should complete remaining disbursements. Co-financing materialized from the government is $61,153,085 which is more than the co-financing committed at CEO endorsement. From UNDP the co-finance materialized is $26,224. The evidence has been uploaded to the PIR.</w:t>
            </w:r>
          </w:p>
          <w:p>
            <w:pPr/>
            <w:r>
              <w:rPr/>
              <w:t xml:space="preserve"/>
            </w:r>
          </w:p>
          <w:p>
            <w:pPr/>
            <w:r>
              <w:rPr/>
              <w:t xml:space="preserve">The PM of the project is very efficient and has utilized an adaptive approach to prevent any delays when, for instance, elections have taken place in the country in 2024. This project team already started preparing for the elections as noted in last year’s PIR. Strong buy-in from the government has been created with the Ministry of Planning (BAPPENAS), Planning agencies in the provinces, Governors of the provinces and at the Regency level within the districts. The multistakeholder forums set up and Forest Management Units have active participation, including from the private sector, and reflect the effectiveness of the project team in bringing stakeholders together. The CO and project team are managing the TE to ensure it is completed in a timely manner. An exit strategy for the project was also prepared and operationalized ensuring sustainability of project interventions with leadership from the Provincial Development and Planning Agencies. The way the project has been implemented and managed is a good example for GEF projects and for UNDP Indonesia Country Office. The project has shared these lessons with other ongoing project teams such as with the GEF-7 Food Systems, Land Use and Restoration (FOLUR) project and GEF-7 Investing in the Komodo Dragon and other globally threatened species in Flores project to support them in their implementation strategies.</w:t>
            </w:r>
          </w:p>
          <w:p>
            <w:pPr/>
            <w:r>
              <w:rPr/>
              <w:t xml:space="preserve"/>
            </w:r>
          </w:p>
          <w:p>
            <w:pPr/>
            <w:r>
              <w:rPr/>
              <w:t xml:space="preserve">In terms of risk management and the SESP, I have included my analysis in the risk management section. The project has a ‘moderate’ SESP rating. The SESP was reviewed and updated with guidance from the SES team in UNDP and the details of this were noted in the last two PIRs. Risks are closely monitored and no new ones emerged this year. The project follows all the UNDP SES compliance requirements and conducted the Free and Prior Informed Consent (FPIC) process for 3 new villages where activities were started this year. The CO and project team raise any unexpected risks that emerge with me proactively and no new risks are expected to emerge in the remaining time till closure.</w:t>
            </w:r>
          </w:p>
          <w:p>
            <w:pPr/>
            <w:r>
              <w:rPr/>
              <w:t xml:space="preserve"/>
            </w:r>
          </w:p>
          <w:p>
            <w:pPr/>
            <w:r>
              <w:rPr/>
              <w:t xml:space="preserve">The project has a gender responsive approach and one of its model achievements is the strong involvement of women as champions, as well as of youth in the protection of APL forests and biodiversity. Several innovative strategies have been employed such as Innovation Challenges and Talk Shows for youth participation. A Gender Parade was held in East Kalimantan this year to continue to build awareness about the importance of the role of women. Businesses and small sustainable enterprises based on traditional customs and NTFPs have been supported delivering alternative livelihoods for communities, especially women, and supporting the preservation of cultural practices of the communities living in the landscapes. A notable impact is that the database of the Directorate General Forest Planning and Environmental Governance now provides gender segregated data. The Gender Action Plan and Strategy has been followed by the project and detailed analysis has been done at the site level as uploaded in the gender section of this PIR to inform activities. In the last two years, the project has also raised the issue about inclusion of disabled people in the activities of BAPPENAS, Finance Ministry, Environment Ministry and provincial and district governments to provide equitable economic benefits. The gender mainstreaming approach of the project is a good model to follow for other projects.</w:t>
            </w:r>
          </w:p>
          <w:p>
            <w:pPr/>
            <w:r>
              <w:rPr/>
              <w:t xml:space="preserve"/>
            </w:r>
          </w:p>
          <w:p>
            <w:pPr/>
            <w:r>
              <w:rPr/>
              <w:t xml:space="preserve">The project has also developed several good knowledge management and communications products that have been widely disseminated. A communications consultant was hired as recommended in last year's PIR and a PANORAMA solution was developed for the project and successfully published on the PANORAMA website. The project has developed a number of guidance documents and participated in international conferences and meetings to share lessons as detailed in this PIR .</w:t>
            </w:r>
          </w:p>
          <w:p>
            <w:pPr/>
            <w:r>
              <w:rPr/>
              <w:t xml:space="preserve"/>
            </w:r>
          </w:p>
          <w:p>
            <w:pPr/>
            <w:r>
              <w:rPr/>
              <w:t xml:space="preserve">Recommendations:</w:t>
            </w:r>
          </w:p>
          <w:p>
            <w:pPr/>
            <w:r>
              <w:rPr/>
              <w:t xml:space="preserve"/>
            </w:r>
          </w:p>
          <w:p>
            <w:pPr/>
            <w:r>
              <w:rPr/>
              <w:t xml:space="preserve">1. Ensure the remaining financial disbursements are made and no delays take place.</w:t>
            </w:r>
          </w:p>
          <w:p>
            <w:pPr/>
            <w:r>
              <w:rPr/>
              <w:t xml:space="preserve">2. Finalize the TE and complete the Management Response as per the timeline.</w:t>
            </w:r>
          </w:p>
          <w:p>
            <w:pPr/>
            <w:r>
              <w:rPr/>
              <w:t xml:space="preserve">3. Follow the operational and financial closure processes and complete the necessary procedures as per the deadlines.</w:t>
            </w:r>
          </w:p>
          <w:p>
            <w:pPr/>
            <w:r>
              <w:rPr/>
              <w:t xml:space="preserve"/>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As of 2017, KALFOR project has been maintaining its performance at highly satisfactory level in coordination with relevant parties. The project has successfully mainstreamed the importance of forest ecosystem services and biodiversity conservation in the areas that have been allocated for other functions (APL) using the perspective of forest resources inventory and spatial planning considerations. The considerations that have been effectively welcomed by various partners.</w:t>
            </w:r>
          </w:p>
          <w:p>
            <w:pPr/>
            <w:r>
              <w:rPr/>
              <w:t xml:space="preserve"/>
            </w:r>
          </w:p>
          <w:p>
            <w:pPr/>
            <w:r>
              <w:rPr/>
              <w:t xml:space="preserve">The project has exceeded many of the targets as the result of strong commitments by the Implementing Partner (Ministry of Environment and Forestry), Implementing Agency (UNDP), the Governor of East, Central and West Kalimantan, Regencies of Sintang, Ketapang, Kotawaringin Barat and Kutai Timur, experts (universities), NGOs/CSOs, and other relevant partners at national and sub-national levels. It has facilitated the Government of Indonesia to reclassify APL into permanent forest areas, remove convertible forest category, develop and establish sustainable management solutions of natural resources, ecosystem services, chemicals and waste, and ensure the social welfare of the communities living around the protected areas (people have access to gain benefits from the sustainable forest resources management).</w:t>
            </w:r>
          </w:p>
          <w:p>
            <w:pPr/>
            <w:r>
              <w:rPr/>
              <w:t xml:space="preserve"/>
            </w:r>
          </w:p>
          <w:p>
            <w:pPr/>
            <w:r>
              <w:rPr/>
              <w:t xml:space="preserve">The project has achieved all indicators. It has mostly exceeded the expected targets as set by the agreed project document (Prodoc). The major achievement is on its performance to facilitate 3 (three) Kalimantan provinces to protect 670,480 hectares (consisting of 570,649 hectares that have High Conservation Value Forest (HCVF) areas) above the 500,000 hectares set by the prodoc. It contributes to Global Environmental Benefits (GEB) in accordance with UNCBD and UNCCD and supports the achievements of Indonesia on FOLU Net Sink (UNFCCC).</w:t>
            </w:r>
          </w:p>
          <w:p>
            <w:pPr/>
            <w:r>
              <w:rPr/>
              <w:t xml:space="preserve"/>
            </w:r>
          </w:p>
          <w:p>
            <w:pPr/>
            <w:r>
              <w:rPr/>
              <w:t xml:space="preserve">The project's achievements have been made by encouraging relevant parties to work on (1) the development and establishment of various regulations (including policies, circulation letters and instructions) released by Minister of Environment and Forestry, Governor of East Kalimantan, Central Kalimantan and West Kalimantan, and Regents (Head of Districts) of Kutai Timur, Kotawaringin Barat, Ketapang and Sintang, and even Head of Villages; (2) the development and management of 8 (eight) partnership forums in provincial and district levels that have been participated by representatives of various organizations and associations. It has been participated by 390 organization members; (3) the development and establishment of Memorandum of Understanding with private sector that pays attention to the importance of HCVF area protection; (4) the establishment of innovative incentive mechanisms to connect local communities with non-timber forest products (NTFP) and higher value-added of resources (herbal medicine, modified woven fabrics, wild honey products, Meliponini (Kelulut) honey products, etc.); (5) avoidance of 71,514,917 metric tons of CO2 emissions (calculated using Ministry of Environment and Forestry methodology in reporting its information to UNFCCC).</w:t>
            </w:r>
          </w:p>
          <w:p>
            <w:pPr/>
            <w:r>
              <w:rPr/>
              <w:t xml:space="preserve"/>
            </w:r>
          </w:p>
          <w:p>
            <w:pPr/>
            <w:r>
              <w:rPr/>
              <w:t xml:space="preserve">The project encouraged women in various activities to support their livelihood. It invited the women and young generation (Youth) in APL areas management, and enabled them to consider NTFPs, such as eco-tourism, forest-based food production (jackfruit, bitter gourd (pare), bananas) for souvenirs, etc. It provided relevant training and capacity building on how to work on horticulture, fisheries, herbs for medicines, etc. It strengthened decision makers and local communities to understand the importance of gender equality and social inclusion (GESI) in the process of development and decision. It helped local women groups to access training on various market demands. It strengthened the younger generation (Youth) and people with disabilities to understand the importance of forests, their biodiversity, their link to environment and climate change, etc. through active involvement.</w:t>
            </w:r>
          </w:p>
          <w:p>
            <w:pPr/>
            <w:r>
              <w:rPr/>
              <w:t xml:space="preserve"/>
            </w:r>
          </w:p>
          <w:p>
            <w:pPr/>
            <w:r>
              <w:rPr/>
              <w:t xml:space="preserve">As part of the global communities, these women have been promoting the importance of protected high conservation values (flora and fauna) and contributing to Global Environment Benefits. In the long-term, these women will be able to gain raw materials day-to-day for NTFPs (food (wild honey), medicine (herbs), perfume (gaharu or Aquilaria malaccensis), etc.) through raw materials available in the protected APL.</w:t>
            </w:r>
          </w:p>
          <w:p>
            <w:pPr/>
            <w:r>
              <w:rPr/>
              <w:t xml:space="preserve"/>
            </w:r>
          </w:p>
          <w:p>
            <w:pPr/>
            <w:r>
              <w:rPr/>
              <w:t xml:space="preserve">Considering its importance, the project worked closely with the young generation (Youth) to promote forest protection and invite them to KALFOR Youth Innovation (KYI) 2020 and 2023. Through these activities, the project received hundreds of proposal ideas showing high interest of the Youth in natural resources’ conservation. In 2024, it encouraged the champions to speak up in the World Water Forum (May 18-25, 2024) held in Bali. As the impact, the Youth will be the active agent of forest and biodiversity conservation agent development process in the future. Within their communities, the young generation will be the decision makers for the development process beyond the project intervention.</w:t>
            </w:r>
          </w:p>
          <w:p>
            <w:pPr/>
            <w:r>
              <w:rPr/>
              <w:t xml:space="preserve"/>
            </w:r>
          </w:p>
          <w:p>
            <w:pPr/>
            <w:r>
              <w:rPr/>
              <w:t xml:space="preserve">To ensure biodiversity conservation that should be supported by all, the project worked with the Directorate General of Directorate General of Environmental and Forestry Law Enforcement and relevant government agencies (such as the East Java Biodiversity Management Unit and Water Police, and the Quarantine Agency) to strengthen the capacity of relevant stakeholders, including women, the Youth and Elderly Group (Perwita Wana Kencana). Meanwhile, to promote the link of forest and climate change, the project worked with the Directorate General of Climate Change to promote and register several communities to Proklim program. To anticipate natural disaster that may occur, the project facilitated the communities to have periodic discussion with relevant parties.</w:t>
            </w:r>
          </w:p>
          <w:p>
            <w:pPr/>
            <w:r>
              <w:rPr/>
              <w:t xml:space="preserve"/>
            </w:r>
          </w:p>
          <w:p>
            <w:pPr/>
            <w:r>
              <w:rPr/>
              <w:t xml:space="preserve">The project has managed to address potential risks and challenges in the past. However, it is expected that relevant parties – after the project implementation – will keep on paying attention to potential challenges that may occur in the future. These are related to (i) government’s organizational restructuring (the current Ministry of Environment and Forestry may be potentially unmerged into two ministries (Ministry of Environment and Ministry of Forestry), for instance). It potentially happens due to the involvement of new president in the end of 2024; (ii) tour of duty applied by the government (current Director General or Directors could potentially move to other posts in another ministry, for instance, (iii) political situation after 2024.</w:t>
            </w:r>
          </w:p>
          <w:p>
            <w:pPr/>
            <w:r>
              <w:rPr/>
              <w:t xml:space="preserve"/>
            </w:r>
          </w:p>
          <w:p>
            <w:pPr/>
            <w:r>
              <w:rPr/>
              <w:t xml:space="preserve">To ensure its sustainability, the project has prepared an Exit Strategy. The success of current project implementation requires collaborative actions, commitment from all relevant parties to pay attention to the balance of environmental and investment factors. The project has encouraged collaboration of local government agencies with NGOs/private sector partners to ensure follow up activities in the future. It gradually withdraws its resources while ensuring the sustainability of project goals and key activities after the project ends by the end of 2024.</w:t>
            </w:r>
          </w:p>
          <w:p>
            <w:pPr/>
            <w:r>
              <w:rPr/>
              <w:t xml:space="preserve"/>
            </w:r>
          </w:p>
          <w:p>
            <w:pPr/>
            <w:r>
              <w:rPr/>
              <w:t xml:space="preserve">Till the end of 2024, it is important for the project to strategically use remaining period of implementation to work with relevant partners to document best practices and lessons-learned on how to maintain forested areas in the forests that have been allocated for agriculture (commodity) activities, promote the significant high conservation values strategically, and establish these areas for conservation areas as urban park forests (community forest or TAHURA), ecotourism parks, etc. It helps people maintain the ecosystem and, at the same time, economic and social development.</w:t>
            </w:r>
          </w:p>
          <w:p>
            <w:pPr/>
            <w:r>
              <w:rPr/>
              <w:t xml:space="preserve"/>
            </w:r>
          </w:p>
          <w:p>
            <w:pPr/>
            <w:r>
              <w:rPr/>
              <w:t xml:space="preserve">UNDP has prepared Terminal Evaluation (TE) exercise by inviting an international consultant and a national consultant. UNDP is expected to complete the TE in Q3 2024.</w:t>
            </w:r>
          </w:p>
          <w:p>
            <w:pPr/>
            <w:r>
              <w:rPr/>
              <w:t xml:space="preserve"/>
            </w:r>
          </w:p>
          <w:p>
            <w:pPr/>
            <w:r>
              <w:rPr/>
              <w:t xml:space="preserve">By June 2024, in total, the project has delivered more than 93% of its total approved budget (or above US$8.4 Million). The Implementing Partner and relevant partners must complete its activities by the end 2024. In term of financial delivery, it is considered on track.</w:t>
            </w:r>
          </w:p>
          <w:p>
            <w:pPr/>
            <w:r>
              <w:rPr/>
              <w:t xml:space="preserve"/>
            </w:r>
          </w:p>
          <w:p>
            <w:pPr/>
            <w:r>
              <w:rPr/>
              <w:t xml:space="preserve">Considering its importance to strengthen knowledge sharing, the project has been using available platforms and networks, i.e. website (https://kalimantanforest.org/); Twitter (https://twitter.com/kalimantanfore2); Youtube (https://www.youtube.com/@kalforproject3552); Instagram (https://www.instagram.com/kalforproject/?hl=en), newspapers and magazines (including electronic and hardcopies), podcasts, Climate Change Corner, UNFCCC COPs, relevant Focus Group Discussions, etc. For KALFOR, these public platforms have been considered to exchange information and lessons-learned between individuals (working for the project, other projects and even public), government agencies, and organizations. The transfer of knowledge will enhance these individuals, government agencies and organizations to motivate exchanges of diverse perspectives and ideas (innovation), preserve institutional memory, establish knowledge-sharing culture, streamline the process of knowledge-sharing, motivate potential partnerships, and encourage project personnel and community (NGOs/CBOs) engagement.</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As the KalFor Project comes to an end in 2024, it is the Project Manager’s view that nearly all the expectations of the project have either been achieved and, in several cases, the end of project targets exceeded. Therefore, the project is expected to exit on a good note. The following discussion summarizes the status of each expected outcome by the time of reporting:</w:t>
            </w:r>
          </w:p>
          <w:p>
            <w:pPr/>
            <w:r>
              <w:rPr/>
              <w:t xml:space="preserve"/>
            </w:r>
          </w:p>
          <w:p>
            <w:pPr/>
            <w:r>
              <w:rPr/>
              <w:t xml:space="preserve">OBJECTIVE</w:t>
            </w:r>
          </w:p>
          <w:p>
            <w:pPr/>
            <w:r>
              <w:rPr/>
              <w:t xml:space="preserve">All indicators under the Project Objective have been achieved and exceeded.</w:t>
            </w:r>
          </w:p>
          <w:p>
            <w:pPr/>
            <w:r>
              <w:rPr/>
              <w:t xml:space="preserve"/>
            </w:r>
          </w:p>
          <w:p>
            <w:pPr/>
            <w:r>
              <w:rPr/>
              <w:t xml:space="preserve">The total area of APL forest under enhanced protection in the 3 provinces is 670,480 ha, surpassing the end-target of 500,000 ha by nearly 34 percent. This number has come from the new calculation arising from new signed regulations.</w:t>
            </w:r>
          </w:p>
          <w:p>
            <w:pPr/>
            <w:r>
              <w:rPr/>
              <w:t xml:space="preserve"/>
            </w:r>
          </w:p>
          <w:p>
            <w:pPr/>
            <w:r>
              <w:rPr/>
              <w:t xml:space="preserve">KalFor continuously working with 8 provincial and district-level multi-stakeholder forums involving over 390 member organizations engaged in several activities of mutual interest, including facilitating regulation development.   This signifies that the end-target has been exceeded over ten-fold. The organizations include government institutions, private sector entities, academic institutions, NGOs, CSOs, and community groups.</w:t>
            </w:r>
          </w:p>
          <w:p>
            <w:pPr/>
            <w:r>
              <w:rPr/>
              <w:t xml:space="preserve"/>
            </w:r>
          </w:p>
          <w:p>
            <w:pPr/>
            <w:r>
              <w:rPr/>
              <w:t xml:space="preserve">The project reach a total of 15,297 beneficiaries through activities carried out by the KalFor project, thereby exceeding the end-target of 2,000 beneficiaries. The increase in the number of beneficiaries arose from the project’s support to 12 additional villages in Kutai Timur and Ketapang, through Low Value Grant Agreement working with Yayasan Bikal Karya Lestari, Yayasan Kapital Natural Indonesia, Yayasan Teraju and Yayasan Orang Utan Indonesia.</w:t>
            </w:r>
          </w:p>
          <w:p>
            <w:pPr/>
            <w:r>
              <w:rPr/>
              <w:t xml:space="preserve"/>
            </w:r>
          </w:p>
          <w:p>
            <w:pPr/>
            <w:r>
              <w:rPr/>
              <w:t xml:space="preserve">OUTCOME 1</w:t>
            </w:r>
          </w:p>
          <w:p>
            <w:pPr/>
            <w:r>
              <w:rPr/>
              <w:t xml:space="preserve">All the indicators for this Outcome were achieved and exceeded.</w:t>
            </w:r>
          </w:p>
          <w:p>
            <w:pPr/>
            <w:r>
              <w:rPr/>
              <w:t xml:space="preserve"/>
            </w:r>
          </w:p>
          <w:p>
            <w:pPr/>
            <w:r>
              <w:rPr/>
              <w:t xml:space="preserve">The total APL forest area under regulatory protection reached 570,649 ha - an achievement more than double the end-project target of 250,000 ha. Moreover, by June 2024, the KalFor Project provided expert and multi-stakeholder support that led to the development of 14 regulations at the national and provincial levels. This achievement is more than twice the end-target of at least 6 new regulations developed.</w:t>
            </w:r>
          </w:p>
          <w:p>
            <w:pPr/>
            <w:r>
              <w:rPr/>
              <w:t xml:space="preserve"/>
            </w:r>
          </w:p>
          <w:p>
            <w:pPr/>
            <w:r>
              <w:rPr/>
              <w:t xml:space="preserve">Among the issues these regulations address is the protection of APL forest at the national level, HCVF protection in estate companies in West Kalimantan, and HCV criteria and forest management in East Kalimantan. The regulations reflect the commitment from high-level decision-makers and various stakeholders to the need for regulations on APL forests to minimize their potential for conversion. The project facilitated capacity building through awareness-raising and dissemination of relevant information and by inviting influential persons from national level to the province and district level.</w:t>
            </w:r>
          </w:p>
          <w:p>
            <w:pPr/>
            <w:r>
              <w:rPr/>
              <w:t xml:space="preserve"/>
            </w:r>
          </w:p>
          <w:p>
            <w:pPr/>
            <w:r>
              <w:rPr/>
              <w:t xml:space="preserve">The project also supported the SIGAP (Sistem Informasi Geografi Kehutanan / Forestry of Geography Information System) &amp; dashboard development in order to promote transparency, participation, responsibility, accountability, responsiveness, justice, deliberation, legal certainty and coordination. This is was a valuable support activity as data services by the IPSDH Directorate are very important in supporting the development of the environmental and forestry sectors. For example, satellite imagery data is often used in the development of environmental and forestry policies, such as in monitoring forest and land fires. In addition, the project facilitated the MoU signing between IPSDH-KLHK and East Kalimantan Province, Kutai Timur and Sintang districts to strengthen automatic sharing of data and information through SIGAP.</w:t>
            </w:r>
          </w:p>
          <w:p>
            <w:pPr/>
            <w:r>
              <w:rPr/>
              <w:t xml:space="preserve"/>
            </w:r>
          </w:p>
          <w:p>
            <w:pPr/>
            <w:r>
              <w:rPr/>
              <w:t xml:space="preserve">OUTCOME 2</w:t>
            </w:r>
          </w:p>
          <w:p>
            <w:pPr/>
            <w:r>
              <w:rPr/>
              <w:t xml:space="preserve">All the indicators under this outcome have either been fully achieved or exceeded.</w:t>
            </w:r>
          </w:p>
          <w:p>
            <w:pPr/>
            <w:r>
              <w:rPr/>
              <w:t xml:space="preserve"/>
            </w:r>
          </w:p>
          <w:p>
            <w:pPr/>
            <w:r>
              <w:rPr/>
              <w:t xml:space="preserve">At district level, potential 71,514,917 metric tons CO2-eq have been avoided from 197,152 ha. Also, the level of protection of a total of 142,302 ha (51,774,748 mtons CO2-eq) has been strengthened through regulations. A further total of 54,420 ha of potential deforestation has been avoided arising from the Head of Sintang District Regulation No. 112/2021 on Rimba Gupung to protect APL in non-permit area – this regulation sets out the procedure for communities to request a permit from the Head of District to utilize the forest ecoculture area or customary forest.</w:t>
            </w:r>
          </w:p>
          <w:p>
            <w:pPr/>
            <w:r>
              <w:rPr/>
              <w:t xml:space="preserve"/>
            </w:r>
          </w:p>
          <w:p>
            <w:pPr/>
            <w:r>
              <w:rPr/>
              <w:t xml:space="preserve">From a total 56,277 ha of all-potential areas offered by the Regent for Rimba/Gupung, 15 villages have received permits from the Regent of Sintang to protect the forest in APL with a total area of 1,427 ha.</w:t>
            </w:r>
          </w:p>
          <w:p>
            <w:pPr/>
            <w:r>
              <w:rPr/>
              <w:t xml:space="preserve"/>
            </w:r>
          </w:p>
          <w:p>
            <w:pPr/>
            <w:r>
              <w:rPr/>
              <w:t xml:space="preserve">In terms of HCVF, currently there are 131,899 ha of HCVF at the district level that are protected from regulations facilitated by the KalFor project.</w:t>
            </w:r>
          </w:p>
          <w:p>
            <w:pPr/>
            <w:r>
              <w:rPr/>
              <w:t xml:space="preserve"/>
            </w:r>
          </w:p>
          <w:p>
            <w:pPr/>
            <w:r>
              <w:rPr/>
              <w:t xml:space="preserve">KalFor continues to provide experts and facilitate multi-stakeholder discussion that has resulted in the development of 24 regulations at district level – this is a surplus of 16 regulations compared to the End of Project target only 8 regulations.</w:t>
            </w:r>
          </w:p>
          <w:p>
            <w:pPr/>
            <w:r>
              <w:rPr/>
              <w:t xml:space="preserve"/>
            </w:r>
          </w:p>
          <w:p>
            <w:pPr/>
            <w:r>
              <w:rPr/>
              <w:t xml:space="preserve">All the 9 KPHs in the 4 districts have been involved in different forms of capacity building and project activities. However,  indicators measuring the progress on KPH capacity strengthening indicates that some improvement is required. In addition, KalFor has facilitated gender and youth as a champion of improved capacity in 23 villages. The composition of training and meeting the minimum required is 30% women.</w:t>
            </w:r>
          </w:p>
          <w:p>
            <w:pPr/>
            <w:r>
              <w:rPr/>
              <w:t xml:space="preserve"/>
            </w:r>
          </w:p>
          <w:p>
            <w:pPr/>
            <w:r>
              <w:rPr/>
              <w:t xml:space="preserve">During the reporting period, the KalFor Project facilitated 23 villages to fullfill the requirement of PROKLIM villages/Environment Programme and conducting forest fire management training.</w:t>
            </w:r>
          </w:p>
          <w:p>
            <w:pPr/>
            <w:r>
              <w:rPr/>
              <w:t xml:space="preserve">In Ketapang and Sintang, KalFor facilitated the Kajian Lingkungan Hidup Strategis (KLHS)/Environment Strategy Assessment and, beside the FGD held, all materials that has been produced by KalFor were utilized to develop the KLHS (Kajian Lingkungan Hidup Strategis - Strategic Environmental Assessment) document. In Kotawaringin Barat KalFor facilitated the profile biodiversity document, in Kutai Timur the study on forested forest in Non-State Forest Area was developed.</w:t>
            </w:r>
          </w:p>
          <w:p>
            <w:pPr/>
            <w:r>
              <w:rPr/>
              <w:t xml:space="preserve"/>
            </w:r>
          </w:p>
          <w:p>
            <w:pPr/>
            <w:r>
              <w:rPr/>
              <w:t xml:space="preserve"/>
            </w:r>
          </w:p>
          <w:p>
            <w:pPr/>
            <w:r>
              <w:rPr/>
              <w:t xml:space="preserve">OUTCOME 3</w:t>
            </w:r>
          </w:p>
          <w:p>
            <w:pPr/>
            <w:r>
              <w:rPr/>
              <w:t xml:space="preserve">The progress of this Outcome is On Track to achieve the end of project targets for the relevant indicators.</w:t>
            </w:r>
          </w:p>
          <w:p>
            <w:pPr/>
            <w:r>
              <w:rPr/>
              <w:t xml:space="preserve"/>
            </w:r>
          </w:p>
          <w:p>
            <w:pPr/>
            <w:r>
              <w:rPr/>
              <w:t xml:space="preserve">At least 4 examples of incentive payments in use have been documented. During the reporting period, in Central Kalimantan Province, there was one incentive mechanism regulation issued, i.e: Governor Decision of Central Kalimantan No. 40/2023 on Implementation of Strategic Activities funded by profit sharing funds.  The total funding for the Ecological Fiscal Transfer is Rp.28 Million (approx. USD 1.9 Million). In East Kalimantan Province there is also one the Governor Decision of East Kalimantan No. 100.3.3.1/K.825/2023 on Land-based GHG Beneficiaries. Based on the forest cover indicator 7 Villages that have been facilitated by KalFor have received the total amount of Rp.1.9 Billion (approx. USD 127,000).</w:t>
            </w:r>
          </w:p>
          <w:p>
            <w:pPr/>
            <w:r>
              <w:rPr/>
              <w:t xml:space="preserve"/>
            </w:r>
          </w:p>
          <w:p>
            <w:pPr/>
            <w:r>
              <w:rPr/>
              <w:t xml:space="preserve">By the end the reporting period, the total amount of incentives funding generated with the support of the KalFor Project was USD 5.3 Million the enactment of the following regulatory instruments:</w:t>
            </w:r>
          </w:p>
          <w:p>
            <w:pPr/>
            <w:r>
              <w:rPr/>
              <w:t xml:space="preserve">1.	Governor Decision of Central Kalimantan No. 40/2023 on Implementation of Strategic Activities funded by profit sharing funds. (Rp.28 billion, approx. USD 1.9 million)</w:t>
            </w:r>
          </w:p>
          <w:p>
            <w:pPr/>
            <w:r>
              <w:rPr/>
              <w:t xml:space="preserve">2.	Governor Decision of East Kalimantan No. 100.3.3.1/K.825/2023 on Land-based GHG. (Rp.1.9 billion, approx. USD 127,000).</w:t>
            </w:r>
          </w:p>
          <w:p>
            <w:pPr/>
            <w:r>
              <w:rPr/>
              <w:t xml:space="preserve">3.	Regent Regulation of Kotawaringin Barat No. 19/2021 on Implementation of Environment and Forestry-Based District Budget Allocations. The budget amount allocated for the incentives in 2023 and 2024 amounted to Rp.13.2 billion (approx. USD 880,000).</w:t>
            </w:r>
          </w:p>
          <w:p>
            <w:pPr/>
            <w:r>
              <w:rPr/>
              <w:t xml:space="preserve">4.	Government Regulation of Indonesia PP No. 37/2023 on Management of Ecological Fiscal Transfers to Regions (Estimated allocation for Kalimantan amounts to Rp. 38 Billion (approx. USD 2.4 million)</w:t>
            </w:r>
          </w:p>
          <w:p>
            <w:pPr/>
            <w:r>
              <w:rPr/>
              <w:t xml:space="preserve"/>
            </w:r>
          </w:p>
          <w:p>
            <w:pPr/>
            <w:r>
              <w:rPr/>
              <w:t xml:space="preserve">By the end of the reporting period, the end of project target of 50,000 ha in avoided deforestation was exceed by nearly three-fold. The achievement for this indicator is 285% with the 142,311 ha of forested area protected from deforestation with support from the KalFor Project through the enactment of 26 regulations since project inception.</w:t>
            </w:r>
          </w:p>
          <w:p>
            <w:pPr/>
            <w:r>
              <w:rPr/>
              <w:t xml:space="preserve"/>
            </w:r>
          </w:p>
          <w:p>
            <w:pPr/>
            <w:r>
              <w:rPr/>
              <w:t xml:space="preserve">The project also registered an increase the landscape health index. Progress in the achievement of this indicator is based on the Environmental Index which was used as a proxy for the Landscape Biodiversity Health Index which is not available from the Government of Indonesia.</w:t>
            </w:r>
          </w:p>
          <w:p>
            <w:pPr/>
            <w:r>
              <w:rPr/>
              <w:t xml:space="preserve"/>
            </w:r>
          </w:p>
          <w:p>
            <w:pPr/>
            <w:r>
              <w:rPr/>
              <w:t xml:space="preserve">OUTCOME 4</w:t>
            </w:r>
          </w:p>
          <w:p>
            <w:pPr/>
            <w:r>
              <w:rPr/>
              <w:t xml:space="preserve">The achievement for the progress of this Outcome 129% as there are 9 known instances of lessons from the KalFor project which have been applied in other initiatives. By the end of the reporting period, the following examples from the KalFor Project are known to have been applied:</w:t>
            </w:r>
          </w:p>
          <w:p>
            <w:pPr/>
            <w:r>
              <w:rPr/>
              <w:t xml:space="preserve"/>
            </w:r>
          </w:p>
          <w:p>
            <w:pPr/>
            <w:r>
              <w:rPr/>
              <w:t xml:space="preserve">1.	The Ketapang District Government used the KalFor study “Economic Valuation and Environmental Services Report of Ketapang District” and included it in the KLHS (Strategic Environmental Assessment) document for the Ketapang District RPJMD (Regional Medium-Term Development Plan).</w:t>
            </w:r>
          </w:p>
          <w:p>
            <w:pPr/>
            <w:r>
              <w:rPr/>
              <w:t xml:space="preserve">2.	The Sintang District Government has embraced Collaborative Governance by issuing Regent Regulation No. 41 of 2024. This regulation follows the creation of the Joint Secretariat for the Sintang District Multi-Stakeholder Forum, which was established by KalFor in 2019 to facilitate synergy between development partners and the local government.</w:t>
            </w:r>
          </w:p>
          <w:p>
            <w:pPr/>
            <w:r>
              <w:rPr/>
              <w:t xml:space="preserve">3.	Sharing of best practices and lessons learnt from the EFT development/ PAKLIK in Kotawaringin Barat by KalFor’s Focal Point at the event conduct by USAID “Assistance for Proposing Ecological-Based Financial Assistance through 2024 DBH DR Incentive Programme in SAMPIT District”</w:t>
            </w:r>
          </w:p>
          <w:p>
            <w:pPr/>
            <w:r>
              <w:rPr/>
              <w:t xml:space="preserve">4.	KalFor’s MoU for Data Sharing in Kutai Timur, East Kalimantan - Sintang &amp; Berau adopted the MoU model from SIGAP.</w:t>
            </w:r>
          </w:p>
          <w:p>
            <w:pPr/>
            <w:r>
              <w:rPr/>
              <w:t xml:space="preserve">5.	Solidaridad Network Indonesia Foundation facilitates villages in Sintang obtained a total of 15 Regent Decree of Rimba/Gupung following the KalFor approach.</w:t>
            </w:r>
          </w:p>
          <w:p>
            <w:pPr/>
            <w:r>
              <w:rPr/>
              <w:t xml:space="preserve">6.	USAID SEGAR supported villages in Sintang in acquiring SK Rimba/Gupung – permits for the local communities to utilize forests.</w:t>
            </w:r>
          </w:p>
          <w:p>
            <w:pPr/>
            <w:r>
              <w:rPr/>
              <w:t xml:space="preserve">7.	The INFLORES Project uses KalFor as a model for Project Management.</w:t>
            </w:r>
          </w:p>
          <w:p>
            <w:pPr/>
            <w:r>
              <w:rPr/>
              <w:t xml:space="preserve">8.	FOLUR utilizes KalFor’s best practices for developing effective land allocation and forest area management for the potential development of plantation crops in Kalimantan - Stakeholder Engagement</w:t>
            </w:r>
          </w:p>
          <w:p>
            <w:pPr/>
            <w:r>
              <w:rPr/>
              <w:t xml:space="preserve">9.	FOLUR also utilizes KalFor’s best practives for integrated landscape management.</w:t>
            </w:r>
          </w:p>
          <w:p>
            <w:pPr/>
            <w:r>
              <w:rPr/>
              <w:t xml:space="preserve"/>
            </w:r>
          </w:p>
          <w:p>
            <w:pPr/>
            <w:r>
              <w:rPr/>
              <w:t xml:space="preserve">Up to the present reporting period, the KalFor Project has developed a large number of communications products and held various events to share its experiences (e.g., 11 policy briefs, 11 videos, national webinar, Youth Innovation and many others)</w:t>
            </w:r>
          </w:p>
          <w:p>
            <w:pPr/>
            <w:r>
              <w:rPr/>
              <w:t xml:space="preserve"/>
            </w:r>
          </w:p>
          <w:p>
            <w:pPr/>
            <w:r>
              <w:rPr/>
              <w:t xml:space="preserve">KalFor has carried out an exit strategy assessment for the sustainability of activities carried out by KalFor after the end of the KalFor project. The strategy is summarized below:</w:t>
            </w:r>
          </w:p>
          <w:p>
            <w:pPr/>
            <w:r>
              <w:rPr/>
              <w:t xml:space="preserve">1.	To enhance incentives for village communities, due to the limited income potential from Non-Timber Forest Products thus far. Non-Forest Timber Products are a potential source of community income that is not yet competitive. Therefore, enhancing marketing management of non-timber forest products should be prioritized.</w:t>
            </w:r>
          </w:p>
          <w:p>
            <w:pPr/>
            <w:r>
              <w:rPr/>
              <w:t xml:space="preserve">Responsible by:</w:t>
            </w:r>
          </w:p>
          <w:p>
            <w:pPr/>
            <w:r>
              <w:rPr/>
              <w:t xml:space="preserve">•	West Kalimantan of Environment and Forestry Services</w:t>
            </w:r>
          </w:p>
          <w:p>
            <w:pPr/>
            <w:r>
              <w:rPr/>
              <w:t xml:space="preserve">•	District of Environment Services</w:t>
            </w:r>
          </w:p>
          <w:p>
            <w:pPr/>
            <w:r>
              <w:rPr/>
              <w:t xml:space="preserve">•	District of Community Village Empowerment Services</w:t>
            </w:r>
          </w:p>
          <w:p>
            <w:pPr/>
            <w:r>
              <w:rPr/>
              <w:t xml:space="preserve">2.	To replicate the management of the incentive mechanism from Province to District in Central Kalimantan in the form of Ecological Fiscal Transfer to other provinces in Kalimantan.</w:t>
            </w:r>
          </w:p>
          <w:p>
            <w:pPr/>
            <w:r>
              <w:rPr/>
              <w:t xml:space="preserve">Responsible by:</w:t>
            </w:r>
          </w:p>
          <w:p>
            <w:pPr/>
            <w:r>
              <w:rPr/>
              <w:t xml:space="preserve">•	Finance and Asset Office Services (DKAD)</w:t>
            </w:r>
          </w:p>
          <w:p>
            <w:pPr/>
            <w:r>
              <w:rPr/>
              <w:t xml:space="preserve">•	Regional Development and Planning Agency</w:t>
            </w:r>
          </w:p>
          <w:p>
            <w:pPr/>
            <w:r>
              <w:rPr/>
              <w:t xml:space="preserve">3.	To utilize data of forested areas in APL for adjustments to the Spatial Planning / Regional Spatial Planning and Detailed Planning/RDTR documents, as protected areas have high conservation value and ecosystem services. This adjustment requires meaningful involvement from the stakeholders so that they can be fully involved in its management and monitoring.</w:t>
            </w:r>
          </w:p>
          <w:p>
            <w:pPr/>
            <w:r>
              <w:rPr/>
              <w:t xml:space="preserve">Responsible by:</w:t>
            </w:r>
          </w:p>
          <w:p>
            <w:pPr/>
            <w:r>
              <w:rPr/>
              <w:t xml:space="preserve">•	Regional of Public Work and Public Housing Services</w:t>
            </w:r>
          </w:p>
          <w:p>
            <w:pPr/>
            <w:r>
              <w:rPr/>
              <w:t xml:space="preserve">•	West Kalimantan of Environment and Forestry Services</w:t>
            </w:r>
          </w:p>
          <w:p>
            <w:pPr/>
            <w:r>
              <w:rPr/>
              <w:t xml:space="preserve">•	Central and East Kalimantan of Forestry Services</w:t>
            </w:r>
          </w:p>
          <w:p>
            <w:pPr/>
            <w:r>
              <w:rPr/>
              <w:t xml:space="preserve">•	District Environment Services</w:t>
            </w:r>
          </w:p>
          <w:p>
            <w:pPr/>
            <w:r>
              <w:rPr/>
              <w:t xml:space="preserve">4.	To improve collaboration with NGO/Private Sector partners to create HCV verification standards for field teams, both from the community, local government, and companies in West Kalimantan, for example: the readiness of Yayasan Tropenbos to collaborate on follow-up activities including financing sharing.</w:t>
            </w:r>
          </w:p>
          <w:p>
            <w:pPr/>
            <w:r>
              <w:rPr/>
              <w:t xml:space="preserve">Responsible by:</w:t>
            </w:r>
          </w:p>
          <w:p>
            <w:pPr/>
            <w:r>
              <w:rPr/>
              <w:t xml:space="preserve">•	Sintang of Development and Planning Agency</w:t>
            </w:r>
          </w:p>
          <w:p>
            <w:pPr/>
            <w:r>
              <w:rPr/>
              <w:t xml:space="preserve">•	Joint Secretariat</w:t>
            </w:r>
          </w:p>
          <w:p>
            <w:pPr/>
            <w:r>
              <w:rPr/>
              <w:t xml:space="preserve">•	Tropenbos</w:t>
            </w:r>
          </w:p>
          <w:p>
            <w:pPr/>
            <w:r>
              <w:rPr/>
              <w:t xml:space="preserve">•	Private Sector/Plantation Company</w:t>
            </w:r>
          </w:p>
          <w:p>
            <w:pPr/>
            <w:r>
              <w:rPr/>
              <w:t xml:space="preserve">5.	To obtain funding opportunities for the next program that will be conducted in the future, those programs should integrate with the nomenclature of programs/activities determined by the Ministry of Home Affairs (under the Decree of the Minister of Home Affairs No. 100.1.15.5/1317 of 2023).</w:t>
            </w:r>
          </w:p>
          <w:p>
            <w:pPr/>
            <w:r>
              <w:rPr/>
              <w:t xml:space="preserve">Responsible by:</w:t>
            </w:r>
          </w:p>
          <w:p>
            <w:pPr/>
            <w:r>
              <w:rPr/>
              <w:t xml:space="preserve">•	Provincial of Development and Planning Agency</w:t>
            </w:r>
          </w:p>
          <w:p>
            <w:pPr/>
            <w:r>
              <w:rPr/>
              <w:t xml:space="preserve">•	Related agencies in district</w:t>
            </w:r>
          </w:p>
          <w:p>
            <w:pPr/>
            <w:r>
              <w:rPr/>
              <w:t xml:space="preserve">6.	To ensure the sustainability of the program to protect forested area in APL, all activities should be included in national, provincial, and district planning documents. This ensures continuity even amidst changes in leadership.</w:t>
            </w:r>
          </w:p>
          <w:p>
            <w:pPr/>
            <w:r>
              <w:rPr/>
              <w:t xml:space="preserve">Responsible by:</w:t>
            </w:r>
          </w:p>
          <w:p>
            <w:pPr/>
            <w:r>
              <w:rPr/>
              <w:t xml:space="preserve">•	Ministry of Environment and Forestry</w:t>
            </w:r>
          </w:p>
          <w:p>
            <w:pPr/>
            <w:r>
              <w:rPr/>
              <w:t xml:space="preserve">•	Regional Development and Planning Agency</w:t>
            </w:r>
          </w:p>
          <w:p>
            <w:pPr/>
            <w:r>
              <w:rPr/>
              <w:t xml:space="preserve">•	West Kalimantan of Environment and Forestry Services</w:t>
            </w:r>
          </w:p>
          <w:p>
            <w:pPr/>
            <w:r>
              <w:rPr/>
              <w:t xml:space="preserve">•	Central and East Kalimantan of Forestry Service</w:t>
            </w:r>
          </w:p>
          <w:p>
            <w:pPr/>
            <w:r>
              <w:rPr/>
              <w:t xml:space="preserve">•	District of Environment Services</w:t>
            </w:r>
          </w:p>
          <w:p>
            <w:pPr/>
            <w:r>
              <w:rPr/>
              <w:t xml:space="preserve">7.	To monitor the contribution of forested APL for FOLU NET SINK 2030 achievement, the spatial data of HCV in Estate Permit should be uploaded to SIGAP MoEF system.</w:t>
            </w:r>
          </w:p>
          <w:p>
            <w:pPr/>
            <w:r>
              <w:rPr/>
              <w:t xml:space="preserve">Responsible by:</w:t>
            </w:r>
          </w:p>
          <w:p>
            <w:pPr/>
            <w:r>
              <w:rPr/>
              <w:t xml:space="preserve">•	IPSDH Directorate of MoEF</w:t>
            </w:r>
          </w:p>
          <w:p>
            <w:pPr/>
            <w:r>
              <w:rPr/>
              <w:t xml:space="preserve">•	Sintang and Kutai Timur District Development and Planning Agency</w:t>
            </w:r>
          </w:p>
          <w:p>
            <w:pPr/>
            <w:r>
              <w:rPr/>
              <w:t xml:space="preserve">•	Sintang and Kutai Timur of Environment Services</w:t>
            </w:r>
          </w:p>
          <w:p>
            <w:pPr/>
            <w:r>
              <w:rPr/>
              <w:t xml:space="preserve">•	West Kalimantan of Environment and Forestry Services</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check the box for each category for which a minor amendment occurred during this reporting period (1 July 2023- 30 June 2024). </w:t>
      </w:r>
    </w:p>
    <w:p>
      <w:pPr/>
      <w:r>
        <w:rPr/>
        <w:t xml:space="preserve">For each category that is checked off, a text box will appear  Please provide a brief description of the change that occurred in the associated text box. You may attach supporting documentation, as appropriate, via the upload feature at the bottom of this section.</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t xml:space="preserve">The project revised its SESP in 2022 as reported in last years PIR. It is being reported again in this PIR because it was presented to the project board and finalized this year based on the 6 new risks that replaced the original 10 risks. The detailed changes on SESP are given in the risk management section and in the RTA's assessment. The latest documents developed are attached as evidence. The risks changed because of the situation in the field is different now than when the project developed. There is no significant impact to the project.</w:t>
            </w:r>
          </w:p>
          <w:p>
            <w:pPr/>
            <w:r>
              <w:rPr/>
              <w:t xml:space="preserve">In 2023, Yayasan Bikal (a NGO partner) conducted FPIC before they conducted activities in 3 new villages facilitated by KalFor. The evidence is attached. There is no GAP in FPIC implementation.</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p>
            <w:pPr/>
            <w:r>
              <w:rPr>
                <w:i w:val="1"/>
                <w:iCs w:val="1"/>
              </w:rPr>
              <w:t xml:space="preserve">(Uploaded files will be kept internal and not submitted to the GEF.)</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tcPr>
          <w:p>
            <w:pPr>
              <w:spacing w:before="0" w:after="0"/>
            </w:pPr>
            <w:r>
              <w:rPr/>
              <w:t xml:space="preserve">_English Version_ Final Report - KalFor Youth Innovation 2023.pdf</w:t>
            </w:r>
          </w:p>
          <w:p>
            <w:pPr>
              <w:spacing w:before="0" w:after="0"/>
            </w:pPr>
            <w:r>
              <w:rPr/>
              <w:t xml:space="preserve">Annex 7 Gender Integration_Activity Lists.pdf</w:t>
            </w:r>
          </w:p>
          <w:p>
            <w:pPr>
              <w:spacing w:before="0" w:after="0"/>
            </w:pPr>
            <w:r>
              <w:rPr/>
              <w:t xml:space="preserve">Gender Strategy and Action Plan for Kalfor Project.pdf</w:t>
            </w:r>
          </w:p>
          <w:p>
            <w:pPr>
              <w:spacing w:before="0" w:after="0"/>
            </w:pPr>
            <w:r>
              <w:rPr/>
              <w:t xml:space="preserve">KalFor Youth Innovation 2020.pdf</w:t>
            </w:r>
          </w:p>
          <w:p>
            <w:pPr>
              <w:spacing w:before="0" w:after="0"/>
            </w:pPr>
            <w:r>
              <w:rPr/>
              <w:t xml:space="preserve">Kalfor_Disability and Marginalized Local Community Inclusion Strategy, Action Plan and Recommendation.pdf</w:t>
            </w:r>
          </w:p>
          <w:p>
            <w:pPr>
              <w:spacing w:before="0" w:after="0"/>
            </w:pPr>
            <w:r>
              <w:rPr/>
              <w:t xml:space="preserve">Laporan hasil assessment gender.pdf</w:t>
            </w:r>
          </w:p>
          <w:p>
            <w:pPr>
              <w:spacing w:before="0" w:after="0"/>
            </w:pPr>
            <w:r>
              <w:rPr/>
              <w:t xml:space="preserve">Policy Brief Pengarusutamaan Gender dalam pengelolaan hutan di APL.pdf</w:t>
            </w:r>
          </w:p>
          <w:p>
            <w:pPr>
              <w:spacing w:before="0" w:after="0"/>
            </w:pPr>
            <w:r>
              <w:rPr/>
              <w:t xml:space="preserve">Review Gender Strategy.pdf</w:t>
            </w:r>
          </w:p>
          <w:p>
            <w:pP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KalFor project achieved several results from initiatives aimed at increasing gender equality and empowering women and youth, as follows:</w:t>
            </w:r>
          </w:p>
          <w:p>
            <w:pPr/>
            <w:r>
              <w:rPr/>
              <w:t xml:space="preserve">Women and youth were involved in APL forest preservation and management by means of enabling these interest groups to utilize the non-timber forest products (NTFPs). For example, Jurung Tiga Community Forest Management, Pasir Panjang Village enabled 23 women and 2 men to improve their welfare by engaging in ecotourism and in the production of various types of forest-based food items, such as jackfruit, bitter gourd (pare), and bananas, to be sold as souvenirs.</w:t>
            </w:r>
          </w:p>
          <w:p>
            <w:pPr/>
            <w:r>
              <w:rPr/>
              <w:t xml:space="preserve">In order to enhance sustainability, the KalFor project supported women and youth in 12 villages, through Low Value Grant Agreements, to develop their capacity in the protection of forested APL (non-stated forest area). As a result, 172 local champions (145 women, 27 men) including the youth received the training, including alternative means of improving livelihoods through engagement in economic activities such as horticulture, fishery, cultivating medicinal plants, developing ecotourism, utilizing NTFPs, etc. By involving women as local champions in forest protection, KalFor contributed to changing the traditional mindset that the work of women is limited to doing household chores.</w:t>
            </w:r>
          </w:p>
          <w:p>
            <w:pPr/>
            <w:r>
              <w:rPr/>
              <w:t xml:space="preserve">On a related topic, KalFor facilitated the young generation to show their achievements in contributing to environmental solutions through a podcast entitled: “Generasi Muda Bicara Hutan, Lingkungan dan Inovasi” (Young Generation talking about forest, environment, and innovation).</w:t>
            </w:r>
          </w:p>
          <w:p>
            <w:pPr/>
            <w:r>
              <w:rPr/>
              <w:t xml:space="preserve">The project also undertook several outreach initiatives that resulted in increasing awareness regarding gender equality and the empowerment of women, youth, and persons with disabilities. For instance, KalFor facilitated the awareness raising among officials at national, provincial and district governments on the potential for persons with disabilities to run their businesses on non-timber forest products (Coffee) and encouraged government (BAPPENAS, Ministry of Finance, internal institution in Ministry of Environment and Forestry, Forestry and Environment provincial and district government, BAPPEDA officials to involve the persons with disabilities in their activities. In addition, the project facilitated the East Kalimantan Province Gender Parade in order to raise awareness the importance of gender mainstreaming in all activities. This activity serves as a campaign to the community that in performing an activity, it doesn't have to be constrained by gender. The women much more confidence in economic activities to generate income.</w:t>
            </w:r>
          </w:p>
          <w:p>
            <w:pPr/>
            <w:r>
              <w:rPr/>
              <w:t xml:space="preserve">The KalFor Project also facilitated gender mainstreaming the knowledge management system of the Directorate General Forest Planning and Environmental Governance. As a result, the Directorate's portal (https://ipsdh.menlhk.go.id/) now provides data on gender segregated manners</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By design, the KalFor Project has been contributing to the enhanced protection of forests in Kalimantan through promulgation of legal instruments, as a sustainable approach to long-term protection of forest areas. Therefore, advancing gender equality and women’s empowerment has contributed to the project’s environmental outcome i.e. forest areas protection in 3 important ways:</w:t>
            </w:r>
          </w:p>
          <w:p>
            <w:pPr/>
            <w:r>
              <w:rPr/>
              <w:t xml:space="preserve">Firstly, during the consultations held to discuss the regulations, the KalFor Project made an effort to ensure the participation of both women and men, in a bid to have all voices heard. This was important because the value of forests is perceived differently between men and women. Therefore, the end result of the consultations was that all interests were considered in the finalization of the regulations, thereby enhancing the project’s environmental outcome of forest area protection.</w:t>
            </w:r>
          </w:p>
          <w:p>
            <w:pPr/>
            <w:r>
              <w:rPr/>
              <w:t xml:space="preserve">Moreover, pertaining to women’s empowerment, the participation of women in key relevant positions cannot be underestimated. For instance, the presence of the following women was instrumental in encourage others in the community to participate in the discussions of the regulations: Regent of Kotawaringin Barat; Head of Environmental Services of Kotawaringin Barat; Minister of Environment and Forestry Representative; National Project Director for KalFor Project; National Project Manager for KalFor Project; and 2 of the 3 Regional Facilitators of KalFor Project.</w:t>
            </w:r>
          </w:p>
          <w:p>
            <w:pPr/>
            <w:r>
              <w:rPr/>
              <w:t xml:space="preserve">Secondly,  the KalFor project supported the development of capacity in APL (non-state) forest protection among 160 local champions who included 151 women drawn from 12 villages. By ensuring gender equality and empowering women, the KalFor Project demonstrated that women could play a role in forest protection. In the process, the project contributed to altering the mindset that the role of women in society is confined to household chores. This is another example of how the project’s effort in promoting gender equality and women’s empowerment contributed to its environmental outcome i.e. forest protection.</w:t>
            </w:r>
          </w:p>
          <w:p>
            <w:pPr/>
            <w:r>
              <w:rPr/>
              <w:t xml:space="preserve">Thirdly, the project endeavoured to introduce the communities living around the forest areas to alternative means of livelihoods. This too had a gender equality and women’s empowerment consideration. For instance, the established Community Forest Management Units facilitated women to earn enhanced livelihoods through ecotourism and non-timber forest products for sale. This focus on women’s economic empowerment has contributed to an increased sense of forest area ownership among the women and coupled with training, has led to improved practices in forest management - a key environmental outcome of the project.</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tcPr>
          <w:p>
            <w:pPr/>
            <w:r>
              <w:rPr/>
              <w:t xml:space="preserve">The Risk Register has been updated and there are no risks flagged for the project in PIMS+. The project has a SESP rating of Moderate given at the time of project approval. The SESP was reviewed and updated as noted in last year's PIR and the risk rating did not change. The details of this update and further elaboration of specific risks was noted in the previous PIR. This year there were no new risks that emerged and I monitored this regularly with the CO, project team and the SES technical advisor for the project in the Nature Hub.</w:t>
            </w:r>
          </w:p>
          <w:p>
            <w:pPr/>
            <w:r>
              <w:rPr/>
              <w:t xml:space="preserve"/>
            </w:r>
          </w:p>
          <w:p>
            <w:pPr/>
            <w:r>
              <w:rPr/>
              <w:t xml:space="preserve">The project team proactively addressed safeguards issues. Work with 3 new villages was started this year and FPIC was conducted through a NGO to ensure appropriate consultations with communities took place before any activities were implemented.</w:t>
            </w:r>
          </w:p>
          <w:p>
            <w:pPr/>
            <w:r>
              <w:rPr/>
              <w:t xml:space="preserve"/>
            </w:r>
          </w:p>
          <w:p>
            <w:pPr/>
            <w:r>
              <w:rPr/>
              <w:t xml:space="preserve">The project’s financial delivery is 94% and it will  be important for the project team to ensure that the remaining disbursements are made without any delays. No new risks are expected to emerge in the time till closure of the project.</w:t>
            </w:r>
          </w:p>
          <w:p>
            <w:pPr/>
            <w:r>
              <w:rPr/>
              <w:t xml:space="preserve"/>
            </w:r>
          </w:p>
          <w:p>
            <w:pPr/>
            <w:r>
              <w:rPr/>
              <w:t xml:space="preserve">The TE is also ongoing at the time of this PIR and I will discuss the TE findings on the project’s performance on safeguards and risk management with the CO and project team for them to reflect on any specific recommendations in the Management Response. Overall and based on initial findings of the TE, the project is expected to be rated as 'Highly Satisfactory' and considered a model project in terms of its achievements, impacts on the ground and management approach. The last PB meeting will take place on 3 October 2024 and will discuss the TE results, final financial report, achievements report, handover of project and learnings for a new project that the government plans to submit building on the work under GEF-8. The TE is expected to be finalized in a timely manner and the CO and project team are fully aware of the financial and operational closure milestones that are coming up for the project and will prepare the necessary processes.</w:t>
            </w:r>
          </w:p>
        </w:tc>
      </w:tr>
    </w:tbl>
    <w:p>
      <w:pPr>
        <w:pStyle w:val="Heading2"/>
      </w:pPr>
      <w:bookmarkStart w:id="14" w:name="_Toc14"/>
      <w:r>
        <w:t>B) SES Implementation</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tcPr>
          <w:p>
            <w:pPr/>
            <w:r>
              <w:rPr/>
              <w:t xml:space="preserve">KalFor has added new stakeholders, including institutions like Perwita Wana Kencana, an organization comprised of elderly groups and retired officials from the Ministry of Environment and Forestry (MoEF) who actively participate in various environmental and forestry activities. Engaging with the elderly aligns with the Sustainable Development Goals (SDGs) principle of "leaving no one behind," ensuring inclusion of all groups. For example, in 2024, KalFor collaborated with Perwita Wana Kencana to plant trees at the University of International Islam Indonesia in Jakarta. The activities consists of 70% female and 30% male members</w:t>
            </w:r>
          </w:p>
          <w:p>
            <w:pPr/>
            <w:r>
              <w:rPr/>
              <w:t xml:space="preserve"/>
            </w:r>
          </w:p>
          <w:p>
            <w:pPr/>
            <w:r>
              <w:rPr/>
              <w:t xml:space="preserve">For the Forest Fire training, we have included new stakeholders, such as the UPT Law Enforcement and Disaster Management offices. These institutions are crucial to engage because the UPT Law Enforcement has the authority to enforce laws on communities and companies that violate regulations, while the Disaster Management office is responsible for handling situations if a forest fire occurs. Those institution became the resource on the training that was conducted August to September 2023 in Sintang District The activties consists of 4 female from 186 participants.</w:t>
            </w:r>
          </w:p>
          <w:p>
            <w:pPr/>
            <w:r>
              <w:rPr/>
              <w:t xml:space="preserve"/>
            </w:r>
          </w:p>
          <w:p>
            <w:pPr/>
            <w:r>
              <w:rPr/>
              <w:t xml:space="preserve">In the context of Proklim training, we have included stakeholders from the UPT Climate Change Control in Pontianak, as this institution has the authority and expertise in conducting Proklim training, so that KalFor introduce this institution to Environment Office in district level to next step will factilitated registration of Proklim village in other district. They were engaged as resource persons in June 2024. The participants in these activities were composed of 22% female and 78% male (79 participants).</w:t>
            </w:r>
          </w:p>
          <w:p>
            <w:pPr/>
            <w:r>
              <w:rPr/>
              <w:t xml:space="preserve"/>
            </w:r>
          </w:p>
          <w:p>
            <w:pPr/>
            <w:r>
              <w:rPr/>
              <w:t xml:space="preserve">In the context of Plant and Wildlife Protection and Community-Based Law Enforcement training, the East Java Biodiversity Management Unit, Water Police, and Quarantine Agency have been involved. These institutions have the authority and expertise to manage inter-island wildlife transfer and wildlife protection. They served as resource persons and provided locations for field practice sessions held in February 2024, with a total of 36 participants, consisting of 11% female and 89% male.</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Project developed the Knowledge Management System portal that contains all of the information, this portal is a system that collects data on activities and achievements carried out by the government and also projects related to the government, where the data can later be processed to serve as a basis for policy-making, such as gender involvement, disabilities, training, achievement, products, documentation, etc. the portal is publish publicly. The project also shared lessons learned and awareness raising through Social Media such as: Instagram, Youtube, Twitter, website, also dissemination like podcast, climate change corner, COP UNFCCC, Focus Group Discussion. We also promote the Ensaid Panjang Summary to participate in the Equator Prize and the Bangun Villages to participate in GEF Assembly Initiative 2023.</w:t>
            </w:r>
          </w:p>
          <w:p>
            <w:pPr/>
            <w:r>
              <w:rPr/>
              <w:t xml:space="preserve">KalFor published the Knowledge Management System’s book, which has been uploaded in the File Library.</w:t>
            </w:r>
          </w:p>
          <w:p>
            <w:pPr/>
            <w:r>
              <w:rPr/>
              <w:t xml:space="preserve">In the end of the project the KMS portal contain all documents as the result of KalFor's faciltitation - electronic library that could be accessed by public. The portal is under the MoEF server and domain therefore even the project is closed, all result still could be accessed.</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A.	Project Links and Social Media:</w:t>
            </w:r>
          </w:p>
          <w:p>
            <w:pPr/>
            <w:r>
              <w:rPr/>
              <w:t xml:space="preserve">Project&amp;#039;s website: https://kalimantanforest.org/</w:t>
            </w:r>
          </w:p>
          <w:p>
            <w:pPr/>
            <w:r>
              <w:rPr/>
              <w:t xml:space="preserve">Project page on the UNDP website: https://www.id.undp.org/content/indonesia/en/home/projects/hydrofluorocarbons-phase-out-management-plan--hpmp-11.html</w:t>
            </w:r>
          </w:p>
          <w:p>
            <w:pPr/>
            <w:r>
              <w:rPr/>
              <w:t xml:space="preserve">Twitter: https://twitter.com/kalimantanfore2</w:t>
            </w:r>
          </w:p>
          <w:p>
            <w:pPr/>
            <w:r>
              <w:rPr/>
              <w:t xml:space="preserve">YouTube : https://www.youtube.com/channel/UCADNs6YGu3FPgFM0vErXjDw/videos</w:t>
            </w:r>
          </w:p>
          <w:p>
            <w:pPr/>
            <w:r>
              <w:rPr/>
              <w:t xml:space="preserve">media coverage of the project: https://drive.google.com/drive/u/1/folders/1ZFTGwLDYyWUpnu9NNiVHxow0mEfiHdt8</w:t>
            </w:r>
          </w:p>
          <w:p>
            <w:pPr/>
            <w:r>
              <w:rPr/>
              <w:t xml:space="preserve">Youth Environment Awareness Competition by KalFor:  https://drive.google.com/drive/u/1/folders/1ZZFJZ6juu-Q8FEqVJBnjDVIE3uZYTzEL</w:t>
            </w:r>
          </w:p>
          <w:p>
            <w:pPr/>
            <w:r>
              <w:rPr/>
              <w:t xml:space="preserve"/>
            </w:r>
          </w:p>
          <w:p>
            <w:pPr/>
            <w:r>
              <w:rPr/>
              <w:t xml:space="preserve">Stories written by an outside source:</w:t>
            </w:r>
          </w:p>
          <w:p>
            <w:pPr/>
            <w:r>
              <w:rPr/>
              <w:t xml:space="preserve">Preserving the Ensaid Panjang Ikat Weaving</w:t>
            </w:r>
          </w:p>
          <w:p>
            <w:pPr/>
            <w:r>
              <w:rPr/>
              <w:t xml:space="preserve">https://www.youtube.com/watch?v=Gm_5kPhVf5o&amp;t</w:t>
            </w:r>
          </w:p>
          <w:p>
            <w:pPr/>
            <w:r>
              <w:rPr/>
              <w:t xml:space="preserve">Interwoven Ecosystems</w:t>
            </w:r>
          </w:p>
          <w:p>
            <w:pPr/>
            <w:r>
              <w:rPr/>
              <w:t xml:space="preserve">https://undp-biodiversity.exposure.co/interwoven-ecosystems</w:t>
            </w:r>
          </w:p>
          <w:p>
            <w:pPr/>
            <w:r>
              <w:rPr/>
              <w:t xml:space="preserve"/>
            </w:r>
          </w:p>
          <w:p>
            <w:pPr/>
            <w:r>
              <w:rPr/>
              <w:t xml:space="preserve">Produce promotion Media (leaflet KalFor, calendar KalFor, policy briefs, a short video about KalFor project)</w:t>
            </w:r>
          </w:p>
          <w:p>
            <w:pPr/>
            <w:r>
              <w:rPr/>
              <w:t xml:space="preserve"/>
            </w:r>
          </w:p>
          <w:p>
            <w:pPr/>
            <w:r>
              <w:rPr/>
              <w:t xml:space="preserve">B.	Conducted young environment awareness competitions (infographic, English speech competitions, short video online competition)</w:t>
            </w:r>
          </w:p>
          <w:p>
            <w:pPr/>
            <w:r>
              <w:rPr/>
              <w:t xml:space="preserve">c.	Developed knowledge management development concept design and roadmap</w:t>
            </w:r>
          </w:p>
          <w:p>
            <w:pPr/>
            <w:r>
              <w:rPr/>
              <w:t xml:space="preserve">d.	Developed web-portal development (on progress)</w:t>
            </w:r>
          </w:p>
          <w:p>
            <w:pPr/>
            <w:r>
              <w:rPr/>
              <w:t xml:space="preserve">e.	Developed forest release monitoring application system (Simple-K, on progress)</w:t>
            </w:r>
          </w:p>
          <w:p>
            <w:pPr/>
            <w:r>
              <w:rPr/>
              <w:t xml:space="preserve">f.	Developed KalFor’s webpage - https://kalimantanforest.org</w:t>
            </w:r>
          </w:p>
          <w:p>
            <w:pPr/>
            <w:r>
              <w:rPr/>
              <w:t xml:space="preserve">g.	Produced 5 video gender champions</w:t>
            </w:r>
          </w:p>
          <w:p>
            <w:pPr/>
            <w:r>
              <w:rPr/>
              <w:t xml:space="preserve">h.	Conducted workshop on gender mainstreaming in forest management at APL (Samarinda)</w:t>
            </w:r>
          </w:p>
          <w:p>
            <w:pPr/>
            <w:r>
              <w:rPr/>
              <w:t xml:space="preserve">i.	Produced 14 Village Video Documentary  14 District Locus  (uploaded in Youtube https://www.youtube.com/channel/UCADNs6YGu3FPgFM0vErXjDw/videos)</w:t>
            </w:r>
          </w:p>
          <w:p>
            <w:pPr/>
            <w:r>
              <w:rPr/>
              <w:t xml:space="preserve"/>
            </w:r>
          </w:p>
          <w:p>
            <w:pPr/>
            <w:r>
              <w:rPr/>
              <w:t xml:space="preserve">YouTube Link KalFor Project</w:t>
            </w:r>
          </w:p>
          <w:p>
            <w:pPr/>
            <w:r>
              <w:rPr/>
              <w:t xml:space="preserve">https://www.youtube.com/channel/UCADNs6YGu3FPgFM0vErXjDw/videos</w:t>
            </w:r>
          </w:p>
          <w:p>
            <w:pPr/>
            <w:r>
              <w:rPr/>
              <w:t xml:space="preserve"/>
            </w:r>
          </w:p>
          <w:p>
            <w:pPr/>
            <w:r>
              <w:rPr/>
              <w:t xml:space="preserve">Media Coverage Project Activities:</w:t>
            </w:r>
          </w:p>
          <w:p>
            <w:pPr/>
            <w:r>
              <w:rPr/>
              <w:t xml:space="preserve">URL Media Coverage</w:t>
            </w:r>
          </w:p>
          <w:p>
            <w:pPr/>
            <w:r>
              <w:rPr/>
              <w:t xml:space="preserve">https://drive.google.com/open?id=1978z0yVP_zALhuMK_a8saAyyPuBC1Uwz</w:t>
            </w:r>
          </w:p>
          <w:p>
            <w:pPr/>
            <w:r>
              <w:rPr/>
              <w:t xml:space="preserve"/>
            </w:r>
          </w:p>
          <w:p>
            <w:pPr/>
            <w:r>
              <w:rPr/>
              <w:t xml:space="preserve">Supporting Files can download here, become part of deliverables comms</w:t>
            </w:r>
          </w:p>
          <w:p>
            <w:pPr/>
            <w:r>
              <w:rPr/>
              <w:t xml:space="preserve"/>
            </w:r>
          </w:p>
          <w:p>
            <w:pPr/>
            <w:r>
              <w:rPr/>
              <w:t xml:space="preserve">https://drive.google.com/drive/u/0/folders/1pAmpS_NaLfd3Y0PEhoA3LJVamVK55oYS</w:t>
            </w:r>
          </w:p>
          <w:p>
            <w:pPr/>
            <w:r>
              <w:rPr/>
              <w:t xml:space="preserve">-	5 Video Gender Profile produced, 1 Project graphic Video https://www.youtube.com/channel/UCADNs6YGu3FPgFM0vErXjDw/videos</w:t>
            </w:r>
          </w:p>
          <w:p>
            <w:pPr/>
            <w:r>
              <w:rPr/>
              <w:t xml:space="preserve"/>
            </w:r>
          </w:p>
          <w:p>
            <w:pPr/>
            <w:r>
              <w:rPr/>
              <w:t xml:space="preserve">1 webpage, https://kalimantanforest.org/, twitter account https://twitter.com/kalimantanfore2</w:t>
            </w:r>
          </w:p>
          <w:p>
            <w:pPr/>
            <w:r>
              <w:rPr/>
              <w:t xml:space="preserve"/>
            </w:r>
          </w:p>
          <w:p>
            <w:pPr/>
            <w:r>
              <w:rPr/>
              <w:t xml:space="preserve">Media articles:</w:t>
            </w:r>
          </w:p>
          <w:p>
            <w:pPr/>
            <w:r>
              <w:rPr/>
              <w:t xml:space="preserve">http://www.humas.kutaitimurkab.go.id/index.php/home/detail/4673/kutim-tuan-rumah-lokakarya-dan-fgd---%E2%80%9Cmenjaga-hutan-di-kawasan-apl%E2%80%9D-</w:t>
            </w:r>
          </w:p>
          <w:p>
            <w:pPr/>
            <w:r>
              <w:rPr/>
              <w:t xml:space="preserve">http://www.suarakutim.com/kerusakan-hutan-dibahas-dalam-fgd-pemanfataan-apl/</w:t>
            </w:r>
          </w:p>
          <w:p>
            <w:pPr/>
            <w:r>
              <w:rPr/>
              <w:t xml:space="preserve">https://kaltimkece.id/pariwara/pariwara-kutai-timur/menjaga-hutan-dari-areal-penggunaan-lain</w:t>
            </w:r>
          </w:p>
          <w:p>
            <w:pPr/>
            <w:r>
              <w:rPr/>
              <w:t xml:space="preserve">https://bontangpost.id/2018/11/28/55116/dilema-investasi-dan-kerusakan-hutan/</w:t>
            </w:r>
          </w:p>
          <w:p>
            <w:pPr/>
            <w:r>
              <w:rPr/>
              <w:t xml:space="preserve">http://www.bentangkalimantan.org/2019/01/harapkan-dukungan-para-pihak-dinas.html?m=1</w:t>
            </w:r>
          </w:p>
          <w:p>
            <w:pPr/>
            <w:r>
              <w:rPr/>
              <w:t xml:space="preserve">https://kalsel.antaranews.com/amp/berita/100285/kaltim-dipercaya-kerjakan-proyek-kalfour-undp</w:t>
            </w:r>
          </w:p>
          <w:p>
            <w:pPr/>
            <w:r>
              <w:rPr/>
              <w:t xml:space="preserve">https://kaltim.antaranews.com/berita/56323/tim-fahutan-unmul-paparkan-hasil-baseline-survey-kalfor-undp</w:t>
            </w:r>
          </w:p>
          <w:p>
            <w:pPr/>
            <w:r>
              <w:rPr/>
              <w:t xml:space="preserve">https://dpmpd.kaltimprov.go.id/berita/tim-fahutan-unmul-paparkan-hasil-baseline-survey-kalfor-undp</w:t>
            </w:r>
          </w:p>
          <w:p>
            <w:pPr/>
            <w:r>
              <w:rPr/>
              <w:t xml:space="preserve">https://m.antaranews.com/berita/884107/kaltim-dipercaya-laksanakan-proyek-kalfour-undp</w:t>
            </w:r>
          </w:p>
          <w:p>
            <w:pPr/>
            <w:r>
              <w:rPr/>
              <w:t xml:space="preserve">http://kaltim.prokal.co/read/news/355597-kutim-diusulkan-jadi-lokasi-studi-hutan</w:t>
            </w:r>
          </w:p>
          <w:p>
            <w:pPr/>
            <w:r>
              <w:rPr/>
              <w:t xml:space="preserve">https://kaltim.idntimes.com/news/kaltim/humas-kutai-timur/target-proyek-kalfor</w:t>
            </w:r>
          </w:p>
          <w:p>
            <w:pPr/>
            <w:r>
              <w:rPr/>
              <w:t xml:space="preserve">http://kaltim.tribunnews.com/2019/05/24/kaltim-dipercaya-menjaga-hutan-di-luar-kawasan-hutan-kutim-jadi-percontohan</w:t>
            </w:r>
          </w:p>
          <w:p>
            <w:pPr/>
            <w:r>
              <w:rPr/>
              <w:t xml:space="preserve">http://pontianak.tribunnews.com/2019/05/24/fgd-hasil-identifikasi-hcvf-untuk-penyusunan-baseline-apl-kabupaten-sintang-paparkan-hal-berikut</w:t>
            </w:r>
          </w:p>
          <w:p>
            <w:pPr/>
            <w:r>
              <w:rPr/>
              <w:t xml:space="preserve">http://pontianak.tribunnews.com/2019/05/24/jarot-butuh-keseimbangan-dalam-menjaga-dan-mengelola-50-ribu-hektar-apl-di-kabupaten-sintang</w:t>
            </w:r>
          </w:p>
          <w:p>
            <w:pPr/>
            <w:r>
              <w:rPr/>
              <w:t xml:space="preserve">https://majalahmataborneonews.com/rangkul-masyarakat-kelola-apl/</w:t>
            </w:r>
          </w:p>
          <w:p>
            <w:pPr/>
            <w:r>
              <w:rPr/>
              <w:t xml:space="preserve">http://pontianak.tribunnews.com/2019/05/24/bpn-sintang-dukung-pengelolaan-perhutanan-apl-lewat-program-redistribusi-tanah</w:t>
            </w:r>
          </w:p>
          <w:p>
            <w:pPr/>
            <w:r>
              <w:rPr/>
              <w:t xml:space="preserve">http://beritairn.com/fgd-identifikasi-penyusunan-baseline-hutan-di-apl-ketapang/</w:t>
            </w:r>
          </w:p>
          <w:p>
            <w:pPr/>
            <w:r>
              <w:rPr/>
              <w:t xml:space="preserve">https://kabar65news.com/2019/05/28/begini-arahan-martin-rantan-pada-fgd-identifikasi-penyusunan-baseline-hutan-di-apl-ketapang/</w:t>
            </w:r>
          </w:p>
          <w:p>
            <w:pPr/>
            <w:r>
              <w:rPr/>
              <w:t xml:space="preserve">http://humas.ketapang.go.id/berita_full.php?vN=3859</w:t>
            </w:r>
          </w:p>
          <w:p>
            <w:pPr/>
            <w:r>
              <w:rPr/>
              <w:t xml:space="preserve">http://mmc.kotawaringinbaratkab.go.id/berita/konsultasi-publik-tingkat-provinsi-hasil-analisis-kajian-penggalian-data-kawasanan-berhutan-desa-kelurahan-se-kabupaten-kobar</w:t>
            </w:r>
          </w:p>
          <w:p>
            <w:pPr/>
            <w:r>
              <w:rPr/>
              <w:t xml:space="preserve">https://kaltim.tribunnews.com/2019/06/25/kutim-satu-dari-empat-kabupaten-kalfor-project-gunakan-dana-hibah-dari-global-environment-facility</w:t>
            </w:r>
          </w:p>
          <w:p>
            <w:pPr/>
            <w:r>
              <w:rPr/>
              <w:t xml:space="preserve">https://pontianak.tribunnews.com/2019/06/25/sekda-leysandri-perintahkan-stakeholder-terkait-menjaga-hutan-di-kalbar</w:t>
            </w:r>
          </w:p>
          <w:p>
            <w:pPr/>
            <w:r>
              <w:rPr/>
              <w:t xml:space="preserve">http://thetanjungpuratimes.com/2019/06/25/pleno-hasil-identifikasi-hcvf-untuk-penyusunan-baseline-hutan-di-apl/</w:t>
            </w:r>
          </w:p>
          <w:p>
            <w:pPr/>
            <w:r>
              <w:rPr/>
              <w:t xml:space="preserve">http://kalimantanpost.com/2019/05/areal-perkebunan-sawit-harus-menyisakan-kawasan-konservasi/</w:t>
            </w:r>
          </w:p>
          <w:p>
            <w:pPr/>
            <w:r>
              <w:rPr/>
              <w:t xml:space="preserve">http://mmc.kotawaringinbaratkab.go.id/berita/MoEF-ri-pemprov-kalteng-dan-um-palangka-raya-inventarisasi-kawasan-hutan-apl-hpk-di-kobar-</w:t>
            </w:r>
          </w:p>
          <w:p>
            <w:pPr/>
            <w:r>
              <w:rPr/>
              <w:t xml:space="preserve">https://beritasampit.co.id/2019/05/18/wabup-kobar-ahmadi-riansyah-pengelolaan-hutan-apl-harus-dilakukan-secara-optimal/</w:t>
            </w:r>
          </w:p>
          <w:p>
            <w:pPr/>
            <w:r>
              <w:rPr/>
              <w:t xml:space="preserve">http://bontang.prokal.co/read/news/22905-dilema-investasi-dan-kerusakan-hutan.html</w:t>
            </w:r>
          </w:p>
          <w:p>
            <w:pPr/>
            <w:r>
              <w:rPr/>
              <w:t xml:space="preserve">https://www.rumahkaryabersama.com/2019/03/cegah-kerusakan-hutan-undp-hadir-di-kutim/</w:t>
            </w:r>
          </w:p>
          <w:p>
            <w:pPr/>
            <w:r>
              <w:rPr/>
              <w:t xml:space="preserve">http://news.prokal.co/read/news/3987-cegah-kerusakan-hutan-diperlukan-upaya-penyusunan-baseline.html</w:t>
            </w:r>
          </w:p>
          <w:p>
            <w:pPr/>
            <w:r>
              <w:rPr/>
              <w:t xml:space="preserve">http://www.bentangkalimantan.org/2019/01/harapkan-dukungan-para-pihak-dinas.html</w:t>
            </w:r>
          </w:p>
          <w:p>
            <w:pPr/>
            <w:r>
              <w:rPr/>
              <w:t xml:space="preserve">https://pontianak.tribunnews.com/2019/05/24/bpn-sintang-dukung-pengelolaan-perhutanan-apl-lewat-program-redistribusi-tanah</w:t>
            </w:r>
          </w:p>
          <w:p>
            <w:pPr/>
            <w:r>
              <w:rPr/>
              <w:t xml:space="preserve">https://nowjakarta.co.id/art-and-culture/hidden-heritage/how-can-local-wisdom-save-the-forest</w:t>
            </w:r>
          </w:p>
          <w:p>
            <w:pPr/>
            <w:r>
              <w:rPr/>
              <w:t xml:space="preserve">https://pontianak.tribunnews.com/2019/05/24/bpn-sintang-dukung-pengelolaan-perhutanan-apl-lewat-program-redistribusi-tanah</w:t>
            </w:r>
          </w:p>
          <w:p>
            <w:pPr/>
            <w:r>
              <w:rPr/>
              <w:t xml:space="preserve">http://betangrayapost.com/kunjungi-rumah-betang-ensaid-panjang-sintang-ini-pesan-staf-khusus-lhk/</w:t>
            </w:r>
          </w:p>
          <w:p>
            <w:pPr/>
            <w:r>
              <w:rPr/>
              <w:t xml:space="preserve">http://betangrayapost.com/komitmen-jaga-hutan-ini-infonya/</w:t>
            </w:r>
          </w:p>
          <w:p>
            <w:pPr/>
            <w:r>
              <w:rPr/>
              <w:t xml:space="preserve">http://www.detiksaga.com/2020/02/12/kementrian-lhk-apresiasi-masyarakat-ensaid-panjang-pertahankan-keasrian-hutan/</w:t>
            </w:r>
          </w:p>
          <w:p>
            <w:pPr/>
            <w:r>
              <w:rPr/>
              <w:t xml:space="preserve">https://kaltim.tribunnews.com/2019/10/23/dirjen-pktl-dan-pemprov-kaltim-tandatangani-mou-kebijakan-penyelamatan-hutan-di-apl</w:t>
            </w:r>
          </w:p>
          <w:p>
            <w:pPr/>
            <w:r>
              <w:rPr/>
              <w:t xml:space="preserve">http://www.suaramuhammadiyah.id/2019/07/12/perempuan-di-hutan-mungku-baru-palangkaraya/</w:t>
            </w:r>
          </w:p>
          <w:p>
            <w:pPr/>
            <w:r>
              <w:rPr/>
              <w:t xml:space="preserve">https://pontianak.tribunnews.com/2019/10/28/sekda-sintang-dorong-penenun-olah-kain-tenun-jadi-kerajinan-tangan</w:t>
            </w:r>
          </w:p>
          <w:p>
            <w:pPr/>
            <w:r>
              <w:rPr/>
              <w:t xml:space="preserve">https://pontianak.tribunnews.com/2020/02/12/agus-prabowo-sebut-rumah-betang-aset-dunia</w:t>
            </w:r>
          </w:p>
          <w:p>
            <w:pPr/>
            <w:r>
              <w:rPr/>
              <w:t xml:space="preserve">https://pontianak.tribunnews.com/amp/2020/02/12/datang-ke-sintang-stafsus-mentri-klhk-pesan-cinta-lingkungan-harus-dipupuk-dari-budaya</w:t>
            </w:r>
          </w:p>
          <w:p>
            <w:pPr/>
            <w:r>
              <w:rPr/>
              <w:t xml:space="preserve">https://www.postkotapontianak.com/klhk-dan-undp-ke-desa-ensaid-panjang-salam-rangkaian-seminar-kehutanan-nasional-tahun-2020/</w:t>
            </w:r>
          </w:p>
          <w:p>
            <w:pPr/>
            <w:r>
              <w:rPr/>
              <w:t xml:space="preserve">https://pontianak.tribunnews.com/2020/02/12/pembangunan-di-desa-ensaid-panjang-disebut-jarot-seimbang-antara-adat-ekonomi-dan-lingkungan</w:t>
            </w:r>
          </w:p>
          <w:p>
            <w:pPr/>
            <w:r>
              <w:rPr/>
              <w:t xml:space="preserve">https://kalbar.antaranews.com/berita/402934/sintang-fokus-lestarikan-hutan</w:t>
            </w:r>
          </w:p>
          <w:p>
            <w:pPr/>
            <w:r>
              <w:rPr/>
              <w:t xml:space="preserve">https://beritatrends.com/2020/02/12/klhk-dan-undp-berkunjung-ke-desa-ensaid-panjang/?amp</w:t>
            </w:r>
          </w:p>
          <w:p>
            <w:pPr/>
            <w:r>
              <w:rPr/>
              <w:t xml:space="preserve">https://www.kalbaronline.com/2020/02/12/bupati-jarot-kementerian-lhk-bahas-konservasi-hutan-dan-lingkungan-di-sintang/</w:t>
            </w:r>
          </w:p>
          <w:p>
            <w:pPr/>
            <w:r>
              <w:rPr/>
              <w:t xml:space="preserve">https://pontianak.tribunnews.com/2020/02/16/staf-khusus-menteri-klhk-dorong-promosi-rumah-betang-ensaid-gunakan-teknologi</w:t>
            </w:r>
          </w:p>
          <w:p>
            <w:pPr/>
            <w:r>
              <w:rPr/>
              <w:t xml:space="preserve">https://youtu.be/zn_1uDfhNyg</w:t>
            </w:r>
          </w:p>
          <w:p>
            <w:pPr/>
            <w:r>
              <w:rPr/>
              <w:t xml:space="preserve">https://pontianak.tribunnews.com/2020/02/16/keterlibatan-perempuan-dalam-produksi-tenun-pilar-penting-inovasi-kewirausahaan</w:t>
            </w:r>
          </w:p>
          <w:p>
            <w:pPr/>
            <w:r>
              <w:rPr/>
              <w:t xml:space="preserve">https://pontianak.tribunnews.com/2020/02/13/dirjen-pktl-klhk-apresiasi-bupati-dan-masyarakat-sintang-menjaga-hutan-di-luar-kawasan</w:t>
            </w:r>
          </w:p>
          <w:p>
            <w:pPr/>
            <w:r>
              <w:rPr/>
              <w:t xml:space="preserve">https://kalbarinfo.com/2020/02/12/61-980-ha-luas-hutan-yang-tersisa-di-kabupatennya/</w:t>
            </w:r>
          </w:p>
          <w:p>
            <w:pPr/>
            <w:r>
              <w:rPr/>
              <w:t xml:space="preserve">https://kalbarinfo.com/2020/02/12/jarot-winarno-dapat-kunjungan-kerja-kementerian-lingkungan-hidup-dan-kehutanan/</w:t>
            </w:r>
          </w:p>
          <w:p>
            <w:pPr/>
            <w:r>
              <w:rPr/>
              <w:t xml:space="preserve">https://www.kalbaronline.com/2020/02/29/jadi-pembicara-di-forum-sdg-talks-jarot-banggakan-warga-ensaid-panjang/</w:t>
            </w:r>
          </w:p>
          <w:p>
            <w:pPr/>
            <w:r>
              <w:rPr/>
              <w:t xml:space="preserve">http://www.wartasintang.com/2020/02/hadiri-forum-sustainable-development.html</w:t>
            </w:r>
          </w:p>
          <w:p>
            <w:pPr/>
            <w:r>
              <w:rPr/>
              <w:t xml:space="preserve">https://www.suarakalbar.co.id/2020/02/jarot-jadi-pembicara-forum-sdg-di.html</w:t>
            </w:r>
          </w:p>
          <w:p>
            <w:pPr/>
            <w:r>
              <w:rPr/>
              <w:t xml:space="preserve">http://www.lintaskapuas.com/pembicara-forum-sdg-jarot-libatkan-masyarakat-dalam-kelestarian-alam/</w:t>
            </w:r>
          </w:p>
          <w:p>
            <w:pPr/>
            <w:r>
              <w:rPr/>
              <w:t xml:space="preserve">https://lensakalbar.co.id/2020/02/15/jarot-nilai-ensaid-panjang-layak-didukung-undp-dan-raih-equator-prize/</w:t>
            </w:r>
          </w:p>
          <w:p>
            <w:pPr/>
            <w:r>
              <w:rPr/>
              <w:t xml:space="preserve">https://kaltim.tribunnews.com/2020/06/11/maksimalkan-potensi-tanaman-hutan-kutim-kalfor-kembangkan-masker-dan-jamu-immune-booster</w:t>
            </w:r>
          </w:p>
          <w:p>
            <w:pPr/>
            <w:r>
              <w:rPr/>
              <w:t xml:space="preserve">https://pro.kutaitimurkab.go.id/2020/06/10/klhk-apresiasi-kutim-sebagai-daerah-penghasil-bahan-baku-berlimpah-immune-booster/</w:t>
            </w:r>
          </w:p>
          <w:p>
            <w:pPr/>
            <w:r>
              <w:rPr/>
              <w:t xml:space="preserve">https://kaltimkece.id/warta/lingkungan/jamu-immune-booster-dan-1000-masker-dibagi-untuk-tekan-penyebaran-covid-19</w:t>
            </w:r>
          </w:p>
          <w:p>
            <w:pPr/>
            <w:r>
              <w:rPr/>
              <w:t xml:space="preserve">http://amp.oppo.baca.co.id/51184927</w:t>
            </w:r>
          </w:p>
          <w:p>
            <w:pPr/>
            <w:r>
              <w:rPr/>
              <w:t xml:space="preserve">https://kaltim.antaranews.com/berita/81870/satgas-unmul-idi-buat-jamu-penguat-imunitas-cegah-covid-19</w:t>
            </w:r>
          </w:p>
          <w:p>
            <w:pPr/>
            <w:r>
              <w:rPr/>
              <w:t xml:space="preserve">https://kaltimkece.id/rupa/kesehatan/jamu-penguat-imunitas-menghadapi-covid-19-dan-new-normal-ramuan-istimewa-dari-kaltim-untuk-dunia</w:t>
            </w:r>
          </w:p>
          <w:p>
            <w:pPr/>
            <w:r>
              <w:rPr/>
              <w:t xml:space="preserve">https://www.id.undp.org/content/indonesia/en/home/presscenter/pressreleases/2020/KYI2020.html</w:t>
            </w:r>
          </w:p>
          <w:p>
            <w:pPr/>
            <w:r>
              <w:rPr/>
              <w:t xml:space="preserve">https://www.kalimantan-news.com/pelatihan-diversifikasi-tenun-ikat-di-pusatkan-di-betang-ensaid-panjang/</w:t>
            </w:r>
          </w:p>
          <w:p>
            <w:pPr/>
            <w:r>
              <w:rPr/>
              <w:t xml:space="preserve">https://www.suarakalbar.co.id/2021/01/sekda-sintang-dorong-pengrajin-promosi.html</w:t>
            </w:r>
          </w:p>
          <w:p>
            <w:pPr/>
            <w:r>
              <w:rPr/>
              <w:t xml:space="preserve">http://www.infosatunews.com/2021/01/sekda-sintang-buka-pelatihan.html</w:t>
            </w:r>
          </w:p>
          <w:p>
            <w:pPr/>
            <w:r>
              <w:rPr/>
              <w:t xml:space="preserve">https://www.suarakapuasraya.com/tingkatkan-kemampuan-menenun-pemkab-sintang-adakan-pelatihan/</w:t>
            </w:r>
          </w:p>
          <w:p>
            <w:pPr/>
            <w:r>
              <w:rPr/>
              <w:t xml:space="preserve">http://www.meldanewsonline.com/2021/01/pelatihan-diversifikasi-produk-tenun.html</w:t>
            </w:r>
          </w:p>
          <w:p>
            <w:pPr/>
            <w:r>
              <w:rPr/>
              <w:t xml:space="preserve">https://harapanrakyatonline.com/sekda-sintang-buka-pelatihan-diversifikasi-produk-tenun-ikat-di-betang-ensaid-panjang/</w:t>
            </w:r>
          </w:p>
          <w:p>
            <w:pPr/>
            <w:r>
              <w:rPr/>
              <w:t xml:space="preserve">https://www.kalimantan-news.com/sekda-harapkan-pelatihan-diversifikasi-tenun-ikat-dapat-membuat-produk-lain/</w:t>
            </w:r>
          </w:p>
          <w:p>
            <w:pPr/>
            <w:r>
              <w:rPr/>
              <w:t xml:space="preserve">https://www.suarakalbar.co.id/2021/01/sekda-sintang-dorong-pengrajin-promosi.html</w:t>
            </w:r>
          </w:p>
          <w:p>
            <w:pPr/>
            <w:r>
              <w:rPr/>
              <w:t xml:space="preserve">http://www.infosatunews.com/2021/01/sekda-sintang-buka-pelatihan.html</w:t>
            </w:r>
          </w:p>
          <w:p>
            <w:pPr/>
            <w:r>
              <w:rPr/>
              <w:t xml:space="preserve">https://www.kalimantan-news.com/pelatihan-diversifikasi-tenun-ikat-di-pusatkan-di-betang-ensaid-panjang/</w:t>
            </w:r>
          </w:p>
          <w:p>
            <w:pPr/>
            <w:r>
              <w:rPr/>
              <w:t xml:space="preserve">https://www.zonamedianews.com/2021/01/yosepha-hasnah-berharap-pengerajin.html</w:t>
            </w:r>
          </w:p>
          <w:p>
            <w:pPr/>
            <w:r>
              <w:rPr/>
              <w:t xml:space="preserve">https://www.zonamedianews.com/2021/01/sekda-sintang-buka-pelatihan.html</w:t>
            </w:r>
          </w:p>
          <w:p>
            <w:pPr/>
            <w:r>
              <w:rPr/>
              <w:t xml:space="preserve">https://www.kreatifnews.co.id/upaya-mendorong-generasi-muda-kalfor-bekerjasama-dengan-solidaridad-gelar-pelatihan-tenun-ikat-di-desa-ensaid-panjang/</w:t>
            </w:r>
          </w:p>
          <w:p>
            <w:pPr/>
            <w:r>
              <w:rPr/>
              <w:t xml:space="preserve">http://www.sintangmedia.com/2021/01/pelatihan-diversifikasi-produk-tenun.html</w:t>
            </w:r>
          </w:p>
          <w:p>
            <w:pPr/>
            <w:r>
              <w:rPr/>
              <w:t xml:space="preserve">https://pontianak.tribunnews.com/2021/01/24/kalimantan-forest-project-latih-20-penenun-buat-kreasi-produk-turunan-tenun-ikat-sintang</w:t>
            </w:r>
          </w:p>
          <w:p>
            <w:pPr/>
            <w:r>
              <w:rPr/>
              <w:t xml:space="preserve">https://pontianak.tribunnews.com/2021/01/24/sekda-sintang-dorong-hasil-tenun-ikat-ensaid-dipromosikan-melalui-media-sosial</w:t>
            </w:r>
          </w:p>
          <w:p>
            <w:pPr/>
            <w:r>
              <w:rPr/>
              <w:t xml:space="preserve">https://pontianak.tribunnews.com/2021/01/24/pemkab-sintang-dan-bea-cukai-nanga-badau-siap-bantu-pemasaran-produk-turunan-tenun-ikat-ke-malaysia</w:t>
            </w:r>
          </w:p>
          <w:p>
            <w:pPr/>
            <w:r>
              <w:rPr/>
              <w:t xml:space="preserve">https://pontianak.tribunnews.com/2021/01/24/pengrajin-tenun-ikat-sintang-tak-terdampak-pandemi-produksi-dan-penjualan-tetap-stabil</w:t>
            </w:r>
          </w:p>
          <w:p>
            <w:pPr/>
            <w:r>
              <w:rPr/>
              <w:t xml:space="preserve">https://pontianak.tribunnews.com/2021/01/24/kepala-bea-cukai-nanga-badau-siap-bantu-pemasaran-produk-ikm-dan-umkm-kabupaten-sintang-ke-malaysia</w:t>
            </w:r>
          </w:p>
          <w:p>
            <w:pPr/>
            <w:r>
              <w:rPr/>
              <w:t xml:space="preserve">https://pontianakpost.co.id/lewat-4-pergub-kalbar-optimalkan-potensi-konservasi-di-area-konsesi/</w:t>
            </w:r>
          </w:p>
          <w:p>
            <w:pPr/>
            <w:r>
              <w:rPr/>
              <w:t xml:space="preserve">https://kaltim.tribunnews.com/2021/04/03/tingkatkan-ekonomi-warga-3-desa-penyelamat-hutan-kutai-timur-studi-banding-ke-p4s-law-kawar-hlsw</w:t>
            </w:r>
          </w:p>
          <w:p>
            <w:pPr/>
            <w:r>
              <w:rPr/>
              <w:t xml:space="preserve">https://news.prokal.co/read/news/9765-kades-batu-lepoq-ciptakan-herbal-immune-booster-covid-19.html</w:t>
            </w:r>
          </w:p>
          <w:p>
            <w:pPr/>
            <w:r>
              <w:rPr/>
              <w:t xml:space="preserve">https://pontianak.tribunnews.com/2022/03/07/peduli-pelestarian-lingkungan-pt-sism-lakukan-penanaman-bibit-buah-buahan-bersama-stakeholder</w:t>
            </w:r>
          </w:p>
          <w:p>
            <w:pPr/>
            <w:r>
              <w:rPr/>
              <w:t xml:space="preserve">https://kaltimkece.id/warta/lingkungan/ketika-tiga-desa-di-kutim-belajar-budi-daya-untuk-mengelola-dan-menjaga-kawasan-berhutan-yang-mereka-punya</w:t>
            </w:r>
          </w:p>
          <w:p>
            <w:pPr/>
            <w:r>
              <w:rPr/>
              <w:t xml:space="preserve">https://pro.kutaitimurkab.go.id/2022/05/12/4-desa-di-sangkulirang-dibantu-kalfor-project-berupa-sapras-budidaya-ikan-air-tawar/</w:t>
            </w:r>
          </w:p>
          <w:p>
            <w:pPr/>
            <w:r>
              <w:rPr/>
              <w:t xml:space="preserve">https://kaltimkece.id/warta/lingkungan/jalan-panjang-menyelamatkan-areal-berhutan-di-dalam-apl-di-kutim-lewat-kalfor-project</w:t>
            </w:r>
          </w:p>
          <w:p>
            <w:pPr/>
            <w:r>
              <w:rPr/>
              <w:t xml:space="preserve">https://kalbar.antaranews.com/berita/515145/symposium-penyusunan-master-plan-interkoneksi-kawasan-hutan-negara-kawasan-klutap</w:t>
            </w:r>
          </w:p>
          <w:p>
            <w:pPr/>
            <w:r>
              <w:rPr/>
              <w:t xml:space="preserve">https://kaltimkece.id/warta/lingkungan/melihat-kelanjutan-pendampingan-empat-desa-di-kutai-timur-dalam-mengelola-hutan-desa</w:t>
            </w:r>
          </w:p>
          <w:p>
            <w:pPr/>
            <w:r>
              <w:rPr/>
              <w:t xml:space="preserve">https://kaltimkece.id/warta/lingkungan/upaya-desa-tepian-terap-di-kutim-mengelola-tiga-sungai-bikin-pembangkit-listrik-hingga-air-terjun</w:t>
            </w:r>
          </w:p>
          <w:p>
            <w:pPr/>
            <w:r>
              <w:rPr/>
              <w:t xml:space="preserve">https://kaltimkece.id/warta/lingkungan/pantang-menyerah-desa-sempayau-membudidayakan-ikan-setelah-tangkapan-laut-berkurang-drastis</w:t>
            </w:r>
          </w:p>
          <w:p>
            <w:pPr/>
            <w:r>
              <w:rPr/>
              <w:t xml:space="preserve">https://www.kalbaronline.com/2022/06/04/bupati-sintang-buka-simposium-penyusunan-master-plan-interkoneksi-kawasan-hutan-negara-dan-kawasan-klutap/</w:t>
            </w:r>
          </w:p>
          <w:p>
            <w:pPr/>
            <w:r>
              <w:rPr/>
              <w:t xml:space="preserve">https://pontianak.tribunnews.com/2022/03/07/peduli-pelestarian-lingkungan-pt-sism-lakukan-penanaman-bibit-buah-buahan-bersama-stakeholder</w:t>
            </w:r>
          </w:p>
          <w:p>
            <w:pPr/>
            <w:r>
              <w:rPr/>
              <w:t xml:space="preserve">https://kumparan.com/infopbun/dianggap-sebagai-pelopor-paklik-bupati-kobar-menerima-penghargaan-dari-klhk-1xv93JTwvG4</w:t>
            </w:r>
          </w:p>
          <w:p>
            <w:pPr/>
            <w:r>
              <w:rPr/>
              <w:t xml:space="preserve">https://www.infopublik.id/kategori/nusantara/626659/bupati-kobar-terima-penghargaan-dari-klhk-sebagai-pelopor-paklik</w:t>
            </w:r>
          </w:p>
          <w:p>
            <w:pPr/>
            <w:r>
              <w:rPr/>
              <w:t xml:space="preserve">https://www.matakalteng.com/daerah/kotawaringin-barat/2022/04/20/bupati-kobar-terima-penghargaan-dari-klhk</w:t>
            </w:r>
          </w:p>
          <w:p>
            <w:pPr/>
            <w:r>
              <w:rPr/>
              <w:t xml:space="preserve">https://mmc.kotawaringinbaratkab.go.id/berita/dianggap-sebagai-pelopor-paklik-bupati-hj-nurhidayah-terima-penghargaan-dari-klhk</w:t>
            </w:r>
          </w:p>
          <w:p>
            <w:pPr/>
            <w:r>
              <w:rPr/>
              <w:t xml:space="preserve">https://kaltimkece.id/warta/lingkungan/pantang-menyerah-desa-sempayau-membudidayakan-ikan-setelah-tangkapan-laut-berkurang-drastis</w:t>
            </w:r>
          </w:p>
          <w:p>
            <w:pPr/>
            <w:r>
              <w:rPr/>
              <w:t xml:space="preserve">https://kaltimkece.id/warta/lingkungan/setahun-kalfor-project-di-kutim-hutan-milik-desa-ditetapkan-warga-pun-punya-usaha</w:t>
            </w:r>
          </w:p>
          <w:p>
            <w:pPr/>
            <w:r>
              <w:rPr/>
              <w:t xml:space="preserve">https://kaltim.tribunnews.com/2022/12/14/7-desa-di-kutim-peroleh-insentif-pelestarian-hutan</w:t>
            </w:r>
          </w:p>
          <w:p>
            <w:pPr/>
            <w:r>
              <w:rPr/>
              <w:t xml:space="preserve">https://kaltimkece.id/warta/ragam/berkat-kalfor-project-empat-desa-di-kaltim-kini-punya-usaha-ramah-lingkungan</w:t>
            </w:r>
          </w:p>
          <w:p>
            <w:pPr/>
            <w:r>
              <w:rPr/>
              <w:t xml:space="preserve">https://www.infosatu.co/dishut-kaltim-dukung-konservasi-hutan-di-luar-kawasan/</w:t>
            </w:r>
          </w:p>
          <w:p>
            <w:pPr/>
            <w:r>
              <w:rPr/>
              <w:t xml:space="preserve">https://pro.kutaitimurkab.go.id/2022/12/13/stiper-kutim-gelar-fgd-optimalisasi-dan-konservasi-lahan/</w:t>
            </w:r>
          </w:p>
          <w:p>
            <w:pPr/>
            <w:r>
              <w:rPr/>
              <w:t xml:space="preserve">https://www.suarakutim.com/kalfor-project-optimalkan-peran-akademik-perguruan-tinggi-di-kutim-usung-sda-berkelanjutan/</w:t>
            </w:r>
          </w:p>
          <w:p>
            <w:pPr/>
            <w:r>
              <w:rPr/>
              <w:t xml:space="preserve">https://kukarpaper.com/klh-ri-pilih-kukar-sebagai-perluasan-program-kalfor-project-hasil-studi-ugm-miliki-hutan-bernilai-konservasi-tinggi-di-luar-kawasan</w:t>
            </w:r>
          </w:p>
          <w:p>
            <w:pPr/>
            <w:r>
              <w:rPr/>
              <w:t xml:space="preserve">https://politanisamarinda.ac.id/post/kolaborasi-jurusan-teknologi-hasil-hutan-politani-samarinda-dan-kalfor-project-gelar-focus-group-discussion-fgd-areal-berhutan</w:t>
            </w:r>
          </w:p>
          <w:p>
            <w:pPr/>
            <w:r>
              <w:rPr/>
              <w:t xml:space="preserve">https://pontianak.tribunnews.com/2023/01/29/90388-hektar-ditetapkan-sebagai-areal-rimba-di-sintang-edy-inisiatif-masyarakat-banyak-sekali</w:t>
            </w:r>
          </w:p>
          <w:p>
            <w:pPr/>
            <w:r>
              <w:rPr/>
              <w:t xml:space="preserve">https://kalbar.antaranews.com/berita/535149/bupati-sintang-serahkan-13-sk-penetapan-rimba-dan-gupung</w:t>
            </w:r>
          </w:p>
          <w:p>
            <w:pPr/>
            <w:r>
              <w:rPr/>
              <w:t xml:space="preserve">https://kalbar.genpi.co/kalbar-terkini/3529/13-sk-penetapan-rimba-dan-gupung-diserahkan-bupati-sintang-kepada-bpn</w:t>
            </w:r>
          </w:p>
          <w:p>
            <w:pPr/>
            <w:r>
              <w:rPr/>
              <w:t xml:space="preserve">https://www.suarakalbar.co.id/2023/01/pemkab-sintang-serahkan-13-sk-penetapan-rimba-dan-gupung/</w:t>
            </w:r>
          </w:p>
          <w:p>
            <w:pPr/>
            <w:r>
              <w:rPr/>
              <w:t xml:space="preserve">https://www.berita-aktual.com/2023/01/28/bupati-jarot-serahkan-sk-dan-shp-90388-hektar-rimba-gupung/</w:t>
            </w:r>
          </w:p>
          <w:p>
            <w:pPr/>
            <w:r>
              <w:rPr/>
              <w:t xml:space="preserve">https://rri.co.id/daerah/148131/pemkab-sintang-hari-ini-menyerahkan-sejumlah-penghargaan?utm_source=news_main&amp;utm_medium=internal_link&amp;utm_campaign=General%20Campaign</w:t>
            </w:r>
          </w:p>
          <w:p>
            <w:pPr/>
            <w:r>
              <w:rPr/>
              <w:t xml:space="preserve">https://diskominfo.kaltimprov.go.id/statistik/kolaborasi-bps-dan-kalfor-gelar-fgd-desa-cantik</w:t>
            </w:r>
          </w:p>
          <w:p>
            <w:pPr/>
            <w:r>
              <w:rPr/>
              <w:t xml:space="preserve">https://pontianakpost.jawapos.com/daerah/sintang/20/03/2023/kelola-dan-lindungi-bukit-tempurung/</w:t>
            </w:r>
          </w:p>
          <w:p>
            <w:pPr/>
            <w:r>
              <w:rPr/>
              <w:t xml:space="preserve">https://radarkalimantan.com/daerah/sintang/bupati-sintang-saksikan-penandatanganan-mou-untuk-jaga-bukit-tempurung/</w:t>
            </w:r>
          </w:p>
          <w:p>
            <w:pPr/>
            <w:r>
              <w:rPr/>
              <w:t xml:space="preserve">https://www.kabar4.com/kabar-daerah/10177990015/penandatanganan-nota-kesepahaman-untuk-jaga-bukit-tempurung-di-desa-bangun</w:t>
            </w:r>
          </w:p>
          <w:p>
            <w:pPr/>
            <w:r>
              <w:rPr/>
              <w:t xml:space="preserve">https://rakyatborneo.com/bupati-jarot-sintang-terus-jaga-hutan-di-kawasan-perkebunan/</w:t>
            </w:r>
          </w:p>
          <w:p>
            <w:pPr/>
            <w:r>
              <w:rPr/>
              <w:t xml:space="preserve">https://lensakalbar.co.id/2023/03/13/teken-nota-kesepahaman-bersama-jarot-upaya-untuk-melindungi-dan-menjaga-hutan-di-desa-bangun/</w:t>
            </w:r>
          </w:p>
          <w:p>
            <w:pPr/>
            <w:r>
              <w:rPr/>
              <w:t xml:space="preserve">https://www.ujungjemari.id/13/03/2023/bupati-sintang-tegaskan-7-persen-hgu-wajib-dalam-bentuk-hutan/</w:t>
            </w:r>
          </w:p>
          <w:p>
            <w:pPr/>
            <w:r>
              <w:rPr/>
              <w:t xml:space="preserve">https://kalbarpost.id/bupati-jarot-sintang-terus-jaga-hutan-di-kawasan-perkebunan/</w:t>
            </w:r>
          </w:p>
          <w:p>
            <w:pPr/>
            <w:r>
              <w:rPr/>
              <w:t xml:space="preserve">https://www.purnamanews.com/bupati-sintang-saksikan-penandatanganan-nota-kesepahaman-untuk-jaga-bukit-tempurung-di-desa-bangun/</w:t>
            </w:r>
          </w:p>
          <w:p>
            <w:pPr/>
            <w:r>
              <w:rPr/>
              <w:t xml:space="preserve">https://berkatnewstv.com/2023/03/15/7-umkm-lolos-lomba-kurri/</w:t>
            </w:r>
          </w:p>
          <w:p>
            <w:pPr/>
            <w:r>
              <w:rPr/>
              <w:t xml:space="preserve">https://www.rri.go.id/sintang/daerah/262805/dukung-pengelolaan-hutan-di-apl-kalfor-project-gelar-bimtek</w:t>
            </w:r>
          </w:p>
          <w:p>
            <w:pPr/>
            <w:r>
              <w:rPr/>
              <w:t xml:space="preserve">https://www.borneonews.co.id/berita/307502-kunjungan-norimasa-shimomura-ke-kobar-ajak-lindungi-hutan-kalimantan</w:t>
            </w:r>
          </w:p>
          <w:p>
            <w:pPr/>
            <w:r>
              <w:rPr/>
              <w:t xml:space="preserve">https://dayaknews.com/kotawaringin-barat/perwakilan-residen-undp-indonesia-terkesan-dengan-tanjung-puting/</w:t>
            </w:r>
          </w:p>
          <w:p>
            <w:pPr/>
            <w:r>
              <w:rPr/>
              <w:t xml:space="preserve">https://gerakkalteng.com/2023/07/gerdayak-kobar-kembangkan-tanaman-lucung-jadi-minuman-sehat</w:t>
            </w:r>
          </w:p>
          <w:p>
            <w:pPr/>
            <w:r>
              <w:rPr/>
              <w:t xml:space="preserve">https://www.youtube.com/watch?v=oYxGpWkFXHk</w:t>
            </w:r>
          </w:p>
          <w:p>
            <w:pPr/>
            <w:r>
              <w:rPr/>
              <w:t xml:space="preserve">https://kutaitimurkab.go.id/page/articles/2263</w:t>
            </w:r>
          </w:p>
          <w:p>
            <w:pPr/>
            <w:r>
              <w:rPr/>
              <w:t xml:space="preserve">https://www.rri.co.id/daerah/307089/npd-kalfor-project-perlu-data-akurat-terpadu-dan-mudah-diakses</w:t>
            </w:r>
          </w:p>
          <w:p>
            <w:pPr/>
            <w:r>
              <w:rPr/>
              <w:t xml:space="preserve">https://www.rri.co.id/daerah/342925/kalfor-project-lakukan-bimtek-cegah-karhutla</w:t>
            </w:r>
          </w:p>
          <w:p>
            <w:pPr/>
            <w:r>
              <w:rPr/>
              <w:t xml:space="preserve">https://pontianakpost.jawapos.com/sintang/1463095055/bupati-sintang-puji-hasil-modeling-valuasi-ekonomi</w:t>
            </w:r>
          </w:p>
          <w:p>
            <w:pPr/>
            <w:r>
              <w:rPr/>
              <w:t xml:space="preserve">https://www.rri.co.id/iptek/413070/diskominfo-kutim-targetkan-kim-terbentuk-di-18-kecamatan</w:t>
            </w:r>
          </w:p>
          <w:p>
            <w:pPr/>
            <w:r>
              <w:rPr/>
              <w:t xml:space="preserve">https://pontianak.tribunnews.com/2023/10/12/jarot-sambut-baik-hasil-modeling-valuasi-ekonomi-jasa-ekosistem-areal-berhutan-di-luar-kawasan-hutan</w:t>
            </w:r>
          </w:p>
          <w:p>
            <w:pPr/>
            <w:r>
              <w:rPr/>
              <w:t xml:space="preserve">https://ksdae.menlhk.go.id/artikel/12449/BBKSDA-Jawa-Timur-Bersama-Kalfor-Project-UNDP-Adakan-Bimtek-Pencegahan-Peredaran-Ilegal-TSL.html</w:t>
            </w:r>
          </w:p>
          <w:p>
            <w:pPr/>
            <w:r>
              <w:rPr/>
              <w:t xml:space="preserve">https://wartakalteng.com/2024/05/31/pelatihan-ecoprint-langkah-strategis-mendukung-pelestarian-hutan-di-kalimantan-tengah/</w:t>
            </w:r>
          </w:p>
          <w:p>
            <w:pPr/>
            <w:r>
              <w:rPr/>
              <w:t xml:space="preserve">https://www.kalbaronline.com/2024/03/08/bupati-ketapang-buka-kick-off-penyusunan-klhs-rpjmd-tahun-2025-2029/</w:t>
            </w:r>
          </w:p>
          <w:p>
            <w:pPr/>
            <w:r>
              <w:rPr/>
              <w:t xml:space="preserve">https://pontianakpost.jawapos.com/ketapang/1464418480/bupati-ketapang-buka-kick-off-penyusuman-klhs-rpjmd</w:t>
            </w:r>
          </w:p>
          <w:p>
            <w:pPr/>
            <w:r>
              <w:rPr/>
              <w:t xml:space="preserve">https://media7.id/bupati-ketapang-buka-kick-off-penyusunan-klhs-rpjmd-tahun-2025-2029/</w:t>
            </w:r>
          </w:p>
          <w:p>
            <w:pPr/>
            <w:r>
              <w:rPr/>
              <w:t xml:space="preserve">https://newsantara.co/berita/2024/07/ynki-kalfor-majukan-pelaku-usaha-rumah-tangga/</w:t>
            </w:r>
          </w:p>
          <w:p>
            <w:pPr/>
            <w:r>
              <w:rPr/>
              <w:t xml:space="preserve">https://pontianak.tribunnews.com/2024/07/19/ynki-gelar-youth-camp-untuk-tiga-di-desa-di-ketapang-harap-mampu-bangun-desa-yang-berkelanjutan</w:t>
            </w:r>
          </w:p>
          <w:p>
            <w:pPr/>
            <w:r>
              <w:rPr/>
              <w:t xml:space="preserve">https://www.kalbardigital.com/kalbar/594873596/ynki-kalfor-dorong-pelaku-usaha-rumah-tangga-desa-tanjung-pura-dan-mayak-dengan-inovasi-dan-pengemasan-produk</w:t>
            </w:r>
          </w:p>
          <w:p>
            <w:pPr/>
            <w:r>
              <w:rPr/>
              <w:t xml:space="preserve">https://kaltimkece.id/pariwara/pariwara/inisiatif-desa-di-kutai-timur-untuk-konservasi-sumber-daya-alam-hayati-dan-ekosistemnya</w:t>
            </w:r>
          </w:p>
          <w:p>
            <w:pPr/>
            <w:r>
              <w:rPr/>
              <w:t xml:space="preserve">https://kaltimkece.id/pariwara/pariwara/mempertahankan-hutan-dan-warisan-budaya-di-desa-mata-air</w:t>
            </w:r>
          </w:p>
          <w:p>
            <w:pPr/>
            <w:r>
              <w:rPr/>
              <w:t xml:space="preserve">https://newsantara.co/lingkungan/2024/08/perkuat-inovasi-bisnis-umkm-madu-hutan-di-ulak-medang-dapat-dukungan-alat-baru/</w:t>
            </w:r>
          </w:p>
          <w:p>
            <w:pPr/>
            <w:r>
              <w:rPr/>
              <w:t xml:space="preserve">https://kaltimkece.id/pariwara/pariwara/rumah-kompos-inisiatif-desa-mata-air-untuk-lingkungan-bersih-dan-kesejahteraan-peternak</w:t>
            </w:r>
          </w:p>
          <w:p>
            <w:pPr/>
            <w:r>
              <w:rPr/>
              <w:t xml:space="preserve">https://kaltimkece.id/pariwara/pariwara/upaya-pemerintah-desa-sekerat-selesaikan-masalah-sampah</w:t>
            </w:r>
          </w:p>
          <w:p>
            <w:pPr/>
            <w:r>
              <w:rPr/>
              <w:t xml:space="preserve">https://kaltimkece.id/pariwara/pariwara/inisiatif-desa-di-kutai-timur-untuk-konservasi-sumber-daya-alam-hayati-dan-ekosistemnya</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KALFOR - Video _ Publication _Gender_ Youth_.pdf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2024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EE9F5"/>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B0408 - Indonesia - Jakarta</OfficeCountry>
    <DocumentStatus xmlns="d9cf0e28-81d2-4dc7-8b10-820d80ed680d">Approved</DocumentStatus>
    <DocCoverageEndDate xmlns="d9cf0e28-81d2-4dc7-8b10-820d80ed680d">2024-06-30T04:00:00+00:00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KALFOR Progress Report</FileNameDescription>
    <ProjectNumber xmlns="d9cf0e28-81d2-4dc7-8b10-820d80ed680d">00085815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UNDP-IDN</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2023-07-01T04:00:00+00:00</DocCoverageStartDate>
    <FileClassificationMode xmlns="d9cf0e28-81d2-4dc7-8b10-820d80ed680d">Public</FileClassificationMode>
    <OutputNumber xmlns="d9cf0e28-81d2-4dc7-8b10-820d80ed680d">00093330</OutputNumber>
  </documentManagement>
</p:properties>
</file>

<file path=customXml/itemProps1.xml><?xml version="1.0" encoding="utf-8"?>
<ds:datastoreItem xmlns:ds="http://schemas.openxmlformats.org/officeDocument/2006/customXml" ds:itemID="{16301D48-B1BA-4298-98C0-D2C487CE6667}"/>
</file>

<file path=customXml/itemProps2.xml><?xml version="1.0" encoding="utf-8"?>
<ds:datastoreItem xmlns:ds="http://schemas.openxmlformats.org/officeDocument/2006/customXml" ds:itemID="{E2D3078C-3D22-4B60-AC6D-E8037BEFE909}"/>
</file>

<file path=customXml/itemProps3.xml><?xml version="1.0" encoding="utf-8"?>
<ds:datastoreItem xmlns:ds="http://schemas.openxmlformats.org/officeDocument/2006/customXml" ds:itemID="{72F2DE29-93E3-49A8-AA2F-3A57905C98E8}"/>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KALFOR Progress Report</dc:title>
  <dc:subject/>
  <dc:creator/>
  <cp:keywords/>
  <dc:description/>
  <cp:lastModifiedBy/>
  <dcterms:created xsi:type="dcterms:W3CDTF">2024-09-12T16:59:00Z</dcterms:created>
  <dcterms:modified xsi:type="dcterms:W3CDTF">2024-09-12T16:59:00Z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