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2022</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Kiribati Food Security LDCF</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Stakeholder Engagement</w:t>
        </w:r>
        <w:r>
          <w:tab/>
        </w:r>
        <w:r>
          <w:fldChar w:fldCharType="begin"/>
        </w:r>
        <w:r>
          <w:instrText xml:space="preserve">PAGEREF _Toc16 \h</w:instrText>
        </w:r>
        <w:r>
          <w:fldChar w:fldCharType="end"/>
        </w:r>
      </w:hyperlink>
    </w:p>
    <w:p>
      <w:pPr>
        <w:tabs>
          <w:tab w:val="right" w:leader="dot" w:pos="9062"/>
        </w:tabs>
      </w:pPr>
      <w:hyperlink w:anchor="_Toc17" w:history="1">
        <w:r>
          <w:t>Annex - Ratings Definitions</w:t>
        </w:r>
        <w:r>
          <w:tab/>
        </w:r>
        <w:r>
          <w:fldChar w:fldCharType="begin"/>
        </w:r>
        <w:r>
          <w:instrText xml:space="preserve">PAGEREF _Toc17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4570</w:t>
            </w:r>
          </w:p>
        </w:tc>
      </w:tr>
      <w:tr>
        <w:trPr/>
        <w:tc>
          <w:tcPr>
            <w:tcW w:w="5000" w:type="dxa"/>
            <w:gridSpan w:val="1"/>
          </w:tcPr>
          <w:p>
            <w:pPr/>
            <w:r>
              <w:rPr/>
              <w:t xml:space="preserve">GEF ID</w:t>
            </w:r>
          </w:p>
        </w:tc>
        <w:tc>
          <w:tcPr>
            <w:tcW w:w="5000" w:type="dxa"/>
            <w:gridSpan w:val="1"/>
          </w:tcPr>
          <w:p>
            <w:pPr/>
            <w:r>
              <w:rPr/>
              <w:t xml:space="preserve">5414</w:t>
            </w:r>
          </w:p>
        </w:tc>
      </w:tr>
      <w:tr>
        <w:trPr/>
        <w:tc>
          <w:tcPr>
            <w:tcW w:w="5000" w:type="dxa"/>
            <w:gridSpan w:val="1"/>
          </w:tcPr>
          <w:p>
            <w:pPr/>
            <w:r>
              <w:rPr/>
              <w:t xml:space="preserve">Title</w:t>
            </w:r>
          </w:p>
        </w:tc>
        <w:tc>
          <w:tcPr>
            <w:tcW w:w="5000" w:type="dxa"/>
            <w:gridSpan w:val="1"/>
          </w:tcPr>
          <w:p>
            <w:pPr/>
            <w:r>
              <w:rPr/>
              <w:t xml:space="preserve">Enhancing national food security in the context of global climate change</w:t>
            </w:r>
          </w:p>
        </w:tc>
      </w:tr>
      <w:tr>
        <w:trPr/>
        <w:tc>
          <w:tcPr>
            <w:tcW w:w="5000" w:type="dxa"/>
            <w:gridSpan w:val="1"/>
          </w:tcPr>
          <w:p>
            <w:pPr/>
            <w:r>
              <w:rPr/>
              <w:t xml:space="preserve">Country(ies)</w:t>
            </w:r>
          </w:p>
        </w:tc>
        <w:tc>
          <w:tcPr>
            <w:tcW w:w="5000" w:type="dxa"/>
            <w:gridSpan w:val="1"/>
          </w:tcPr>
          <w:p>
            <w:pPr/>
            <w:r>
              <w:rPr/>
              <w:t xml:space="preserve">Kiribati, Kiribati</w:t>
            </w:r>
          </w:p>
        </w:tc>
      </w:tr>
      <w:tr>
        <w:trPr/>
        <w:tc>
          <w:tcPr>
            <w:tcW w:w="5000" w:type="dxa"/>
            <w:gridSpan w:val="1"/>
          </w:tcPr>
          <w:p>
            <w:pPr/>
            <w:r>
              <w:rPr/>
              <w:t xml:space="preserve">UNDP-NCE Technical Team</w:t>
            </w:r>
          </w:p>
        </w:tc>
        <w:tc>
          <w:tcPr>
            <w:tcW w:w="5000" w:type="dxa"/>
            <w:gridSpan w:val="1"/>
          </w:tcPr>
          <w:p>
            <w:pPr/>
            <w:r>
              <w:rPr/>
              <w:t xml:space="preserve">Climate Change Adaptation</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Government</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r>
        <w:trPr/>
        <w:tc>
          <w:tcPr>
            <w:tcW w:w="5000" w:type="dxa"/>
            <w:gridSpan w:val="1"/>
          </w:tcPr>
          <w:p>
            <w:pPr/>
            <w:r>
              <w:rPr/>
              <w:t xml:space="preserve">Implementation Status</w:t>
            </w:r>
          </w:p>
        </w:tc>
        <w:tc>
          <w:tcPr>
            <w:tcW w:w="5000" w:type="dxa"/>
            <w:gridSpan w:val="1"/>
          </w:tcPr>
          <w:p>
            <w:pPr/>
            <w:r>
              <w:rPr/>
              <w:t xml:space="preserve">6th PIR</w:t>
            </w:r>
          </w:p>
        </w:tc>
      </w:tr>
      <w:tr>
        <w:trPr/>
        <w:tc>
          <w:tcPr>
            <w:tcW w:w="5000" w:type="dxa"/>
            <w:gridSpan w:val="1"/>
          </w:tcPr>
          <w:p>
            <w:pPr/>
            <w:r>
              <w:rPr/>
              <w:t xml:space="preserve">GEF Fiscal Year</w:t>
            </w:r>
          </w:p>
        </w:tc>
        <w:tc>
          <w:tcPr>
            <w:tcW w:w="5000" w:type="dxa"/>
            <w:gridSpan w:val="1"/>
          </w:tcPr>
          <w:p>
            <w:pPr/>
            <w:r>
              <w:rPr/>
              <w:t xml:space="preserve">FY22</w:t>
            </w:r>
          </w:p>
        </w:tc>
      </w:tr>
      <w:tr>
        <w:trPr/>
        <w:tc>
          <w:tcPr>
            <w:tcW w:w="5000" w:type="dxa"/>
            <w:gridSpan w:val="1"/>
          </w:tcPr>
          <w:p>
            <w:pPr/>
            <w:r>
              <w:rPr/>
              <w:t xml:space="preserve">Trust Fund</w:t>
            </w:r>
          </w:p>
        </w:tc>
        <w:tc>
          <w:tcPr>
            <w:tcW w:w="5000" w:type="dxa"/>
            <w:gridSpan w:val="1"/>
          </w:tcPr>
          <w:p>
            <w:pPr/>
            <w:r>
              <w:rPr/>
              <w:t xml:space="preserve">Least Developed Countries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Kiribati is a nation comprised of 33 atolls (21 inhabited) spread across a vast Pacific Ocean territory. The people of rural Kiribati are largely reliant upon a limited land base and coastal zone fisheries for both nutrition and livelihood.</w:t>
            </w:r>
          </w:p>
          <w:p>
            <w:pPr/>
            <w:r>
              <w:rPr/>
              <w:t xml:space="preserve">As the population grows and climate change advances, the security of island resources will be challenged. Already, the ecosystem integrity upon which islanders depend for climate change resilience is being eroded. This is evinced by many factors including deteriorating quality of near-shore fisheries, degraded lagoon health, and reduced freshwater quality. The primary reason for this is that current management regimes for both atoll and lagoon resources are defined by open resource access. There is very little active management, research, and/or regulation to make certain use of lagoon resources is maintained within sustainable limits. The nation has very little experience with the design and implementation of community-based management regimes to incentivize improved and more innovative management techniques. There are few tools in place to support better management of lagoon resource in light of expanding economic use and demand for these resources. This situation challenges resource management both within the lagoon and on the atoll. Climate change will certainly exacerbates an already very high level of vulnerability.</w:t>
            </w:r>
          </w:p>
          <w:p>
            <w:pPr/>
            <w:r>
              <w:rPr/>
              <w:t xml:space="preserve">The project objective is to build the adaptive capacity of vulnerable Kiribati communities to ensure food security under conditions of climate change.</w:t>
            </w:r>
          </w:p>
          <w:p>
            <w:pPr/>
            <w:r>
              <w:rPr/>
              <w:t xml:space="preserve">To address these challenges and reach the projectÂs objective, the LDCF investment will support the realization of two components and related activities. Both components will be closely aligned so that national and site-based activities are designed to build synergies, increase awareness, and generate much more informed and strategic use of natural resources so that ecosystem integrity is able to continue to function as the foundation of food security needs.</w:t>
            </w:r>
          </w:p>
          <w:p>
            <w:pPr/>
            <w:r>
              <w:rPr/>
              <w:t xml:space="preserve">Under Component One, the project will assist Kiribati to address urgent institutional capacity building needs primarily on the national level. This will include helping to set in place an improved regulatory environment, strengthened institutional planning and policy frameworks, and generation of data required to support informed decision-making.</w:t>
            </w:r>
          </w:p>
          <w:p>
            <w:pPr/>
            <w:r>
              <w:rPr/>
              <w:t xml:space="preserve">Under Component Two, the project will assist Kiribati to address climate change vulnerabilities by implementing and demonstrating community-based adaptation measures. The project will work on a select number of atolls to set in place models for land and lagoon resources management that is predicated upon informed planning and management processes. The general awareness of rural communities regarding fisheries management and climate change impacts will be increased.  Community-based monitoring systems will be established. This will be used to inform decision-making, serve as an early warning system for climate change impacts, and be linked to island-wide vulnerability assessments. The monitoring system will be linked to national level programming so that national level decision-making benefits from more broad-based information sources. The project will support the generation, adoption, and implementation of model council by-laws designed to be ecosystem inclusive and enhance ecosystem integrity. This will include model regulations for the management of fisheries, including permit and reporting mechanisms for both subsistence, commercial and tourism use of lagoon resources. The project will work with extension officers responsible for both agriculture and fisheries resources. This will include building the capacities of officers, responsible government agencies, island councils, and rural stakeholders through formal training programs utilizing fisheries field schools. Model programs for more sustainable and climate resilient practices will be tested, assessed, and ready for national replication.</w:t>
            </w:r>
          </w:p>
          <w:p>
            <w:pPr/>
            <w:r>
              <w:rPr/>
              <w:t xml:space="preserve">All project activity will target the reduction of food security issues by setting in place capacities required for local communities.</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UNDP-NCE Technical Adviser</w:t>
            </w:r>
          </w:p>
        </w:tc>
        <w:tc>
          <w:tcPr>
            <w:tcW w:w="5000" w:type="dxa"/>
            <w:gridSpan w:val="1"/>
          </w:tcPr>
          <w:p>
            <w:pPr/>
            <w:r>
              <w:rPr/>
              <w:t xml:space="preserve">Ms. Azza Aishath (aishath.azza@undp.org)</w:t>
            </w:r>
          </w:p>
        </w:tc>
      </w:tr>
      <w:tr>
        <w:trPr/>
        <w:tc>
          <w:tcPr>
            <w:tcW w:w="5000" w:type="dxa"/>
            <w:gridSpan w:val="1"/>
          </w:tcPr>
          <w:p>
            <w:pPr/>
            <w:r>
              <w:rPr/>
              <w:t xml:space="preserve">UNDP-NCE Programme Associate</w:t>
            </w:r>
          </w:p>
        </w:tc>
        <w:tc>
          <w:tcPr>
            <w:tcW w:w="5000" w:type="dxa"/>
            <w:gridSpan w:val="1"/>
          </w:tcPr>
          <w:p>
            <w:pPr/>
            <w:r>
              <w:rPr/>
              <w:t xml:space="preserve">Ms. Siriboon (Aom) Ketphichai (siriboon.ketphichai@undp.org)</w:t>
            </w:r>
          </w:p>
        </w:tc>
      </w:tr>
      <w:tr>
        <w:trPr/>
        <w:tc>
          <w:tcPr>
            <w:tcW w:w="5000" w:type="dxa"/>
            <w:gridSpan w:val="1"/>
          </w:tcPr>
          <w:p>
            <w:pPr/>
            <w:r>
              <w:rPr/>
              <w:t xml:space="preserve">Project Manager/Coordinator</w:t>
            </w:r>
          </w:p>
        </w:tc>
        <w:tc>
          <w:tcPr>
            <w:tcW w:w="5000" w:type="dxa"/>
            <w:gridSpan w:val="1"/>
          </w:tcPr>
          <w:p>
            <w:pPr/>
            <w:r>
              <w:rPr/>
              <w:t xml:space="preserve">Anne Larsen (larsen.anneerica@gmail.com)</w:t>
            </w:r>
          </w:p>
          <w:p>
            <w:pPr/>
            <w:r>
              <w:rPr/>
              <w:t xml:space="preserve">Tererei Abete-Reema (t.abete@melad.gov.ki)</w:t>
            </w:r>
          </w:p>
        </w:tc>
      </w:tr>
      <w:tr>
        <w:trPr/>
        <w:tc>
          <w:tcPr>
            <w:tcW w:w="5000" w:type="dxa"/>
            <w:gridSpan w:val="1"/>
          </w:tcPr>
          <w:p>
            <w:pPr/>
            <w:r>
              <w:rPr/>
              <w:t xml:space="preserve">UNDP Country Office Programme Officer</w:t>
            </w:r>
          </w:p>
        </w:tc>
        <w:tc>
          <w:tcPr>
            <w:tcW w:w="5000" w:type="dxa"/>
            <w:gridSpan w:val="1"/>
          </w:tcPr>
          <w:p>
            <w:pPr/>
            <w:r>
              <w:rPr/>
              <w:t xml:space="preserve">Ms. Winifereti Nainoca (winifereti.nainoca@undp.org)</w:t>
            </w:r>
          </w:p>
          <w:p>
            <w:pPr/>
            <w:r>
              <w:rPr/>
              <w:t xml:space="preserve">Mr. Rusiate Ratuniata (rusiate.ratuniata@undp.org)</w:t>
            </w:r>
          </w:p>
          <w:p>
            <w:pPr/>
            <w:r>
              <w:rPr/>
              <w:t xml:space="preserve">Ms. TALEI ELAISA (talei.elaisa@undp.org)</w:t>
            </w:r>
          </w:p>
        </w:tc>
      </w:tr>
      <w:tr>
        <w:trPr/>
        <w:tc>
          <w:tcPr>
            <w:tcW w:w="5000" w:type="dxa"/>
            <w:gridSpan w:val="1"/>
          </w:tcPr>
          <w:p>
            <w:pPr/>
            <w:r>
              <w:rPr/>
              <w:t xml:space="preserve">UNDP Country Office Deputy Resident Representative</w:t>
            </w:r>
          </w:p>
        </w:tc>
        <w:tc>
          <w:tcPr>
            <w:tcW w:w="5000" w:type="dxa"/>
            <w:gridSpan w:val="1"/>
          </w:tcPr>
          <w:p>
            <w:pPr/>
            <w:r>
              <w:rPr/>
              <w:t xml:space="preserve">Ms. Yemesrach Workie (yemesrach.workie@undp.org)</w:t>
            </w:r>
          </w:p>
        </w:tc>
      </w:tr>
      <w:tr>
        <w:trPr/>
        <w:tc>
          <w:tcPr>
            <w:tcW w:w="5000" w:type="dxa"/>
            <w:gridSpan w:val="1"/>
          </w:tcPr>
          <w:p>
            <w:pPr/>
            <w:r>
              <w:rPr/>
              <w:t xml:space="preserve">UNDP Regional Bureau Desk Officer</w:t>
            </w:r>
          </w:p>
        </w:tc>
        <w:tc>
          <w:tcPr>
            <w:tcW w:w="5000" w:type="dxa"/>
            <w:gridSpan w:val="1"/>
          </w:tcPr>
          <w:p>
            <w:pPr/>
            <w:r>
              <w:rPr/>
              <w:t xml:space="preserve">Ms. Irina Goryunova (irina.goryunova@undp.org)</w:t>
            </w:r>
          </w:p>
        </w:tc>
      </w:tr>
      <w:tr>
        <w:trPr/>
        <w:tc>
          <w:tcPr>
            <w:tcW w:w="5000" w:type="dxa"/>
            <w:gridSpan w:val="1"/>
          </w:tcPr>
          <w:p>
            <w:pPr/>
            <w:r>
              <w:rPr/>
              <w:t xml:space="preserve">GEF Operational Focal Point</w:t>
            </w:r>
          </w:p>
        </w:tc>
        <w:tc>
          <w:tcPr>
            <w:tcW w:w="5000" w:type="dxa"/>
            <w:gridSpan w:val="1"/>
          </w:tcPr>
          <w:p>
            <w:pPr/>
            <w:r>
              <w:rPr/>
              <w:t xml:space="preserve">Ms. Nenenteiti Teariki-Ruatu (decd@melad.gov.ki)</w:t>
            </w:r>
          </w:p>
        </w:tc>
      </w:tr>
      <w:tr>
        <w:trPr/>
        <w:tc>
          <w:tcPr>
            <w:tcW w:w="5000" w:type="dxa"/>
            <w:gridSpan w:val="1"/>
          </w:tcPr>
          <w:p>
            <w:pPr/>
            <w:r>
              <w:rPr/>
              <w:t xml:space="preserve">Project Implementing Partner</w:t>
            </w:r>
          </w:p>
        </w:tc>
        <w:tc>
          <w:tcPr>
            <w:tcW w:w="5000" w:type="dxa"/>
            <w:gridSpan w:val="1"/>
          </w:tcPr>
          <w:p>
            <w:pPr/>
            <w:r>
              <w:rPr/>
              <w:t xml:space="preserve">Mr. Kaateti Toto (ds@melad.gov.ki)</w:t>
            </w:r>
          </w:p>
          <w:p>
            <w:pPr/>
            <w:r>
              <w:rPr/>
              <w:t xml:space="preserve">Ms. Mika Bita (m.bita@melad.gov.bt)</w:t>
            </w:r>
          </w:p>
        </w:tc>
      </w:tr>
      <w:tr>
        <w:trPr/>
        <w:tc>
          <w:tcPr>
            <w:tcW w:w="5000" w:type="dxa"/>
            <w:gridSpan w:val="1"/>
          </w:tcPr>
          <w:p>
            <w:pPr/>
            <w:r>
              <w:rPr/>
              <w:t xml:space="preserve">Other Partners</w:t>
            </w:r>
          </w:p>
        </w:tc>
        <w:tc>
          <w:tcPr>
            <w:tcW w:w="5000" w:type="dxa"/>
            <w:gridSpan w:val="1"/>
          </w:tcPr>
          <w:p>
            <w:pPr/>
            <w:r>
              <w:rPr/>
              <w:t xml:space="preserve">Ms. Tooreka Teemari (toorekat@fisheries.gov.ki)</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Unsatisfactory</w:t>
            </w:r>
          </w:p>
        </w:tc>
      </w:tr>
      <w:tr>
        <w:trPr/>
        <w:tc>
          <w:tcPr>
            <w:tcW w:w="8000" w:type="dxa"/>
            <w:gridSpan w:val="1"/>
          </w:tcPr>
          <w:p>
            <w:pPr/>
            <w:r>
              <w:rPr/>
              <w:t xml:space="preserve">Overall IP Rating</w:t>
            </w:r>
          </w:p>
        </w:tc>
        <w:tc>
          <w:tcPr>
            <w:tcW w:w="8000" w:type="dxa"/>
            <w:gridSpan w:val="1"/>
          </w:tcPr>
          <w:p>
            <w:pPr/>
            <w:r>
              <w:rPr/>
              <w:t xml:space="preserve">Unsatisfactory</w:t>
            </w:r>
          </w:p>
        </w:tc>
      </w:tr>
      <w:tr>
        <w:trPr/>
        <w:tc>
          <w:tcPr>
            <w:tcW w:w="8000" w:type="dxa"/>
            <w:gridSpan w:val="1"/>
          </w:tcPr>
          <w:p>
            <w:pPr/>
            <w:r>
              <w:rPr/>
              <w:t xml:space="preserve">Overall Risk Rating</w:t>
            </w:r>
          </w:p>
        </w:tc>
        <w:tc>
          <w:tcPr>
            <w:tcW w:w="8000" w:type="dxa"/>
            <w:gridSpan w:val="1"/>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To build the adaptive capacity of vulnerable Kiribati communities to ensure food security under conditions of climate change.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1. Percentage of households and communities that have stable or increased food security in the face of climate change</w:t>
            </w:r>
          </w:p>
        </w:tc>
        <w:tc>
          <w:tcPr>
            <w:tcW w:w="2000" w:type="dxa"/>
            <w:gridSpan w:val="1"/>
          </w:tcPr>
          <w:p>
            <w:pPr/>
            <w:r>
              <w:rPr/>
              <w:t xml:space="preserve">Current trajectory of resource use signify increased future food insecurity (actual household food security will be defined during Year 1 of project and presented as gender- disaggregated data)</w:t>
            </w:r>
          </w:p>
        </w:tc>
        <w:tc>
          <w:tcPr>
            <w:tcW w:w="2000" w:type="dxa"/>
            <w:gridSpan w:val="1"/>
          </w:tcPr>
          <w:p>
            <w:pPr/>
            <w:r>
              <w:rPr>
                <w:i w:val="1"/>
                <w:iCs w:val="1"/>
              </w:rPr>
              <w:t xml:space="preserve">(not set or not applicable)</w:t>
            </w:r>
          </w:p>
        </w:tc>
        <w:tc>
          <w:tcPr>
            <w:tcW w:w="2000" w:type="dxa"/>
            <w:gridSpan w:val="1"/>
          </w:tcPr>
          <w:p>
            <w:pPr/>
            <w:r>
              <w:rPr/>
              <w:t xml:space="preserve">By the end of the project 100% of men, women and children of targeted islands (Nonouti 2,744, Abemama 3,299, Maiana 1,981) have stable and/or increased levels of food security increasing their resilience against climate change</w:t>
            </w:r>
          </w:p>
          <w:p>
            <w:pPr/>
            <w:r>
              <w:rPr/>
              <w:t xml:space="preserve"/>
            </w:r>
          </w:p>
          <w:p>
            <w:pPr/>
            <w:r>
              <w:rPr/>
              <w:t xml:space="preserve">[2015 census information added to target during inception phase for clarity]</w:t>
            </w:r>
          </w:p>
        </w:tc>
        <w:tc>
          <w:tcPr>
            <w:tcW w:w="4000" w:type="dxa"/>
            <w:gridSpan w:val="1"/>
          </w:tcPr>
          <w:p>
            <w:pPr/>
            <w:r>
              <w:rPr/>
              <w:t xml:space="preserve">Overall implementation progress 75% / target on-track.</w:t>
            </w:r>
          </w:p>
          <w:p>
            <w:pPr/>
            <w:r>
              <w:rPr/>
              <w:t xml:space="preserve"/>
            </w:r>
          </w:p>
          <w:p>
            <w:pPr/>
            <w:r>
              <w:rPr/>
              <w:t xml:space="preserve">Percentage of households and communities with stable or increased food security: uncertain</w:t>
            </w:r>
          </w:p>
          <w:p>
            <w:pPr/>
            <w:r>
              <w:rPr/>
              <w:t xml:space="preserve"/>
            </w:r>
          </w:p>
          <w:p>
            <w:pPr/>
            <w:r>
              <w:rPr/>
              <w:t xml:space="preserve">A multi-sector working group led by a local health expert has initiated an analysis to establish baseline and assess current status based on available data. Lack of relevant data are concerns as reported in previous APRs, however an end-of-project-survey design planned in Q4 2021 will contribute to assess the impact of the project.</w:t>
            </w:r>
          </w:p>
          <w:p>
            <w:pPr/>
            <w:r>
              <w:rPr/>
              <w:t xml:space="preserve"/>
            </w:r>
          </w:p>
          <w:p>
            <w:pPr/>
            <w:r>
              <w:rPr/>
              <w:t xml:space="preserve">Several project indicators under outcomes 1 and 2 are on track/completed and contributing towards increased food security:</w:t>
            </w:r>
          </w:p>
          <w:p>
            <w:pPr/>
            <w:r>
              <w:rPr/>
              <w:t xml:space="preserve">-	Indicator 2: sustainable fisheries management contributes to stabilization of bonefish population.</w:t>
            </w:r>
          </w:p>
          <w:p>
            <w:pPr/>
            <w:r>
              <w:rPr/>
              <w:t xml:space="preserve">-	Indicator 5: National fisheries legislation contributes to sustainable fisheries management.</w:t>
            </w:r>
          </w:p>
          <w:p>
            <w:pPr/>
            <w:r>
              <w:rPr/>
              <w:t xml:space="preserve">-	Indicator 10: Community-based Fisheries Management plans and Fish Recovery Zones contributes to sustainable fisheries management, including fish farming and translocation of species.</w:t>
            </w:r>
          </w:p>
          <w:p>
            <w:pPr/>
            <w:r>
              <w:rPr/>
              <w:t xml:space="preserve">-	Indicator 14: Increased awareness and capacities of communities</w:t>
            </w:r>
          </w:p>
          <w:p>
            <w:pPr/>
            <w:r>
              <w:rPr/>
              <w:t xml:space="preserve">-	Indicator 16: perennial crop varieties increased from 2 to 5 in all villages on 3 pilot islands, and number of livestock increased. Home-gardening and school-gardening increased</w:t>
            </w:r>
          </w:p>
          <w:p>
            <w:pPr/>
            <w:r>
              <w:rPr/>
              <w:t xml:space="preserve"/>
            </w:r>
          </w:p>
        </w:tc>
        <w:tc>
          <w:tcPr>
            <w:tcW w:w="4000" w:type="dxa"/>
            <w:gridSpan w:val="1"/>
          </w:tcPr>
          <w:p>
            <w:pPr/>
            <w:r>
              <w:rPr/>
              <w:t xml:space="preserve">Overall implementation progress: 85%</w:t>
            </w:r>
          </w:p>
          <w:p>
            <w:pPr/>
            <w:r>
              <w:rPr/>
              <w:t xml:space="preserve"/>
            </w:r>
          </w:p>
          <w:p>
            <w:pPr/>
            <w:r>
              <w:rPr/>
              <w:t xml:space="preserve">A draft report has been prepared by a multi-sector working group led by a local health expert. The report includes baseline information from 2015/2017 and the current status of various health and nutrition-related indicators based on available data. However, lack of data and difficulties in measuring food security other than through various sub-indicators make the assessment difficult (as pointed out by the MTR). This is further accentuated by the unavailability of health officials, held up by COVID19-response and not directly involved in project implementation. The report does not establish a clear baseline and assessment of the project’s contribution toward food security in the pilot islands, however it does offer insights into developments and trends.</w:t>
            </w:r>
          </w:p>
          <w:p>
            <w:pPr/>
            <w:r>
              <w:rPr/>
              <w:t xml:space="preserve"/>
            </w:r>
          </w:p>
          <w:p>
            <w:pPr/>
            <w:r>
              <w:rPr/>
              <w:t xml:space="preserve">Among other findings, the report findings indicate that there is a strong relationship between copra production and the level of malnutrition for the pilot islands. As copra production is highly dependent on weather patterns, climate change would be an important consideration to factor in when framing malnutritional strategies.</w:t>
            </w:r>
          </w:p>
          <w:p>
            <w:pPr/>
            <w:r>
              <w:rPr/>
              <w:t xml:space="preserve"/>
            </w:r>
          </w:p>
          <w:p>
            <w:pPr/>
            <w:r>
              <w:rPr/>
              <w:t xml:space="preserve">An end-of-project-survey design is considered in Q3 or Q4 2022 to complement the report findings, if feasible. Because of Covid19 travel restrictions and Covid19 related unavailability of the government health and nutrition working group, the survey has not yet been carried out, and for the same reasons it is unclear whether a survey can be carried out before the end of the project.</w:t>
            </w:r>
          </w:p>
          <w:p>
            <w:pPr/>
            <w:r>
              <w:rPr/>
              <w:t xml:space="preserve"/>
            </w:r>
          </w:p>
          <w:p>
            <w:pPr/>
            <w:r>
              <w:rPr/>
              <w:t xml:space="preserve">However, a qualitative survey was carried out from December 2021- February 2022 to evaluate the beneficiaries’ capacities and awareness-level related to indicator 14 (further descibed below in relation to indicator 14). This survey gives an indication of the beneficiaries' perception of food security (however the purpose and coverage of the survey was not to evaluate food security extensively):</w:t>
            </w:r>
          </w:p>
          <w:p>
            <w:pPr/>
            <w:r>
              <w:rPr/>
              <w:t xml:space="preserve">-	71% of respondents indicate that they have sufficient food supply.</w:t>
            </w:r>
          </w:p>
          <w:p>
            <w:pPr/>
            <w:r>
              <w:rPr/>
              <w:t xml:space="preserve">-	68% indicate that they have better food supply (45%) or same food supply (23%) compared to 5 years ago (pre-project).</w:t>
            </w:r>
          </w:p>
          <w:p>
            <w:pPr/>
            <w:r>
              <w:rPr/>
              <w:t xml:space="preserve"/>
            </w:r>
          </w:p>
          <w:p>
            <w:pPr/>
            <w:r>
              <w:rPr/>
              <w:t xml:space="preserve">As in past years, several project indicators under outcomes 1 and 2 are on track/completed and contributing towards increased food security, however with estimated lower impact this reporting period due to COVID19-delays and implementation halt.</w:t>
            </w:r>
          </w:p>
        </w:tc>
      </w:tr>
      <w:tr>
        <w:trPr/>
        <w:tc>
          <w:tcPr>
            <w:tcW w:w="4000" w:type="dxa"/>
            <w:gridSpan w:val="1"/>
          </w:tcPr>
          <w:p>
            <w:pPr/>
            <w:r>
              <w:rPr/>
              <w:t xml:space="preserve">2. Number of bonefish (Albula glossodonta) increasing and/or stable.</w:t>
            </w:r>
          </w:p>
          <w:p>
            <w:pPr/>
            <w:r>
              <w:rPr/>
              <w:t xml:space="preserve"/>
            </w:r>
          </w:p>
          <w:p>
            <w:pPr/>
            <w:r>
              <w:rPr/>
              <w:t xml:space="preserve">* Bonefish are the main protein source for I-Kiribati and an indicator of over-all coastal zone fishery health.</w:t>
            </w:r>
          </w:p>
        </w:tc>
        <w:tc>
          <w:tcPr>
            <w:tcW w:w="2000" w:type="dxa"/>
            <w:gridSpan w:val="1"/>
          </w:tcPr>
          <w:p>
            <w:pPr/>
            <w:r>
              <w:rPr/>
              <w:t xml:space="preserve">Nonouti</w:t>
            </w:r>
          </w:p>
          <w:p>
            <w:pPr/>
            <w:r>
              <w:rPr/>
              <w:t xml:space="preserve">Estimated number of bonefish:  TBD</w:t>
            </w:r>
          </w:p>
          <w:p>
            <w:pPr/>
            <w:r>
              <w:rPr/>
              <w:t xml:space="preserve"/>
            </w:r>
          </w:p>
          <w:p>
            <w:pPr/>
            <w:r>
              <w:rPr/>
              <w:t xml:space="preserve">Abemama</w:t>
            </w:r>
          </w:p>
          <w:p>
            <w:pPr/>
            <w:r>
              <w:rPr/>
              <w:t xml:space="preserve">Estimated number of bonefish: TBD</w:t>
            </w:r>
          </w:p>
          <w:p>
            <w:pPr/>
            <w:r>
              <w:rPr/>
              <w:t xml:space="preserve"/>
            </w:r>
          </w:p>
          <w:p>
            <w:pPr/>
            <w:r>
              <w:rPr/>
              <w:t xml:space="preserve">Maiana</w:t>
            </w:r>
          </w:p>
          <w:p>
            <w:pPr/>
            <w:r>
              <w:rPr/>
              <w:t xml:space="preserve">Estimated number of bonefish:  TBD</w:t>
            </w:r>
          </w:p>
          <w:p>
            <w:pPr/>
            <w:r>
              <w:rPr/>
              <w:t xml:space="preserve"/>
            </w:r>
          </w:p>
          <w:p>
            <w:pPr/>
            <w:r>
              <w:rPr/>
              <w:t xml:space="preserve">South Tarawa</w:t>
            </w:r>
          </w:p>
          <w:p>
            <w:pPr/>
            <w:r>
              <w:rPr/>
              <w:t xml:space="preserve">Estimated number of bonefish:  TBD</w:t>
            </w:r>
          </w:p>
          <w:p>
            <w:pPr/>
            <w:r>
              <w:rPr/>
              <w:t xml:space="preserve"/>
            </w:r>
          </w:p>
          <w:p>
            <w:pPr/>
            <w:r>
              <w:rPr/>
              <w:t xml:space="preserve">Qualitative estimates are that populations at all islands are overharvested.</w:t>
            </w:r>
          </w:p>
          <w:p>
            <w:pPr/>
            <w:r>
              <w:rPr/>
              <w:t xml:space="preserve"/>
            </w:r>
          </w:p>
          <w:p>
            <w:pPr/>
            <w:r>
              <w:rPr/>
              <w:t xml:space="preserve">[Qualitative information added to baseline during inception phase for clarity]</w:t>
            </w:r>
          </w:p>
        </w:tc>
        <w:tc>
          <w:tcPr>
            <w:tcW w:w="2000" w:type="dxa"/>
            <w:gridSpan w:val="1"/>
          </w:tcPr>
          <w:p>
            <w:pPr/>
            <w:r>
              <w:rPr>
                <w:i w:val="1"/>
                <w:iCs w:val="1"/>
              </w:rPr>
              <w:t xml:space="preserve">(not set or not applicable)</w:t>
            </w:r>
          </w:p>
        </w:tc>
        <w:tc>
          <w:tcPr>
            <w:tcW w:w="2000" w:type="dxa"/>
            <w:gridSpan w:val="1"/>
          </w:tcPr>
          <w:p>
            <w:pPr/>
            <w:r>
              <w:rPr/>
              <w:t xml:space="preserve">Nonouti</w:t>
            </w:r>
          </w:p>
          <w:p>
            <w:pPr/>
            <w:r>
              <w:rPr/>
              <w:t xml:space="preserve">Estimated number of bonefish: Stable or increasing compared to baseline</w:t>
            </w:r>
          </w:p>
          <w:p>
            <w:pPr/>
            <w:r>
              <w:rPr/>
              <w:t xml:space="preserve"/>
            </w:r>
          </w:p>
          <w:p>
            <w:pPr/>
            <w:r>
              <w:rPr/>
              <w:t xml:space="preserve">Abemama</w:t>
            </w:r>
          </w:p>
          <w:p>
            <w:pPr/>
            <w:r>
              <w:rPr/>
              <w:t xml:space="preserve">Estimated number of bonefish: Stable or increasing compared to baseline</w:t>
            </w:r>
          </w:p>
          <w:p>
            <w:pPr/>
            <w:r>
              <w:rPr/>
              <w:t xml:space="preserve"/>
            </w:r>
          </w:p>
          <w:p>
            <w:pPr/>
            <w:r>
              <w:rPr/>
              <w:t xml:space="preserve">Maiana</w:t>
            </w:r>
          </w:p>
          <w:p>
            <w:pPr/>
            <w:r>
              <w:rPr/>
              <w:t xml:space="preserve">Estimated number of bonefish: Stable or increasing compared to baseline</w:t>
            </w:r>
          </w:p>
          <w:p>
            <w:pPr/>
            <w:r>
              <w:rPr/>
              <w:t xml:space="preserve"/>
            </w:r>
          </w:p>
          <w:p>
            <w:pPr/>
            <w:r>
              <w:rPr/>
              <w:t xml:space="preserve">South Tarawa</w:t>
            </w:r>
          </w:p>
          <w:p>
            <w:pPr/>
            <w:r>
              <w:rPr/>
              <w:t xml:space="preserve">Estimated number of bonefish: Stable or increasing compared to baseline</w:t>
            </w:r>
          </w:p>
        </w:tc>
        <w:tc>
          <w:tcPr>
            <w:tcW w:w="4000" w:type="dxa"/>
            <w:gridSpan w:val="1"/>
          </w:tcPr>
          <w:p>
            <w:pPr/>
            <w:r>
              <w:rPr/>
              <w:t xml:space="preserve">Overall implementation progress: 85% / target on-track</w:t>
            </w:r>
          </w:p>
          <w:p>
            <w:pPr/>
            <w:r>
              <w:rPr/>
              <w:t xml:space="preserve"/>
            </w:r>
          </w:p>
          <w:p>
            <w:pPr/>
            <w:r>
              <w:rPr/>
              <w:t xml:space="preserve">Fisheries monitoring data from 2020 compared with 2017/2018 monitoring data from the 3 pilot islands indicate that:</w:t>
            </w:r>
          </w:p>
          <w:p>
            <w:pPr/>
            <w:r>
              <w:rPr/>
              <w:t xml:space="preserve">-	Unsustainable fisheries practices (splash fishing) have been significantly reduced by the project (indicator 7 and 10)</w:t>
            </w:r>
          </w:p>
          <w:p>
            <w:pPr/>
            <w:r>
              <w:rPr/>
              <w:t xml:space="preserve">-	Overexploitation of bonefish (Albula glossodonta) has been   reduced, as indicated by a decrease in catch and a more mature Bonefish population.</w:t>
            </w:r>
          </w:p>
          <w:p>
            <w:pPr/>
            <w:r>
              <w:rPr/>
              <w:t xml:space="preserve"/>
            </w:r>
          </w:p>
          <w:p>
            <w:pPr/>
            <w:r>
              <w:rPr/>
              <w:t xml:space="preserve">Findings are based on draft monitoring reports for Maiana, Nonouti, and Abemama (the project has not supported any marine surveys on South Tarawa since it is not a pilot island for the project), as well as an external analysis of Maiana monitoring results by SPC (The Pacific Community). All monitoring results are entered and analysed in the SPC database, and reports will be finalized in Q3 and Q4 2021.</w:t>
            </w:r>
          </w:p>
          <w:p>
            <w:pPr/>
            <w:r>
              <w:rPr/>
              <w:t xml:space="preserve"/>
            </w:r>
          </w:p>
          <w:p>
            <w:pPr/>
            <w:r>
              <w:rPr/>
              <w:t xml:space="preserve">However, Baseline and progress values (numbers) are difficult to establish for the bonefish population due to a significant shift in fishing methods towards more sustainable fisheries.</w:t>
            </w:r>
          </w:p>
          <w:p>
            <w:pPr/>
            <w:r>
              <w:rPr/>
              <w:t xml:space="preserve">Monitoring data show a decrease in CPUE (Catch per Unit Effort), that would usually indicate a decrease in fish stock. However, as stated by the SPC analysis, the average CPUE of each surveyed year is hardly comparable due to an important shift from predominantly unsustainable fishing methods in 2017/2018 (resulting in over-fishing and high CPUE) to sustainable fishing methods in 2020.</w:t>
            </w:r>
          </w:p>
          <w:p>
            <w:pPr/>
            <w:r>
              <w:rPr/>
              <w:t xml:space="preserve">The decrease in the global average CPUE on bonefish (Albula glossodonta) from 2017/2018 to 2020 does therefore not reflect a decline of the stock, and CPUE is therefore not reliable as indicator measurement".</w:t>
            </w:r>
          </w:p>
          <w:p>
            <w:pPr/>
            <w:r>
              <w:rPr/>
              <w:t xml:space="preserve"/>
            </w:r>
          </w:p>
          <w:p>
            <w:pPr/>
            <w:r>
              <w:rPr/>
              <w:t xml:space="preserve">Observations from fishermen confirm a marked increase and abundance in fish nearshores.</w:t>
            </w:r>
          </w:p>
        </w:tc>
        <w:tc>
          <w:tcPr>
            <w:tcW w:w="4000" w:type="dxa"/>
            <w:gridSpan w:val="1"/>
          </w:tcPr>
          <w:p>
            <w:pPr/>
            <w:r>
              <w:rPr/>
              <w:t xml:space="preserve">Overall implementation progress: 95%</w:t>
            </w:r>
          </w:p>
          <w:p>
            <w:pPr/>
            <w:r>
              <w:rPr/>
              <w:t xml:space="preserve"/>
            </w:r>
          </w:p>
          <w:p>
            <w:pPr/>
            <w:r>
              <w:rPr/>
              <w:t xml:space="preserve">The bonefish monitoring report has been finalized for Maiana, and the final reports for Abemama and Nonouti are expected to be submitted in Q3 2022. The findings were presented in the previous PIR.</w:t>
            </w:r>
          </w:p>
          <w:p>
            <w:pPr/>
            <w:r>
              <w:rPr/>
              <w:t xml:space="preserve"/>
            </w:r>
          </w:p>
          <w:p>
            <w:pPr/>
            <w:r>
              <w:rPr/>
              <w:t xml:space="preserve">In addition, comprehensive Fisheries monitoring reports with Status of Invertebrates and Finfish have been finalized for the 4 islands (3 pilot islands Abemama, Maiana and Nonouti, as well as Kuria). This is the result of the project’s effort to establish the National Coastal Zone Monitoring program using marine surveys using distance underwater visual census (D-UVC), reef benthos transect (RBTt), point intercept transect (PIT), seagrass assessment and creel survey.</w:t>
            </w:r>
          </w:p>
          <w:p>
            <w:pPr/>
            <w:r>
              <w:rPr/>
              <w:t xml:space="preserve"/>
            </w:r>
          </w:p>
        </w:tc>
      </w:tr>
      <w:tr>
        <w:trPr/>
        <w:tc>
          <w:tcPr>
            <w:tcW w:w="4000" w:type="dxa"/>
            <w:gridSpan w:val="1"/>
          </w:tcPr>
          <w:p>
            <w:pPr/>
            <w:r>
              <w:rPr/>
              <w:t xml:space="preserve">3. Percentage of Kiribati population covered by the enhanced early warning system</w:t>
            </w:r>
          </w:p>
        </w:tc>
        <w:tc>
          <w:tcPr>
            <w:tcW w:w="2000" w:type="dxa"/>
            <w:gridSpan w:val="1"/>
          </w:tcPr>
          <w:p>
            <w:pPr/>
            <w:r>
              <w:rPr/>
              <w:t xml:space="preserve">The existing communication systems are inadequate to send early warning message in timely manner</w:t>
            </w:r>
          </w:p>
        </w:tc>
        <w:tc>
          <w:tcPr>
            <w:tcW w:w="2000" w:type="dxa"/>
            <w:gridSpan w:val="1"/>
          </w:tcPr>
          <w:p>
            <w:pPr/>
            <w:r>
              <w:rPr>
                <w:i w:val="1"/>
                <w:iCs w:val="1"/>
              </w:rPr>
              <w:t xml:space="preserve">(not set or not applicable)</w:t>
            </w:r>
          </w:p>
        </w:tc>
        <w:tc>
          <w:tcPr>
            <w:tcW w:w="2000" w:type="dxa"/>
            <w:gridSpan w:val="1"/>
          </w:tcPr>
          <w:p>
            <w:pPr/>
            <w:r>
              <w:rPr/>
              <w:t xml:space="preserve">At least 95% of Kiribati population (109,693, of which 55,591 are women) receives early warning in a timely manner using one of the multiple communication lines</w:t>
            </w:r>
          </w:p>
          <w:p>
            <w:pPr/>
            <w:r>
              <w:rPr/>
              <w:t xml:space="preserve"/>
            </w:r>
          </w:p>
          <w:p>
            <w:pPr/>
            <w:r>
              <w:rPr/>
              <w:t xml:space="preserve">[Minor revisions to target during inception phase for clarity and addition of 2015 census information]</w:t>
            </w:r>
          </w:p>
        </w:tc>
        <w:tc>
          <w:tcPr>
            <w:tcW w:w="4000" w:type="dxa"/>
            <w:gridSpan w:val="1"/>
          </w:tcPr>
          <w:p>
            <w:pPr/>
            <w:r>
              <w:rPr/>
              <w:t xml:space="preserve">Implementation progress: 100%  / target achieved</w:t>
            </w:r>
          </w:p>
          <w:p>
            <w:pPr/>
            <w:r>
              <w:rPr/>
              <w:t xml:space="preserve"/>
            </w:r>
          </w:p>
          <w:p>
            <w:pPr/>
            <w:r>
              <w:rPr/>
              <w:t xml:space="preserve">The Early Warning System is operational in Kiribati, covering 100% of the population of Kiribati (109,693 of which 55,591 are women).</w:t>
            </w:r>
          </w:p>
          <w:p>
            <w:pPr/>
            <w:r>
              <w:rPr/>
              <w:t xml:space="preserve">Advisories, warnings, and weather forecasts are shared via frequent radio messages, sms, email, website, and social media-channels. In this reporting period (July 2020-June 2021), weather warnings were issued for gusty and strong wind, swell, and extreme tides. No drought warnings were issued.</w:t>
            </w:r>
          </w:p>
          <w:p>
            <w:pPr/>
            <w:r>
              <w:rPr/>
              <w:t xml:space="preserve"/>
            </w:r>
          </w:p>
          <w:p>
            <w:pPr/>
            <w:r>
              <w:rPr/>
              <w:t xml:space="preserve">Meteorological data collection, processing and services in Kiribati have significantly improved during the project period. The project has increased the number of islands with Automated Weather Stations (AWS)/Early Warning System (EWS) from 6 to 9 (5 additional planned in 2021) out of 22 inhabited islands.</w:t>
            </w:r>
          </w:p>
          <w:p>
            <w:pPr/>
            <w:r>
              <w:rPr/>
              <w:t xml:space="preserve">The AWSs are operational at the 3 pilot islands and contributes to:</w:t>
            </w:r>
          </w:p>
          <w:p>
            <w:pPr/>
            <w:r>
              <w:rPr/>
              <w:t xml:space="preserve">1) Monitoring and detection (data collection)</w:t>
            </w:r>
          </w:p>
          <w:p>
            <w:pPr/>
            <w:r>
              <w:rPr/>
              <w:t xml:space="preserve">2) Data analysis (services)</w:t>
            </w:r>
          </w:p>
          <w:p>
            <w:pPr/>
            <w:r>
              <w:rPr/>
              <w:t xml:space="preserve">3) Dissemination of information.</w:t>
            </w:r>
          </w:p>
          <w:p>
            <w:pPr/>
            <w:r>
              <w:rPr/>
              <w:t xml:space="preserve"/>
            </w:r>
          </w:p>
          <w:p>
            <w:pPr/>
            <w:r>
              <w:rPr/>
              <w:t xml:space="preserve">The system sends near-real time (10-minutes interval readings) data to the Kiribati Meteorological Services every hour covering:</w:t>
            </w:r>
          </w:p>
          <w:p>
            <w:pPr/>
            <w:r>
              <w:rPr/>
              <w:t xml:space="preserve">-	Wind speed and direction</w:t>
            </w:r>
          </w:p>
          <w:p>
            <w:pPr/>
            <w:r>
              <w:rPr/>
              <w:t xml:space="preserve">-	Air temperature</w:t>
            </w:r>
          </w:p>
          <w:p>
            <w:pPr/>
            <w:r>
              <w:rPr/>
              <w:t xml:space="preserve">-	Relative Humidity</w:t>
            </w:r>
          </w:p>
          <w:p>
            <w:pPr/>
            <w:r>
              <w:rPr/>
              <w:t xml:space="preserve">-	Rainfall</w:t>
            </w:r>
          </w:p>
          <w:p>
            <w:pPr/>
            <w:r>
              <w:rPr/>
              <w:t xml:space="preserve">-	Barometric Pressure</w:t>
            </w:r>
          </w:p>
          <w:p>
            <w:pPr/>
            <w:r>
              <w:rPr/>
              <w:t xml:space="preserve">-	Solar Radiation.</w:t>
            </w:r>
          </w:p>
          <w:p>
            <w:pPr/>
            <w:r>
              <w:rPr/>
              <w:t xml:space="preserve"/>
            </w:r>
          </w:p>
          <w:p>
            <w:pPr/>
            <w:r>
              <w:rPr/>
              <w:t xml:space="preserve">Pending improvements (real time data displays at pilot islands, data sharing with key government departments) are in progress  but delayed due to COVID-19 border closure since March 2020 (planned Q3 and Q4 2021).</w:t>
            </w:r>
          </w:p>
          <w:p>
            <w:pPr/>
            <w:r>
              <w:rPr/>
              <w:t xml:space="preserve"/>
            </w:r>
          </w:p>
        </w:tc>
        <w:tc>
          <w:tcPr>
            <w:tcW w:w="4000" w:type="dxa"/>
            <w:gridSpan w:val="1"/>
          </w:tcPr>
          <w:p>
            <w:pPr/>
            <w:r>
              <w:rPr/>
              <w:t xml:space="preserve">Implementation progress: 100% (target achieved)</w:t>
            </w:r>
          </w:p>
          <w:p>
            <w:pPr/>
            <w:r>
              <w:rPr/>
              <w:t xml:space="preserve"/>
            </w:r>
          </w:p>
          <w:p>
            <w:pPr/>
            <w:r>
              <w:rPr/>
              <w:t xml:space="preserve">The Early Warning System is operational in Kiribati, covering 100% of the population of Kiribati (109,693 of which 55,591 are women).</w:t>
            </w:r>
          </w:p>
          <w:p>
            <w:pPr/>
            <w:r>
              <w:rPr/>
              <w:t xml:space="preserve"/>
            </w:r>
          </w:p>
          <w:p>
            <w:pPr/>
            <w:r>
              <w:rPr/>
              <w:t xml:space="preserve">Advisories, warnings, and weather forecasts are shared via frequent radio messages, sms, email, website, and social media-channels. In this reporting period (July 2021-June 2022), weather warnings were issued for gusty and strong wind, swell, and extreme tides. No drought warnings were issued.</w:t>
            </w:r>
          </w:p>
          <w:p>
            <w:pPr/>
            <w:r>
              <w:rPr/>
              <w:t xml:space="preserve"/>
            </w:r>
          </w:p>
          <w:p>
            <w:pPr/>
            <w:r>
              <w:rPr/>
              <w:t xml:space="preserve">Pending improvements (real time data displays at pilot islands, data sharing with key government departments) have been delayed due to COVID-19 border closure, but the equipment shipment arrived in November 2021 (after 1.5 years delay due to COVID-19). Virtual training for installment prior to the installation at pilot islands was delayed in 2022, but planned in Q3 and Q4 2022.</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Institutional capacity development to reduce vulnerability to climate change-induced food shortages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4. GoK provides annual financial support (in-kind and/or grant) to maintain of national adaptation and monitoring tool.</w:t>
            </w:r>
          </w:p>
          <w:p>
            <w:pPr/>
            <w:r>
              <w:rPr/>
              <w:t xml:space="preserve"/>
            </w:r>
          </w:p>
          <w:p>
            <w:pPr/>
            <w:r>
              <w:rPr/>
              <w:t xml:space="preserve">[Minor amendments to indicator wording during inception phase for clarity]</w:t>
            </w:r>
          </w:p>
        </w:tc>
        <w:tc>
          <w:tcPr>
            <w:tcW w:w="2000" w:type="dxa"/>
            <w:gridSpan w:val="1"/>
          </w:tcPr>
          <w:p>
            <w:pPr/>
            <w:r>
              <w:rPr/>
              <w:t xml:space="preserve">GoK annual support for AMAT:  0</w:t>
            </w:r>
          </w:p>
          <w:p>
            <w:pPr/>
            <w:r>
              <w:rPr/>
              <w:t xml:space="preserve"/>
            </w:r>
          </w:p>
          <w:p>
            <w:pPr/>
            <w:r>
              <w:rPr/>
              <w:t xml:space="preserve">Investment in current monitoring system TBD.</w:t>
            </w:r>
          </w:p>
        </w:tc>
        <w:tc>
          <w:tcPr>
            <w:tcW w:w="2000" w:type="dxa"/>
            <w:gridSpan w:val="1"/>
          </w:tcPr>
          <w:p>
            <w:pPr/>
            <w:r>
              <w:rPr>
                <w:i w:val="1"/>
                <w:iCs w:val="1"/>
              </w:rPr>
              <w:t xml:space="preserve">(not set or not applicable)</w:t>
            </w:r>
          </w:p>
        </w:tc>
        <w:tc>
          <w:tcPr>
            <w:tcW w:w="2000" w:type="dxa"/>
            <w:gridSpan w:val="1"/>
          </w:tcPr>
          <w:p>
            <w:pPr/>
            <w:r>
              <w:rPr/>
              <w:t xml:space="preserve">GoK annual support for AMAT: AU$ 25,000 (approx. US$ 18,000)</w:t>
            </w:r>
          </w:p>
          <w:p>
            <w:pPr/>
            <w:r>
              <w:rPr/>
              <w:t xml:space="preserve"/>
            </w:r>
          </w:p>
          <w:p>
            <w:pPr/>
            <w:r>
              <w:rPr/>
              <w:t xml:space="preserve">[Target amended during inception phase to AU$ 25,000; original target was US$ 25,000]</w:t>
            </w:r>
          </w:p>
        </w:tc>
        <w:tc>
          <w:tcPr>
            <w:tcW w:w="4000" w:type="dxa"/>
            <w:gridSpan w:val="1"/>
          </w:tcPr>
          <w:p>
            <w:pPr/>
            <w:r>
              <w:rPr/>
              <w:t xml:space="preserve">Implementation progress: 60 % / target progressing</w:t>
            </w:r>
          </w:p>
          <w:p>
            <w:pPr/>
            <w:r>
              <w:rPr/>
              <w:t xml:space="preserve"/>
            </w:r>
          </w:p>
          <w:p>
            <w:pPr/>
            <w:r>
              <w:rPr/>
              <w:t xml:space="preserve">The Adaptation Monitoring and Assessment Tool (AMAT) platform has been established online (https://www.kiribatiamat.net), but is still under construction, with some sections locked that contain raw data from sectors.</w:t>
            </w:r>
          </w:p>
          <w:p>
            <w:pPr/>
            <w:r>
              <w:rPr/>
              <w:t xml:space="preserve"/>
            </w:r>
          </w:p>
          <w:p>
            <w:pPr/>
            <w:r>
              <w:rPr/>
              <w:t xml:space="preserve">A Multi-sector technical working group (health, agriculture, tourism, fisheries, environment, meteorology) is working on data entry and display on the AMAT platform (7 workshop retreats held this reporting period). Domains/subdomains have been created for most sectors, and it is estimated that around half of the required data has been submitted.</w:t>
            </w:r>
          </w:p>
          <w:p>
            <w:pPr/>
            <w:r>
              <w:rPr/>
              <w:t xml:space="preserve"/>
            </w:r>
          </w:p>
          <w:p>
            <w:pPr/>
            <w:r>
              <w:rPr/>
              <w:t xml:space="preserve">Expected timeline for finalization:</w:t>
            </w:r>
          </w:p>
          <w:p>
            <w:pPr/>
            <w:r>
              <w:rPr/>
              <w:t xml:space="preserve">- National level: November 2021</w:t>
            </w:r>
          </w:p>
          <w:p>
            <w:pPr/>
            <w:r>
              <w:rPr/>
              <w:t xml:space="preserve">- Island level: Installation and training December – January 2022.</w:t>
            </w:r>
          </w:p>
          <w:p>
            <w:pPr/>
            <w:r>
              <w:rPr/>
              <w:t xml:space="preserve">Launching: February 2022.</w:t>
            </w:r>
          </w:p>
          <w:p>
            <w:pPr/>
            <w:r>
              <w:rPr/>
              <w:t xml:space="preserve"/>
            </w:r>
          </w:p>
          <w:p>
            <w:pPr/>
            <w:r>
              <w:rPr/>
              <w:t xml:space="preserve">AMAT is a component of the Environmental Management and Information System (EMIS) currently funded by the project Implementing Partner Ministry of Environment, Lands and Agriculture (MELAD). Government financial support for AMAT will be requested for Cabinet's approval once the AMAT is finalized.</w:t>
            </w:r>
          </w:p>
          <w:p>
            <w:pPr/>
            <w:r>
              <w:rPr/>
              <w:t xml:space="preserve"/>
            </w:r>
          </w:p>
        </w:tc>
        <w:tc>
          <w:tcPr>
            <w:tcW w:w="4000" w:type="dxa"/>
            <w:gridSpan w:val="1"/>
          </w:tcPr>
          <w:p>
            <w:pPr/>
            <w:r>
              <w:rPr/>
              <w:t xml:space="preserve">The Adaptation Monitoring and Assessment Tool (AMAT) platform (https://www.kiribatiamat.net) is still under construction.</w:t>
            </w:r>
          </w:p>
          <w:p>
            <w:pPr/>
            <w:r>
              <w:rPr/>
              <w:t xml:space="preserve">Launching is planned at the national level in Q3 2022.</w:t>
            </w:r>
          </w:p>
          <w:p>
            <w:pPr/>
            <w:r>
              <w:rPr/>
              <w:t xml:space="preserve"/>
            </w:r>
          </w:p>
          <w:p>
            <w:pPr/>
            <w:r>
              <w:rPr/>
              <w:t xml:space="preserve">The Multi-sector technical working group (health, agriculture, tourism, fisheries, environment, meteorology) met 2 times and had 1 weekend retreat in Q4 2021 where</w:t>
            </w:r>
          </w:p>
          <w:p>
            <w:pPr/>
            <w:r>
              <w:rPr/>
              <w:t xml:space="preserve">issues and challenges related to ICT was discussed, as well as the work plan for 2022. However, due to COVID19 lock-down, there was no progress in 2022.</w:t>
            </w:r>
          </w:p>
          <w:p>
            <w:pPr/>
            <w:r>
              <w:rPr/>
              <w:t xml:space="preserve"/>
            </w:r>
          </w:p>
          <w:p>
            <w:pPr/>
            <w:r>
              <w:rPr/>
              <w:t xml:space="preserve">Due to Covid19, the Installation of AMAT set-ups at the pilot islands was also postponed, including the planned (virtual) training. This is planned in Q3 and Q4 2022 and required follow-up activities as part of the project exit/sustainability plan.</w:t>
            </w:r>
          </w:p>
        </w:tc>
      </w:tr>
      <w:tr>
        <w:trPr/>
        <w:tc>
          <w:tcPr>
            <w:tcW w:w="4000" w:type="dxa"/>
            <w:gridSpan w:val="1"/>
          </w:tcPr>
          <w:p>
            <w:pPr/>
            <w:r>
              <w:rPr/>
              <w:t xml:space="preserve">[Indicator moved]</w:t>
            </w:r>
          </w:p>
          <w:p>
            <w:pPr/>
            <w:r>
              <w:rPr/>
              <w:t xml:space="preserve">Total hectares of island territory managed according to land use plans developed using national guidelines for ecosystem-based adaptation management</w:t>
            </w:r>
          </w:p>
          <w:p>
            <w:pPr/>
            <w:r>
              <w:rPr/>
              <w:t xml:space="preserve"/>
            </w:r>
          </w:p>
          <w:p>
            <w:pPr/>
            <w:r>
              <w:rPr/>
              <w:t xml:space="preserve">[Indicator moved to Outcome 2 during inception phase to improve fit to project activities and outputs]</w:t>
            </w:r>
          </w:p>
        </w:tc>
        <w:tc>
          <w:tcPr>
            <w:tcW w:w="2000" w:type="dxa"/>
            <w:gridSpan w:val="1"/>
          </w:tcPr>
          <w:p>
            <w:pPr/>
            <w:r>
              <w:rPr/>
              <w:t xml:space="preserve">[moved]</w:t>
            </w:r>
          </w:p>
        </w:tc>
        <w:tc>
          <w:tcPr>
            <w:tcW w:w="2000" w:type="dxa"/>
            <w:gridSpan w:val="1"/>
          </w:tcPr>
          <w:p>
            <w:pPr/>
            <w:r>
              <w:rPr>
                <w:i w:val="1"/>
                <w:iCs w:val="1"/>
              </w:rPr>
              <w:t xml:space="preserve">(not set or not applicable)</w:t>
            </w:r>
          </w:p>
        </w:tc>
        <w:tc>
          <w:tcPr>
            <w:tcW w:w="2000" w:type="dxa"/>
            <w:gridSpan w:val="1"/>
          </w:tcPr>
          <w:p>
            <w:pPr/>
            <w:r>
              <w:rPr/>
              <w:t xml:space="preserve">[moved]</w:t>
            </w:r>
          </w:p>
        </w:tc>
        <w:tc>
          <w:tcPr>
            <w:tcW w:w="4000" w:type="dxa"/>
            <w:gridSpan w:val="1"/>
          </w:tcPr>
          <w:p>
            <w:pPr/>
            <w:r>
              <w:rPr/>
              <w:t xml:space="preserve">n/a</w:t>
            </w:r>
          </w:p>
        </w:tc>
        <w:tc>
          <w:tcPr>
            <w:tcW w:w="4000" w:type="dxa"/>
            <w:gridSpan w:val="1"/>
          </w:tcPr>
          <w:p>
            <w:pPr/>
            <w:r>
              <w:rPr>
                <w:i w:val="1"/>
                <w:iCs w:val="1"/>
              </w:rPr>
              <w:t xml:space="preserve">(not set or not applicable)</w:t>
            </w:r>
          </w:p>
        </w:tc>
      </w:tr>
      <w:tr>
        <w:trPr/>
        <w:tc>
          <w:tcPr>
            <w:tcW w:w="4000" w:type="dxa"/>
            <w:gridSpan w:val="1"/>
          </w:tcPr>
          <w:p>
            <w:pPr/>
            <w:r>
              <w:rPr/>
              <w:t xml:space="preserve">[Indicator moved]</w:t>
            </w:r>
          </w:p>
          <w:p>
            <w:pPr/>
            <w:r>
              <w:rPr/>
              <w:t xml:space="preserve">Hectares of coastal zone fishing management areas regulated through zoning system as a result of national regulatory tool adopted by GoK.</w:t>
            </w:r>
          </w:p>
          <w:p>
            <w:pPr/>
            <w:r>
              <w:rPr/>
              <w:t xml:space="preserve"/>
            </w:r>
          </w:p>
          <w:p>
            <w:pPr/>
            <w:r>
              <w:rPr/>
              <w:t xml:space="preserve">[Indicator moved to Outcome 2 during inception phase to improve fit to project activities and outputs]</w:t>
            </w:r>
          </w:p>
        </w:tc>
        <w:tc>
          <w:tcPr>
            <w:tcW w:w="2000" w:type="dxa"/>
            <w:gridSpan w:val="1"/>
          </w:tcPr>
          <w:p>
            <w:pPr/>
            <w:r>
              <w:rPr/>
              <w:t xml:space="preserve">[moved]</w:t>
            </w:r>
          </w:p>
        </w:tc>
        <w:tc>
          <w:tcPr>
            <w:tcW w:w="2000" w:type="dxa"/>
            <w:gridSpan w:val="1"/>
          </w:tcPr>
          <w:p>
            <w:pPr/>
            <w:r>
              <w:rPr>
                <w:i w:val="1"/>
                <w:iCs w:val="1"/>
              </w:rPr>
              <w:t xml:space="preserve">(not set or not applicable)</w:t>
            </w:r>
          </w:p>
        </w:tc>
        <w:tc>
          <w:tcPr>
            <w:tcW w:w="2000" w:type="dxa"/>
            <w:gridSpan w:val="1"/>
          </w:tcPr>
          <w:p>
            <w:pPr/>
            <w:r>
              <w:rPr/>
              <w:t xml:space="preserve">[moved]</w:t>
            </w:r>
          </w:p>
        </w:tc>
        <w:tc>
          <w:tcPr>
            <w:tcW w:w="4000" w:type="dxa"/>
            <w:gridSpan w:val="1"/>
          </w:tcPr>
          <w:p>
            <w:pPr/>
            <w:r>
              <w:rPr/>
              <w:t xml:space="preserve">n/a</w:t>
            </w:r>
          </w:p>
        </w:tc>
        <w:tc>
          <w:tcPr>
            <w:tcW w:w="4000" w:type="dxa"/>
            <w:gridSpan w:val="1"/>
          </w:tcPr>
          <w:p>
            <w:pPr/>
            <w:r>
              <w:rPr>
                <w:i w:val="1"/>
                <w:iCs w:val="1"/>
              </w:rPr>
              <w:t xml:space="preserve">(not set or not applicable)</w:t>
            </w:r>
          </w:p>
        </w:tc>
      </w:tr>
      <w:tr>
        <w:trPr/>
        <w:tc>
          <w:tcPr>
            <w:tcW w:w="4000" w:type="dxa"/>
            <w:gridSpan w:val="1"/>
          </w:tcPr>
          <w:p>
            <w:pPr/>
            <w:r>
              <w:rPr/>
              <w:t xml:space="preserve">5. Coastal Zone Fisheries Regulation adopted based upon increased level of national awareness about links between improved coastal ecosystem management and sustainability and resilience of subsistence coastal fisheries livelihoods.</w:t>
            </w:r>
          </w:p>
        </w:tc>
        <w:tc>
          <w:tcPr>
            <w:tcW w:w="2000" w:type="dxa"/>
            <w:gridSpan w:val="1"/>
          </w:tcPr>
          <w:p>
            <w:pPr/>
            <w:r>
              <w:rPr/>
              <w:t xml:space="preserve">0: National Coastal Zone Fishing Regulation adopted</w:t>
            </w:r>
          </w:p>
        </w:tc>
        <w:tc>
          <w:tcPr>
            <w:tcW w:w="2000" w:type="dxa"/>
            <w:gridSpan w:val="1"/>
          </w:tcPr>
          <w:p>
            <w:pPr/>
            <w:r>
              <w:rPr>
                <w:i w:val="1"/>
                <w:iCs w:val="1"/>
              </w:rPr>
              <w:t xml:space="preserve">(not set or not applicable)</w:t>
            </w:r>
          </w:p>
        </w:tc>
        <w:tc>
          <w:tcPr>
            <w:tcW w:w="2000" w:type="dxa"/>
            <w:gridSpan w:val="1"/>
          </w:tcPr>
          <w:p>
            <w:pPr/>
            <w:r>
              <w:rPr/>
              <w:t xml:space="preserve">1: National Coastal Zone Fishing Regulation adopted</w:t>
            </w:r>
          </w:p>
        </w:tc>
        <w:tc>
          <w:tcPr>
            <w:tcW w:w="4000" w:type="dxa"/>
            <w:gridSpan w:val="1"/>
          </w:tcPr>
          <w:p>
            <w:pPr/>
            <w:r>
              <w:rPr/>
              <w:t xml:space="preserve">Implementation progress 100% / target achieved.</w:t>
            </w:r>
          </w:p>
          <w:p>
            <w:pPr/>
            <w:r>
              <w:rPr/>
              <w:t xml:space="preserve"/>
            </w:r>
          </w:p>
          <w:p>
            <w:pPr/>
            <w:r>
              <w:rPr/>
              <w:t xml:space="preserve">The Fisheries Conservation and Management of Coastal Marine Resources Regulation 2019 is being enforced nationally in Kiribati.</w:t>
            </w:r>
          </w:p>
          <w:p>
            <w:pPr/>
            <w:r>
              <w:rPr/>
              <w:t xml:space="preserve"/>
            </w:r>
          </w:p>
          <w:p>
            <w:pPr/>
            <w:r>
              <w:rPr/>
              <w:t xml:space="preserve">Positive impacts on marine resources are now being noticed as reflected in indicator 2 monitoring results and observed by island fisheries extension staff and communities.</w:t>
            </w:r>
          </w:p>
          <w:p>
            <w:pPr/>
            <w:r>
              <w:rPr/>
              <w:t xml:space="preserve"/>
            </w:r>
          </w:p>
          <w:p>
            <w:pPr/>
            <w:r>
              <w:rPr/>
              <w:t xml:space="preserve">Enforcing the regulation at both the capital and all islands, including the pilot islands, is challenging.</w:t>
            </w:r>
          </w:p>
          <w:p>
            <w:pPr/>
            <w:r>
              <w:rPr/>
              <w:t xml:space="preserve">The project and co-financing projects are providing continuous awareness and enforcement support, as there are still misunderstandings of the importance of closed fishing seasons and control of prohibited fishing gears by communities and fishermen.</w:t>
            </w:r>
          </w:p>
        </w:tc>
        <w:tc>
          <w:tcPr>
            <w:tcW w:w="4000" w:type="dxa"/>
            <w:gridSpan w:val="1"/>
          </w:tcPr>
          <w:p>
            <w:pPr/>
            <w:r>
              <w:rPr/>
              <w:t xml:space="preserve">Implementation progress: 100% (target achieved).</w:t>
            </w:r>
          </w:p>
          <w:p>
            <w:pPr/>
            <w:r>
              <w:rPr/>
              <w:t xml:space="preserve"/>
            </w:r>
          </w:p>
          <w:p>
            <w:pPr/>
            <w:r>
              <w:rPr/>
              <w:t xml:space="preserve">The Fisheries Conservation and Management of Coastal Marine Resources Regulation 2019 is being enforced nationally in Kiribati.</w:t>
            </w:r>
          </w:p>
          <w:p>
            <w:pPr/>
            <w:r>
              <w:rPr/>
              <w:t xml:space="preserve"/>
            </w:r>
          </w:p>
          <w:p>
            <w:pPr/>
            <w:r>
              <w:rPr/>
              <w:t xml:space="preserve">Awareness raising and regulation enforcement of village wardens continued at Maiana and Abemama (co-finance).</w:t>
            </w:r>
          </w:p>
          <w:p>
            <w:pPr/>
            <w:r>
              <w:rPr/>
              <w:t xml:space="preserve"/>
            </w:r>
          </w:p>
          <w:p>
            <w:pPr/>
            <w:r>
              <w:rPr/>
              <w:t xml:space="preserve">According to the household survey carried out by the communications team from December 2021-February 2022 covering over 90% of households at 2 pilot islands (Maiana and Abemama) 86% of households are aware of the National Coastal Fisheries regulation, whereas 67% are aware of the locally established fisheries recovery zones. 77% of respondents are in favor of these initiatives for sustainable fisheries management.</w:t>
            </w:r>
          </w:p>
        </w:tc>
      </w:tr>
      <w:tr>
        <w:trPr/>
        <w:tc>
          <w:tcPr>
            <w:tcW w:w="4000" w:type="dxa"/>
            <w:gridSpan w:val="1"/>
          </w:tcPr>
          <w:p>
            <w:pPr/>
            <w:r>
              <w:rPr/>
              <w:t xml:space="preserve">6. Cohort of eight extension officers increase capacity score as a result of project training program based upon GEF Capacity Result 2 (Capacities to generate, access and use information knowledge).</w:t>
            </w:r>
          </w:p>
        </w:tc>
        <w:tc>
          <w:tcPr>
            <w:tcW w:w="2000" w:type="dxa"/>
            <w:gridSpan w:val="1"/>
          </w:tcPr>
          <w:p>
            <w:pPr/>
            <w:r>
              <w:rPr/>
              <w:t xml:space="preserve">Cohort of eight agriculture extension officers CR2 capacity score:  3</w:t>
            </w:r>
          </w:p>
          <w:p>
            <w:pPr/>
            <w:r>
              <w:rPr/>
              <w:t xml:space="preserve"/>
            </w:r>
          </w:p>
          <w:p>
            <w:pPr/>
            <w:r>
              <w:rPr/>
              <w:t xml:space="preserve">Cohort of eight fisheries extension officers CR2 capacity score:  3</w:t>
            </w:r>
          </w:p>
          <w:p>
            <w:pPr/>
            <w:r>
              <w:rPr/>
              <w:t xml:space="preserve"/>
            </w:r>
          </w:p>
          <w:p>
            <w:pPr/>
            <w:r>
              <w:rPr/>
              <w:t xml:space="preserve">* Score range:  0 - 15</w:t>
            </w:r>
          </w:p>
        </w:tc>
        <w:tc>
          <w:tcPr>
            <w:tcW w:w="2000" w:type="dxa"/>
            <w:gridSpan w:val="1"/>
          </w:tcPr>
          <w:p>
            <w:pPr/>
            <w:r>
              <w:rPr>
                <w:i w:val="1"/>
                <w:iCs w:val="1"/>
              </w:rPr>
              <w:t xml:space="preserve">(not set or not applicable)</w:t>
            </w:r>
          </w:p>
        </w:tc>
        <w:tc>
          <w:tcPr>
            <w:tcW w:w="2000" w:type="dxa"/>
            <w:gridSpan w:val="1"/>
          </w:tcPr>
          <w:p>
            <w:pPr/>
            <w:r>
              <w:rPr/>
              <w:t xml:space="preserve">Cohort of eight agriculture extension officers CR2 capacity score:  15</w:t>
            </w:r>
          </w:p>
          <w:p>
            <w:pPr/>
            <w:r>
              <w:rPr/>
              <w:t xml:space="preserve"/>
            </w:r>
          </w:p>
          <w:p>
            <w:pPr/>
            <w:r>
              <w:rPr/>
              <w:t xml:space="preserve">Cohort of eight fisheries extension officers CR2 capacity score:  15</w:t>
            </w:r>
          </w:p>
          <w:p>
            <w:pPr/>
            <w:r>
              <w:rPr/>
              <w:t xml:space="preserve"/>
            </w:r>
          </w:p>
          <w:p>
            <w:pPr/>
            <w:r>
              <w:rPr/>
              <w:t xml:space="preserve">* Score range:  0 - 15</w:t>
            </w:r>
          </w:p>
        </w:tc>
        <w:tc>
          <w:tcPr>
            <w:tcW w:w="4000" w:type="dxa"/>
            <w:gridSpan w:val="1"/>
          </w:tcPr>
          <w:p>
            <w:pPr/>
            <w:r>
              <w:rPr/>
              <w:t xml:space="preserve">Implementation progress:  90% / target on-track</w:t>
            </w:r>
          </w:p>
          <w:p>
            <w:pPr/>
            <w:r>
              <w:rPr/>
              <w:t xml:space="preserve"/>
            </w:r>
          </w:p>
          <w:p>
            <w:pPr/>
            <w:r>
              <w:rPr/>
              <w:t xml:space="preserve">A final assessment of GEF CR2 capacity scores of MELAD and MFMRD extension staff will be carried out by the end of the project.</w:t>
            </w:r>
          </w:p>
          <w:p>
            <w:pPr/>
            <w:r>
              <w:rPr/>
              <w:t xml:space="preserve">A status assessment done in June 2021 evaluated the GEF capacity score to 12-13 (target 15).</w:t>
            </w:r>
          </w:p>
          <w:p>
            <w:pPr/>
            <w:r>
              <w:rPr/>
              <w:t xml:space="preserve"/>
            </w:r>
          </w:p>
          <w:p>
            <w:pPr/>
            <w:r>
              <w:rPr/>
              <w:t xml:space="preserve">The staffing situation as the pilot island has improved, with both government and project-based extension assistant positions filled at all 3 pilot islands:</w:t>
            </w:r>
          </w:p>
          <w:p>
            <w:pPr/>
            <w:r>
              <w:rPr/>
              <w:t xml:space="preserve">- Agricultural Assistant (AA)</w:t>
            </w:r>
          </w:p>
          <w:p>
            <w:pPr/>
            <w:r>
              <w:rPr/>
              <w:t xml:space="preserve">- Assistant to Agricultural Assistant</w:t>
            </w:r>
          </w:p>
          <w:p>
            <w:pPr/>
            <w:r>
              <w:rPr/>
              <w:t xml:space="preserve">- Agriculture Nurseryman</w:t>
            </w:r>
          </w:p>
          <w:p>
            <w:pPr/>
            <w:r>
              <w:rPr/>
              <w:t xml:space="preserve">- Fisheries Assistant (FA)</w:t>
            </w:r>
          </w:p>
          <w:p>
            <w:pPr/>
            <w:r>
              <w:rPr/>
              <w:t xml:space="preserve">- Fisheries Extension Assistant (FEA)</w:t>
            </w:r>
          </w:p>
          <w:p>
            <w:pPr/>
            <w:r>
              <w:rPr/>
              <w:t xml:space="preserve"/>
            </w:r>
          </w:p>
          <w:p>
            <w:pPr/>
            <w:r>
              <w:rPr/>
              <w:t xml:space="preserve">On-the-job training is continuously ensured by both Fisheries, Agriculture and Environment departments during visits to the pilot islands.</w:t>
            </w:r>
          </w:p>
          <w:p>
            <w:pPr/>
            <w:r>
              <w:rPr/>
              <w:t xml:space="preserve"/>
            </w:r>
          </w:p>
        </w:tc>
        <w:tc>
          <w:tcPr>
            <w:tcW w:w="4000" w:type="dxa"/>
            <w:gridSpan w:val="1"/>
          </w:tcPr>
          <w:p>
            <w:pPr/>
            <w:r>
              <w:rPr/>
              <w:t xml:space="preserve">Implementation progress:  90%  target on-track</w:t>
            </w:r>
          </w:p>
          <w:p>
            <w:pPr/>
            <w:r>
              <w:rPr/>
              <w:t xml:space="preserve"/>
            </w:r>
          </w:p>
          <w:p>
            <w:pPr/>
            <w:r>
              <w:rPr/>
              <w:t xml:space="preserve">A status assessment from July 2022 evaluated the GEF CR2 capacity score to 12-13 (target 15).  It is unlikely that the capacity score will increase further before the end of the project, due to the way the scorecard is established.</w:t>
            </w:r>
          </w:p>
          <w:p>
            <w:pPr/>
            <w:r>
              <w:rPr/>
              <w:t xml:space="preserve"/>
            </w:r>
          </w:p>
          <w:p>
            <w:pPr/>
            <w:r>
              <w:rPr/>
              <w:t xml:space="preserve">The Agriculture and Fisheries sectors are conducting regular assessments of their staff capacities, which to the extent possible are considered in the GEF scorecard, however the methodologies are not comparable.</w:t>
            </w:r>
          </w:p>
          <w:p>
            <w:pPr/>
            <w:r>
              <w:rPr/>
              <w:t xml:space="preserve"/>
            </w:r>
          </w:p>
          <w:p>
            <w:pPr/>
            <w:r>
              <w:rPr/>
              <w:t xml:space="preserve">On-the-job training in this reporting period has been limited to Q4 2021 and Q1 2022 due to implementation halt and COVID19-travel restrictions.</w:t>
            </w:r>
          </w:p>
          <w:p>
            <w:pPr/>
            <w:r>
              <w:rPr/>
              <w:t xml:space="preserve"/>
            </w:r>
          </w:p>
          <w:p>
            <w:pPr/>
            <w:r>
              <w:rPr/>
              <w:t xml:space="preserve">In addition, interviews were conducted by the project communication team with extension staff at Maiana and Abemama between December -February 2022 to understand and document the lessons and challenges encountered by the island extension staff.</w:t>
            </w:r>
          </w:p>
        </w:tc>
      </w:tr>
      <w:tr>
        <w:trPr/>
        <w:tc>
          <w:tcPr>
            <w:tcW w:w="4000" w:type="dxa"/>
            <w:gridSpan w:val="1"/>
          </w:tcPr>
          <w:p>
            <w:pPr/>
            <w:r>
              <w:rPr/>
              <w:t xml:space="preserve">7. Number of project beneficiaries</w:t>
            </w:r>
          </w:p>
          <w:p>
            <w:pPr/>
            <w:r>
              <w:rPr/>
              <w:t xml:space="preserve">(includes people engaged in training, awareness-raising and education, pilot villages, delivery of project initiatives, stakeholder meetings and project governance)</w:t>
            </w:r>
          </w:p>
          <w:p>
            <w:pPr/>
            <w:r>
              <w:rPr/>
              <w:t xml:space="preserve"/>
            </w:r>
          </w:p>
          <w:p>
            <w:pPr/>
            <w:r>
              <w:rPr/>
              <w:t xml:space="preserve">[NEW indicator added during inception phase]</w:t>
            </w:r>
          </w:p>
          <w:p>
            <w:pPr/>
            <w:r>
              <w:rPr/>
              <w:t xml:space="preserve"/>
            </w:r>
          </w:p>
        </w:tc>
        <w:tc>
          <w:tcPr>
            <w:tcW w:w="2000" w:type="dxa"/>
            <w:gridSpan w:val="1"/>
          </w:tcPr>
          <w:p>
            <w:pPr/>
            <w:r>
              <w:rPr/>
              <w:t xml:space="preserve">0</w:t>
            </w:r>
          </w:p>
        </w:tc>
        <w:tc>
          <w:tcPr>
            <w:tcW w:w="2000" w:type="dxa"/>
            <w:gridSpan w:val="1"/>
          </w:tcPr>
          <w:p>
            <w:pPr/>
            <w:r>
              <w:rPr>
                <w:i w:val="1"/>
                <w:iCs w:val="1"/>
              </w:rPr>
              <w:t xml:space="preserve">(not set or not applicable)</w:t>
            </w:r>
          </w:p>
        </w:tc>
        <w:tc>
          <w:tcPr>
            <w:tcW w:w="2000" w:type="dxa"/>
            <w:gridSpan w:val="1"/>
          </w:tcPr>
          <w:p>
            <w:pPr/>
            <w:r>
              <w:rPr/>
              <w:t xml:space="preserve">10,000 (of which at least 60% are women)</w:t>
            </w:r>
          </w:p>
        </w:tc>
        <w:tc>
          <w:tcPr>
            <w:tcW w:w="4000" w:type="dxa"/>
            <w:gridSpan w:val="1"/>
          </w:tcPr>
          <w:p>
            <w:pPr/>
            <w:r>
              <w:rPr/>
              <w:t xml:space="preserve">Implementation progress 100% / target achieved</w:t>
            </w:r>
          </w:p>
          <w:p>
            <w:pPr/>
            <w:r>
              <w:rPr/>
              <w:t xml:space="preserve"/>
            </w:r>
          </w:p>
          <w:p>
            <w:pPr/>
            <w:r>
              <w:rPr/>
              <w:t xml:space="preserve">Number of project beneficiaries: 26,469, (13,811 men and 12,770 women), counting people directly involved in project training, awareness, consultations, and other project field activities.</w:t>
            </w:r>
          </w:p>
          <w:p>
            <w:pPr/>
            <w:r>
              <w:rPr/>
              <w:t xml:space="preserve"/>
            </w:r>
          </w:p>
          <w:p>
            <w:pPr/>
            <w:r>
              <w:rPr/>
              <w:t xml:space="preserve">Double counting of beneficiaries is unavoidable in the way the indicator has been established, since individuals involved in multiple project-related activities are being recorded as beneficiaries several times.</w:t>
            </w:r>
          </w:p>
          <w:p>
            <w:pPr/>
            <w:r>
              <w:rPr/>
              <w:t xml:space="preserve">As reference, the total population of the 3 pilot islands is 7,987 (3,998 men and 3,989 women, 2015 census).</w:t>
            </w:r>
          </w:p>
          <w:p>
            <w:pPr/>
            <w:r>
              <w:rPr/>
              <w:t xml:space="preserve"/>
            </w:r>
          </w:p>
          <w:p>
            <w:pPr/>
            <w:r>
              <w:rPr/>
              <w:t xml:space="preserve">Comparatively, the project has had a direct impact on 48% women against 52% men. Considering the total island population and the high achievement of total number of beneficiaries, the target of reaching 60% women can be considered surpassed even though not relative to male beneficiaries.</w:t>
            </w:r>
          </w:p>
          <w:p>
            <w:pPr/>
            <w:r>
              <w:rPr/>
              <w:t xml:space="preserve"/>
            </w:r>
          </w:p>
        </w:tc>
        <w:tc>
          <w:tcPr>
            <w:tcW w:w="4000" w:type="dxa"/>
            <w:gridSpan w:val="1"/>
          </w:tcPr>
          <w:p>
            <w:pPr/>
            <w:r>
              <w:rPr/>
              <w:t xml:space="preserve">Implementation progress 100% / target achieved</w:t>
            </w:r>
          </w:p>
          <w:p>
            <w:pPr/>
            <w:r>
              <w:rPr/>
              <w:t xml:space="preserve"/>
            </w:r>
          </w:p>
          <w:p>
            <w:pPr/>
            <w:r>
              <w:rPr/>
              <w:t xml:space="preserve">Number of project beneficiaries: 30,682, (16,060 men and 14,622 women), counting people directly involved in project training, awareness, consultations, and other project field activities.</w:t>
            </w:r>
          </w:p>
          <w:p>
            <w:pPr/>
            <w:r>
              <w:rPr/>
              <w:t xml:space="preserve"/>
            </w:r>
          </w:p>
          <w:p>
            <w:pPr/>
            <w:r>
              <w:rPr/>
              <w:t xml:space="preserve">Double counting of beneficiaries is unavoidable in the way the indicator has been established, since individuals involved in multiple project-related activities are being recorded as beneficiaries several times. As reference, the total population of the 3 pilot islands is 7,987 (3,998 men and 3,989 women, 2015 census).</w:t>
            </w:r>
          </w:p>
          <w:p>
            <w:pPr/>
            <w:r>
              <w:rPr/>
              <w:t xml:space="preserve"/>
            </w:r>
          </w:p>
          <w:p>
            <w:pPr/>
            <w:r>
              <w:rPr/>
              <w:t xml:space="preserve">Comparatively, the project has had a direct impact on 48% women against 52% men. Considering the total island population and the high achievement of total number of beneficiaries, the target of reaching 60% women can be considered surpassed even though not relative to male beneficiaries.</w:t>
            </w:r>
          </w:p>
          <w:p>
            <w:pPr/>
            <w:r>
              <w:rPr/>
              <w:t xml:space="preserve"/>
            </w:r>
          </w:p>
          <w:p>
            <w:pPr/>
            <w:r>
              <w:rPr/>
              <w:t xml:space="preserve">A household survey carried out by the communications team from December 2021-February 2022 covering over 90% of households at 2 pilot islands (Maiana and Abemama) revealed that actual beneficiary numbers may be lower:</w:t>
            </w:r>
          </w:p>
          <w:p>
            <w:pPr/>
            <w:r>
              <w:rPr/>
              <w:t xml:space="preserve">-	46% of households indicated that they received training or attended other project activities related to climate change, environment, or food security</w:t>
            </w:r>
          </w:p>
          <w:p>
            <w:pPr/>
            <w:r>
              <w:rPr/>
              <w:t xml:space="preserve">-	45 % of respondents received training in other areas by the project (tourism, finance, etc.).</w:t>
            </w:r>
          </w:p>
          <w:p>
            <w:pPr/>
            <w:r>
              <w:rPr/>
              <w:t xml:space="preserve">-	43% of households participated in consultations or other project meetings.</w:t>
            </w:r>
          </w:p>
          <w:p>
            <w:pPr/>
            <w:r>
              <w:rPr/>
              <w:t xml:space="preserve">-	28% of households have participated in the development of community-based plans in either the area of environment or fisheries.</w:t>
            </w:r>
          </w:p>
          <w:p>
            <w:pPr/>
            <w:r>
              <w:rPr/>
              <w:t xml:space="preserve">-	52% of respondents use weather information from the automated weather stations, radio or other channels.</w:t>
            </w:r>
          </w:p>
          <w:p>
            <w:pPr/>
            <w:r>
              <w:rPr/>
              <w:t xml:space="preserve">-	Only 40% of households were involved in planting crops at their village or school, whereas 67% planted food crops at their household with support of the project.</w:t>
            </w:r>
          </w:p>
          <w:p>
            <w:pPr/>
            <w:r>
              <w:rPr/>
              <w:t xml:space="preserve">-	Overall, 76% or households found the project to be beneficial to them.</w:t>
            </w:r>
          </w:p>
          <w:p>
            <w:pPr/>
            <w:r>
              <w:rPr/>
              <w:t xml:space="preserve"/>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Implementation of community adaptation measures to increase food security</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8. Management of land in accordance with land use/resource management plans developed using national guidelines for ecosystem-based adaptation:</w:t>
            </w:r>
          </w:p>
          <w:p>
            <w:pPr/>
            <w:r>
              <w:rPr/>
              <w:t xml:space="preserve">i) Hectares of island territory under land use plan/revised land use plan</w:t>
            </w:r>
          </w:p>
          <w:p>
            <w:pPr/>
            <w:r>
              <w:rPr/>
              <w:t xml:space="preserve">ii) Number of villages managing land in accordance with land use plans</w:t>
            </w:r>
          </w:p>
          <w:p>
            <w:pPr/>
            <w:r>
              <w:rPr/>
              <w:t xml:space="preserve"/>
            </w:r>
          </w:p>
          <w:p>
            <w:pPr/>
            <w:r>
              <w:rPr/>
              <w:t xml:space="preserve">[Indicator revised during inception phase; originally the indicator was under Outcome 1, and was moved to Outcome 2 for better fit and split into two parts for clarity]</w:t>
            </w:r>
          </w:p>
          <w:p>
            <w:pPr/>
            <w:r>
              <w:rPr/>
              <w:t xml:space="preserve"/>
            </w:r>
          </w:p>
        </w:tc>
        <w:tc>
          <w:tcPr>
            <w:tcW w:w="2000" w:type="dxa"/>
            <w:gridSpan w:val="1"/>
          </w:tcPr>
          <w:p>
            <w:pPr/>
            <w:r>
              <w:rPr/>
              <w:t xml:space="preserve">i) and ii)</w:t>
            </w:r>
          </w:p>
          <w:p>
            <w:pPr/>
            <w:r>
              <w:rPr/>
              <w:t xml:space="preserve"/>
            </w:r>
          </w:p>
          <w:p>
            <w:pPr/>
            <w:r>
              <w:rPr/>
              <w:t xml:space="preserve">Nonouti</w:t>
            </w:r>
          </w:p>
          <w:p>
            <w:pPr/>
            <w:r>
              <w:rPr/>
              <w:t xml:space="preserve">0 ha</w:t>
            </w:r>
          </w:p>
          <w:p>
            <w:pPr/>
            <w:r>
              <w:rPr/>
              <w:t xml:space="preserve"/>
            </w:r>
          </w:p>
          <w:p>
            <w:pPr/>
            <w:r>
              <w:rPr/>
              <w:t xml:space="preserve">Abemama</w:t>
            </w:r>
          </w:p>
          <w:p>
            <w:pPr/>
            <w:r>
              <w:rPr/>
              <w:t xml:space="preserve">0 ha</w:t>
            </w:r>
          </w:p>
          <w:p>
            <w:pPr/>
            <w:r>
              <w:rPr/>
              <w:t xml:space="preserve"/>
            </w:r>
          </w:p>
          <w:p>
            <w:pPr/>
            <w:r>
              <w:rPr/>
              <w:t xml:space="preserve">Maiana</w:t>
            </w:r>
          </w:p>
          <w:p>
            <w:pPr/>
            <w:r>
              <w:rPr/>
              <w:t xml:space="preserve">0 ha</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i)</w:t>
            </w:r>
          </w:p>
          <w:p>
            <w:pPr/>
            <w:r>
              <w:rPr/>
              <w:t xml:space="preserve">Nonouti</w:t>
            </w:r>
          </w:p>
          <w:p>
            <w:pPr/>
            <w:r>
              <w:rPr/>
              <w:t xml:space="preserve">Area with EBA land use plan: 2,000 ha</w:t>
            </w:r>
          </w:p>
          <w:p>
            <w:pPr/>
            <w:r>
              <w:rPr/>
              <w:t xml:space="preserve"/>
            </w:r>
          </w:p>
          <w:p>
            <w:pPr/>
            <w:r>
              <w:rPr/>
              <w:t xml:space="preserve">Abemama</w:t>
            </w:r>
          </w:p>
          <w:p>
            <w:pPr/>
            <w:r>
              <w:rPr/>
              <w:t xml:space="preserve">Area with EBA land use plan: 2,700 ha</w:t>
            </w:r>
          </w:p>
          <w:p>
            <w:pPr/>
            <w:r>
              <w:rPr/>
              <w:t xml:space="preserve"/>
            </w:r>
          </w:p>
          <w:p>
            <w:pPr/>
            <w:r>
              <w:rPr/>
              <w:t xml:space="preserve">Maiana</w:t>
            </w:r>
          </w:p>
          <w:p>
            <w:pPr/>
            <w:r>
              <w:rPr/>
              <w:t xml:space="preserve">Area with EBA land use plan: 1,350 ha</w:t>
            </w:r>
          </w:p>
          <w:p>
            <w:pPr/>
            <w:r>
              <w:rPr/>
              <w:t xml:space="preserve"/>
            </w:r>
          </w:p>
          <w:p>
            <w:pPr/>
            <w:r>
              <w:rPr/>
              <w:t xml:space="preserve">ii) At least two villages on each of the three target islands managing land in accordance with EBA land use plan.</w:t>
            </w:r>
          </w:p>
          <w:p>
            <w:pPr/>
            <w:r>
              <w:rPr/>
              <w:t xml:space="preserve"/>
            </w:r>
          </w:p>
          <w:p>
            <w:pPr/>
            <w:r>
              <w:rPr/>
              <w:t xml:space="preserve">[Targets revised during inception phase: i) target for Maiana corrected; was originally 2,700 ha which is not the size of the island; ii) targets established during inception phase]</w:t>
            </w:r>
          </w:p>
        </w:tc>
        <w:tc>
          <w:tcPr>
            <w:tcW w:w="4000" w:type="dxa"/>
            <w:gridSpan w:val="1"/>
          </w:tcPr>
          <w:p>
            <w:pPr/>
            <w:r>
              <w:rPr/>
              <w:t xml:space="preserve">Implementation progress: 90% / targets partially achieved</w:t>
            </w:r>
          </w:p>
          <w:p>
            <w:pPr/>
            <w:r>
              <w:rPr/>
              <w:t xml:space="preserve"/>
            </w:r>
          </w:p>
          <w:p>
            <w:pPr/>
            <w:r>
              <w:rPr/>
              <w:t xml:space="preserve">i) Achieved</w:t>
            </w:r>
          </w:p>
          <w:p>
            <w:pPr/>
            <w:r>
              <w:rPr/>
              <w:t xml:space="preserve">Island Strategic Plans (development plans) for each of the 3 pilot islands finalized and endorsed. The plans cover the entire land and sea territories of the 3 pilot islands:</w:t>
            </w:r>
          </w:p>
          <w:p>
            <w:pPr/>
            <w:r>
              <w:rPr/>
              <w:t xml:space="preserve"/>
            </w:r>
          </w:p>
          <w:p>
            <w:pPr/>
            <w:r>
              <w:rPr/>
              <w:t xml:space="preserve">Nonouti: 2,010.08 ha (target 2,000)</w:t>
            </w:r>
          </w:p>
          <w:p>
            <w:pPr/>
            <w:r>
              <w:rPr/>
              <w:t xml:space="preserve">Abemama: 2,935.39 ha (target 2,700)</w:t>
            </w:r>
          </w:p>
          <w:p>
            <w:pPr/>
            <w:r>
              <w:rPr/>
              <w:t xml:space="preserve">Maiana: 1,528.88 ha (target 1,350)</w:t>
            </w:r>
          </w:p>
          <w:p>
            <w:pPr/>
            <w:r>
              <w:rPr/>
              <w:t xml:space="preserve"/>
            </w:r>
          </w:p>
          <w:p>
            <w:pPr/>
            <w:r>
              <w:rPr/>
              <w:t xml:space="preserve">The project is supporting implementation of some components of the Island Strategic Plans related to project indicators, for example invasive species control Abemama), livestock provision to the islands, translocation of marine invertebrates (bivalves, sandfish) to the islands and access to clean water.</w:t>
            </w:r>
          </w:p>
          <w:p>
            <w:pPr/>
            <w:r>
              <w:rPr/>
              <w:t xml:space="preserve"/>
            </w:r>
          </w:p>
          <w:p>
            <w:pPr/>
            <w:r>
              <w:rPr/>
              <w:t xml:space="preserve">ii) On track</w:t>
            </w:r>
          </w:p>
          <w:p>
            <w:pPr/>
            <w:r>
              <w:rPr/>
              <w:t xml:space="preserve">Number of villages managing land in accordance with land use plans based on Ecological Land-Use maps / Community-Based Mangroves and Natural Resources Management Plans / Integrated Environment and Natural Resources Management Plan (IENRMP):</w:t>
            </w:r>
          </w:p>
          <w:p>
            <w:pPr/>
            <w:r>
              <w:rPr/>
              <w:t xml:space="preserve"/>
            </w:r>
          </w:p>
          <w:p>
            <w:pPr/>
            <w:r>
              <w:rPr/>
              <w:t xml:space="preserve">Nonouti: 2 villages have draft community-based plans (target 2),</w:t>
            </w:r>
          </w:p>
          <w:p>
            <w:pPr/>
            <w:r>
              <w:rPr/>
              <w:t xml:space="preserve">Ecological Land-use maps developed for the whole island.</w:t>
            </w:r>
          </w:p>
          <w:p>
            <w:pPr/>
            <w:r>
              <w:rPr/>
              <w:t xml:space="preserve"/>
            </w:r>
          </w:p>
          <w:p>
            <w:pPr/>
            <w:r>
              <w:rPr/>
              <w:t xml:space="preserve">Abemama: 4 villages completed Community-Based Mangroves and Natural Resources Management Plans in 2017 (target at least 2).</w:t>
            </w:r>
          </w:p>
          <w:p>
            <w:pPr/>
            <w:r>
              <w:rPr/>
              <w:t xml:space="preserve"/>
            </w:r>
          </w:p>
          <w:p>
            <w:pPr/>
            <w:r>
              <w:rPr/>
              <w:t xml:space="preserve">Maiana: 12 villages completed Community-Based Mangroves and Natural Resources Management Plan in 2019 - 1 combined plan covering the whole island (target at least 2 villages).</w:t>
            </w:r>
          </w:p>
          <w:p>
            <w:pPr/>
            <w:r>
              <w:rPr/>
              <w:t xml:space="preserve"/>
            </w:r>
          </w:p>
          <w:p>
            <w:pPr/>
            <w:r>
              <w:rPr/>
              <w:t xml:space="preserve">Villages are receiving support to establish Management Committees and implement their plans, for example through coastal protection measures (soft measures), awareness and training programmes.</w:t>
            </w:r>
          </w:p>
          <w:p>
            <w:pPr/>
            <w:r>
              <w:rPr/>
              <w:t xml:space="preserve"/>
            </w:r>
          </w:p>
          <w:p>
            <w:pPr/>
            <w:r>
              <w:rPr/>
              <w:t xml:space="preserve">Formulation of national EBA-guidelines and related training to support implementation and monitoring of Island Strategic Plans and community-based plans will be finalized in Q3 and Q4 2021.</w:t>
            </w:r>
          </w:p>
          <w:p>
            <w:pPr/>
            <w:r>
              <w:rPr/>
              <w:t xml:space="preserve"/>
            </w:r>
          </w:p>
        </w:tc>
        <w:tc>
          <w:tcPr>
            <w:tcW w:w="4000" w:type="dxa"/>
            <w:gridSpan w:val="1"/>
          </w:tcPr>
          <w:p>
            <w:pPr/>
            <w:r>
              <w:rPr/>
              <w:t xml:space="preserve">Implementation progress: 90% / targets partially achieved</w:t>
            </w:r>
          </w:p>
          <w:p>
            <w:pPr/>
            <w:r>
              <w:rPr/>
              <w:t xml:space="preserve"/>
            </w:r>
          </w:p>
          <w:p>
            <w:pPr/>
            <w:r>
              <w:rPr/>
              <w:t xml:space="preserve">i) Achieved</w:t>
            </w:r>
          </w:p>
          <w:p>
            <w:pPr/>
            <w:r>
              <w:rPr/>
              <w:t xml:space="preserve">ii) On track</w:t>
            </w:r>
          </w:p>
          <w:p>
            <w:pPr/>
            <w:r>
              <w:rPr/>
              <w:t xml:space="preserve">Number of villages managing land in accordance with land use plans based on Ecological Land-Use maps / Community-Based Mangroves and Natural Resources Management Plans / Integrated Environment and Natural Resources Management Plan (IENRMP):</w:t>
            </w:r>
          </w:p>
          <w:p>
            <w:pPr/>
            <w:r>
              <w:rPr/>
              <w:t xml:space="preserve"/>
            </w:r>
          </w:p>
          <w:p>
            <w:pPr/>
            <w:r>
              <w:rPr/>
              <w:t xml:space="preserve">Nonouti: 2 villages have draft community-based plans (target 2),</w:t>
            </w:r>
          </w:p>
          <w:p>
            <w:pPr/>
            <w:r>
              <w:rPr/>
              <w:t xml:space="preserve">Ecological Land-use maps developed for the whole island.</w:t>
            </w:r>
          </w:p>
          <w:p>
            <w:pPr/>
            <w:r>
              <w:rPr/>
              <w:t xml:space="preserve"/>
            </w:r>
          </w:p>
          <w:p>
            <w:pPr/>
            <w:r>
              <w:rPr/>
              <w:t xml:space="preserve">Abemama: 4 villages completed Community-Based Mangroves and Natural Resources Management Plans in 2017 (target at least 2).</w:t>
            </w:r>
          </w:p>
          <w:p>
            <w:pPr/>
            <w:r>
              <w:rPr/>
              <w:t xml:space="preserve">Ecological Land-use maps</w:t>
            </w:r>
          </w:p>
          <w:p>
            <w:pPr/>
            <w:r>
              <w:rPr/>
              <w:t xml:space="preserve"/>
            </w:r>
          </w:p>
          <w:p>
            <w:pPr/>
            <w:r>
              <w:rPr/>
              <w:t xml:space="preserve">Maiana: 12 villages completed Community-Based Mangroves and Natural Resources Management Plan in 2019 - 1 combined plan covering the whole island (target at least 2 villages).</w:t>
            </w:r>
          </w:p>
          <w:p>
            <w:pPr/>
            <w:r>
              <w:rPr/>
              <w:t xml:space="preserve">Ecological Land-use maps</w:t>
            </w:r>
          </w:p>
          <w:p>
            <w:pPr/>
            <w:r>
              <w:rPr/>
              <w:t xml:space="preserve"/>
            </w:r>
          </w:p>
          <w:p>
            <w:pPr/>
            <w:r>
              <w:rPr/>
              <w:t xml:space="preserve">Villages are receiving support to establish Management Committees and implement their plans, for example through coastal protection measures (soft measures), awareness and training programmes.</w:t>
            </w:r>
          </w:p>
          <w:p>
            <w:pPr/>
            <w:r>
              <w:rPr/>
              <w:t xml:space="preserve"/>
            </w:r>
          </w:p>
          <w:p>
            <w:pPr/>
            <w:r>
              <w:rPr/>
              <w:t xml:space="preserve">UNDP regional technicalDraft national EBA-guidelines were finalized in August 2021 and reviewed by 2 advisors/EbA-specialists. However, multi-sector review and finalization has been delayed due to implementation halt and COVID19-restrictions. Finalization for endorsement is planned in Q3 and Q4 2022, including awareness training.</w:t>
            </w:r>
          </w:p>
        </w:tc>
      </w:tr>
      <w:tr>
        <w:trPr/>
        <w:tc>
          <w:tcPr>
            <w:tcW w:w="4000" w:type="dxa"/>
            <w:gridSpan w:val="1"/>
          </w:tcPr>
          <w:p>
            <w:pPr/>
            <w:r>
              <w:rPr/>
              <w:t xml:space="preserve">9. Number of vulnerability assessments completed.</w:t>
            </w:r>
          </w:p>
          <w:p>
            <w:pPr/>
            <w:r>
              <w:rPr/>
              <w:t xml:space="preserve"/>
            </w:r>
          </w:p>
          <w:p>
            <w:pPr/>
            <w:r>
              <w:rPr/>
              <w:t xml:space="preserve">[NEW indicator added during inception phase]</w:t>
            </w:r>
          </w:p>
        </w:tc>
        <w:tc>
          <w:tcPr>
            <w:tcW w:w="2000" w:type="dxa"/>
            <w:gridSpan w:val="1"/>
          </w:tcPr>
          <w:p>
            <w:pPr/>
            <w:r>
              <w:rPr/>
              <w:t xml:space="preserve">0</w:t>
            </w:r>
          </w:p>
        </w:tc>
        <w:tc>
          <w:tcPr>
            <w:tcW w:w="2000" w:type="dxa"/>
            <w:gridSpan w:val="1"/>
          </w:tcPr>
          <w:p>
            <w:pPr/>
            <w:r>
              <w:rPr>
                <w:i w:val="1"/>
                <w:iCs w:val="1"/>
              </w:rPr>
              <w:t xml:space="preserve">(not set or not applicable)</w:t>
            </w:r>
          </w:p>
        </w:tc>
        <w:tc>
          <w:tcPr>
            <w:tcW w:w="2000" w:type="dxa"/>
            <w:gridSpan w:val="1"/>
          </w:tcPr>
          <w:p>
            <w:pPr/>
            <w:r>
              <w:rPr/>
              <w:t xml:space="preserve">3 (one for each target island of Nonouti, Abemama, and Maiana)</w:t>
            </w:r>
          </w:p>
        </w:tc>
        <w:tc>
          <w:tcPr>
            <w:tcW w:w="4000" w:type="dxa"/>
            <w:gridSpan w:val="1"/>
          </w:tcPr>
          <w:p>
            <w:pPr/>
            <w:r>
              <w:rPr/>
              <w:t xml:space="preserve">Implementation progress: 90% / target achieved</w:t>
            </w:r>
          </w:p>
          <w:p>
            <w:pPr/>
            <w:r>
              <w:rPr/>
              <w:t xml:space="preserve"/>
            </w:r>
          </w:p>
          <w:p>
            <w:pPr/>
            <w:r>
              <w:rPr/>
              <w:t xml:space="preserve">3 Integrated Vulnerability Assessments reports finalized.</w:t>
            </w:r>
          </w:p>
          <w:p>
            <w:pPr/>
            <w:r>
              <w:rPr/>
              <w:t xml:space="preserve"/>
            </w:r>
          </w:p>
          <w:p>
            <w:pPr/>
            <w:r>
              <w:rPr/>
              <w:t xml:space="preserve">Additional surveys beyond the IVA-questionnaires/ methodology are in progress by the Environment-sector.</w:t>
            </w:r>
          </w:p>
          <w:p>
            <w:pPr/>
            <w:r>
              <w:rPr/>
              <w:t xml:space="preserve"/>
            </w:r>
          </w:p>
          <w:p>
            <w:pPr/>
            <w:r>
              <w:rPr/>
              <w:t xml:space="preserve">Data and analysis of the IVA are being used for the project indicator 1 objective assessment and to inform the implementation of Island Strategic Plans.</w:t>
            </w:r>
          </w:p>
        </w:tc>
        <w:tc>
          <w:tcPr>
            <w:tcW w:w="4000" w:type="dxa"/>
            <w:gridSpan w:val="1"/>
          </w:tcPr>
          <w:p>
            <w:pPr/>
            <w:r>
              <w:rPr/>
              <w:t xml:space="preserve">Implementation progress: 90% / target achieved</w:t>
            </w:r>
          </w:p>
          <w:p>
            <w:pPr/>
            <w:r>
              <w:rPr/>
              <w:t xml:space="preserve"/>
            </w:r>
          </w:p>
          <w:p>
            <w:pPr/>
            <w:r>
              <w:rPr/>
              <w:t xml:space="preserve">Three (3) integrated vulnerability assessments has been conducted and the reports finalised. One each for the pilot islands of Maiana, Nonouti and Abemama.</w:t>
            </w:r>
          </w:p>
          <w:p>
            <w:pPr/>
            <w:r>
              <w:rPr/>
              <w:t xml:space="preserve"/>
            </w:r>
          </w:p>
          <w:p>
            <w:pPr/>
            <w:r>
              <w:rPr/>
              <w:t xml:space="preserve">Additional surveys beyond the IVA-questionnaires/ methodology by the Environment-sector are delayed but planned in Q3-Q4 2022.</w:t>
            </w:r>
          </w:p>
        </w:tc>
      </w:tr>
      <w:tr>
        <w:trPr/>
        <w:tc>
          <w:tcPr>
            <w:tcW w:w="4000" w:type="dxa"/>
            <w:gridSpan w:val="1"/>
          </w:tcPr>
          <w:p>
            <w:pPr/>
            <w:r>
              <w:rPr/>
              <w:t xml:space="preserve">10. Hectares of coastal zone:</w:t>
            </w:r>
          </w:p>
          <w:p>
            <w:pPr/>
            <w:r>
              <w:rPr/>
              <w:t xml:space="preserve">i) Regulated through fishing management zoning system as a result of national regulatory tool adopted by GoK.</w:t>
            </w:r>
          </w:p>
          <w:p>
            <w:pPr/>
            <w:r>
              <w:rPr/>
              <w:t xml:space="preserve">ii) Protected in fish recovery zones developed using national guidelines for ecosystem-based adaptation management.</w:t>
            </w:r>
          </w:p>
          <w:p>
            <w:pPr/>
            <w:r>
              <w:rPr/>
              <w:t xml:space="preserve"/>
            </w:r>
          </w:p>
          <w:p>
            <w:pPr/>
            <w:r>
              <w:rPr/>
              <w:t xml:space="preserve">[Indicator revised during inception phase; originally two separate indicators, one under Outcome 1 and one under Outcome 2, which were merged]</w:t>
            </w:r>
          </w:p>
        </w:tc>
        <w:tc>
          <w:tcPr>
            <w:tcW w:w="2000" w:type="dxa"/>
            <w:gridSpan w:val="1"/>
          </w:tcPr>
          <w:p>
            <w:pPr/>
            <w:r>
              <w:rPr/>
              <w:t xml:space="preserve">i) and ii)</w:t>
            </w:r>
          </w:p>
          <w:p>
            <w:pPr/>
            <w:r>
              <w:rPr/>
              <w:t xml:space="preserve"/>
            </w:r>
          </w:p>
          <w:p>
            <w:pPr/>
            <w:r>
              <w:rPr/>
              <w:t xml:space="preserve">Nonouti</w:t>
            </w:r>
          </w:p>
          <w:p>
            <w:pPr/>
            <w:r>
              <w:rPr/>
              <w:t xml:space="preserve">0 ha</w:t>
            </w:r>
          </w:p>
          <w:p>
            <w:pPr/>
            <w:r>
              <w:rPr/>
              <w:t xml:space="preserve"/>
            </w:r>
          </w:p>
          <w:p>
            <w:pPr/>
            <w:r>
              <w:rPr/>
              <w:t xml:space="preserve">Abemama</w:t>
            </w:r>
          </w:p>
          <w:p>
            <w:pPr/>
            <w:r>
              <w:rPr/>
              <w:t xml:space="preserve">0 ha</w:t>
            </w:r>
          </w:p>
          <w:p>
            <w:pPr/>
            <w:r>
              <w:rPr/>
              <w:t xml:space="preserve"/>
            </w:r>
          </w:p>
          <w:p>
            <w:pPr/>
            <w:r>
              <w:rPr/>
              <w:t xml:space="preserve">Maiana</w:t>
            </w:r>
          </w:p>
          <w:p>
            <w:pPr/>
            <w:r>
              <w:rPr/>
              <w:t xml:space="preserve">0 ha</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i)</w:t>
            </w:r>
          </w:p>
          <w:p>
            <w:pPr/>
            <w:r>
              <w:rPr/>
              <w:t xml:space="preserve">Nonouti</w:t>
            </w:r>
          </w:p>
          <w:p>
            <w:pPr/>
            <w:r>
              <w:rPr/>
              <w:t xml:space="preserve">Regulated fishing area: 40,000 ha</w:t>
            </w:r>
          </w:p>
          <w:p>
            <w:pPr/>
            <w:r>
              <w:rPr/>
              <w:t xml:space="preserve"/>
            </w:r>
          </w:p>
          <w:p>
            <w:pPr/>
            <w:r>
              <w:rPr/>
              <w:t xml:space="preserve">Abemama</w:t>
            </w:r>
          </w:p>
          <w:p>
            <w:pPr/>
            <w:r>
              <w:rPr/>
              <w:t xml:space="preserve">Regulated fishing area: 15,000 ha</w:t>
            </w:r>
          </w:p>
          <w:p>
            <w:pPr/>
            <w:r>
              <w:rPr/>
              <w:t xml:space="preserve"/>
            </w:r>
          </w:p>
          <w:p>
            <w:pPr/>
            <w:r>
              <w:rPr/>
              <w:t xml:space="preserve">Maiana</w:t>
            </w:r>
          </w:p>
          <w:p>
            <w:pPr/>
            <w:r>
              <w:rPr/>
              <w:t xml:space="preserve">Regulated fishing area: 10,000 ha</w:t>
            </w:r>
          </w:p>
          <w:p>
            <w:pPr/>
            <w:r>
              <w:rPr/>
              <w:t xml:space="preserve"/>
            </w:r>
          </w:p>
          <w:p>
            <w:pPr/>
            <w:r>
              <w:rPr/>
              <w:t xml:space="preserve">ii) At least 10% of area under zoning on each island:</w:t>
            </w:r>
          </w:p>
          <w:p>
            <w:pPr/>
            <w:r>
              <w:rPr/>
              <w:t xml:space="preserve"/>
            </w:r>
          </w:p>
          <w:p>
            <w:pPr/>
            <w:r>
              <w:rPr/>
              <w:t xml:space="preserve">Nonouti</w:t>
            </w:r>
          </w:p>
          <w:p>
            <w:pPr/>
            <w:r>
              <w:rPr/>
              <w:t xml:space="preserve">Fish recovery zones: 4,000 ha</w:t>
            </w:r>
          </w:p>
          <w:p>
            <w:pPr/>
            <w:r>
              <w:rPr/>
              <w:t xml:space="preserve"/>
            </w:r>
          </w:p>
          <w:p>
            <w:pPr/>
            <w:r>
              <w:rPr/>
              <w:t xml:space="preserve">Abemama</w:t>
            </w:r>
          </w:p>
          <w:p>
            <w:pPr/>
            <w:r>
              <w:rPr/>
              <w:t xml:space="preserve">Fish recovery zones: 1,500 ha</w:t>
            </w:r>
          </w:p>
          <w:p>
            <w:pPr/>
            <w:r>
              <w:rPr/>
              <w:t xml:space="preserve"/>
            </w:r>
          </w:p>
          <w:p>
            <w:pPr/>
            <w:r>
              <w:rPr/>
              <w:t xml:space="preserve">Maiana</w:t>
            </w:r>
          </w:p>
          <w:p>
            <w:pPr/>
            <w:r>
              <w:rPr/>
              <w:t xml:space="preserve">Fish recovery zones:1,000 ha</w:t>
            </w:r>
          </w:p>
          <w:p>
            <w:pPr/>
            <w:r>
              <w:rPr/>
              <w:t xml:space="preserve"/>
            </w:r>
          </w:p>
          <w:p>
            <w:pPr/>
            <w:r>
              <w:rPr/>
              <w:t xml:space="preserve">[Targets for ii) amended during inception phase to represent a set 10% of area under zoning on each island; original targets were 4,000 ha per island]</w:t>
            </w:r>
          </w:p>
          <w:p>
            <w:pPr/>
            <w:r>
              <w:rPr/>
              <w:t xml:space="preserve"/>
            </w:r>
          </w:p>
        </w:tc>
        <w:tc>
          <w:tcPr>
            <w:tcW w:w="4000" w:type="dxa"/>
            <w:gridSpan w:val="1"/>
          </w:tcPr>
          <w:p>
            <w:pPr/>
            <w:r>
              <w:rPr/>
              <w:t xml:space="preserve">Implementation progress:  90%  / targets partially achieved</w:t>
            </w:r>
          </w:p>
          <w:p>
            <w:pPr/>
            <w:r>
              <w:rPr/>
              <w:t xml:space="preserve"/>
            </w:r>
          </w:p>
          <w:p>
            <w:pPr/>
            <w:r>
              <w:rPr/>
              <w:t xml:space="preserve">i) Achieved</w:t>
            </w:r>
          </w:p>
          <w:p>
            <w:pPr/>
            <w:r>
              <w:rPr/>
              <w:t xml:space="preserve">The 3 pilot islands territories are 100% regulated through fishing management zoning system as a result of the adoption of the Island Strategic Plans (ISP), covering the entire land and sea territories (lagoon plus 3 nautical miles from island ocean-ward) – exceeding the targets:</w:t>
            </w:r>
          </w:p>
          <w:p>
            <w:pPr/>
            <w:r>
              <w:rPr/>
              <w:t xml:space="preserve"/>
            </w:r>
          </w:p>
          <w:p>
            <w:pPr/>
            <w:r>
              <w:rPr/>
              <w:t xml:space="preserve">Nonouti: total 128,138 ha</w:t>
            </w:r>
          </w:p>
          <w:p>
            <w:pPr/>
            <w:r>
              <w:rPr/>
              <w:t xml:space="preserve">(Lagoon: 58,110 ha, 3 nautical miles 70,028 ha) (target 40,000 ha)</w:t>
            </w:r>
          </w:p>
          <w:p>
            <w:pPr/>
            <w:r>
              <w:rPr/>
              <w:t xml:space="preserve"/>
            </w:r>
          </w:p>
          <w:p>
            <w:pPr/>
            <w:r>
              <w:rPr/>
              <w:t xml:space="preserve">Abemama: total 65,112 ha</w:t>
            </w:r>
          </w:p>
          <w:p>
            <w:pPr/>
            <w:r>
              <w:rPr/>
              <w:t xml:space="preserve">(Lagoon: 18,999 ha, 3 nautical miles 46,113 ha) (target 15,000 ha).</w:t>
            </w:r>
          </w:p>
          <w:p>
            <w:pPr/>
            <w:r>
              <w:rPr/>
              <w:t xml:space="preserve"/>
            </w:r>
          </w:p>
          <w:p>
            <w:pPr/>
            <w:r>
              <w:rPr/>
              <w:t xml:space="preserve">Maiana: Total 51,920 ha</w:t>
            </w:r>
          </w:p>
          <w:p>
            <w:pPr/>
            <w:r>
              <w:rPr/>
              <w:t xml:space="preserve">(Lagoon: 14,288 ha, 3 nautical miles:  37,632 ha) (target 10,000 ha).</w:t>
            </w:r>
          </w:p>
          <w:p>
            <w:pPr/>
            <w:r>
              <w:rPr/>
              <w:t xml:space="preserve"/>
            </w:r>
          </w:p>
          <w:p>
            <w:pPr/>
            <w:r>
              <w:rPr/>
              <w:t xml:space="preserve">The Island Strategic Plans contain plans/intentions to regulate destructive fishing methods , ban fishing during spawn runs, designate protected areas, closing areas where restocking of bivalves and sea cucumber had been released, etc, to be legally regulated through the adoption of island by-laws (indicator 12).</w:t>
            </w:r>
          </w:p>
          <w:p>
            <w:pPr/>
            <w:r>
              <w:rPr/>
              <w:t xml:space="preserve"/>
            </w:r>
          </w:p>
          <w:p>
            <w:pPr/>
            <w:r>
              <w:rPr/>
              <w:t xml:space="preserve">Island Council fisheries monitoring and regulation enforcement is supported, for example through marine patrol boat and training of boatmen on safe handling and maintenance of boats.</w:t>
            </w:r>
          </w:p>
          <w:p>
            <w:pPr/>
            <w:r>
              <w:rPr/>
              <w:t xml:space="preserve"/>
            </w:r>
          </w:p>
          <w:p>
            <w:pPr/>
            <w:r>
              <w:rPr/>
              <w:t xml:space="preserve">ii) Partly achieved</w:t>
            </w:r>
          </w:p>
          <w:p>
            <w:pPr/>
            <w:r>
              <w:rPr/>
              <w:t xml:space="preserve">Marine Protected Areas/fish recovery zones have been established, mapped, and demarcated at each pilot island – exceeding the targets. The fish recovery zones are established and governed by Community-Based Fisheries Management Plans:</w:t>
            </w:r>
          </w:p>
          <w:p>
            <w:pPr/>
            <w:r>
              <w:rPr/>
              <w:t xml:space="preserve"/>
            </w:r>
          </w:p>
          <w:p>
            <w:pPr/>
            <w:r>
              <w:rPr/>
              <w:t xml:space="preserve">Nonouti: 14,135.59 ha (11%)</w:t>
            </w:r>
          </w:p>
          <w:p>
            <w:pPr/>
            <w:r>
              <w:rPr/>
              <w:t xml:space="preserve">3 finalized community-based plans and maps (Abamwakoro, Autukia, Teuabu), 1 draft plan.</w:t>
            </w:r>
          </w:p>
          <w:p>
            <w:pPr/>
            <w:r>
              <w:rPr/>
              <w:t xml:space="preserve"/>
            </w:r>
          </w:p>
          <w:p>
            <w:pPr/>
            <w:r>
              <w:rPr/>
              <w:t xml:space="preserve">Installation of boundary markers and demarcation materials complete.</w:t>
            </w:r>
          </w:p>
          <w:p>
            <w:pPr/>
            <w:r>
              <w:rPr/>
              <w:t xml:space="preserve"/>
            </w:r>
          </w:p>
          <w:p>
            <w:pPr/>
            <w:r>
              <w:rPr/>
              <w:t xml:space="preserve">Abemama: estimated 1,912 ha (13%), site survey planned in 2021</w:t>
            </w:r>
          </w:p>
          <w:p>
            <w:pPr/>
            <w:r>
              <w:rPr/>
              <w:t xml:space="preserve">2 finalized community-based plans and maps (Abatiku, Tebwanga), 2 draft plans.</w:t>
            </w:r>
          </w:p>
          <w:p>
            <w:pPr/>
            <w:r>
              <w:rPr/>
              <w:t xml:space="preserve"/>
            </w:r>
          </w:p>
          <w:p>
            <w:pPr/>
            <w:r>
              <w:rPr/>
              <w:t xml:space="preserve">Maiana: estimated 2,069 ha (28%), site survey planned in 2021.</w:t>
            </w:r>
          </w:p>
          <w:p>
            <w:pPr/>
            <w:r>
              <w:rPr/>
              <w:t xml:space="preserve">1 finalized community-based plan (Tekaranga), 2 draft plans. 3 maps finalized.</w:t>
            </w:r>
          </w:p>
          <w:p>
            <w:pPr/>
            <w:r>
              <w:rPr/>
              <w:t xml:space="preserve"/>
            </w:r>
          </w:p>
          <w:p>
            <w:pPr/>
            <w:r>
              <w:rPr/>
              <w:t xml:space="preserve">Involved communities have expressed great interest in managing their coastal marine resources. Communities are receiving support to implement their plans, for example through enforcement of fish recovery zones/times, translocation of species waste management, awareness, and surveys to assess community understanding and experience of  community-based fisheries management.</w:t>
            </w:r>
          </w:p>
          <w:p>
            <w:pPr/>
            <w:r>
              <w:rPr/>
              <w:t xml:space="preserve"/>
            </w:r>
          </w:p>
        </w:tc>
        <w:tc>
          <w:tcPr>
            <w:tcW w:w="4000" w:type="dxa"/>
            <w:gridSpan w:val="1"/>
          </w:tcPr>
          <w:p>
            <w:pPr/>
            <w:r>
              <w:rPr/>
              <w:t xml:space="preserve">Implementation progress:  90%  (targets partially achieved)</w:t>
            </w:r>
          </w:p>
          <w:p>
            <w:pPr/>
            <w:r>
              <w:rPr/>
              <w:t xml:space="preserve"/>
            </w:r>
          </w:p>
          <w:p>
            <w:pPr/>
            <w:r>
              <w:rPr/>
              <w:t xml:space="preserve">i) Achieved</w:t>
            </w:r>
          </w:p>
          <w:p>
            <w:pPr/>
            <w:r>
              <w:rPr/>
              <w:t xml:space="preserve"/>
            </w:r>
          </w:p>
          <w:p>
            <w:pPr/>
            <w:r>
              <w:rPr/>
              <w:t xml:space="preserve">ii) Partly achieved</w:t>
            </w:r>
          </w:p>
          <w:p>
            <w:pPr/>
            <w:r>
              <w:rPr/>
              <w:t xml:space="preserve">Marine Protected Areas/fish recovery zones have been established, mapped, and demarcated at each pilot island – exceeding the targets. The fish recovery zones are established and governed by Community-Based Fisheries Management Plans:</w:t>
            </w:r>
          </w:p>
          <w:p>
            <w:pPr/>
            <w:r>
              <w:rPr/>
              <w:t xml:space="preserve"/>
            </w:r>
          </w:p>
          <w:p>
            <w:pPr/>
            <w:r>
              <w:rPr/>
              <w:t xml:space="preserve">Nonouti: 14,135.59 ha (11%)</w:t>
            </w:r>
          </w:p>
          <w:p>
            <w:pPr/>
            <w:r>
              <w:rPr/>
              <w:t xml:space="preserve">3 finalized community-based plans and maps (Abamwakoro, Autukia, Teuabu), 1 draft plan.</w:t>
            </w:r>
          </w:p>
          <w:p>
            <w:pPr/>
            <w:r>
              <w:rPr/>
              <w:t xml:space="preserve"/>
            </w:r>
          </w:p>
          <w:p>
            <w:pPr/>
            <w:r>
              <w:rPr/>
              <w:t xml:space="preserve">Installation of boundary markers and demarcation materials complete.</w:t>
            </w:r>
          </w:p>
          <w:p>
            <w:pPr/>
            <w:r>
              <w:rPr/>
              <w:t xml:space="preserve"/>
            </w:r>
          </w:p>
          <w:p>
            <w:pPr/>
            <w:r>
              <w:rPr/>
              <w:t xml:space="preserve">Abemama: estimated 1,912 ha (13%), to be confirmed in Q3 2022.</w:t>
            </w:r>
          </w:p>
          <w:p>
            <w:pPr/>
            <w:r>
              <w:rPr/>
              <w:t xml:space="preserve">2 finalized community-based plans and maps (Abatiku, Tebwanga), 2 draft plans.</w:t>
            </w:r>
          </w:p>
          <w:p>
            <w:pPr/>
            <w:r>
              <w:rPr/>
              <w:t xml:space="preserve"/>
            </w:r>
          </w:p>
          <w:p>
            <w:pPr/>
            <w:r>
              <w:rPr/>
              <w:t xml:space="preserve">Maiana: estimated 2,069 ha (28%), to be confirmed in Q3 2022.</w:t>
            </w:r>
          </w:p>
          <w:p>
            <w:pPr/>
            <w:r>
              <w:rPr/>
              <w:t xml:space="preserve">1 finalized community-based plan (Tekaranga), 2 draft plans. 3 maps finalized.</w:t>
            </w:r>
          </w:p>
        </w:tc>
      </w:tr>
      <w:tr>
        <w:trPr/>
        <w:tc>
          <w:tcPr>
            <w:tcW w:w="4000" w:type="dxa"/>
            <w:gridSpan w:val="1"/>
          </w:tcPr>
          <w:p>
            <w:pPr/>
            <w:r>
              <w:rPr/>
              <w:t xml:space="preserve">11. Increase in hectares of mangrove habitat as reported annually by Island Councils using the national adaptation and monitoring tool.</w:t>
            </w:r>
          </w:p>
        </w:tc>
        <w:tc>
          <w:tcPr>
            <w:tcW w:w="2000" w:type="dxa"/>
            <w:gridSpan w:val="1"/>
          </w:tcPr>
          <w:p>
            <w:pPr/>
            <w:r>
              <w:rPr/>
              <w:t xml:space="preserve">Nonouti</w:t>
            </w:r>
          </w:p>
          <w:p>
            <w:pPr/>
            <w:r>
              <w:rPr/>
              <w:t xml:space="preserve">Mangrove (ha): TBD</w:t>
            </w:r>
          </w:p>
          <w:p>
            <w:pPr/>
            <w:r>
              <w:rPr/>
              <w:t xml:space="preserve"/>
            </w:r>
          </w:p>
          <w:p>
            <w:pPr/>
            <w:r>
              <w:rPr/>
              <w:t xml:space="preserve">Abemama</w:t>
            </w:r>
          </w:p>
          <w:p>
            <w:pPr/>
            <w:r>
              <w:rPr/>
              <w:t xml:space="preserve">Mangrove (ha): TBD</w:t>
            </w:r>
          </w:p>
          <w:p>
            <w:pPr/>
            <w:r>
              <w:rPr/>
              <w:t xml:space="preserve"/>
            </w:r>
          </w:p>
          <w:p>
            <w:pPr/>
            <w:r>
              <w:rPr/>
              <w:t xml:space="preserve">Maiana</w:t>
            </w:r>
          </w:p>
          <w:p>
            <w:pPr/>
            <w:r>
              <w:rPr/>
              <w:t xml:space="preserve">Mangrove (ha): 273</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Nonouti</w:t>
            </w:r>
          </w:p>
          <w:p>
            <w:pPr/>
            <w:r>
              <w:rPr/>
              <w:t xml:space="preserve">Mangrove (ha): At least 5% increase compared to baseline</w:t>
            </w:r>
          </w:p>
          <w:p>
            <w:pPr/>
            <w:r>
              <w:rPr/>
              <w:t xml:space="preserve"/>
            </w:r>
          </w:p>
          <w:p>
            <w:pPr/>
            <w:r>
              <w:rPr/>
              <w:t xml:space="preserve">Abemama</w:t>
            </w:r>
          </w:p>
          <w:p>
            <w:pPr/>
            <w:r>
              <w:rPr/>
              <w:t xml:space="preserve">Mangrove (ha): At least 5% increase compared to baseline</w:t>
            </w:r>
          </w:p>
          <w:p>
            <w:pPr/>
            <w:r>
              <w:rPr/>
              <w:t xml:space="preserve"/>
            </w:r>
          </w:p>
          <w:p>
            <w:pPr/>
            <w:r>
              <w:rPr/>
              <w:t xml:space="preserve">Maiana</w:t>
            </w:r>
          </w:p>
          <w:p>
            <w:pPr/>
            <w:r>
              <w:rPr/>
              <w:t xml:space="preserve">Mangrove (ha): &gt;285</w:t>
            </w:r>
          </w:p>
          <w:p>
            <w:pPr/>
            <w:r>
              <w:rPr/>
              <w:t xml:space="preserve"/>
            </w:r>
          </w:p>
          <w:p>
            <w:pPr/>
            <w:r>
              <w:rPr/>
              <w:t xml:space="preserve">[Targets revised during inception phase to be more realistic; original targets were for a 10% increase on baseline]</w:t>
            </w:r>
          </w:p>
        </w:tc>
        <w:tc>
          <w:tcPr>
            <w:tcW w:w="4000" w:type="dxa"/>
            <w:gridSpan w:val="1"/>
          </w:tcPr>
          <w:p>
            <w:pPr/>
            <w:r>
              <w:rPr/>
              <w:t xml:space="preserve">Implementation progress: 70% / target off-track</w:t>
            </w:r>
          </w:p>
          <w:p>
            <w:pPr/>
            <w:r>
              <w:rPr/>
              <w:t xml:space="preserve"/>
            </w:r>
          </w:p>
          <w:p>
            <w:pPr/>
            <w:r>
              <w:rPr/>
              <w:t xml:space="preserve">Target of 5% increase will not be met as pointed out at project Mid-Term Review, however the project aims to achieve 0.7-1% increase and to collect lessons to contribute to improved guidelines for soft coastal protection.</w:t>
            </w:r>
          </w:p>
          <w:p>
            <w:pPr/>
            <w:r>
              <w:rPr/>
              <w:t xml:space="preserve"/>
            </w:r>
          </w:p>
          <w:p>
            <w:pPr/>
            <w:r>
              <w:rPr/>
              <w:t xml:space="preserve">Mangrove Plantation Results and Lessons learned report compiled and updated in June 2021. Lessons are being used in the formulation of EBA- guidelines (indicator 8), mainly related to improved guidance for site selection, plantation method, and monitoring after plantation.</w:t>
            </w:r>
          </w:p>
          <w:p>
            <w:pPr/>
            <w:r>
              <w:rPr/>
              <w:t xml:space="preserve"/>
            </w:r>
          </w:p>
          <w:p>
            <w:pPr/>
            <w:r>
              <w:rPr/>
              <w:t xml:space="preserve">Nonouti: Total mangrove seedlings planted 21,542.</w:t>
            </w:r>
          </w:p>
          <w:p>
            <w:pPr/>
            <w:r>
              <w:rPr/>
              <w:t xml:space="preserve">Survival rate 80.4% (17,317)</w:t>
            </w:r>
          </w:p>
          <w:p>
            <w:pPr/>
            <w:r>
              <w:rPr/>
              <w:t xml:space="preserve">Total area coverage of mangroves that survived 0.17 ha (8.9% of initial target)</w:t>
            </w:r>
          </w:p>
          <w:p>
            <w:pPr/>
            <w:r>
              <w:rPr/>
              <w:t xml:space="preserve"/>
            </w:r>
          </w:p>
          <w:p>
            <w:pPr/>
            <w:r>
              <w:rPr/>
              <w:t xml:space="preserve">Abemama: Total mangrove seedlings planted 24,262.</w:t>
            </w:r>
          </w:p>
          <w:p>
            <w:pPr/>
            <w:r>
              <w:rPr/>
              <w:t xml:space="preserve">Survival rate 73.5% (17,824)</w:t>
            </w:r>
          </w:p>
          <w:p>
            <w:pPr/>
            <w:r>
              <w:rPr/>
              <w:t xml:space="preserve">Total area coverage of mangroves that survived 0.18 ha (9.1% of initial target)</w:t>
            </w:r>
          </w:p>
          <w:p>
            <w:pPr/>
            <w:r>
              <w:rPr/>
              <w:t xml:space="preserve"/>
            </w:r>
          </w:p>
          <w:p>
            <w:pPr/>
            <w:r>
              <w:rPr/>
              <w:t xml:space="preserve">Maiana: Total mangrove seedlings planted 21,521.</w:t>
            </w:r>
          </w:p>
          <w:p>
            <w:pPr/>
            <w:r>
              <w:rPr/>
              <w:t xml:space="preserve">Survival rate 93.6% (20,135)</w:t>
            </w:r>
          </w:p>
          <w:p>
            <w:pPr/>
            <w:r>
              <w:rPr/>
              <w:t xml:space="preserve">Total area coverage of mangroves that survived 0.2 ha (6.1% of initial target)</w:t>
            </w:r>
          </w:p>
          <w:p>
            <w:pPr/>
            <w:r>
              <w:rPr/>
              <w:t xml:space="preserve"/>
            </w:r>
          </w:p>
          <w:p>
            <w:pPr/>
            <w:r>
              <w:rPr/>
              <w:t xml:space="preserve">The low survival rate is due to collection of algae and debris on the mangrove and also strong wind and waves. Fishermen and children may knowingly or unknowingly kill the mangroves while fishing or playing. Low survival rate is also due to lack of monitoring from both the Environment sector and communities. The project has improved community training and monitoring that will address this issue, as well as EBA-guidelines.</w:t>
            </w:r>
          </w:p>
          <w:p>
            <w:pPr/>
            <w:r>
              <w:rPr/>
              <w:t xml:space="preserve"/>
            </w:r>
          </w:p>
          <w:p>
            <w:pPr/>
            <w:r>
              <w:rPr/>
              <w:t xml:space="preserve">In 2021, mangrove and beach  re-vegetation training and competitions, that have proven to be an effective incentive to engage communities and schools, have been initiated.</w:t>
            </w:r>
          </w:p>
          <w:p>
            <w:pPr/>
            <w:r>
              <w:rPr/>
              <w:t xml:space="preserve"/>
            </w:r>
          </w:p>
          <w:p>
            <w:pPr/>
            <w:r>
              <w:rPr/>
              <w:t xml:space="preserve">Since the project formulation stage, there is an inconsistency of baseline data due to the lack of capacity of Environment-sector staff in digitizing/mapping (QGIS software) existing mangrove areas.</w:t>
            </w:r>
          </w:p>
        </w:tc>
        <w:tc>
          <w:tcPr>
            <w:tcW w:w="4000" w:type="dxa"/>
            <w:gridSpan w:val="1"/>
          </w:tcPr>
          <w:p>
            <w:pPr/>
            <w:r>
              <w:rPr/>
              <w:t xml:space="preserve">Implementation progress: 85%  (target off-track)</w:t>
            </w:r>
          </w:p>
          <w:p>
            <w:pPr/>
            <w:r>
              <w:rPr/>
              <w:t xml:space="preserve"/>
            </w:r>
          </w:p>
          <w:p>
            <w:pPr/>
            <w:r>
              <w:rPr/>
              <w:t xml:space="preserve">In 2021, mangrove and beach re-vegetation training and competitions, that have proven to be an effective incentive to engage communities and schools, have been conducted.</w:t>
            </w:r>
          </w:p>
          <w:p>
            <w:pPr/>
            <w:r>
              <w:rPr/>
              <w:t xml:space="preserve"/>
            </w:r>
          </w:p>
          <w:p>
            <w:pPr/>
            <w:r>
              <w:rPr/>
              <w:t xml:space="preserve">Maiana: 137,056 mangrove seedlings were planted, covering approximately 123.35ha of coastal area</w:t>
            </w:r>
          </w:p>
          <w:p>
            <w:pPr/>
            <w:r>
              <w:rPr/>
              <w:t xml:space="preserve"/>
            </w:r>
          </w:p>
          <w:p>
            <w:pPr/>
            <w:r>
              <w:rPr/>
              <w:t xml:space="preserve">Nonouti: 10,491 mangrove planted, covering approximately 9.44ha of coastal area</w:t>
            </w:r>
          </w:p>
          <w:p>
            <w:pPr/>
            <w:r>
              <w:rPr/>
              <w:t xml:space="preserve"/>
            </w:r>
          </w:p>
          <w:p>
            <w:pPr/>
            <w:r>
              <w:rPr/>
              <w:t xml:space="preserve">Abemama: 1,900 mangrove seedlings planted, covering approximately 1.71ha of coastal area</w:t>
            </w:r>
          </w:p>
          <w:p>
            <w:pPr/>
            <w:r>
              <w:rPr/>
              <w:t xml:space="preserve"/>
            </w:r>
          </w:p>
          <w:p>
            <w:pPr/>
            <w:r>
              <w:rPr/>
              <w:t xml:space="preserve">However, mangroves planted in 2021 were found to be dead in Q1 2022 (Abemama), probably due to unsuitable site selection for planting.</w:t>
            </w:r>
          </w:p>
          <w:p>
            <w:pPr/>
            <w:r>
              <w:rPr/>
              <w:t xml:space="preserve"/>
            </w:r>
          </w:p>
          <w:p>
            <w:pPr/>
            <w:r>
              <w:rPr/>
              <w:t xml:space="preserve">Lessons from the mangrove plantation efforts have been used in the development of EbA-guidelines. Poor knowledge and capacities for site selection is one of the key issues. To address this issue, the EbA-specialist have recommended a mangrove/sea level rise vulnerability assessment for Kiribati/selected islands,  that is being considered by other projects.</w:t>
            </w:r>
          </w:p>
        </w:tc>
      </w:tr>
      <w:tr>
        <w:trPr/>
        <w:tc>
          <w:tcPr>
            <w:tcW w:w="4000" w:type="dxa"/>
            <w:gridSpan w:val="1"/>
          </w:tcPr>
          <w:p>
            <w:pPr/>
            <w:r>
              <w:rPr/>
              <w:t xml:space="preserve">12. Number of by-laws on fisheries conservation adopted on each target island.</w:t>
            </w:r>
          </w:p>
          <w:p>
            <w:pPr/>
            <w:r>
              <w:rPr/>
              <w:t xml:space="preserve"/>
            </w:r>
          </w:p>
          <w:p>
            <w:pPr/>
            <w:r>
              <w:rPr/>
              <w:t xml:space="preserve">[NEW indicator added during inception phase]</w:t>
            </w:r>
          </w:p>
        </w:tc>
        <w:tc>
          <w:tcPr>
            <w:tcW w:w="2000" w:type="dxa"/>
            <w:gridSpan w:val="1"/>
          </w:tcPr>
          <w:p>
            <w:pPr/>
            <w:r>
              <w:rPr/>
              <w:t xml:space="preserve">Nonouti</w:t>
            </w:r>
          </w:p>
          <w:p>
            <w:pPr/>
            <w:r>
              <w:rPr/>
              <w:t xml:space="preserve">3</w:t>
            </w:r>
          </w:p>
          <w:p>
            <w:pPr/>
            <w:r>
              <w:rPr/>
              <w:t xml:space="preserve"/>
            </w:r>
          </w:p>
          <w:p>
            <w:pPr/>
            <w:r>
              <w:rPr/>
              <w:t xml:space="preserve">Abemama</w:t>
            </w:r>
          </w:p>
          <w:p>
            <w:pPr/>
            <w:r>
              <w:rPr/>
              <w:t xml:space="preserve">3</w:t>
            </w:r>
          </w:p>
          <w:p>
            <w:pPr/>
            <w:r>
              <w:rPr/>
              <w:t xml:space="preserve"/>
            </w:r>
          </w:p>
          <w:p>
            <w:pPr/>
            <w:r>
              <w:rPr/>
              <w:t xml:space="preserve">Maiana</w:t>
            </w:r>
          </w:p>
          <w:p>
            <w:pPr/>
            <w:r>
              <w:rPr/>
              <w:t xml:space="preserve">1</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Nonouti</w:t>
            </w:r>
          </w:p>
          <w:p>
            <w:pPr/>
            <w:r>
              <w:rPr/>
              <w:t xml:space="preserve">6</w:t>
            </w:r>
          </w:p>
          <w:p>
            <w:pPr/>
            <w:r>
              <w:rPr/>
              <w:t xml:space="preserve"/>
            </w:r>
          </w:p>
          <w:p>
            <w:pPr/>
            <w:r>
              <w:rPr/>
              <w:t xml:space="preserve">Abemama</w:t>
            </w:r>
          </w:p>
          <w:p>
            <w:pPr/>
            <w:r>
              <w:rPr/>
              <w:t xml:space="preserve">5</w:t>
            </w:r>
          </w:p>
          <w:p>
            <w:pPr/>
            <w:r>
              <w:rPr/>
              <w:t xml:space="preserve"/>
            </w:r>
          </w:p>
          <w:p>
            <w:pPr/>
            <w:r>
              <w:rPr/>
              <w:t xml:space="preserve">Maiana</w:t>
            </w:r>
          </w:p>
          <w:p>
            <w:pPr/>
            <w:r>
              <w:rPr/>
              <w:t xml:space="preserve">4</w:t>
            </w:r>
          </w:p>
          <w:p>
            <w:pPr/>
            <w:r>
              <w:rPr/>
              <w:t xml:space="preserve"/>
            </w:r>
          </w:p>
        </w:tc>
        <w:tc>
          <w:tcPr>
            <w:tcW w:w="4000" w:type="dxa"/>
            <w:gridSpan w:val="1"/>
          </w:tcPr>
          <w:p>
            <w:pPr/>
            <w:r>
              <w:rPr/>
              <w:t xml:space="preserve">Implementation progress 65% / target on track</w:t>
            </w:r>
          </w:p>
          <w:p>
            <w:pPr/>
            <w:r>
              <w:rPr/>
              <w:t xml:space="preserve"/>
            </w:r>
          </w:p>
          <w:p>
            <w:pPr/>
            <w:r>
              <w:rPr/>
              <w:t xml:space="preserve">Number of by-laws on fisheries conservation adopted on each target island: 0 endorsed (4 drafted for 1 pilot  island)</w:t>
            </w:r>
          </w:p>
          <w:p>
            <w:pPr/>
            <w:r>
              <w:rPr/>
              <w:t xml:space="preserve"/>
            </w:r>
          </w:p>
          <w:p>
            <w:pPr/>
            <w:r>
              <w:rPr/>
              <w:t xml:space="preserve">Maiana: draft by-law agreed which has 4 fisheries provisions, 6 land provisions, 4 cultural provisions focusing on local food management, 2 formal education provisions and 1 quality standard of local products provision.</w:t>
            </w:r>
          </w:p>
          <w:p>
            <w:pPr/>
            <w:r>
              <w:rPr/>
              <w:t xml:space="preserve"/>
            </w:r>
          </w:p>
          <w:p>
            <w:pPr/>
            <w:r>
              <w:rPr/>
              <w:t xml:space="preserve">Nonouti and Abemama: Consultations related to draft by-laws delayed due to imposed stop of project activities in the 2nd quarter 2021 due to the Micro-HACT assessment issue. Consultations are planned in Q3 and Q4 2021.</w:t>
            </w:r>
          </w:p>
          <w:p>
            <w:pPr/>
            <w:r>
              <w:rPr/>
              <w:t xml:space="preserve"/>
            </w:r>
          </w:p>
          <w:p>
            <w:pPr/>
            <w:r>
              <w:rPr/>
              <w:t xml:space="preserve">By-laws are developed based on Island Strategic Plans and are therefore not limited to fisheries, but inclusive of all islands strategic development priorities.</w:t>
            </w:r>
          </w:p>
        </w:tc>
        <w:tc>
          <w:tcPr>
            <w:tcW w:w="4000" w:type="dxa"/>
            <w:gridSpan w:val="1"/>
          </w:tcPr>
          <w:p>
            <w:pPr/>
            <w:r>
              <w:rPr/>
              <w:t xml:space="preserve">Implementation progress 85% / target on track</w:t>
            </w:r>
          </w:p>
          <w:p>
            <w:pPr/>
            <w:r>
              <w:rPr/>
              <w:t xml:space="preserve"/>
            </w:r>
          </w:p>
          <w:p>
            <w:pPr/>
            <w:r>
              <w:rPr/>
              <w:t xml:space="preserve">Number of by-laws on fisheries conservation adopted on each target island: 0 endorsed (20 drafted for 3 pilot islands)</w:t>
            </w:r>
          </w:p>
          <w:p>
            <w:pPr/>
            <w:r>
              <w:rPr/>
              <w:t xml:space="preserve"/>
            </w:r>
          </w:p>
          <w:p>
            <w:pPr/>
            <w:r>
              <w:rPr/>
              <w:t xml:space="preserve">Maiana: draft by-law agreed which has 4 fisheries provisions, 6 land provisions, 4 cultural provisions focusing on local food management, 2 formal education provisions and 1 quality standard of local products provision.</w:t>
            </w:r>
          </w:p>
          <w:p>
            <w:pPr/>
            <w:r>
              <w:rPr/>
              <w:t xml:space="preserve"/>
            </w:r>
          </w:p>
          <w:p>
            <w:pPr/>
            <w:r>
              <w:rPr/>
              <w:t xml:space="preserve">Nonouti: draft by-law agreed which has 8 fisheries provisions as well as land provisions,  cultural provisions focusing on local food management, formal education provisions and quality standard of local products provision.</w:t>
            </w:r>
          </w:p>
          <w:p>
            <w:pPr/>
            <w:r>
              <w:rPr/>
              <w:t xml:space="preserve"/>
            </w:r>
          </w:p>
          <w:p>
            <w:pPr/>
            <w:r>
              <w:rPr/>
              <w:t xml:space="preserve">Abemama: draft by-law agreed which has 8 fisheries provisions as well as land provisions,  cultural provisions focusing on local food management, formal education provisions and quality standard of local products provision.</w:t>
            </w:r>
          </w:p>
          <w:p>
            <w:pPr/>
            <w:r>
              <w:rPr/>
              <w:t xml:space="preserve"/>
            </w:r>
          </w:p>
          <w:p>
            <w:pPr/>
            <w:r>
              <w:rPr/>
              <w:t xml:space="preserve">The draft by-laws have been submitted to the Office of the Attorney General for review and approval before expected endorsement in 2022.</w:t>
            </w:r>
          </w:p>
          <w:p>
            <w:pPr/>
            <w:r>
              <w:rPr/>
              <w:t xml:space="preserve"/>
            </w:r>
          </w:p>
          <w:p>
            <w:pPr/>
            <w:r>
              <w:rPr/>
              <w:t xml:space="preserve">By-laws are developed based on Island Strategic Plans and are therefore not limited to fisheries, but inclusive of all islands strategic development priorities.</w:t>
            </w:r>
          </w:p>
        </w:tc>
      </w:tr>
      <w:tr>
        <w:trPr/>
        <w:tc>
          <w:tcPr>
            <w:tcW w:w="4000" w:type="dxa"/>
            <w:gridSpan w:val="1"/>
          </w:tcPr>
          <w:p>
            <w:pPr/>
            <w:r>
              <w:rPr/>
              <w:t xml:space="preserve">13. Number of existing commercial fishing operators with permits allocated and monitored based upon implementation of coastal zone fisheries conservation by-laws.</w:t>
            </w:r>
          </w:p>
        </w:tc>
        <w:tc>
          <w:tcPr>
            <w:tcW w:w="2000" w:type="dxa"/>
            <w:gridSpan w:val="1"/>
          </w:tcPr>
          <w:p>
            <w:pPr/>
            <w:r>
              <w:rPr/>
              <w:t xml:space="preserve">Nonouti</w:t>
            </w:r>
          </w:p>
          <w:p>
            <w:pPr/>
            <w:r>
              <w:rPr/>
              <w:t xml:space="preserve">Commercial Permits: 0</w:t>
            </w:r>
          </w:p>
          <w:p>
            <w:pPr/>
            <w:r>
              <w:rPr/>
              <w:t xml:space="preserve"/>
            </w:r>
          </w:p>
          <w:p>
            <w:pPr/>
            <w:r>
              <w:rPr/>
              <w:t xml:space="preserve">Abemama</w:t>
            </w:r>
          </w:p>
          <w:p>
            <w:pPr/>
            <w:r>
              <w:rPr/>
              <w:t xml:space="preserve">Commercial Permits: 0</w:t>
            </w:r>
          </w:p>
          <w:p>
            <w:pPr/>
            <w:r>
              <w:rPr/>
              <w:t xml:space="preserve"/>
            </w:r>
          </w:p>
          <w:p>
            <w:pPr/>
            <w:r>
              <w:rPr/>
              <w:t xml:space="preserve">Maiana</w:t>
            </w:r>
          </w:p>
          <w:p>
            <w:pPr/>
            <w:r>
              <w:rPr/>
              <w:t xml:space="preserve">Commercial Permits: 0</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Nonouti</w:t>
            </w:r>
          </w:p>
          <w:p>
            <w:pPr/>
            <w:r>
              <w:rPr/>
              <w:t xml:space="preserve">Commercial Permits: 3</w:t>
            </w:r>
          </w:p>
          <w:p>
            <w:pPr/>
            <w:r>
              <w:rPr/>
              <w:t xml:space="preserve"/>
            </w:r>
          </w:p>
          <w:p>
            <w:pPr/>
            <w:r>
              <w:rPr/>
              <w:t xml:space="preserve">Abemama</w:t>
            </w:r>
          </w:p>
          <w:p>
            <w:pPr/>
            <w:r>
              <w:rPr/>
              <w:t xml:space="preserve">Commercial Permits: 3</w:t>
            </w:r>
          </w:p>
          <w:p>
            <w:pPr/>
            <w:r>
              <w:rPr/>
              <w:t xml:space="preserve"/>
            </w:r>
          </w:p>
          <w:p>
            <w:pPr/>
            <w:r>
              <w:rPr/>
              <w:t xml:space="preserve">Maiana</w:t>
            </w:r>
          </w:p>
          <w:p>
            <w:pPr/>
            <w:r>
              <w:rPr/>
              <w:t xml:space="preserve">Commercial Permits: 3</w:t>
            </w:r>
          </w:p>
          <w:p>
            <w:pPr/>
            <w:r>
              <w:rPr/>
              <w:t xml:space="preserve"/>
            </w:r>
          </w:p>
          <w:p>
            <w:pPr/>
            <w:r>
              <w:rPr/>
              <w:t xml:space="preserve">[Targets amended during inception phase to be more realistic; original targets were 5 permits per island]</w:t>
            </w:r>
          </w:p>
        </w:tc>
        <w:tc>
          <w:tcPr>
            <w:tcW w:w="4000" w:type="dxa"/>
            <w:gridSpan w:val="1"/>
          </w:tcPr>
          <w:p>
            <w:pPr/>
            <w:r>
              <w:rPr/>
              <w:t xml:space="preserve">Implementation progress 65% / target on-track</w:t>
            </w:r>
          </w:p>
          <w:p>
            <w:pPr/>
            <w:r>
              <w:rPr/>
              <w:t xml:space="preserve"/>
            </w:r>
          </w:p>
          <w:p>
            <w:pPr/>
            <w:r>
              <w:rPr/>
              <w:t xml:space="preserve">Number of existing commercial fishing operators with permits allocated and monitored based upon implementation of coastal zone fisheries conservation by-laws: 0</w:t>
            </w:r>
          </w:p>
          <w:p>
            <w:pPr/>
            <w:r>
              <w:rPr/>
              <w:t xml:space="preserve"/>
            </w:r>
          </w:p>
          <w:p>
            <w:pPr/>
            <w:r>
              <w:rPr/>
              <w:t xml:space="preserve">The following documents were submitted to Cabinet in June 2021 for endorsement, which will allow the relevant authorities to initiate further steps towards issuing of licenses to fishing operators:</w:t>
            </w:r>
          </w:p>
          <w:p>
            <w:pPr/>
            <w:r>
              <w:rPr/>
              <w:t xml:space="preserve">-	International Visitor Levy/ Sustainable Tourism Levy: International visitors will be charged a 50 AUD Levy upon arrival at Kiribati international airports (TRW and CXI). This payment will be managed by the Tourism Authority of Kiribati. AUD15 will be allocated to the Fisheries Department to cater for the cost of Fishing licences and the fishing conservation and marine resource management programs.</w:t>
            </w:r>
          </w:p>
          <w:p>
            <w:pPr/>
            <w:r>
              <w:rPr/>
              <w:t xml:space="preserve"/>
            </w:r>
          </w:p>
          <w:p>
            <w:pPr/>
            <w:r>
              <w:rPr/>
              <w:t xml:space="preserve">-	Designated fishery notice endorsed by Cabinet. This will allow the Ministry of Fisheries to develop a fishery management plan for certain species (as stipulated under section 6 of the Fisheries Act 2010) to address the management of fisheries for commercial (section 14b under the Fisheries Act) or recreational activities.</w:t>
            </w:r>
          </w:p>
          <w:p>
            <w:pPr/>
            <w:r>
              <w:rPr/>
              <w:t xml:space="preserve"/>
            </w:r>
          </w:p>
          <w:p>
            <w:pPr/>
            <w:r>
              <w:rPr/>
              <w:t xml:space="preserve">In Q3 and Q4 2021 a sustainable fisheries management plan needs to be developed for recreational game fishing at the pilot islands.</w:t>
            </w:r>
          </w:p>
          <w:p>
            <w:pPr/>
            <w:r>
              <w:rPr/>
              <w:t xml:space="preserve">This management plan could include spawning area closures, seasonal closures, quota systems, and other management measures.</w:t>
            </w:r>
          </w:p>
          <w:p>
            <w:pPr/>
            <w:r>
              <w:rPr/>
              <w:t xml:space="preserve">When finalized, national authorities can issue permits to interested commercial operators allowing recreational fisheries, whereas island by-laws (indicator 12) will enable Island Councils to issue licenses for recreational fisheries activities within the respective island territory.</w:t>
            </w:r>
          </w:p>
        </w:tc>
        <w:tc>
          <w:tcPr>
            <w:tcW w:w="4000" w:type="dxa"/>
            <w:gridSpan w:val="1"/>
          </w:tcPr>
          <w:p>
            <w:pPr/>
            <w:r>
              <w:rPr/>
              <w:t xml:space="preserve">Implementation progress 75% / target on-track</w:t>
            </w:r>
          </w:p>
          <w:p>
            <w:pPr/>
            <w:r>
              <w:rPr/>
              <w:t xml:space="preserve"/>
            </w:r>
          </w:p>
          <w:p>
            <w:pPr/>
            <w:r>
              <w:rPr/>
              <w:t xml:space="preserve">Number of existing commercial fishing operators with permits allocated and monitored based upon implementation of coastal zone fisheries conservation by-laws: 0</w:t>
            </w:r>
          </w:p>
          <w:p>
            <w:pPr/>
            <w:r>
              <w:rPr/>
              <w:t xml:space="preserve"/>
            </w:r>
          </w:p>
          <w:p>
            <w:pPr/>
            <w:r>
              <w:rPr/>
              <w:t xml:space="preserve">The tourism business levy was approved by Cabinet in Q3 2021. Implementation awaits options of either revenue subsidy from 2022 or full implementation of tourism licences in 2023. The by-law formulation (indicator 12) also support tourism operations and business plan development of eco-tourism operators.</w:t>
            </w:r>
          </w:p>
          <w:p>
            <w:pPr/>
            <w:r>
              <w:rPr/>
              <w:t xml:space="preserve"/>
            </w:r>
          </w:p>
          <w:p>
            <w:pPr/>
            <w:r>
              <w:rPr/>
              <w:t xml:space="preserve">One multi-sector consultation was held with the Office of the Attorney General (OAG) to align this permit with existing by-laws.  Progress awaiting further advice from OAG, so provisions for commercial fisheries licenses will be incorporated in the draft by-laws (indicator 12).</w:t>
            </w:r>
          </w:p>
        </w:tc>
      </w:tr>
      <w:tr>
        <w:trPr/>
        <w:tc>
          <w:tcPr>
            <w:tcW w:w="4000" w:type="dxa"/>
            <w:gridSpan w:val="1"/>
          </w:tcPr>
          <w:p>
            <w:pPr/>
            <w:r>
              <w:rPr/>
              <w:t xml:space="preserve">14. Capacity score of Fisheries Conservation Field School participants increases based upon GEF Capacity Result 2 (Capacities to generate, access and use information knowledge).</w:t>
            </w:r>
          </w:p>
        </w:tc>
        <w:tc>
          <w:tcPr>
            <w:tcW w:w="2000" w:type="dxa"/>
            <w:gridSpan w:val="1"/>
          </w:tcPr>
          <w:p>
            <w:pPr/>
            <w:r>
              <w:rPr/>
              <w:t xml:space="preserve">Nonouti FCFS</w:t>
            </w:r>
          </w:p>
          <w:p>
            <w:pPr/>
            <w:r>
              <w:rPr/>
              <w:t xml:space="preserve">Scorecard CR2: 1</w:t>
            </w:r>
          </w:p>
          <w:p>
            <w:pPr/>
            <w:r>
              <w:rPr/>
              <w:t xml:space="preserve"/>
            </w:r>
          </w:p>
          <w:p>
            <w:pPr/>
            <w:r>
              <w:rPr/>
              <w:t xml:space="preserve">Abemama FCFS</w:t>
            </w:r>
          </w:p>
          <w:p>
            <w:pPr/>
            <w:r>
              <w:rPr/>
              <w:t xml:space="preserve">Scorecard CR2: 1</w:t>
            </w:r>
          </w:p>
          <w:p>
            <w:pPr/>
            <w:r>
              <w:rPr/>
              <w:t xml:space="preserve"/>
            </w:r>
          </w:p>
          <w:p>
            <w:pPr/>
            <w:r>
              <w:rPr/>
              <w:t xml:space="preserve">Maiana FCFS</w:t>
            </w:r>
          </w:p>
          <w:p>
            <w:pPr/>
            <w:r>
              <w:rPr/>
              <w:t xml:space="preserve">Scorecard CR2: 1</w:t>
            </w:r>
          </w:p>
          <w:p>
            <w:pPr/>
            <w:r>
              <w:rPr/>
              <w:t xml:space="preserve"/>
            </w:r>
          </w:p>
          <w:p>
            <w:pPr/>
            <w:r>
              <w:rPr/>
              <w:t xml:space="preserve">* Score range: 0-15</w:t>
            </w:r>
          </w:p>
        </w:tc>
        <w:tc>
          <w:tcPr>
            <w:tcW w:w="2000" w:type="dxa"/>
            <w:gridSpan w:val="1"/>
          </w:tcPr>
          <w:p>
            <w:pPr/>
            <w:r>
              <w:rPr>
                <w:i w:val="1"/>
                <w:iCs w:val="1"/>
              </w:rPr>
              <w:t xml:space="preserve">(not set or not applicable)</w:t>
            </w:r>
          </w:p>
        </w:tc>
        <w:tc>
          <w:tcPr>
            <w:tcW w:w="2000" w:type="dxa"/>
            <w:gridSpan w:val="1"/>
          </w:tcPr>
          <w:p>
            <w:pPr/>
            <w:r>
              <w:rPr/>
              <w:t xml:space="preserve">Nonouti FCFS</w:t>
            </w:r>
          </w:p>
          <w:p>
            <w:pPr/>
            <w:r>
              <w:rPr/>
              <w:t xml:space="preserve">Scorecard CR2: At least 10</w:t>
            </w:r>
          </w:p>
          <w:p>
            <w:pPr/>
            <w:r>
              <w:rPr/>
              <w:t xml:space="preserve"/>
            </w:r>
          </w:p>
          <w:p>
            <w:pPr/>
            <w:r>
              <w:rPr/>
              <w:t xml:space="preserve">Abemama FCFS</w:t>
            </w:r>
          </w:p>
          <w:p>
            <w:pPr/>
            <w:r>
              <w:rPr/>
              <w:t xml:space="preserve">Scorecard CR2: At least 10</w:t>
            </w:r>
          </w:p>
          <w:p>
            <w:pPr/>
            <w:r>
              <w:rPr/>
              <w:t xml:space="preserve"/>
            </w:r>
          </w:p>
          <w:p>
            <w:pPr/>
            <w:r>
              <w:rPr/>
              <w:t xml:space="preserve">Maiana FCFS</w:t>
            </w:r>
          </w:p>
          <w:p>
            <w:pPr/>
            <w:r>
              <w:rPr/>
              <w:t xml:space="preserve">Scorecard CR2: At least 10</w:t>
            </w:r>
          </w:p>
          <w:p>
            <w:pPr/>
            <w:r>
              <w:rPr/>
              <w:t xml:space="preserve"/>
            </w:r>
          </w:p>
          <w:p>
            <w:pPr/>
            <w:r>
              <w:rPr/>
              <w:t xml:space="preserve">[Targets amended during inception phase to be more realistic; original targets were 15 for each FCFS]</w:t>
            </w:r>
          </w:p>
        </w:tc>
        <w:tc>
          <w:tcPr>
            <w:tcW w:w="4000" w:type="dxa"/>
            <w:gridSpan w:val="1"/>
          </w:tcPr>
          <w:p>
            <w:pPr/>
            <w:r>
              <w:rPr/>
              <w:t xml:space="preserve">Implementation progress 100% / target achieved</w:t>
            </w:r>
          </w:p>
          <w:p>
            <w:pPr/>
            <w:r>
              <w:rPr/>
              <w:t xml:space="preserve"/>
            </w:r>
          </w:p>
          <w:p>
            <w:pPr/>
            <w:r>
              <w:rPr/>
              <w:t xml:space="preserve">The CR2 capacity scores of pilot island communities was assessed at 10-11 (target 10) in June 2021.</w:t>
            </w:r>
          </w:p>
          <w:p>
            <w:pPr/>
            <w:r>
              <w:rPr/>
              <w:t xml:space="preserve">A final assessment of GEF CR2 capacity scores of pilot island communities will be carried out by the end of the project.</w:t>
            </w:r>
          </w:p>
          <w:p>
            <w:pPr/>
            <w:r>
              <w:rPr/>
              <w:t xml:space="preserve"/>
            </w:r>
          </w:p>
          <w:p>
            <w:pPr/>
            <w:r>
              <w:rPr/>
              <w:t xml:space="preserve">Outreach, awareness, and monitoring of improved capacities by the project Communication Working Group delayed due to Micro-HACT assessment issue and restricted travel to pilots islands in Q2 2021.</w:t>
            </w:r>
          </w:p>
          <w:p>
            <w:pPr/>
            <w:r>
              <w:rPr/>
              <w:t xml:space="preserve"/>
            </w:r>
          </w:p>
          <w:p>
            <w:pPr/>
            <w:r>
              <w:rPr/>
              <w:t xml:space="preserve">The following trainings/activities have taken place in this reporting period to increase community awareness and capacities:</w:t>
            </w:r>
          </w:p>
          <w:p>
            <w:pPr/>
            <w:r>
              <w:rPr/>
              <w:t xml:space="preserve"/>
            </w:r>
          </w:p>
          <w:p>
            <w:pPr/>
            <w:r>
              <w:rPr/>
              <w:t xml:space="preserve">Fisheries and Aquaculture:</w:t>
            </w:r>
          </w:p>
          <w:p>
            <w:pPr/>
            <w:r>
              <w:rPr/>
              <w:t xml:space="preserve">-	Restocking Nonouti MPAs with more arkshell from Abemama using gauges</w:t>
            </w:r>
          </w:p>
          <w:p>
            <w:pPr/>
            <w:r>
              <w:rPr/>
              <w:t xml:space="preserve">-	Hands-on training on basic sandfish farming management practices at Abemama</w:t>
            </w:r>
          </w:p>
          <w:p>
            <w:pPr/>
            <w:r>
              <w:rPr/>
              <w:t xml:space="preserve">-	Re-introduce/training seaweed planting with monitoring at all pilot islands</w:t>
            </w:r>
          </w:p>
          <w:p>
            <w:pPr/>
            <w:r>
              <w:rPr/>
              <w:t xml:space="preserve">-	School awareness (Abemama 480 students) in fisheries management.</w:t>
            </w:r>
          </w:p>
          <w:p>
            <w:pPr/>
            <w:r>
              <w:rPr/>
              <w:t xml:space="preserve">-	Seaweed farming training at selected communities of 3 pilot islands</w:t>
            </w:r>
          </w:p>
          <w:p>
            <w:pPr/>
            <w:r>
              <w:rPr/>
              <w:t xml:space="preserve">-	Coral planting and sea grass restoration at Abemama and Maiana</w:t>
            </w:r>
          </w:p>
          <w:p>
            <w:pPr/>
            <w:r>
              <w:rPr/>
              <w:t xml:space="preserve">-	Fisheries post-harvest/cooking capacities: Promotion of seagrape preparation (&gt;200 people on Abemama)</w:t>
            </w:r>
          </w:p>
          <w:p>
            <w:pPr/>
            <w:r>
              <w:rPr/>
              <w:t xml:space="preserve">-	Giant clams (H.hippopus) Collection and aggregation of for stimulating natural spawning to increase food sources (Maiana).</w:t>
            </w:r>
          </w:p>
          <w:p>
            <w:pPr/>
            <w:r>
              <w:rPr/>
              <w:t xml:space="preserve">-	Monitoring of translocated ark shells from Abemama to  Nonouti (95% survival rate using cages) and within Abemama</w:t>
            </w:r>
          </w:p>
          <w:p>
            <w:pPr/>
            <w:r>
              <w:rPr/>
              <w:t xml:space="preserve">-	Monitoring of deployed sea cucumbers at Abemama (Tabiang village).</w:t>
            </w:r>
          </w:p>
          <w:p>
            <w:pPr/>
            <w:r>
              <w:rPr/>
              <w:t xml:space="preserve">-	TOT of teachers. Resource kits for teachers and materials were developed under co-finance from the TW programme and SPC project.</w:t>
            </w:r>
          </w:p>
          <w:p>
            <w:pPr/>
            <w:r>
              <w:rPr/>
              <w:t xml:space="preserve"/>
            </w:r>
          </w:p>
          <w:p>
            <w:pPr/>
            <w:r>
              <w:rPr/>
              <w:t xml:space="preserve">Agriculture:</w:t>
            </w:r>
          </w:p>
          <w:p>
            <w:pPr/>
            <w:r>
              <w:rPr/>
              <w:t xml:space="preserve">o	Training of farmers on livestock (exotic/introduced) management to all pilot islands</w:t>
            </w:r>
          </w:p>
          <w:p>
            <w:pPr/>
            <w:r>
              <w:rPr/>
              <w:t xml:space="preserve">o	On-the-job Training of Youth Inventory Stocktakers (12 at Maiana, 14 at Abemama &amp; 10 at Nonouti) on farming of perennial crops, and short term food crops, including exotic plants.</w:t>
            </w:r>
          </w:p>
          <w:p>
            <w:pPr/>
            <w:r>
              <w:rPr/>
              <w:t xml:space="preserve">o	Livestock (piggery &amp; poultry) training at all pilot islands, including dry litter piggery system for making compost (Nonouri 100 people)</w:t>
            </w:r>
          </w:p>
          <w:p>
            <w:pPr/>
            <w:r>
              <w:rPr/>
              <w:t xml:space="preserve">Environment:</w:t>
            </w:r>
          </w:p>
          <w:p>
            <w:pPr/>
            <w:r>
              <w:rPr/>
              <w:t xml:space="preserve">o	Rodent control initiative (Abemama).</w:t>
            </w:r>
          </w:p>
          <w:p>
            <w:pPr/>
            <w:r>
              <w:rPr/>
              <w:t xml:space="preserve">o	Environment training on construction of soft coastal protection measures (Buibui) and cleaning and protection of mangrove plants from both algae and debris (Abemama).</w:t>
            </w:r>
          </w:p>
          <w:p>
            <w:pPr/>
            <w:r>
              <w:rPr/>
              <w:t xml:space="preserve">o	Mangrove plantation and monitoring</w:t>
            </w:r>
          </w:p>
          <w:p>
            <w:pPr/>
            <w:r>
              <w:rPr/>
              <w:t xml:space="preserve">Tourism:</w:t>
            </w:r>
          </w:p>
          <w:p>
            <w:pPr/>
            <w:r>
              <w:rPr/>
              <w:t xml:space="preserve">o	Training/upskilling in Boat Safety and First Aid for fishermen/tour guide operators</w:t>
            </w:r>
          </w:p>
          <w:p>
            <w:pPr/>
            <w:r>
              <w:rPr/>
              <w:t xml:space="preserve">o	Assistance to local communities for launching of eco-tourism products</w:t>
            </w:r>
          </w:p>
          <w:p>
            <w:pPr/>
            <w:r>
              <w:rPr/>
              <w:t xml:space="preserve">o	Tour Guide (gamefishing) training at Maiana</w:t>
            </w:r>
          </w:p>
          <w:p>
            <w:pPr/>
            <w:r>
              <w:rPr/>
              <w:t xml:space="preserve">o	Cultural Rehabilitation Consultation (Abemama and Nonouti) – joint mission by Culture and Tourism</w:t>
            </w:r>
          </w:p>
          <w:p>
            <w:pPr/>
            <w:r>
              <w:rPr/>
              <w:t xml:space="preserve">Commerce:</w:t>
            </w:r>
          </w:p>
          <w:p>
            <w:pPr/>
            <w:r>
              <w:rPr/>
              <w:t xml:space="preserve">o	Financial literacy training for establishing income generating initiatives.</w:t>
            </w:r>
          </w:p>
          <w:p>
            <w:pPr/>
            <w:r>
              <w:rPr/>
              <w:t xml:space="preserve">o	Handicraft training (Nonouti)</w:t>
            </w:r>
          </w:p>
          <w:p>
            <w:pPr/>
            <w:r>
              <w:rPr/>
              <w:t xml:space="preserve">o	Business awareness raising (Maiana and Nonouti).</w:t>
            </w:r>
          </w:p>
          <w:p>
            <w:pPr/>
            <w:r>
              <w:rPr/>
              <w:t xml:space="preserve"/>
            </w:r>
          </w:p>
        </w:tc>
        <w:tc>
          <w:tcPr>
            <w:tcW w:w="4000" w:type="dxa"/>
            <w:gridSpan w:val="1"/>
          </w:tcPr>
          <w:p>
            <w:pPr/>
            <w:r>
              <w:rPr/>
              <w:t xml:space="preserve">Implementation progress 100% / target achieved</w:t>
            </w:r>
          </w:p>
          <w:p>
            <w:pPr/>
            <w:r>
              <w:rPr/>
              <w:t xml:space="preserve"/>
            </w:r>
          </w:p>
          <w:p>
            <w:pPr/>
            <w:r>
              <w:rPr/>
              <w:t xml:space="preserve">The CR2 capacity scores of pilot island communities was assessed at 14 (target 10) in July 2022. A final assessment of GEF CR2 capacity scores of pilot island communities will be carried out by the end of the project.</w:t>
            </w:r>
          </w:p>
          <w:p>
            <w:pPr/>
            <w:r>
              <w:rPr/>
              <w:t xml:space="preserve"/>
            </w:r>
          </w:p>
          <w:p>
            <w:pPr/>
            <w:r>
              <w:rPr/>
              <w:t xml:space="preserve">A household awareness mission and survey were conducted at Maiana and Abemama between December 2021 and February 2022 by the project communication team. The survey indicates that 70% of respondents are aware of climate change as a global challenge and 87% at the local level. Around half of respondents are aware of possible solutions, internationally (48%) or locally (54%).</w:t>
            </w:r>
          </w:p>
          <w:p>
            <w:pPr/>
            <w:r>
              <w:rPr/>
              <w:t xml:space="preserve"/>
            </w:r>
          </w:p>
          <w:p>
            <w:pPr/>
            <w:r>
              <w:rPr/>
              <w:t xml:space="preserve">The following trainings/activities have taken place in this reporting period to increase community awareness and capacities:</w:t>
            </w:r>
          </w:p>
          <w:p>
            <w:pPr/>
            <w:r>
              <w:rPr/>
              <w:t xml:space="preserve">-	Predator eradication related to milkfish farming</w:t>
            </w:r>
          </w:p>
          <w:p>
            <w:pPr/>
            <w:r>
              <w:rPr/>
              <w:t xml:space="preserve">-	Livestock management</w:t>
            </w:r>
          </w:p>
          <w:p>
            <w:pPr/>
            <w:r>
              <w:rPr/>
              <w:t xml:space="preserve">-	Handicraft and business related issues for income-generation, including e-commerce</w:t>
            </w:r>
          </w:p>
          <w:p>
            <w:pPr/>
            <w:r>
              <w:rPr/>
              <w:t xml:space="preserve">-	Tourism and development of Ecotourism plans</w:t>
            </w:r>
          </w:p>
          <w:p>
            <w:pPr/>
            <w:r>
              <w:rPr/>
              <w:t xml:space="preserve">-	Mangrove plantation and beach re-vegetation</w:t>
            </w:r>
          </w:p>
          <w:p>
            <w:pPr/>
            <w:r>
              <w:rPr/>
              <w:t xml:space="preserve">-	Crop plantation and monitoring</w:t>
            </w:r>
          </w:p>
          <w:p>
            <w:pPr/>
            <w:r>
              <w:rPr/>
              <w:t xml:space="preserve">-	Fisheries monitoring</w:t>
            </w:r>
          </w:p>
        </w:tc>
      </w:tr>
      <w:tr>
        <w:trPr/>
        <w:tc>
          <w:tcPr>
            <w:tcW w:w="4000" w:type="dxa"/>
            <w:gridSpan w:val="1"/>
          </w:tcPr>
          <w:p>
            <w:pPr/>
            <w:r>
              <w:rPr/>
              <w:t xml:space="preserve">15. Amount of revenue generated annually (including Island Councils and target communities) from the non-consumptive use of coastal zone resources.</w:t>
            </w:r>
          </w:p>
          <w:p>
            <w:pPr/>
            <w:r>
              <w:rPr/>
              <w:t xml:space="preserve"/>
            </w:r>
          </w:p>
          <w:p>
            <w:pPr/>
            <w:r>
              <w:rPr/>
              <w:t xml:space="preserve">[Minor amendments to indicator wording during inception phase for clarity]</w:t>
            </w:r>
          </w:p>
        </w:tc>
        <w:tc>
          <w:tcPr>
            <w:tcW w:w="2000" w:type="dxa"/>
            <w:gridSpan w:val="1"/>
          </w:tcPr>
          <w:p>
            <w:pPr/>
            <w:r>
              <w:rPr/>
              <w:t xml:space="preserve">Nonouti AU$ 0</w:t>
            </w:r>
          </w:p>
          <w:p>
            <w:pPr/>
            <w:r>
              <w:rPr/>
              <w:t xml:space="preserve"/>
            </w:r>
          </w:p>
          <w:p>
            <w:pPr/>
            <w:r>
              <w:rPr/>
              <w:t xml:space="preserve">Abemama AU$ 0</w:t>
            </w:r>
          </w:p>
          <w:p>
            <w:pPr/>
            <w:r>
              <w:rPr/>
              <w:t xml:space="preserve"/>
            </w:r>
          </w:p>
          <w:p>
            <w:pPr/>
            <w:r>
              <w:rPr/>
              <w:t xml:space="preserve">Maiana AU$ 0</w:t>
            </w:r>
          </w:p>
          <w:p>
            <w:pPr/>
            <w:r>
              <w:rPr/>
              <w:t xml:space="preserve"/>
            </w:r>
          </w:p>
        </w:tc>
        <w:tc>
          <w:tcPr>
            <w:tcW w:w="2000" w:type="dxa"/>
            <w:gridSpan w:val="1"/>
          </w:tcPr>
          <w:p>
            <w:pPr/>
            <w:r>
              <w:rPr>
                <w:i w:val="1"/>
                <w:iCs w:val="1"/>
              </w:rPr>
              <w:t xml:space="preserve">(not set or not applicable)</w:t>
            </w:r>
          </w:p>
        </w:tc>
        <w:tc>
          <w:tcPr>
            <w:tcW w:w="2000" w:type="dxa"/>
            <w:gridSpan w:val="1"/>
          </w:tcPr>
          <w:p>
            <w:pPr/>
            <w:r>
              <w:rPr/>
              <w:t xml:space="preserve">Nonouti AU$ 15,000</w:t>
            </w:r>
          </w:p>
          <w:p>
            <w:pPr/>
            <w:r>
              <w:rPr/>
              <w:t xml:space="preserve">(US$ 11,200)</w:t>
            </w:r>
          </w:p>
          <w:p>
            <w:pPr/>
            <w:r>
              <w:rPr/>
              <w:t xml:space="preserve"/>
            </w:r>
          </w:p>
          <w:p>
            <w:pPr/>
            <w:r>
              <w:rPr/>
              <w:t xml:space="preserve">Abemama</w:t>
            </w:r>
          </w:p>
          <w:p>
            <w:pPr/>
            <w:r>
              <w:rPr/>
              <w:t xml:space="preserve">AU$ 5,000</w:t>
            </w:r>
          </w:p>
          <w:p>
            <w:pPr/>
            <w:r>
              <w:rPr/>
              <w:t xml:space="preserve">(US$ 3,750)</w:t>
            </w:r>
          </w:p>
          <w:p>
            <w:pPr/>
            <w:r>
              <w:rPr/>
              <w:t xml:space="preserve"/>
            </w:r>
          </w:p>
          <w:p>
            <w:pPr/>
            <w:r>
              <w:rPr/>
              <w:t xml:space="preserve">Maiana AU$ 5,000</w:t>
            </w:r>
          </w:p>
          <w:p>
            <w:pPr/>
            <w:r>
              <w:rPr/>
              <w:t xml:space="preserve">(US$ 3,750)</w:t>
            </w:r>
          </w:p>
          <w:p>
            <w:pPr/>
            <w:r>
              <w:rPr/>
              <w:t xml:space="preserve"/>
            </w:r>
          </w:p>
        </w:tc>
        <w:tc>
          <w:tcPr>
            <w:tcW w:w="4000" w:type="dxa"/>
            <w:gridSpan w:val="1"/>
          </w:tcPr>
          <w:p>
            <w:pPr/>
            <w:r>
              <w:rPr/>
              <w:t xml:space="preserve">Implementation progress 75% / target off-track due to Covid-19-impact</w:t>
            </w:r>
          </w:p>
          <w:p>
            <w:pPr/>
            <w:r>
              <w:rPr/>
              <w:t xml:space="preserve"/>
            </w:r>
          </w:p>
          <w:p>
            <w:pPr/>
            <w:r>
              <w:rPr/>
              <w:t xml:space="preserve">Due to Covid-19 international travel restrictions since March 2020, targets are severely affected.</w:t>
            </w:r>
          </w:p>
          <w:p>
            <w:pPr/>
            <w:r>
              <w:rPr/>
              <w:t xml:space="preserve"/>
            </w:r>
          </w:p>
          <w:p>
            <w:pPr/>
            <w:r>
              <w:rPr/>
              <w:t xml:space="preserve">The amount of revenue generated annually (including Island Councils and target communities) from the non-consumptive use of coastal zone resources in 2020 was zero for all 3 pilot islands.</w:t>
            </w:r>
          </w:p>
          <w:p>
            <w:pPr/>
            <w:r>
              <w:rPr/>
              <w:t xml:space="preserve"/>
            </w:r>
          </w:p>
          <w:p>
            <w:pPr/>
            <w:r>
              <w:rPr/>
              <w:t xml:space="preserve">In 2021, 1,750 USD/2300 AUD amounting to 46% of the target was generated at Abemama from a Cultural Trade Fair held over 2 days in March 2021, attended by 1,952 people in total. Due to lack of international visitors, the Cultural Fair focused on attendance from locals and expats.</w:t>
            </w:r>
          </w:p>
          <w:p>
            <w:pPr/>
            <w:r>
              <w:rPr/>
              <w:t xml:space="preserve"/>
            </w:r>
          </w:p>
          <w:p>
            <w:pPr/>
            <w:r>
              <w:rPr/>
              <w:t xml:space="preserve">In 2019, Nonouti achieved the project target through revenue from international fly-fishing tourism, while Abemama and Maiana were in the preparatory phase and attaining respectively 60% and 40% of the target.</w:t>
            </w:r>
          </w:p>
          <w:p>
            <w:pPr/>
            <w:r>
              <w:rPr/>
              <w:t xml:space="preserve"/>
            </w:r>
          </w:p>
          <w:p>
            <w:pPr/>
            <w:r>
              <w:rPr/>
              <w:t xml:space="preserve">Preparations for fly-fishing tourism and ecotourism has continued in 2020 and 2021 through support to the pilot islands by the Tourism and Commerce sectors with registration of new businesses, setting up community cooperatives for new income generating initiatives, awareness raising for compliance with business law, and development of eco-tourism plans.</w:t>
            </w:r>
          </w:p>
          <w:p>
            <w:pPr/>
            <w:r>
              <w:rPr/>
              <w:t xml:space="preserve"/>
            </w:r>
          </w:p>
        </w:tc>
        <w:tc>
          <w:tcPr>
            <w:tcW w:w="4000" w:type="dxa"/>
            <w:gridSpan w:val="1"/>
          </w:tcPr>
          <w:p>
            <w:pPr/>
            <w:r>
              <w:rPr/>
              <w:t xml:space="preserve">Implementation progress 85% / target off-track due to Covid-19-impact</w:t>
            </w:r>
          </w:p>
          <w:p>
            <w:pPr/>
            <w:r>
              <w:rPr/>
              <w:t xml:space="preserve"/>
            </w:r>
          </w:p>
          <w:p>
            <w:pPr/>
            <w:r>
              <w:rPr/>
              <w:t xml:space="preserve">Due to Covid-19 international travel restrictions since March 2020, targets are severely affected.</w:t>
            </w:r>
          </w:p>
          <w:p>
            <w:pPr/>
            <w:r>
              <w:rPr/>
              <w:t xml:space="preserve">International borders are reopening from 1 August 2022 and quarantine requirements suspended.</w:t>
            </w:r>
          </w:p>
          <w:p>
            <w:pPr/>
            <w:r>
              <w:rPr/>
              <w:t xml:space="preserve"/>
            </w:r>
          </w:p>
          <w:p>
            <w:pPr/>
            <w:r>
              <w:rPr/>
              <w:t xml:space="preserve">Preparations for fly-fishing tourism and ecotourism has continued in 2021 and 2022 through support to the pilot islands by the Tourism and Commerce sectors.</w:t>
            </w:r>
          </w:p>
        </w:tc>
      </w:tr>
      <w:tr>
        <w:trPr/>
        <w:tc>
          <w:tcPr>
            <w:tcW w:w="4000" w:type="dxa"/>
            <w:gridSpan w:val="1"/>
          </w:tcPr>
          <w:p>
            <w:pPr/>
            <w:r>
              <w:rPr/>
              <w:t xml:space="preserve">16. Number of food crops, including traditional food crops, planted at each target village.</w:t>
            </w:r>
          </w:p>
          <w:p>
            <w:pPr/>
            <w:r>
              <w:rPr/>
              <w:t xml:space="preserve"/>
            </w:r>
          </w:p>
          <w:p>
            <w:pPr/>
            <w:r>
              <w:rPr/>
              <w:t xml:space="preserve">[NEW indicator added during inception phase]</w:t>
            </w:r>
          </w:p>
        </w:tc>
        <w:tc>
          <w:tcPr>
            <w:tcW w:w="2000" w:type="dxa"/>
            <w:gridSpan w:val="1"/>
          </w:tcPr>
          <w:p>
            <w:pPr/>
            <w:r>
              <w:rPr/>
              <w:t xml:space="preserve">Surveys indicate that villages on target islands typically have 2 crops planted.</w:t>
            </w:r>
          </w:p>
        </w:tc>
        <w:tc>
          <w:tcPr>
            <w:tcW w:w="2000" w:type="dxa"/>
            <w:gridSpan w:val="1"/>
          </w:tcPr>
          <w:p>
            <w:pPr/>
            <w:r>
              <w:rPr>
                <w:i w:val="1"/>
                <w:iCs w:val="1"/>
              </w:rPr>
              <w:t xml:space="preserve">(not set or not applicable)</w:t>
            </w:r>
          </w:p>
        </w:tc>
        <w:tc>
          <w:tcPr>
            <w:tcW w:w="2000" w:type="dxa"/>
            <w:gridSpan w:val="1"/>
          </w:tcPr>
          <w:p>
            <w:pPr/>
            <w:r>
              <w:rPr/>
              <w:t xml:space="preserve">Nonouti</w:t>
            </w:r>
          </w:p>
          <w:p>
            <w:pPr/>
            <w:r>
              <w:rPr/>
              <w:t xml:space="preserve">At least 5 varieties per village</w:t>
            </w:r>
          </w:p>
          <w:p>
            <w:pPr/>
            <w:r>
              <w:rPr/>
              <w:t xml:space="preserve"/>
            </w:r>
          </w:p>
          <w:p>
            <w:pPr/>
            <w:r>
              <w:rPr/>
              <w:t xml:space="preserve">Abemama</w:t>
            </w:r>
          </w:p>
          <w:p>
            <w:pPr/>
            <w:r>
              <w:rPr/>
              <w:t xml:space="preserve">At least 5 varieties per village</w:t>
            </w:r>
          </w:p>
          <w:p>
            <w:pPr/>
            <w:r>
              <w:rPr/>
              <w:t xml:space="preserve"/>
            </w:r>
          </w:p>
          <w:p>
            <w:pPr/>
            <w:r>
              <w:rPr/>
              <w:t xml:space="preserve">Maiana</w:t>
            </w:r>
          </w:p>
          <w:p>
            <w:pPr/>
            <w:r>
              <w:rPr/>
              <w:t xml:space="preserve">At least 5 varieties per village</w:t>
            </w:r>
          </w:p>
          <w:p>
            <w:pPr/>
            <w:r>
              <w:rPr/>
              <w:t xml:space="preserve"/>
            </w:r>
          </w:p>
        </w:tc>
        <w:tc>
          <w:tcPr>
            <w:tcW w:w="4000" w:type="dxa"/>
            <w:gridSpan w:val="1"/>
          </w:tcPr>
          <w:p>
            <w:pPr/>
            <w:r>
              <w:rPr/>
              <w:t xml:space="preserve">Implementation progress: 100%  / target achieved</w:t>
            </w:r>
          </w:p>
          <w:p>
            <w:pPr/>
            <w:r>
              <w:rPr/>
              <w:t xml:space="preserve"/>
            </w:r>
          </w:p>
          <w:p>
            <w:pPr/>
            <w:r>
              <w:rPr/>
              <w:t xml:space="preserve">The target of &gt;5 varieties of traditional crops per village of all villages of the 3 pilot islands has been achieved.</w:t>
            </w:r>
          </w:p>
          <w:p>
            <w:pPr/>
            <w:r>
              <w:rPr/>
              <w:t xml:space="preserve"/>
            </w:r>
          </w:p>
          <w:p>
            <w:pPr/>
            <w:r>
              <w:rPr/>
              <w:t xml:space="preserve">15,089 native food crops (eg. coconut, breadfruit, pandanus and swamp taro) planted across all villages (total 36 villages) across the 3 pilot islands, with 33-60 different varieties of the five native crops pr. Island.</w:t>
            </w:r>
          </w:p>
          <w:p>
            <w:pPr/>
            <w:r>
              <w:rPr/>
              <w:t xml:space="preserve"/>
            </w:r>
          </w:p>
          <w:p>
            <w:pPr/>
            <w:r>
              <w:rPr/>
              <w:t xml:space="preserve">- Nonouti: 4,480 crops planted, at least 59 different varieties of the 5 native crops</w:t>
            </w:r>
          </w:p>
          <w:p>
            <w:pPr/>
            <w:r>
              <w:rPr/>
              <w:t xml:space="preserve">- Abemama: 4,273 crops planted, at least 33 different varieties of the 5 native crops</w:t>
            </w:r>
          </w:p>
          <w:p>
            <w:pPr/>
            <w:r>
              <w:rPr/>
              <w:t xml:space="preserve">- Maiana: 6,336 crops planted, at least 60 different varieties of the 5 native crops</w:t>
            </w:r>
          </w:p>
          <w:p>
            <w:pPr/>
            <w:r>
              <w:rPr/>
              <w:t xml:space="preserve"/>
            </w:r>
          </w:p>
          <w:p>
            <w:pPr/>
            <w:r>
              <w:rPr/>
              <w:t xml:space="preserve">In addition, the project is supporting home and school gardening with plantation of 15 varieties of vegetables and fruits at household and schools to further increase the production of food.</w:t>
            </w:r>
          </w:p>
          <w:p>
            <w:pPr/>
            <w:r>
              <w:rPr/>
              <w:t xml:space="preserve"/>
            </w:r>
          </w:p>
          <w:p>
            <w:pPr/>
            <w:r>
              <w:rPr/>
              <w:t xml:space="preserve">Livestock (total 400 poultry and 40 pigs) increased in 4 villages (2 pilot villages at Abemama and 4 villages at Nonouti), along with capacity building related to piggery and poultry management.</w:t>
            </w:r>
          </w:p>
          <w:p>
            <w:pPr/>
            <w:r>
              <w:rPr/>
              <w:t xml:space="preserve"/>
            </w:r>
          </w:p>
          <w:p>
            <w:pPr/>
            <w:r>
              <w:rPr/>
              <w:t xml:space="preserve">Booklets and videos have been published gathering traditional knowledge for each of the 3 pilot islands related to:</w:t>
            </w:r>
          </w:p>
          <w:p>
            <w:pPr/>
            <w:r>
              <w:rPr/>
              <w:t xml:space="preserve">-	crop cultivation</w:t>
            </w:r>
          </w:p>
          <w:p>
            <w:pPr/>
            <w:r>
              <w:rPr/>
              <w:t xml:space="preserve">-	food preparation and processing (seasonal fruits, finfish and invertebrates)</w:t>
            </w:r>
          </w:p>
          <w:p>
            <w:pPr/>
            <w:r>
              <w:rPr/>
              <w:t xml:space="preserve">-	food preservation and storage, processing of fish for preservation (drying and salting)</w:t>
            </w:r>
          </w:p>
          <w:p>
            <w:pPr/>
            <w:r>
              <w:rPr/>
              <w:t xml:space="preserve">-	production of traditional medicine from vegetation (stem, leaves and roots).</w:t>
            </w:r>
          </w:p>
          <w:p>
            <w:pPr/>
            <w:r>
              <w:rPr/>
              <w:t xml:space="preserve">-	traditional arts/skills for toddy cutting</w:t>
            </w:r>
          </w:p>
          <w:p>
            <w:pPr/>
            <w:r>
              <w:rPr/>
              <w:t xml:space="preserve">-	production and weaving of mats from raw materials</w:t>
            </w:r>
          </w:p>
          <w:p>
            <w:pPr/>
            <w:r>
              <w:rPr/>
              <w:t xml:space="preserve">-	fishing methods (netting) and fishing seasons</w:t>
            </w:r>
          </w:p>
          <w:p>
            <w:pPr/>
            <w:r>
              <w:rPr/>
              <w:t xml:space="preserve">-	traditional navigation and/or weather forecasting, especially for fishing.</w:t>
            </w:r>
          </w:p>
          <w:p>
            <w:pPr/>
            <w:r>
              <w:rPr/>
              <w:t xml:space="preserve">-	traditional construction</w:t>
            </w:r>
          </w:p>
          <w:p>
            <w:pPr/>
            <w:r>
              <w:rPr/>
              <w:t xml:space="preserve">-	traditional culture (dancing and music instruments).</w:t>
            </w:r>
          </w:p>
          <w:p>
            <w:pPr/>
            <w:r>
              <w:rPr/>
              <w:t xml:space="preserve"/>
            </w:r>
          </w:p>
        </w:tc>
        <w:tc>
          <w:tcPr>
            <w:tcW w:w="4000" w:type="dxa"/>
            <w:gridSpan w:val="1"/>
          </w:tcPr>
          <w:p>
            <w:pPr/>
            <w:r>
              <w:rPr/>
              <w:t xml:space="preserve">Implementation progress: 100%  (target achieved)</w:t>
            </w:r>
          </w:p>
          <w:p>
            <w:pPr/>
            <w:r>
              <w:rPr/>
              <w:t xml:space="preserve"/>
            </w:r>
          </w:p>
          <w:p>
            <w:pPr/>
            <w:r>
              <w:rPr/>
              <w:t xml:space="preserve">The target of &gt;5 varieties of traditional crops per village of all villages of the 3 pilot islands has been achieved.</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roked="f" style="width:450pt; height:300pt; margin-left:0pt; margin-top:0pt; mso-position-horizontal:center; mso-position-vertical:top; mso-position-horizontal-relative:char; mso-position-vertical-relative:line;">
            <w10:wrap type="square"/>
            <v:imagedata r:id="rId9" o:title=""/>
          </v:shape>
        </w:pict>
      </w:r>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73.81%</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73.81%</w:t>
            </w:r>
          </w:p>
        </w:tc>
      </w:tr>
      <w:tr>
        <w:trPr/>
        <w:tc>
          <w:tcPr>
            <w:tcW w:w="5000" w:type="dxa"/>
            <w:gridSpan w:val="1"/>
          </w:tcPr>
          <w:p>
            <w:pPr/>
            <w:r>
              <w:rPr/>
              <w:t xml:space="preserve">Cumulative disbursement as of 30 June:</w:t>
            </w:r>
          </w:p>
        </w:tc>
        <w:tc>
          <w:tcPr>
            <w:tcW w:w="5000" w:type="dxa"/>
            <w:vAlign w:val="center"/>
            <w:gridSpan w:val="1"/>
          </w:tcPr>
          <w:p>
            <w:pPr>
              <w:jc w:val="right"/>
            </w:pPr>
            <w:r>
              <w:rPr/>
              <w:t xml:space="preserve">3,281,834</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t xml:space="preserve">120,000</w:t>
            </w:r>
          </w:p>
        </w:tc>
      </w:tr>
      <w:tr>
        <w:trPr/>
        <w:tc>
          <w:tcPr>
            <w:tcW w:w="5000" w:type="dxa"/>
            <w:gridSpan w:val="1"/>
          </w:tcPr>
          <w:p>
            <w:pPr/>
            <w:r>
              <w:rPr/>
              <w:t xml:space="preserve">GEF Grant Amount</w:t>
            </w:r>
          </w:p>
        </w:tc>
        <w:tc>
          <w:tcPr>
            <w:tcW w:w="5000" w:type="dxa"/>
            <w:vAlign w:val="center"/>
            <w:gridSpan w:val="1"/>
          </w:tcPr>
          <w:p>
            <w:pPr>
              <w:jc w:val="right"/>
            </w:pPr>
            <w:r>
              <w:rPr/>
              <w:t xml:space="preserve">4,446,210</w:t>
            </w:r>
          </w:p>
        </w:tc>
      </w:tr>
      <w:tr>
        <w:trPr/>
        <w:tc>
          <w:tcPr>
            <w:tcW w:w="5000" w:type="dxa"/>
            <w:gridSpan w:val="1"/>
          </w:tcPr>
          <w:p>
            <w:pPr/>
            <w:r>
              <w:rPr/>
              <w:t xml:space="preserve">Co-financing</w:t>
            </w:r>
          </w:p>
        </w:tc>
        <w:tc>
          <w:tcPr>
            <w:tcW w:w="5000" w:type="dxa"/>
            <w:vAlign w:val="center"/>
            <w:gridSpan w:val="1"/>
          </w:tcPr>
          <w:p>
            <w:pPr>
              <w:jc w:val="right"/>
            </w:pPr>
            <w:r>
              <w:rPr/>
              <w:t xml:space="preserve">7,140,000</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60 months</w:t>
            </w:r>
          </w:p>
        </w:tc>
      </w:tr>
      <w:tr>
        <w:trPr/>
        <w:tc>
          <w:tcPr>
            <w:tcW w:w="5000" w:type="dxa"/>
            <w:gridSpan w:val="1"/>
          </w:tcPr>
          <w:p>
            <w:pPr/>
            <w:r>
              <w:rPr/>
              <w:t xml:space="preserve">PIF Approval Date</w:t>
            </w:r>
          </w:p>
        </w:tc>
        <w:tc>
          <w:tcPr>
            <w:tcW w:w="5000" w:type="dxa"/>
            <w:vAlign w:val="center"/>
            <w:gridSpan w:val="1"/>
          </w:tcPr>
          <w:p>
            <w:pPr>
              <w:jc w:val="right"/>
            </w:pPr>
            <w:r>
              <w:rPr/>
              <w:t xml:space="preserve">Jul 3, 2013</w:t>
            </w:r>
          </w:p>
        </w:tc>
      </w:tr>
      <w:tr>
        <w:trPr/>
        <w:tc>
          <w:tcPr>
            <w:tcW w:w="5000" w:type="dxa"/>
            <w:gridSpan w:val="1"/>
          </w:tcPr>
          <w:p>
            <w:pPr/>
            <w:r>
              <w:rPr/>
              <w:t xml:space="preserve">CEO Endorsement Date</w:t>
            </w:r>
          </w:p>
        </w:tc>
        <w:tc>
          <w:tcPr>
            <w:tcW w:w="5000" w:type="dxa"/>
            <w:vAlign w:val="center"/>
            <w:gridSpan w:val="1"/>
          </w:tcPr>
          <w:p>
            <w:pPr>
              <w:jc w:val="right"/>
            </w:pPr>
            <w:r>
              <w:rPr/>
              <w:t xml:space="preserve">Mar 10, 2015</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Jan 20, 2016</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Jul 8, 2016</w:t>
            </w:r>
          </w:p>
        </w:tc>
      </w:tr>
      <w:tr>
        <w:trPr/>
        <w:tc>
          <w:tcPr>
            <w:tcW w:w="5000" w:type="dxa"/>
            <w:gridSpan w:val="1"/>
          </w:tcPr>
          <w:p>
            <w:pPr/>
            <w:r>
              <w:rPr/>
              <w:t xml:space="preserve">First Disbursement Date</w:t>
            </w:r>
          </w:p>
        </w:tc>
        <w:tc>
          <w:tcPr>
            <w:tcW w:w="5000" w:type="dxa"/>
            <w:vAlign w:val="center"/>
            <w:gridSpan w:val="1"/>
          </w:tcPr>
          <w:p>
            <w:pPr>
              <w:jc w:val="right"/>
            </w:pPr>
            <w:r>
              <w:rPr/>
              <w:t xml:space="preserve">Jun 30, 2016</w:t>
            </w:r>
          </w:p>
        </w:tc>
      </w:tr>
      <w:tr>
        <w:trPr/>
        <w:tc>
          <w:tcPr>
            <w:tcW w:w="5000" w:type="dxa"/>
            <w:gridSpan w:val="1"/>
          </w:tcPr>
          <w:p>
            <w:pPr/>
            <w:r>
              <w:rPr/>
              <w:t xml:space="preserve">Expected Date of Mid-term Review</w:t>
            </w:r>
          </w:p>
        </w:tc>
        <w:tc>
          <w:tcPr>
            <w:tcW w:w="5000" w:type="dxa"/>
            <w:vAlign w:val="center"/>
            <w:gridSpan w:val="1"/>
          </w:tcPr>
          <w:p>
            <w:pPr>
              <w:jc w:val="right"/>
            </w:pPr>
            <w:r>
              <w:rPr/>
              <w:t xml:space="preserve">Sep 30, 2020</w:t>
            </w:r>
          </w:p>
        </w:tc>
      </w:tr>
      <w:tr>
        <w:trPr/>
        <w:tc>
          <w:tcPr>
            <w:tcW w:w="5000" w:type="dxa"/>
            <w:gridSpan w:val="1"/>
          </w:tcPr>
          <w:p>
            <w:pPr/>
            <w:r>
              <w:rPr/>
              <w:t xml:space="preserve">Actual Date of Mid-term Review</w:t>
            </w:r>
          </w:p>
        </w:tc>
        <w:tc>
          <w:tcPr>
            <w:tcW w:w="5000" w:type="dxa"/>
            <w:vAlign w:val="center"/>
            <w:gridSpan w:val="1"/>
          </w:tcPr>
          <w:p>
            <w:pPr>
              <w:jc w:val="right"/>
            </w:pPr>
            <w:r>
              <w:rPr/>
              <w:t xml:space="preserve">Sep 29, 2020</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Jul 17, 2022</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Jan 20, 2021</w:t>
            </w:r>
          </w:p>
        </w:tc>
      </w:tr>
      <w:tr>
        <w:trPr/>
        <w:tc>
          <w:tcPr>
            <w:tcW w:w="5000" w:type="dxa"/>
            <w:gridSpan w:val="1"/>
          </w:tcPr>
          <w:p>
            <w:pPr/>
            <w:r>
              <w:rPr/>
              <w:t xml:space="preserve">Revised Planned Closing Date</w:t>
            </w:r>
          </w:p>
        </w:tc>
        <w:tc>
          <w:tcPr>
            <w:tcW w:w="5000" w:type="dxa"/>
            <w:vAlign w:val="center"/>
            <w:gridSpan w:val="1"/>
          </w:tcPr>
          <w:p>
            <w:pPr>
              <w:jc w:val="right"/>
            </w:pPr>
            <w:r>
              <w:rPr/>
              <w:t xml:space="preserve">Jan 17, 2023</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2021 to 1 July 2022)</w:t>
            </w:r>
          </w:p>
        </w:tc>
      </w:tr>
      <w:tr>
        <w:trPr/>
        <w:tc>
          <w:tcPr>
            <w:tcW w:w="10000" w:type="dxa"/>
            <w:gridSpan w:val="1"/>
          </w:tcPr>
          <w:p>
            <w:pPr/>
            <w:r>
              <w:rPr/>
              <w:t xml:space="preserve">2021-09-21</w:t>
            </w:r>
          </w:p>
        </w:tc>
      </w:tr>
      <w:tr>
        <w:trPr/>
        <w:tc>
          <w:tcPr>
            <w:tcW w:w="10000" w:type="dxa"/>
            <w:gridSpan w:val="1"/>
          </w:tcPr>
          <w:p>
            <w:pPr/>
            <w:r>
              <w:rPr/>
              <w:t xml:space="preserve">2021-12-16</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No milestones were delayed this reporting period.</w:t>
            </w:r>
          </w:p>
          <w:p>
            <w:pPr/>
            <w:r>
              <w:rPr/>
              <w:t xml:space="preserve">However, project implementation continued to be significantly delayed with implementation halts from May-October 2021 and February-July 2022 due to the expired validity of the micro-HACT assessment of the implementing partner (MELAD-ECD) and related internal UNDP-discussions regarding project implementation modality and funding disbursements to the project.</w:t>
            </w:r>
          </w:p>
          <w:p>
            <w:pPr/>
            <w:r>
              <w:rPr/>
              <w:t xml:space="preserve"/>
            </w:r>
          </w:p>
          <w:p>
            <w:pPr/>
            <w:r>
              <w:rPr/>
              <w:t xml:space="preserve">Fund transfers/advances to the implementing partner and the project were stopped from April 2021 and all activities put on hold from mid-May to the end of October 2021 while independent auditors were carrying out a new assessment. In this interim period, UNDP did process urgent payments directly to vendors, however this proved to be very difficult due to the remoteness and limited connectivity to the remote project islands. Therefore, this issue unfortunately caused significant delays to project delivery and financial delivery in the second and third quarters of 2021. On 23rd August 2021 the new assessment was finalized, however based on internal UNDP discussions, it was considered invalid and let to internal decisions related to the project’s implementation modality and fund disbursements to the project.</w:t>
            </w:r>
          </w:p>
          <w:p>
            <w:pPr/>
            <w:r>
              <w:rPr/>
              <w:t xml:space="preserve"/>
            </w:r>
          </w:p>
          <w:p>
            <w:pPr/>
            <w:r>
              <w:rPr/>
              <w:t xml:space="preserve">In October 2021, the project received funding and ensured remarkable implementation delivery in Q4, however, in January 2022, only a limited advance was approved and disbursed, before a second round of implementation halt followed from February - July 2022.</w:t>
            </w:r>
          </w:p>
          <w:p>
            <w:pPr/>
            <w:r>
              <w:rPr/>
              <w:t xml:space="preserve"/>
            </w:r>
          </w:p>
          <w:p>
            <w:pPr/>
            <w:r>
              <w:rPr/>
              <w:t xml:space="preserve">In June 2022, UNDP communicated that the project would be allowed to return to “business-as-usual” with national implementation modality with a cash disbursement expected in July 2022 and project extension expected until January 2023.</w:t>
            </w:r>
          </w:p>
          <w:p>
            <w:pPr/>
            <w:r>
              <w:rPr/>
              <w:t xml:space="preserve"/>
            </w:r>
          </w:p>
          <w:p>
            <w:pPr/>
            <w:r>
              <w:rPr/>
              <w:t xml:space="preserve">From January-April 2022, the project was also directly impacted by COVID-19 with the first cases of COVID19 emerging in Kiribati in January 2021, followed by community transmission and COVID-19 restrictions until mid-April 2022 (curfew, school closures, office closures followed by rotational office-schedule for government, and restricted travel to outer islands).</w:t>
            </w:r>
          </w:p>
          <w:p>
            <w:pPr/>
            <w:r>
              <w:rPr/>
              <w:t xml:space="preserve">International travels with quarantine requirements began from April-June 2022, and from July 2022 international travel reopened.</w:t>
            </w:r>
          </w:p>
          <w:p>
            <w:pPr/>
            <w:r>
              <w:rPr/>
              <w:t xml:space="preserve">However, international flights are still limited and there are still limited/delayed transportation of goods from abroad and limited in-country transport (due to unavailability of aviation spare-parts and fuel). International TA continue to be provided remotely.</w:t>
            </w:r>
          </w:p>
          <w:p>
            <w:pPr/>
            <w:r>
              <w:rPr/>
              <w:t xml:space="preserve"/>
            </w:r>
          </w:p>
          <w:p>
            <w:pPr/>
            <w:r>
              <w:rPr/>
              <w:t xml:space="preserve">Due to the above external delays, project implementation has been significantly affected and delayed in this reporting period. With expected re-launch of implementation from end July 2022, the project aims to fully or partially achieve 11 of 16 indicators, whereas 2 targets remain off track, and the targets of 3 indicators may be only partially achieved before the end of the project due to the implementation halt/delays. Plans are being made for completion of those targets, as well as for sustaining project results and systems beyond the project as part of the project exit/sustainability plan.</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The MCO in consultation with the project implementation unit (PIU) has put in place the following specific measures to improve the project's implementation performance, considering that the project has only 5 months to the revised expected operational closure date.</w:t>
            </w:r>
          </w:p>
          <w:p>
            <w:pPr/>
            <w:r>
              <w:rPr/>
              <w:t xml:space="preserve"/>
            </w:r>
          </w:p>
          <w:p>
            <w:pPr/>
            <w:r>
              <w:rPr/>
              <w:t xml:space="preserve">1. Scheduling of periodic meetings, this applies to:</w:t>
            </w:r>
          </w:p>
          <w:p>
            <w:pPr/>
            <w:r>
              <w:rPr/>
              <w:t xml:space="preserve">- weekly project meeting of the PIU and the responsible parties (RPs) of the project, including the IP, MELAD. This is to monitor the implementation rate as agreed by each and is now on the monthly costed work plan (CWP) that was extracted from the no-cost extension total budget work plan;</w:t>
            </w:r>
          </w:p>
          <w:p>
            <w:pPr/>
            <w:r>
              <w:rPr/>
              <w:t xml:space="preserve">- fortnightly update meeting between PIU and the MCO support team. This is to have the PIU update on each of the RPs' and IP's implementation status against the referred monthly CWP, for overall budget monitoring, and the provision of strategic interventions that may needed from the MCO;</w:t>
            </w:r>
          </w:p>
          <w:p>
            <w:pPr/>
            <w:r>
              <w:rPr/>
              <w:t xml:space="preserve">- monthly meeting of the PIU, the Secretary of MELAD or the OIC (whichever is applicable) and Fiji MCO senior management (SM), for the updating project's implementation progress, utilization rate and the provision of strategic interventions from both, the IP and the Fiji MCO SM.</w:t>
            </w:r>
          </w:p>
          <w:p>
            <w:pPr/>
            <w:r>
              <w:rPr/>
              <w:t xml:space="preserve"/>
            </w:r>
          </w:p>
          <w:p>
            <w:pPr/>
            <w:r>
              <w:rPr/>
              <w:t xml:space="preserve">2. The Fiji MCO has allocated TRAC funds to support the DPC for the project on requests for services. This is done to exhaust all avenues to fast-track remaining project activities using both the Kiribati Government and UNDP processes of payments and procurement.</w:t>
            </w:r>
          </w:p>
          <w:p>
            <w:pPr/>
            <w:r>
              <w:rPr/>
              <w:t xml:space="preserve"/>
            </w:r>
          </w:p>
          <w:p>
            <w:pPr/>
            <w:r>
              <w:rPr/>
              <w:t xml:space="preserve">3. 5-weeks long oversight and monitoring mission in-country to:</w:t>
            </w:r>
          </w:p>
          <w:p>
            <w:pPr/>
            <w:r>
              <w:rPr/>
              <w:t xml:space="preserve">- provide assurance to the PIU, the IP and RPs of the continued status of the project and the renewed support of UNDP to the project;</w:t>
            </w:r>
          </w:p>
          <w:p>
            <w:pPr/>
            <w:r>
              <w:rPr/>
              <w:t xml:space="preserve">- in consultation with the PIU (and the CTA) develop a monitoring tool to effectively and efficiently track implementation progress;</w:t>
            </w:r>
          </w:p>
          <w:p>
            <w:pPr/>
            <w:r>
              <w:rPr/>
              <w:t xml:space="preserve">- provide oversight quality assurance on the financial reporting, the quarterly progress reporting and the annual PIR. The mission is the MCO's effort to minimise time spent on correspondences on queries and needs for clarification.</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 Please include specific measures to manage the project's implementation performance.</w:t>
            </w:r>
          </w:p>
        </w:tc>
      </w:tr>
      <w:tr>
        <w:trPr/>
        <w:tc>
          <w:tcPr>
            <w:tcW w:w="10000" w:type="dxa"/>
            <w:gridSpan w:val="1"/>
          </w:tcPr>
          <w:p>
            <w:pPr/>
            <w:r>
              <w:rPr/>
              <w:t xml:space="preserve">The project's implementation challenges stem from the capacity issues with the IP and the RPs in the Governement, which had been exacerbated by two issues in this reporting period. Firstly, COVID-19 had challenges on the implementation with the country seeing the first case in January 2022. Prior to this as well, there has been no international travel in and out of the country which impacted the ability for consultants to travel for multiple activities. With the onset of COVID-19 in-country, further restrictions were placed on the movement and gathering of people impacting the Government's work and thus the implementation of the project. Secondly, and one of the main challenges for implementation was with regards to the expired HACT for the IP and the proceeding halt on implementaion placed on the project in two rounds firstly from the period May - October 2021 and then from April- June 2022. There were only limited fund transferred allowed to the IP limiting the ability for the project to carry out most of the activities. This has since been resolved with full fund transfer allowed to the IP by UNDP in July 2022. A further extension of 6 months on top of the 18 month extension was granted as a result of this and the project is now due to complete in January 2023. In order to assist with expediting implementation, including the fund transfer process, the UNDP Programme Officer overseeing the project is on the ground in Kiribati for 5 weeks. In addition to this, a high-level UNDP engagement with Government in-country by UNDP CO is being undertaken in the 3rd quarter of 2022 to understand and improve bottle-necks. Closer coordination between RTA and CO is continuing at activity level to support with prioritisation of activities for delivery and to ensure the results are achieved before project closure in January 2023.</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Dates of Project Board Meetings during reporting period (1 July 2021 to 30 June 2022).  Please also upload all meeting minutes using the FILE LIBRARY button.</w:t>
            </w:r>
          </w:p>
        </w:tc>
      </w:tr>
      <w:tr>
        <w:trPr/>
        <w:tc>
          <w:tcPr>
            <w:tcW w:w="10000" w:type="dxa"/>
            <w:gridSpan w:val="1"/>
          </w:tcPr>
          <w:p>
            <w:pPr/>
            <w:r>
              <w:rPr/>
              <w:t xml:space="preserve">2021-09-21</w:t>
            </w:r>
          </w:p>
        </w:tc>
      </w:tr>
      <w:tr>
        <w:trPr/>
        <w:tc>
          <w:tcPr>
            <w:tcW w:w="10000" w:type="dxa"/>
            <w:gridSpan w:val="1"/>
          </w:tcPr>
          <w:p>
            <w:pPr/>
            <w:r>
              <w:rPr/>
              <w:t xml:space="preserve">2021-12-16</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2022 Development Objective Progress Rating</w:t>
            </w:r>
          </w:p>
        </w:tc>
        <w:tc>
          <w:tcPr>
            <w:tcW w:w="5000" w:type="dxa"/>
            <w:gridSpan w:val="1"/>
          </w:tcPr>
          <w:p>
            <w:pPr/>
            <w:r>
              <w:rPr>
                <w:b w:val="1"/>
                <w:bCs w:val="1"/>
              </w:rPr>
              <w:t xml:space="preserve">2022 Implementation Progress Rating</w:t>
            </w:r>
          </w:p>
        </w:tc>
      </w:tr>
      <w:tr>
        <w:trPr/>
        <w:tc>
          <w:tcPr>
            <w:tcW w:w="5000" w:type="dxa"/>
            <w:gridSpan w:val="1"/>
          </w:tcPr>
          <w:p>
            <w:pPr/>
            <w:r>
              <w:rPr>
                <w:b w:val="1"/>
                <w:bCs w:val="1"/>
              </w:rPr>
              <w:t xml:space="preserve">UNDP-NCE Technical Adviser</w:t>
            </w:r>
          </w:p>
        </w:tc>
        <w:tc>
          <w:tcPr>
            <w:tcW w:w="5000" w:type="dxa"/>
            <w:gridSpan w:val="1"/>
          </w:tcPr>
          <w:p>
            <w:pPr/>
            <w:r>
              <w:rPr/>
              <w:t xml:space="preserve">Moderately Unsatisfactory</w:t>
            </w:r>
          </w:p>
        </w:tc>
        <w:tc>
          <w:tcPr>
            <w:tcW w:w="5000" w:type="dxa"/>
            <w:gridSpan w:val="1"/>
          </w:tcPr>
          <w:p>
            <w:pPr/>
            <w:r>
              <w:rPr/>
              <w:t xml:space="preserve">Unsatisfactory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Unsatisfactory</w:t>
            </w:r>
          </w:p>
        </w:tc>
        <w:tc>
          <w:tcPr>
            <w:tcW w:w="5000" w:type="dxa"/>
            <w:gridSpan w:val="1"/>
          </w:tcPr>
          <w:p>
            <w:pPr/>
            <w:r>
              <w:rPr/>
              <w:t xml:space="preserve">Moderately Unsatisfactory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2022 Overall Assessment</w:t>
            </w:r>
          </w:p>
        </w:tc>
      </w:tr>
      <w:tr>
        <w:trPr/>
        <w:tc>
          <w:tcPr>
            <w:tcW w:w="5000" w:type="dxa"/>
            <w:gridSpan w:val="1"/>
          </w:tcPr>
          <w:p>
            <w:pPr/>
            <w:r>
              <w:rPr>
                <w:b w:val="1"/>
                <w:bCs w:val="1"/>
              </w:rPr>
              <w:t xml:space="preserve">UNDP-NCE Technical Adviser</w:t>
            </w:r>
          </w:p>
        </w:tc>
        <w:tc>
          <w:tcPr>
            <w:tcW w:w="10000" w:type="dxa"/>
            <w:gridSpan w:val="1"/>
          </w:tcPr>
          <w:p>
            <w:pPr/>
            <w:r>
              <w:rPr/>
              <w:t xml:space="preserve">This is the 6th PIR for the project which is currently in an additional 6-month extension following an initial 18-month extension period with the project due to end in January 2023. The project receives a “moderately unsatisfactory” DO rating which is the same as the CO Programme Officer’s rating and is a downgrade from the “moderately satisfactory” rating from last year. The Moderately unsatisfactory rating is due to the fact that the project has made less than expected progress over this reporting period which was already an extension period and had required a further 6-month extension. The project extension was granted on the basis that implementation had to be put on hold due to amendments required to the implementation arrangements of the project and additional plans put in place to improve the performance of the project in terms of meeting its objectives that are yielding good results. As a result, while the project is on-track to achieve the main objectives by project closure, it will not be achieved unless significant adaptive management and effort is placed given the 6-month timeframe available for implementation.</w:t>
            </w:r>
          </w:p>
          <w:p>
            <w:pPr/>
            <w:r>
              <w:rPr/>
              <w:t xml:space="preserve"/>
            </w:r>
          </w:p>
          <w:p>
            <w:pPr/>
            <w:r>
              <w:rPr/>
              <w:t xml:space="preserve">The main challenge faced by the project this reporting period were the cessation of implementation of the project due to changes required for the implementation arrangements compounded by the impacts of COVID-19 that saw the country see its first COVID-19 case in January with major impact on ability for the project partners to implement activities as well as continued closure of international travel all throughout the implementation period.</w:t>
            </w:r>
          </w:p>
          <w:p>
            <w:pPr/>
            <w:r>
              <w:rPr/>
              <w:t xml:space="preserve"/>
            </w:r>
          </w:p>
          <w:p>
            <w:pPr/>
            <w:r>
              <w:rPr/>
              <w:t xml:space="preserve">The Implementation Progress rating is “Unsatisfactory” which is different from the CO Programme Officer’s rating of “Moderately Unsatisfactory” and a downgrade from the “Moderately Unsatisfactory” rating of last year. The cessation of the implementation of the project between May-October 2021 and then again from February-July 2022 with inability for UNDP to transfer funds to the project in-country as a result of HACT Assessments having to be redone for the project has resulted in very little progress. However, since July 2022, the decision had been made to allow the continuation of the implementation of the project with funds transfer available in-country allowing for the implementation to speed up for the next reporting period and the last 6 months of the project.</w:t>
            </w:r>
          </w:p>
          <w:p>
            <w:pPr/>
            <w:r>
              <w:rPr/>
              <w:t xml:space="preserve">As a result progress-level for all of the indicators since last reporting period has remained the same. Out of the 16 indicators, 5 indicators have already been achieved with 9 indicators on-track to be achieved by the end of the project. The project is designed to build the adaptive capacity of the communities in Kiribati to address food security in the face of climate change through two interlinked outcomes, one focused on capacity building at the national level and second focused on implementing targeted adaptation measures at the community level.</w:t>
            </w:r>
          </w:p>
          <w:p>
            <w:pPr/>
            <w:r>
              <w:rPr/>
              <w:t xml:space="preserve"/>
            </w:r>
          </w:p>
          <w:p>
            <w:pPr/>
            <w:r>
              <w:rPr/>
              <w:t xml:space="preserve">For Objective level EoPs, difficulties remain with the first target of achieving 100% population to have stable and/or increased level of food security increasing their resilience against climate change as it has been identified in previous PIRs and the MTR as difficult to monitor. A multi-sector working group has been initiated which will assist with establishing baselines and assess current status based on available data however, progress has been slow. The end-of-project survey is unlikely to be able to continue given the competing priorities as a result of COVID-19 for the relevant stakeholders. The baseline survey completed in 2020 is still awaiting finalisation and unlikely to be able to contribute towards the measurement of the EoP target at the objective level.  However, based on the related activities of the project, the implementation target for indicator 2 on number of bonefish increasing and/or decreasing is considered to be achieved based, also based on the performance of related outcomes. The project continues to address the concerns relating to the number of bonefish declining since the beginning of the project through support to the regulatory framework in addition to the further data collection towards the end of the project to gain a better understanding of the situation.</w:t>
            </w:r>
          </w:p>
          <w:p>
            <w:pPr/>
            <w:r>
              <w:rPr/>
              <w:t xml:space="preserve"/>
            </w:r>
          </w:p>
          <w:p>
            <w:pPr/>
            <w:r>
              <w:rPr/>
              <w:t xml:space="preserve">The target to have at least 95% of Kiribati population receiving early warning in a timely manner is 100% achieved with some additional activities planned until the project end to improve the real time data transmissions from the islands to the Kiribati Meteorological Services, which has been delayed due to COVID-19 related travel restrictions but is planned to continue with measures such as online trainings. Sufficient evidence has been provided to support the results contributing to the progress of the objective level EoPs.</w:t>
            </w:r>
          </w:p>
          <w:p>
            <w:pPr/>
            <w:r>
              <w:rPr/>
              <w:t xml:space="preserve"/>
            </w:r>
          </w:p>
          <w:p>
            <w:pPr/>
            <w:r>
              <w:rPr/>
              <w:t xml:space="preserve">Outcome 1 which is designed to improve institutional capacity through a combination of data management tools, regulation and direct training is on-track. For Outcome 1, 2 out of the 4 indicators have been achieved and one remains on-track to be achieved by the end of the project. Out of the two indicators that have been achieved, for Indicator 5, the Fisheries Conservation and Management of Coastal Marine Resources Regulation 2019 is being enforced nationally in Kiribati albeit with challenges that are being addressed through continuous awareness and enforcement support via this project and other co-finance. This Regulation immensely supports the development and implementation of island specific bi-laws and the establishment of conservation zones to contribute towards sustainability and protection of resources for food security in the outer islands. The indicator related to number of project beneficiaries have also surpassed the target including the target of reaching 60% of women.</w:t>
            </w:r>
          </w:p>
          <w:p>
            <w:pPr/>
            <w:r>
              <w:rPr/>
              <w:t xml:space="preserve"/>
            </w:r>
          </w:p>
          <w:p>
            <w:pPr/>
            <w:r>
              <w:rPr/>
              <w:t xml:space="preserve">For the two remaining targets, the one related to the establishment of the national Adaptation Monitoring and Assessment Tool (AMAT) has continued with its delay mainly due to COVID-19 but progressing with the platform under construction and a multi-sector technical working group engaged with data entry. The indicator 6 on capacity building of extension officers is unlikely to progress further than the 12-13 GEF capacity score that was assessed in 2021. However, additional on-the-job training has been provided during this reporting period which will assist in improving the capacities.</w:t>
            </w:r>
          </w:p>
          <w:p>
            <w:pPr/>
            <w:r>
              <w:rPr/>
              <w:t xml:space="preserve"/>
            </w:r>
          </w:p>
          <w:p>
            <w:pPr/>
            <w:r>
              <w:rPr/>
              <w:t xml:space="preserve">Outcome 2 is focused on the direct implementation of community adaptation measures to increase food security through starting with vulnerability assessments and then moving on to zoning and establishing natural resource management mechanisms. The Outcome is on-track to achieve its intended objectives with 3 indicators already achieved and 5 remaining on track to be achieved with 2 indicators off-track. Not much progress had been made on the indicators not achieved during the reporting period. Draft national EBA-guidelines were finalized in August 2021 with technical inputs from UNDP, but multi-sector review and finalization by Government has been delayed due to implementation halt and COVID19-restrictions. Finally, the Integrated Vulnerability Assessment Reports for the 3 target islands have been finalized and the additional surveys to be undertaken by the environment sector had been delayed but planned for the remaining quarters of the year. The CR2 capacity scores (indicator 14) have been achieved as per assessments undertaken in June 2021 and indicator 15 related to the number of food crops planted at each target village has also been achieved with 15,089 native food crops of more than 5 varieties planted in addition to knowledge material on traditional knowledge being published based on information gathered from the 3 pilot islands.</w:t>
            </w:r>
          </w:p>
          <w:p>
            <w:pPr/>
            <w:r>
              <w:rPr/>
              <w:t xml:space="preserve"/>
            </w:r>
          </w:p>
          <w:p>
            <w:pPr/>
            <w:r>
              <w:rPr/>
              <w:t xml:space="preserve">Five indicators on-track to be achieved include already achieved targets of Island Strategic Plans for the 3 pilot islands being finalized and endorsed leading to fishing management zoning systems regulating 100% of the entire land and sea territories. Those that remain on-track includes the number of villages managing land in accordance with EBA land use plans where the target plans are currently being drafted and support to the establishment of Management Committees in place as well as the required formulation of the national EBA guidelines that will sustain the efforts. All island strategic plans have been finalised and endorsed for the 3 pilot islands which covers the entire land and sea territories of the islands.</w:t>
            </w:r>
          </w:p>
          <w:p>
            <w:pPr/>
            <w:r>
              <w:rPr/>
              <w:t xml:space="preserve"/>
            </w:r>
          </w:p>
          <w:p>
            <w:pPr/>
            <w:r>
              <w:rPr/>
              <w:t xml:space="preserve">There are 2 indicators that are off-track of which the challenges relating to the indicator on increased mangrove habitat has been reported in previous PIRs with further mangroves planted in 2021 found dead. The EBA guidelines include lessons from the efforts and a further mangrove/sea-level rise vulnerability assessment has been recommended to be followed up by the Government to ensure that the site selection and planting of mangroves are undertaken appropriately.</w:t>
            </w:r>
          </w:p>
          <w:p>
            <w:pPr/>
            <w:r>
              <w:rPr/>
              <w:t xml:space="preserve"/>
            </w:r>
          </w:p>
          <w:p>
            <w:pPr/>
            <w:r>
              <w:rPr/>
              <w:t xml:space="preserve">COVID-19 have impacted the results of indicator 15 relating to the amount of revenue generated from non-consumptive use of coastal zone resources whereby restrictions of international travel and thereby the arrival of tourists have impacted the ability for the islands to generate revenue from activities such as fly-fishing tourism and ecotourism. This target remains off-track given these restrictions, unlikely to be achieved by the end of the project even with the likelihood of border reopening in the latter part of 2022.</w:t>
            </w:r>
          </w:p>
          <w:p>
            <w:pPr/>
            <w:r>
              <w:rPr/>
              <w:t xml:space="preserve">The project continues to do well in monitoring the gender-balance and women’s empowerment in the implementation of the project activities. Gender-disaggregated data are collected and where there are shortfalls with the level of women’s participation, these are being noted and remedial actions to be taken, moving forward. The gender action plan for the period 2021-2022 had difficulties with implementation given the cessation of project implementation. The project’s progress on knowledge management and communications slowed down in this reporting period but is expected to pick up in the latter part of the project’s implementation.</w:t>
            </w:r>
          </w:p>
          <w:p>
            <w:pPr/>
            <w:r>
              <w:rPr/>
              <w:t xml:space="preserve"/>
            </w:r>
          </w:p>
          <w:p>
            <w:pPr/>
            <w:r>
              <w:rPr/>
              <w:t xml:space="preserve">Overall, the project suffered from the implementation challenges associated with COVID-19 and halt in implementation. However, there has been increased efforts from UNDP to improve implementation including with high-level visits to the country as well as programme personnel from the Country Office being placed in-country for multiple weeks to support implementation in the latter part of the project. With the transfer of funds resuming as per normal since July 2022, the expectation is that the project will expedite implementation notwithstanding any further COVID-19 outbreaks in the country. The Terminal Evaluation of the project was postponed as a result of the implementation halt and also given that an additional 6 month extension has been granted. The TE team is being recruited and start of the evaluation planned for Q3 2022.</w:t>
            </w:r>
          </w:p>
          <w:p>
            <w:pPr/>
            <w:r>
              <w:rPr/>
              <w:t xml:space="preserve"/>
            </w:r>
          </w:p>
        </w:tc>
      </w:tr>
      <w:tr>
        <w:trPr/>
        <w:tc>
          <w:tcPr>
            <w:tcW w:w="5000" w:type="dxa"/>
            <w:gridSpan w:val="1"/>
          </w:tcPr>
          <w:p>
            <w:pPr/>
            <w:r>
              <w:rPr>
                <w:b w:val="1"/>
                <w:bCs w:val="1"/>
              </w:rPr>
              <w:t xml:space="preserve">UNDP Country Office Programme Officer</w:t>
            </w:r>
          </w:p>
        </w:tc>
        <w:tc>
          <w:tcPr>
            <w:tcW w:w="10000" w:type="dxa"/>
            <w:gridSpan w:val="1"/>
          </w:tcPr>
          <w:p>
            <w:pPr/>
            <w:r>
              <w:rPr/>
              <w:t xml:space="preserve">It will be noteworthy to observe that even though the project (PIU) has under the 'Development Objectives Progress' put On-track status for all (the Objective indicators, Outcome 1 indicators and Outcome 2 indicators), from the CO it puts 'Moderately Unsatisfactory' for the same section and 'Moderately Unsatisfactory' for the 'IP Ratings'. It reads contradictory however the justifications to the CO ratings are discussed below.</w:t>
            </w:r>
          </w:p>
          <w:p>
            <w:pPr/>
            <w:r>
              <w:rPr/>
              <w:t xml:space="preserve"/>
            </w:r>
          </w:p>
          <w:p>
            <w:pPr/>
            <w:r>
              <w:rPr/>
              <w:t xml:space="preserve">Against the backdrop of over nine (9) months of implementation delay stemming from: i) the micro-HACT assessment and the ensuing negotiations for the appropriate implementation modality moving forward and ii) the first cases of community COVID-19 cases in Kiribati in January and a total of only US$465,546 disbursed over this PIR period, implementation has barely progressed. This translated into the stalling of progress against the development objectives as well. The contradiction lies in the fact that where the progress against the development objectives were in the last PIR (5th PIR period); of 5 indicators achieved and the “On track” status of another 9 indicators spread across outcomes 1 and 2, still remains today and in consideration of the 6 months of no-cost extension to achieve this, progress against each indicator was put as 'On-track'. However, lag of implementation against indicators 1, 4, 11, 13 and 15 are the determinants of rating from the CO.</w:t>
            </w:r>
          </w:p>
          <w:p>
            <w:pPr/>
            <w:r>
              <w:rPr/>
              <w:t xml:space="preserve"/>
            </w:r>
          </w:p>
          <w:p>
            <w:pPr/>
            <w:r>
              <w:rPr/>
              <w:t xml:space="preserve">From the 5th PIR, the overall objective indicator 1, remains without a definitive baseline to measure progress towards EoP targets. Even though the yearly creel survey against a 2017-2018 creel survey data set of each of the pilot island is the only baseline available it is however a scientifically weak baseline to make comparisons against. The needed and more scientifically rigorous underwater visual census of bonefishes survey which was conducted in Q4 2020 for the three (3) pilot islands, the project still awaits the scientific report for this to use as the more substantive baseline.</w:t>
            </w:r>
          </w:p>
          <w:p>
            <w:pPr/>
            <w:r>
              <w:rPr/>
              <w:t xml:space="preserve"/>
            </w:r>
          </w:p>
          <w:p>
            <w:pPr/>
            <w:r>
              <w:rPr/>
              <w:t xml:space="preserve">As alluded to 60% implementation progress against indicator 4 remain from the 5th PIR period. The adaptation monitoring and assessment tool (AMAT), the establishment of the database and interface portal are the substantial steps to bring practicality/usefulness to the tool. Based on the delays explained and the restrictions that remains, it is unlikely that the project will be able to complete this with the project timeframe. As it is with the objective indicator 1, indicator 11 has no definitive baseline to measure progress against and due to the delay of funds, nothing moved on this and it is likely that this indicator will not be achieved. However, in terms of sustainability the finalized EBA will better inform mangrove planting in the future.</w:t>
            </w:r>
          </w:p>
          <w:p>
            <w:pPr/>
            <w:r>
              <w:rPr/>
              <w:t xml:space="preserve"/>
            </w:r>
          </w:p>
          <w:p>
            <w:pPr/>
            <w:r>
              <w:rPr/>
              <w:t xml:space="preserve">The 35% of implementation lag against indicator 13 remained over this period of the PIR and since this indicator involves consultation with the communities and fishing operators/stakeholders the situation has been exacerbated by the growing frustrations from all stakeholders due to the prolonged delays. The final indicator that is in doubt to be achieved before the end of this project is indicator 15 and because of its direct reliance on tourists, this indicator is at the mercy of the COVID-19 internationa travel restrictions.</w:t>
            </w:r>
          </w:p>
          <w:p>
            <w:pPr/>
            <w:r>
              <w:rPr/>
              <w:t xml:space="preserve"/>
            </w:r>
          </w:p>
          <w:p>
            <w:pPr/>
            <w:r>
              <w:rPr/>
              <w:t xml:space="preserve">In summation despite the COVID-19 induced delays and had it not been for the over 9 months of delays, this project would have completed all its pending activities and with it the terminal evaluation done before 17 July, this year (2022). The above are the reasons for rating the implementation progress as 'Moderately Unsatisfactory' despite the 'Moderately Satisfactory' rating by the PIU.</w:t>
            </w:r>
          </w:p>
        </w:tc>
      </w:tr>
      <w:tr>
        <w:trPr/>
        <w:tc>
          <w:tcPr>
            <w:tcW w:w="5000" w:type="dxa"/>
            <w:gridSpan w:val="1"/>
          </w:tcPr>
          <w:p>
            <w:pPr/>
            <w:r>
              <w:rPr>
                <w:b w:val="1"/>
                <w:bCs w:val="1"/>
              </w:rPr>
              <w:t xml:space="preserve">Project Manager/Coordinator</w:t>
            </w:r>
          </w:p>
        </w:tc>
        <w:tc>
          <w:tcPr>
            <w:tcW w:w="10000" w:type="dxa"/>
            <w:gridSpan w:val="1"/>
          </w:tcPr>
          <w:p>
            <w:pPr/>
            <w:r>
              <w:rPr/>
              <w:t xml:space="preserve">The prolonged implementation halt from April 2021 due to the 2014/15 high-risk rating in a Micro-HACT assessment and the expired validity of the assessment unfortunately continued until October 2021 (refer section regarding delays).</w:t>
            </w:r>
          </w:p>
          <w:p>
            <w:pPr/>
            <w:r>
              <w:rPr/>
              <w:t xml:space="preserve">Due to this delay, the Project Board put forward a request to UNDP for a 6-month no-cost extension at the Project Board meeting in mid-September 2021, with required documentation submitted to UNDP in December 2021.</w:t>
            </w:r>
          </w:p>
          <w:p>
            <w:pPr/>
            <w:r>
              <w:rPr/>
              <w:t xml:space="preserve"/>
            </w:r>
          </w:p>
          <w:p>
            <w:pPr/>
            <w:r>
              <w:rPr/>
              <w:t xml:space="preserve">Advance funding for implementation became available in mid-October 2021. From October - December 2021, the project picked up implementation at a high pace with remarkable substantial and financial delivery. The Project Board approved the 2022 costed work plan in December 2022.</w:t>
            </w:r>
          </w:p>
          <w:p>
            <w:pPr/>
            <w:r>
              <w:rPr/>
              <w:t xml:space="preserve">However, in January 2022, only a limited advance was approved, before a second round of implementation halt from February – July 2022 (refer section regarding delays).</w:t>
            </w:r>
          </w:p>
          <w:p>
            <w:pPr/>
            <w:r>
              <w:rPr/>
              <w:t xml:space="preserve"/>
            </w:r>
          </w:p>
          <w:p>
            <w:pPr/>
            <w:r>
              <w:rPr/>
              <w:t xml:space="preserve">Further, by the end of January, the first cases of COVID19 emerged in Kiribati leading to community transmission and COVID19-restrictions (refer section related to delays/COVID19), further affecting project implementation.</w:t>
            </w:r>
          </w:p>
          <w:p>
            <w:pPr/>
            <w:r>
              <w:rPr/>
              <w:t xml:space="preserve"/>
            </w:r>
          </w:p>
          <w:p>
            <w:pPr/>
            <w:r>
              <w:rPr/>
              <w:t xml:space="preserve">Due to the above-described delays, implementation progress in this reporting period has been limited to the period from October 2021-January 2022.</w:t>
            </w:r>
          </w:p>
          <w:p>
            <w:pPr/>
            <w:r>
              <w:rPr/>
              <w:t xml:space="preserve">Concerning progress towards the project’s targets, the situation has not progressed since last year, due to the above delays. Overall targets for 6 indicators have been achieved (3, 5, 7, 9, 14, 16) with improvement/awareness efforts ongoing, 5 indicators are on track where of some are partially achieved (2, 6, 8, 10, 12) , 3 indicators are questionable (1, 4, 13) due to the external delays, and 2 indicators remain off track (11 and 15) since the last reporting period.</w:t>
            </w:r>
          </w:p>
          <w:p>
            <w:pPr/>
            <w:r>
              <w:rPr/>
              <w:t xml:space="preserve"/>
            </w:r>
          </w:p>
          <w:p>
            <w:pPr/>
            <w:r>
              <w:rPr/>
              <w:t xml:space="preserve">For the 3 objective-level indicators, 2 have been achieved and one is uncertain. For indicator 1 (Percentage of population with increased food security), a draft report has been prepared by an independent consultant and a technical working group form the health sector. The report presents health and nutrition baseline data from 2015-2017 and current status from 2020-2021 for a number of indicators, based on available data. However, lack of data is an issue, and the report fails to establish a clear baseline/measurement of the food security-status. As pointed out by the MTR, the indicator is not easily measurable in the way it was established and without clear sub-indicators. If feasible, an end-of-project survey will be conducted in Q3-Q4 2022 to supplement the report. Several project indicators contributing to this objective-level indicator are achieved or on track to be achieved. Indicator 2 (number of bonefish) is on track, based on the analysis of Fisheries Monitoring results from the Ministry of Fisheries and an external analysis/peer-review by SPC. Indicator 3. (Population covered by enhanced EWS) has been achieved, with minor system improvement delayed in this reporting period due to the implementation halt and COVID-19).</w:t>
            </w:r>
          </w:p>
          <w:p>
            <w:pPr/>
            <w:r>
              <w:rPr/>
              <w:t xml:space="preserve"/>
            </w:r>
          </w:p>
          <w:p>
            <w:pPr/>
            <w:r>
              <w:rPr/>
              <w:t xml:space="preserve">Under outcome 1, 2 of 4 targets have been achieved, 1 is questionable and 1 is expected to be partially achieved. Indicator 4. (GoK support towards AMAT) is delayed by the implementation halt and it is questionable whether this target will be achieved before the end of the project, due to the delays. Indicator 5 (National Fisheries Regulation endorsed) and 7. (Number of project beneficiaries) have been completed. Indicator 6. (Capacity of extension officers) is on track with a capacity score of 11-13 of 15 (detailed assessment to be made by the end of the project), however it is unlikely that the ambitious target of 15 out of 15 will be fully achieved by the end of the project.</w:t>
            </w:r>
          </w:p>
          <w:p>
            <w:pPr/>
            <w:r>
              <w:rPr/>
              <w:t xml:space="preserve"/>
            </w:r>
          </w:p>
          <w:p>
            <w:pPr/>
            <w:r>
              <w:rPr/>
              <w:t xml:space="preserve">Under Outcome 2, 6 of 9 targets have been achieved or are on track to be fully or partially achieved by the end of the year, 1 indicator is questionable, and 2 indicators remain off-track. Indicator 8. (Management of land) and 10. (protection of coastal zones) are partially achieved with the adoption of Island strategic plans, Community-Based Management Plans, establishment of Fish recovery zones, and draft Ecosystem Based Adaptation guidelines. Indicators 9. (Island vulnerability assessments) reports have been completed, but additional assessment by the environment sector are delayed. Indicator 12. (Formulation of by-laws) has progressed with draft by-laws submitted for review and endorsement. Indicator 13 (commercial fishing permits) is pending finalization of indicator 12 (by-laws), and it is questionable whether this will be done before the end of the project. Targets for indicator 14 related to community capacities have been achieved, however efforts are ongoing with regards to building community capacities.  Finally, the target of indicator 16. (diversification of food crops) has been fully completed in all villages of the 3 pilot islands, however ongoing efforts are ensuring increased coverage and sustainability of efforts, also as contribution to project objective indicator 1.</w:t>
            </w:r>
          </w:p>
          <w:p>
            <w:pPr/>
            <w:r>
              <w:rPr/>
              <w:t xml:space="preserve"/>
            </w:r>
          </w:p>
          <w:p>
            <w:pPr/>
            <w:r>
              <w:rPr/>
              <w:t xml:space="preserve">For indicators off-track, efforts are ongoing, however with results below expected targets. Indicator 11. (mangrove replanting), efforts are contributing to community participation and lessons learned for the EbA-guidelines and the need for soft coastal protection measures in the future. Indicator 15 remains directly affected by COVID-19 flight restrictions and limited/nil revenue generation from eco-tourism, but the project continues to build community capacities and develop eco-tourism plans.</w:t>
            </w:r>
          </w:p>
          <w:p>
            <w:pPr/>
            <w:r>
              <w:rPr/>
              <w:t xml:space="preserve"/>
            </w:r>
          </w:p>
          <w:p>
            <w:pPr/>
            <w:r>
              <w:rPr/>
              <w:t xml:space="preserve">For indicators mostly affected by the implementation halt/delays that are considered questionable in terms of reaching the end-of-project targets, the project will discuss an action plan and how to reflect required action in the project exit/sustainability plan in an upcoming project board meeting in Q3 2022. For indicator 1, the feasibility of a survey is being considered. For indicator 4, a realistic timeline for AMAT roll-out at national level and local levels needs to be considered as well as sustained funding beyond the project, as part of the project sustainability plan. Indicator 13 may not be completed within the project period, however once islands by-laws have been endorsed this is easily actionable as part of the sustainability/exit plan.</w:t>
            </w:r>
          </w:p>
          <w:p>
            <w:pPr/>
            <w:r>
              <w:rPr/>
              <w:t xml:space="preserve"/>
            </w:r>
          </w:p>
          <w:p>
            <w:pPr/>
            <w:r>
              <w:rPr/>
              <w:t xml:space="preserve">Project results and lessons learned reports ae continuously updated and are being used to inform and guide other project activities. A large number of news stories and updates are issues regularly on the UNDP project website and social media, (however not during the periods of implementation halt).</w:t>
            </w:r>
          </w:p>
          <w:p>
            <w:pPr/>
            <w:r>
              <w:rPr/>
              <w:t xml:space="preserve">The project has conducted a household survey covering over 90% of households at 2 pilot islands (third island canceled due to COVID19 travel restrictions and implementation halt). This survey provides useful insights about the perception of the project and capacities of communities/households at the pilot islands, that have been reflected in the results-section. Further, these insights and lessons will contribute to the implementation of similar new projects starting in Kiribati.</w:t>
            </w:r>
          </w:p>
          <w:p>
            <w:pPr/>
            <w:r>
              <w:rPr/>
              <w:t xml:space="preserve"/>
            </w:r>
          </w:p>
          <w:p>
            <w:pPr/>
            <w:r>
              <w:rPr/>
              <w:t xml:space="preserve">Unfortunately, the prolonged and repeated implementation halt, combined with COVID19-restictions, have negatively affected the progress of the project in this reporting period. Therefore, the overall rating assessment is Moderately Unsatisfactory due to delays beyond the control of the project.</w:t>
            </w:r>
          </w:p>
          <w:p>
            <w:pPr/>
            <w:r>
              <w:rPr/>
              <w:t xml:space="preserve"/>
            </w:r>
          </w:p>
          <w:p>
            <w:pPr/>
            <w:r>
              <w:rPr/>
              <w:t xml:space="preserve">However, the project stakeholders showed their ability and capacity to pick up activities and deliver satisfactory results between October 2021 - January 2022, and therefore the project management team remain committed to do the utmost possible to ensure the best possible project results for island communities before the end of the project, including sustainability/exit plans.</w:t>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t xml:space="preserve">Over the covering this PIR there were a number of changes to costs, these are listed below by components.</w:t>
            </w:r>
          </w:p>
          <w:p>
            <w:pPr/>
            <w:r>
              <w:rPr/>
              <w:t xml:space="preserve"/>
            </w:r>
          </w:p>
          <w:p>
            <w:pPr/>
            <w:r>
              <w:rPr/>
              <w:t xml:space="preserve">Component 1:</w:t>
            </w:r>
          </w:p>
          <w:p>
            <w:pPr/>
            <w:r>
              <w:rPr/>
              <w:t xml:space="preserve">- Under the 75700 account code: Due to the need for thorough consultations on the EbA guidelines and the review and update of the national fisheries regulations, the PMU under the advise of the IP (Kiribati Government) and in consultation with the UNDP CO support team had increased the funds here by $21,233.70 over the 2016-2021 years. The initial $30,000 budget, meaning $6,000/year, for the years 2016 to 2021, spread to cover consultation workshops on three pilot islands and for the government stakeholders in Tarawa was deemed insufficient collectively by the IP, the PMU and the CO support team. Hence the decision to increase the budget. The Kiribati Government has placed priority on the full incorporation of the local context into the two tools in draft produced because of its application to its dwindling natural resources. Kindly note that the same justifications is applied for the $88,000 budgeted for 2022 as put in cell AE 8. Please note that the savings used here are from the international consultants budget lines 71200. Due to the COVID-19 induced travel restrrictions, the international consultants had reduced their fees because there were no travel costs.</w:t>
            </w:r>
          </w:p>
          <w:p>
            <w:pPr/>
            <w:r>
              <w:rPr/>
              <w:t xml:space="preserve">- Under the 71400 account code:  $36,193.28 was used to foot part of the the CTA's fee, CTA's deliverables 1 ($9,750), 2 ($14,625) and 3 ($11,818.28)</w:t>
            </w:r>
          </w:p>
          <w:p>
            <w:pPr/>
            <w:r>
              <w:rPr/>
              <w:t xml:space="preserve">- Under the 72300 account code: The decision to shift funds to use was to purchase materials to support the Conservation Field Schools. The $13,192.86 used by 2021 was for butcher papers, markers, printing consumables. They were to print maps that had managed areas demarcated, these were then laminated for awareness to the community. The aim was to ensure that every community member was aware of the managed areas in their fishing grounds. The funds was also used to map out sites that had the potential to be used for tourist tours and/or ideal for pilot vegetable gardens.</w:t>
            </w:r>
          </w:p>
          <w:p>
            <w:pPr/>
            <w:r>
              <w:rPr/>
              <w:t xml:space="preserve"/>
            </w:r>
          </w:p>
          <w:p>
            <w:pPr/>
            <w:r>
              <w:rPr/>
              <w:t xml:space="preserve">Component 2:</w:t>
            </w:r>
          </w:p>
          <w:p>
            <w:pPr/>
            <w:r>
              <w:rPr/>
              <w:t xml:space="preserve">- Under the 71600 account code: The $525,090.34 amount above the budget up until 2021 was due to the frequent travels to the pilot islands by the respective stakeholders to: i) conduct the Island Strategic Plans consultation and endorsement work for the three pilot islands; ii) formulate and verify the EbA, gathering inputs from the elders, the mayors, the youth, women, traditional medicine folks, the lay fishers and farmers; iii) conduct vulnerability assessments; iv) conduct participatory rural appraisal workshops and; v) support the coast line rehabilitation by carting and planting of about 40,000 mangrove seedlings along  the coast of Autukia, Teuabu, Abatiku of the 3 pilot islands.</w:t>
            </w:r>
          </w:p>
          <w:p>
            <w:pPr/>
            <w:r>
              <w:rPr/>
              <w:t xml:space="preserve">- Under the 72200 account code: The budget exceeding the project document budget by $55,914.42 as at December 2021 is attributed to the previous years use of: i) producing of laminated maps and fisheries regulations relevant to the community level to circulate to its members to raise awareness and remind them of management measures areas where these are in place; ii) supporting the  documenting of  traditional food preservation methods and printing community understandable pamphlets of these; iii) purchasing paper and printing costs to produce catch monitoring survey forms; iv) producing  awareness materials that has farming management practices and; v) production of awareness brochures on setting up a mini-hatchery.</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t xml:space="preserve">On the implementation modality change to assisted NIM, the two project advances  were scrutinized to ensure that there were not any high procurement value processed through the Government procurement processes and that the funds were quickly absorbed by the project activities so that funds was liquidated within 2 months of the advance receipt date in-country.</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t xml:space="preserve">Please see inputs on 'Institutional and implementation arrangements'.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t xml:space="preserve">There was a project implementation delay due to: i) the micro-HACT assessment of the IP and ii) the wayforward discussion/negotiations on the implementation modality post the micro-HACT assessment. The delay was more than 9 months and it used up the many number of months from the granted/approved 18 months of no-cost extension period. The project is still greatly delayed and project will have to figure, adapt, implement and liquidate USD 1.25 million in the next 6 months (July 2022 - January 2023).</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t xml:space="preserve">Revised the existing LOA to reflect the additional DPC, please find the IP and UNDP signed revised LOA attached.</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t xml:space="preserve">An extra layer of scrutiny is applied to the project due to the persistent micro-HACT significant findings. As alluded in C above, approval on advances to be disbursed is based on the certainty that were not any high procurement value processed through the Government procurement processes and that the funds were quickly absorbed by the project activities so that funds were liquidated within 2 months of the advance receipt date in-country.</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tc>
      </w:tr>
      <w:tr>
        <w:trPr/>
        <w:tc>
          <w:tcPr>
            <w:tcW w:w="10000" w:type="dxa"/>
          </w:tcPr>
          <w:p>
            <w:pPr>
              <w:spacing w:before="0" w:after="0"/>
            </w:pPr>
            <w:hyperlink r:id="rId10" w:history="1">
              <w:r>
                <w:rPr>
                  <w:color w:val="#0000FF"/>
                  <w:u w:val="single"/>
                </w:rPr>
                <w:t xml:space="preserve">Govt and UNDP Signed Revised LoA of Engagement for the LDCF1 Project.pdf</w:t>
              </w:r>
            </w:hyperlink>
          </w:p>
          <w:p>
            <w:pP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Capacity building related to handicraft production for income-generation were organized specifically targeting women groups in Abemama (total 38 women) focusing on producing high quality products with 90% local materials. To training was concluded by a showcase event where products were successfully sold.</w:t>
            </w:r>
          </w:p>
          <w:p>
            <w:pPr/>
            <w:r>
              <w:rPr/>
              <w:t xml:space="preserve"/>
            </w:r>
          </w:p>
          <w:p>
            <w:pPr/>
            <w:r>
              <w:rPr/>
              <w:t xml:space="preserve">This was supplemented by presentation awareness for 225 people related to freight levy, investment, copyright and trademark, e-commerce and business, and company registration for relate to the use of a newly-established e-mwakete platform to sell and purchase their goods online. Following the training, participants from different villages of Abemama registered their handicraft businesses as cooperatives.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Through training, to introduce and familiarize the communities with the newly-established e-mwakete platform, the marginalised group, including women and youth were empowered when they noted the ease of its use but more so it is a platform without discrimination for online trading.</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Review of Risks outlined in Risk Register and PIMS+ risk tab</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Has the Atlas Risk Register been updated during this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w:t>
            </w:r>
          </w:p>
          <w:p>
            <w:pPr/>
            <w:r>
              <w:rPr/>
              <w:t xml:space="preserve">Please provide an assessment of project risk management (including risks reported in  Risk Register and risks included in the project’s risk tab in  PIMS+ ) undertaken in the reporting period  and summarize the key risk management measures to be taken in the coming year. This text will be pulled into the risk management action plan in this project’s risk tab in PIMS+.</w:t>
            </w:r>
          </w:p>
        </w:tc>
      </w:tr>
      <w:tr>
        <w:trPr/>
        <w:tc>
          <w:tcPr>
            <w:tcW w:w="10000" w:type="dxa"/>
            <w:gridSpan w:val="1"/>
          </w:tcPr>
          <w:p>
            <w:pPr/>
            <w:r>
              <w:rPr/>
              <w:t xml:space="preserve">The project's Terminal Evaluation has been delayed as a result of the cessation of project activities during the reporting period. A further 6 month extension had been granted to the project and the decision was made by the CO to undertake the TE during this additional extension period to ensure the evaluation can be undertaken properly and the results well-captured. The recruitment for the TE team is underway now. There is a further risk of incompletion of project activies during the short timeframe available until the project ends. Measures are being taken by the CO and BRH to ensure implementation is fast-tracked including with the transfer of funds to the IP as required.</w:t>
            </w:r>
          </w:p>
        </w:tc>
      </w:tr>
    </w:tbl>
    <w:p>
      <w:pPr>
        <w:pStyle w:val="Heading2"/>
      </w:pPr>
      <w:bookmarkStart w:id="14" w:name="_Toc14"/>
      <w:r>
        <w:t>B) Social and Environmental Standards (Safeguards) Risks</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w:t>
            </w:r>
          </w:p>
          <w:p>
            <w:pPr/>
            <w:r>
              <w:rPr/>
              <w:t xml:space="preserve">If the project has updated its SESP during implementation, then please upload that file below.</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Have any new social and/or environmental risks been identified during the reporting period?</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new social and/or environmental risks have been identified during the reporting period please describe the new risk(s) and the response to it.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Have any existing social and/or environmental risks become more severe and/or has the project's SESP categorization changed during the reporting period? For example, when a low risk increased to moderate, or a moderate risk increased to substantial/high.</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existing social and/or environmental risks have become more severe and/or if the project's SESP categorization has changed during implementation please describe the change(s) and the response to it. Note that any change to the project's SESP categorization should be confirmed by the Project Board and by the NCE PTA (and potentially cleared by the NCE safeguards team).</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Have any social and environmental assessments and/or management plans been prepared or updated, and/or has the SESP been updated in the reporting period, as required? For example, an updated Stakeholder Engagement Plan, Environmental and Social Impact Assessment (ESIA) or Indigenous Peoples Plan.</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upload the document(s) above using the FILE LIBRARY button. If no, please explain when the required documents will be prepared.</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Has the project received complaints related to social and/or environmental impacts (actual or potential ) during the reporting period?</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describe the complaint(s) or grievance(s) in detail including the status, significance, who was involved and what action was taken.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5) Is this project on track with the preparation and/or implementation of all safeguards measures required for compliance with the UNDP SES?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no, please explain:</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 project is capturing and sharing progress via national media through frequent news stories and press releases, that are also shared via the UNDP project website:</w:t>
            </w:r>
          </w:p>
          <w:p>
            <w:pPr/>
            <w:r>
              <w:rPr/>
              <w:t xml:space="preserve"/>
            </w:r>
          </w:p>
          <w:p>
            <w:pPr/>
            <w:r>
              <w:rPr/>
              <w:t xml:space="preserve">November- December 2021</w:t>
            </w:r>
          </w:p>
          <w:p>
            <w:pPr/>
            <w:r>
              <w:rPr/>
              <w:t xml:space="preserve">- Marine Monitoring Survey at Kuria Island</w:t>
            </w:r>
          </w:p>
          <w:p>
            <w:pPr/>
            <w:r>
              <w:rPr/>
              <w:t xml:space="preserve">- Enhancing Environmental Resilience at Nonouti Island</w:t>
            </w:r>
          </w:p>
          <w:p>
            <w:pPr/>
            <w:r>
              <w:rPr/>
              <w:t xml:space="preserve">- Impact Survey of Activities of the Food Security GEF-LDCF-1 Project on Maiana</w:t>
            </w:r>
          </w:p>
          <w:p>
            <w:pPr/>
            <w:r>
              <w:rPr/>
              <w:t xml:space="preserve">- Monitoring Environmental Activities on Maiana</w:t>
            </w:r>
          </w:p>
          <w:p>
            <w:pPr/>
            <w:r>
              <w:rPr/>
              <w:t xml:space="preserve">- Predator Eradication in Milkfish ponds at Nonouti Island</w:t>
            </w:r>
          </w:p>
          <w:p>
            <w:pPr/>
            <w:r>
              <w:rPr/>
              <w:t xml:space="preserve">- The Formulation of Two New Laws of Abemama Island</w:t>
            </w:r>
          </w:p>
          <w:p>
            <w:pPr/>
            <w:r>
              <w:rPr/>
              <w:t xml:space="preserve">- A National Marine Monitoring on Socioeconomic</w:t>
            </w:r>
          </w:p>
          <w:p>
            <w:pPr/>
            <w:r>
              <w:rPr/>
              <w:t xml:space="preserve">- Arkshell and Seaweed Monitoring and Expansion</w:t>
            </w:r>
          </w:p>
          <w:p>
            <w:pPr/>
            <w:r>
              <w:rPr/>
              <w:t xml:space="preserve">- E-Market and Handicrafts Training at Nonouti</w:t>
            </w:r>
          </w:p>
          <w:p>
            <w:pPr/>
            <w:r>
              <w:rPr/>
              <w:t xml:space="preserve">- Signifying the Essentiality of Food Security at Maiana</w:t>
            </w:r>
          </w:p>
          <w:p>
            <w:pPr/>
            <w:r>
              <w:rPr/>
              <w:t xml:space="preserve"/>
            </w:r>
          </w:p>
          <w:p>
            <w:pPr/>
            <w:r>
              <w:rPr/>
              <w:t xml:space="preserve">Feb- March 2022</w:t>
            </w:r>
          </w:p>
          <w:p>
            <w:pPr/>
            <w:r>
              <w:rPr/>
              <w:t xml:space="preserve">- Impact Survey of activities of the Food Security GEF-LDCF Project 1 at Abemama</w:t>
            </w:r>
          </w:p>
          <w:p>
            <w:pPr/>
            <w:r>
              <w:rPr/>
              <w:t xml:space="preserve">- LDCF Project Contribution on Food Security in the Context of Climate Change on Nonouti Island</w:t>
            </w:r>
          </w:p>
          <w:p>
            <w:pPr/>
            <w:r>
              <w:rPr/>
              <w:t xml:space="preserve">- Upgrading Food Security in the Face of Climate Change</w:t>
            </w:r>
          </w:p>
          <w:p>
            <w:pPr/>
            <w:r>
              <w:rPr/>
              <w:t xml:space="preserve"/>
            </w:r>
          </w:p>
          <w:p>
            <w:pPr/>
            <w:r>
              <w:rPr/>
              <w:t xml:space="preserve">April 2022</w:t>
            </w:r>
          </w:p>
          <w:p>
            <w:pPr/>
            <w:r>
              <w:rPr/>
              <w:t xml:space="preserve">- Abemama Trial Community Tourism Product</w:t>
            </w:r>
          </w:p>
          <w:p>
            <w:pPr/>
            <w:r>
              <w:rPr/>
              <w:t xml:space="preserve">- Enhancement of Marine Resources and Benthic Habitat on Abemama Island</w:t>
            </w:r>
          </w:p>
          <w:p>
            <w:pPr/>
            <w:r>
              <w:rPr/>
              <w:t xml:space="preserve">- Improving Enforcement Skills on Coastal Marine Resources at Abemama</w:t>
            </w:r>
          </w:p>
          <w:p>
            <w:pPr/>
            <w:r>
              <w:rPr/>
              <w:t xml:space="preserve"/>
            </w:r>
          </w:p>
          <w:p>
            <w:pPr/>
            <w:r>
              <w:rPr/>
              <w:t xml:space="preserve">June 2022</w:t>
            </w:r>
          </w:p>
          <w:p>
            <w:pPr/>
            <w:r>
              <w:rPr/>
              <w:t xml:space="preserve">- Building A Resilience Capacity Against The Impacts of Climate Change at Abemama</w:t>
            </w:r>
          </w:p>
          <w:p>
            <w:pPr/>
            <w:r>
              <w:rPr/>
              <w:t xml:space="preserve"/>
            </w:r>
          </w:p>
          <w:p>
            <w:pPr/>
            <w:r>
              <w:rPr/>
              <w:t xml:space="preserve">In addition, the project is systematically capturing results and lessons learned in the quarterly progressive reports as well as in in-depth lessons learned reports and knowledge management products for relevant indicators. Project results and lessons are continuously being used by stakeholders to guide and inform project implementation, for example:</w:t>
            </w:r>
          </w:p>
          <w:p>
            <w:pPr/>
            <w:r>
              <w:rPr/>
              <w:t xml:space="preserve">-	Fisheries monitoring results and analysis is guiding the need for awareness, consultations and enforcement related to the National Fisheries Regulation and formulation of island by-laws.</w:t>
            </w:r>
          </w:p>
          <w:p>
            <w:pPr/>
            <w:r>
              <w:rPr/>
              <w:t xml:space="preserve">-	Fisheries monitoring results and analysis is informing translocation and restocking of key species (giant clams, ark-shells and other invertebrates) to potential sites inter-island and between outer islands.</w:t>
            </w:r>
          </w:p>
          <w:p>
            <w:pPr/>
            <w:r>
              <w:rPr/>
              <w:t xml:space="preserve">-	Lessons learned related to mangrove plantation efforts at the three pilot islands are being used for the development of national Ecosystem-Based Adaptation guidelines.</w:t>
            </w:r>
          </w:p>
          <w:p>
            <w:pPr/>
            <w:r>
              <w:rPr/>
              <w:t xml:space="preserve">-	Lessons learned related to crop plantation and livestock transportation/transfer to outer islands is captured for use in similar interventions.</w:t>
            </w:r>
          </w:p>
          <w:p>
            <w:pPr/>
            <w:r>
              <w:rPr/>
              <w:t xml:space="preserve">-	Traditional knowledge related to food security and post-harvest preparation and preservation techniques from the 3 pilot islands have been collected and published in booklets and videos for preservation and dissemination of traditional knowledge.</w:t>
            </w:r>
          </w:p>
          <w:p>
            <w:pPr/>
            <w:r>
              <w:rPr/>
              <w:t xml:space="preserve"/>
            </w:r>
          </w:p>
          <w:p>
            <w:pPr/>
            <w:r>
              <w:rPr/>
              <w:t xml:space="preserve">Reports/assessments/surveys:</w:t>
            </w:r>
          </w:p>
          <w:p>
            <w:pPr/>
            <w:r>
              <w:rPr/>
              <w:t xml:space="preserve">•	Fisheries Monitoring Reports: Status of Coral reefs, invertebrates, and finfish at Maiana, November 2020 (draft)</w:t>
            </w:r>
          </w:p>
          <w:p>
            <w:pPr/>
            <w:r>
              <w:rPr/>
              <w:t xml:space="preserve">•	Fisheries Monitoring Reports: Status of Coral reefs, invertebrates, and finfish at Nonouti, April 2021 (draft)</w:t>
            </w:r>
          </w:p>
          <w:p>
            <w:pPr/>
            <w:r>
              <w:rPr/>
              <w:t xml:space="preserve">•	Fisheries Monitoring Reports: Status of Invertebrates and finfish at Maiana, June 2021 (draft)</w:t>
            </w:r>
          </w:p>
          <w:p>
            <w:pPr/>
            <w:r>
              <w:rPr/>
              <w:t xml:space="preserve">•	Fisheries Monitoring Reports: Creel surveys (Bonefish) Maiana 2020, and SPC analysis December 2020 (draft)</w:t>
            </w:r>
          </w:p>
          <w:p>
            <w:pPr/>
            <w:r>
              <w:rPr/>
              <w:t xml:space="preserve">•	Fisheries Monitoring Reports: Creel surveys (Bonefish), Nonouti, April 2021 (draft)</w:t>
            </w:r>
          </w:p>
          <w:p>
            <w:pPr/>
            <w:r>
              <w:rPr/>
              <w:t xml:space="preserve">•	Indicator 11: Mangrove plantation – results and lessons learned report</w:t>
            </w:r>
          </w:p>
          <w:p>
            <w:pPr/>
            <w:r>
              <w:rPr/>
              <w:t xml:space="preserve">•	Indicator 16: Crop plantation – results and lessons learned report</w:t>
            </w:r>
          </w:p>
          <w:p>
            <w:pPr/>
            <w:r>
              <w:rPr/>
              <w:t xml:space="preserve"/>
            </w:r>
          </w:p>
          <w:p>
            <w:pPr/>
            <w:r>
              <w:rPr/>
              <w:t xml:space="preserve">Knowledge management activities:</w:t>
            </w:r>
          </w:p>
          <w:p>
            <w:pPr/>
            <w:r>
              <w:rPr/>
              <w:t xml:space="preserve">•	Awareness for the National Fisheries Regulation 2020: national radio broadcast, church notice boards, national awareness event</w:t>
            </w:r>
          </w:p>
          <w:p>
            <w:pPr/>
            <w:r>
              <w:rPr/>
              <w:t xml:space="preserve">Knowledge management products:</w:t>
            </w:r>
          </w:p>
          <w:p>
            <w:pPr/>
            <w:r>
              <w:rPr/>
              <w:t xml:space="preserve">•	Booklets published on Traditional Knowledge (indicator 16)</w:t>
            </w:r>
          </w:p>
          <w:p>
            <w:pPr/>
            <w:r>
              <w:rPr/>
              <w:t xml:space="preserve">•	Videos produced (Tourism, Culture, Fisheries, Mangroves)</w:t>
            </w:r>
          </w:p>
          <w:p>
            <w:pPr/>
            <w:r>
              <w:rPr/>
              <w:t xml:space="preserve"/>
            </w:r>
          </w:p>
          <w:p>
            <w:pPr/>
            <w:r>
              <w:rPr/>
              <w:t xml:space="preserve"/>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 International news story &amp;quot;Sowing seeds for Food security (February 2021)&amp;quot;: https://undp-climate.exposure.co/kiribati-sowing-seeds-for-food-security</w:t>
            </w:r>
          </w:p>
          <w:p>
            <w:pPr/>
            <w:r>
              <w:rPr/>
              <w:t xml:space="preserve"/>
            </w:r>
          </w:p>
          <w:p>
            <w:pPr/>
            <w:r>
              <w:rPr/>
              <w:t xml:space="preserve">- News stories/press releases published nationally and at the UNDP project website: https://www.adaptation-undp.org/projects/kiribati-denhancing-national-food-security-context-climate-change</w:t>
            </w:r>
          </w:p>
          <w:p>
            <w:pPr/>
            <w:r>
              <w:rPr/>
              <w:t xml:space="preserve"/>
            </w:r>
          </w:p>
          <w:p>
            <w:pPr/>
            <w:r>
              <w:rPr/>
              <w:t xml:space="preserve">Twitter: https://mobile.twitter.com/KiribatiLDCF</w:t>
            </w:r>
          </w:p>
          <w:p>
            <w:pPr/>
            <w:r>
              <w:rPr/>
              <w:t xml:space="preserve"/>
            </w:r>
          </w:p>
          <w:p>
            <w:pPr/>
            <w:r>
              <w:rPr/>
              <w:t xml:space="preserve">Instagram: https://instagram.com/ldcffoodsecurity?utm_medium=copy_link</w:t>
            </w:r>
          </w:p>
          <w:p>
            <w:pPr/>
            <w:r>
              <w:rPr/>
              <w:t xml:space="preserve"/>
            </w:r>
          </w:p>
          <w:p>
            <w:pPr/>
            <w:r>
              <w:rPr/>
              <w:t xml:space="preserve">Facebook: https://www.facebook.com/Kiribati-Environment-and-Conservation-Division-166097106908407</w:t>
            </w:r>
          </w:p>
          <w:p>
            <w:pPr/>
            <w:r>
              <w:rPr/>
              <w:t xml:space="preserve"/>
            </w:r>
          </w:p>
          <w:p>
            <w:pPr/>
            <w:r>
              <w:rPr/>
              <w:t xml:space="preserve">Youtube:</w:t>
            </w:r>
          </w:p>
          <w:p>
            <w:pPr/>
            <w:r>
              <w:rPr/>
              <w:t xml:space="preserve">MELAD channel: https://www.youtube.com/watch?v=Tz3ACAC_2Pc</w:t>
            </w:r>
          </w:p>
          <w:p>
            <w:pPr/>
            <w:r>
              <w:rPr/>
              <w:t xml:space="preserve">Visit Kiribati channel: https://www.youtube.com/watch?v=jkJvREcBJmk</w:t>
            </w:r>
          </w:p>
          <w:p>
            <w:pPr/>
            <w:r>
              <w:rPr/>
              <w:t xml:space="preserve">UN: https://www.youtube.com/watch?v=hW9EAkqu6aY</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Stakeholder Engagement</w:t>
      </w:r>
      <w:bookmarkEnd w:id="16"/>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Provide an update on progress, challenges and outcomes related to stakeholder engagement based on the description in the Stakeholder Engagement Plan or equivalent documentation submitted at CEO Endorsement/Approval.</w:t>
            </w:r>
          </w:p>
          <w:p>
            <w:pPr/>
            <w:r>
              <w:rPr>
                <w:b w:val="1"/>
                <w:bCs w:val="1"/>
              </w:rPr>
              <w:t xml:space="preserve"/>
            </w:r>
          </w:p>
          <w:p>
            <w:pPr/>
            <w:r>
              <w:rPr>
                <w:b w:val="1"/>
                <w:bCs w:val="1"/>
              </w:rPr>
              <w:t xml:space="preserve">(B) Upload all available documentation of the project's stakeholder engagement, including surveys, FPIC reports and others using the FILE LIBRARY button in the upper right corner of the PIR.</w:t>
            </w:r>
          </w:p>
          <w:p>
            <w:pPr/>
            <w:r>
              <w:rPr>
                <w:b w:val="1"/>
                <w:bCs w:val="1"/>
              </w:rPr>
              <w:t xml:space="preserve"/>
            </w:r>
          </w:p>
          <w:p>
            <w:pPr/>
            <w:r>
              <w:rPr>
                <w:b w:val="1"/>
                <w:bCs w:val="1"/>
              </w:rPr>
              <w:t xml:space="preserve">(C) If the project's Stakeholder Engagement Plan has been updated during the reporting period, please upload that file using the FILE LIBRARY button above.</w:t>
            </w:r>
          </w:p>
        </w:tc>
      </w:tr>
      <w:tr>
        <w:trPr/>
        <w:tc>
          <w:tcPr>
            <w:tcW w:w="10000" w:type="dxa"/>
            <w:gridSpan w:val="1"/>
          </w:tcPr>
          <w:p>
            <w:pPr/>
            <w:r>
              <w:rPr/>
              <w:t xml:space="preserve">Stakeholder engagement has been affected to some degree during the prolonged and repeated implementation halt from May-October 2021 and February-July 2022.</w:t>
            </w:r>
          </w:p>
          <w:p>
            <w:pPr/>
            <w:r>
              <w:rPr/>
              <w:t xml:space="preserve"/>
            </w:r>
          </w:p>
          <w:p>
            <w:pPr/>
            <w:r>
              <w:rPr/>
              <w:t xml:space="preserve">At pilot island level, communities have expressed frustration with the cancellation of planned events. Discontinuation of regular pilot island visit by government officials is likely to have affected the work and progress of extension fisheries and agriculture staff. Further, the household survey indicates that the project to some degree has been “forgotten” and is not getting due recognition for its efforts, however this is not considered a major issue.</w:t>
            </w:r>
          </w:p>
          <w:p>
            <w:pPr/>
            <w:r>
              <w:rPr/>
              <w:t xml:space="preserve"/>
            </w:r>
          </w:p>
          <w:p>
            <w:pPr/>
            <w:r>
              <w:rPr/>
              <w:t xml:space="preserve">At national level among government stakeholders and within the IP/project management team, there has also been frustrations due to the implementation halt and delays, waiting time, and unclarity of implementation modality arrangements. Stakeholders have shown great understanding and flexibility in terms of patience and meeting the requirements.</w:t>
            </w:r>
          </w:p>
          <w:p>
            <w:pPr/>
            <w:r>
              <w:rPr/>
              <w:t xml:space="preserve"/>
            </w:r>
          </w:p>
          <w:p>
            <w:pPr/>
            <w:r>
              <w:rPr/>
              <w:t xml:space="preserve">Thanks to stakeholder management by the PMU in particular, personal relations, and regular high-level discussions between government implementing partner and UNDP, stakeholder relations are still intact to allow a proper closure to activities and the project within the coming 6 months.</w:t>
            </w: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Annex - Ratings Definitions</w:t>
      </w:r>
      <w:bookmarkEnd w:id="17"/>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2022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4DC82"/>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pims.undp.org/attachments/4570/213383/1757288/1806703/Govt%20and%20UNDP%20Signed%20Revised%20LoA%20of%20Engagement%20for%20the%20LDCF1%20Project.pdf"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B0413 - Kiribati - Cty Pgmm</OfficeCountry>
    <DocumentStatus xmlns="d9cf0e28-81d2-4dc7-8b10-820d80ed680d">Final</DocumentStatus>
    <DocCoverageEndDate xmlns="d9cf0e28-81d2-4dc7-8b10-820d80ed680d">2022-06-30T04:00:00+00:00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00087627</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UNDP-FJI</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2021-07-01T04:00:00+00:00</DocCoverageStartDate>
    <FileClassificationMode xmlns="d9cf0e28-81d2-4dc7-8b10-820d80ed680d">Public</FileClassificationMode>
    <OutputNumber xmlns="d9cf0e28-81d2-4dc7-8b10-820d80ed680d">00094574</OutputNumber>
  </documentManagement>
</p:properties>
</file>

<file path=customXml/itemProps1.xml><?xml version="1.0" encoding="utf-8"?>
<ds:datastoreItem xmlns:ds="http://schemas.openxmlformats.org/officeDocument/2006/customXml" ds:itemID="{4A06B2E2-8FD8-4444-82D4-06163BA02EDA}"/>
</file>

<file path=customXml/itemProps2.xml><?xml version="1.0" encoding="utf-8"?>
<ds:datastoreItem xmlns:ds="http://schemas.openxmlformats.org/officeDocument/2006/customXml" ds:itemID="{A138D471-88AD-4AE4-B602-7313070EFE7E}"/>
</file>

<file path=customXml/itemProps3.xml><?xml version="1.0" encoding="utf-8"?>
<ds:datastoreItem xmlns:ds="http://schemas.openxmlformats.org/officeDocument/2006/customXml" ds:itemID="{C40312CD-B70A-4E98-B103-41AA518F3179}"/>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2022-09-14T05:22:24Z</dcterms:created>
  <dcterms:modified xsi:type="dcterms:W3CDTF">2022-09-14T05:22:24Z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