
<file path=[Content_Types].xml><?xml version="1.0" encoding="utf-8"?>
<Types xmlns="http://schemas.openxmlformats.org/package/2006/content-types">
  <Default Extension="gif" ContentType="image/gif"/>
  <Default Extension="jpg" ContentType="image/jpeg"/>
  <Default Extension="rels" ContentType="application/vnd.openxmlformats-package.relationships+xml"/>
  <Default Extension="xml" ContentType="application/xml"/>
  <Override PartName="/word/header1.xml" ContentType="application/vnd.openxmlformats-officedocument.wordprocessingml.header+xml"/>
  <Override PartName="/word/footer1.xml" ContentType="application/vnd.openxmlformats-officedocument.wordprocessingml.footer+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pict>
          <v:shape type="#_x0000_t75" stroked="f" style="width:83.149606299213pt; height:91.086614173228pt; margin-left:0pt; margin-top:0pt; position:absolute; mso-position-horizontal:left; mso-position-vertical:top; mso-position-horizontal-relative:margin; mso-position-vertical-relative:line;">
            <w10:wrap type="square" anchorx="page" anchory="page"/>
            <v:imagedata r:id="rId7" o:title=""/>
          </v:shape>
        </w:pict>
      </w:r>
      <w:r>
        <w:pict>
          <v:shape type="#_x0000_t75" stroked="f" style="width:67.275590551181pt; height:120.18897637795pt; margin-left:0pt; margin-top:0pt; position:absolute; mso-position-horizontal:right; mso-position-vertical:top; mso-position-horizontal-relative:margin; mso-position-vertical-relative:line;">
            <w10:wrap type="square" anchorx="page" anchory="page"/>
            <v:imagedata r:id="rId8" o:title=""/>
          </v:shape>
        </w:pict>
      </w:r>
    </w:p>
    <w:p>
      <w:pPr>
        <w:jc w:val="center"/>
      </w:pPr>
      <w:r>
        <w:rPr>
          <w:sz w:val="28"/>
          <w:szCs w:val="28"/>
        </w:rPr>
        <w:t xml:space="preserve">2025</w:t>
      </w:r>
    </w:p>
    <w:p>
      <w:pPr>
        <w:jc w:val="center"/>
      </w:pPr>
      <w:r>
        <w:rPr>
          <w:sz w:val="28"/>
          <w:szCs w:val="28"/>
        </w:rPr>
        <w:t xml:space="preserve">Project Implementation Report (PIR)</w:t>
      </w:r>
    </w:p>
    <w:p>
      <w:pPr/>
      <w:r>
        <w:rPr/>
        <w:t xml:space="preserve"/>
      </w:r>
    </w:p>
    <w:p>
      <w:pPr/>
      <w:r>
        <w:rPr/>
        <w:t xml:space="preserve"/>
      </w:r>
    </w:p>
    <w:p>
      <w:pPr/>
      <w:r>
        <w:rPr/>
        <w:t xml:space="preserve"/>
      </w:r>
    </w:p>
    <w:p>
      <w:pPr>
        <w:jc w:val="center"/>
      </w:pPr>
      <w:r>
        <w:rPr>
          <w:sz w:val="28"/>
          <w:szCs w:val="28"/>
          <w:b w:val="1"/>
          <w:bCs w:val="1"/>
        </w:rPr>
        <w:t xml:space="preserve">UNDP Support to Kiribati NAPA Follow-Up Project</w:t>
      </w:r>
    </w:p>
    <w:p>
      <w:pPr>
        <w:tabs>
          <w:tab w:val="right" w:leader="dot" w:pos="9062"/>
        </w:tabs>
      </w:pPr>
      <w:r>
        <w:fldChar w:fldCharType="begin"/>
      </w:r>
      <w:r>
        <w:instrText xml:space="preserve">TOC \o 1-1 \h \z \u</w:instrText>
      </w:r>
      <w:r>
        <w:fldChar w:fldCharType="separate"/>
      </w:r>
      <w:hyperlink w:anchor="_Toc0" w:history="1">
        <w:r>
          <w:t>Basic Data</w:t>
        </w:r>
        <w:r>
          <w:tab/>
        </w:r>
        <w:r>
          <w:fldChar w:fldCharType="begin"/>
        </w:r>
        <w:r>
          <w:instrText xml:space="preserve">PAGEREF 0 \h</w:instrText>
        </w:r>
        <w:r>
          <w:fldChar w:fldCharType="end"/>
        </w:r>
      </w:hyperlink>
    </w:p>
    <w:p>
      <w:pPr>
        <w:tabs>
          <w:tab w:val="right" w:leader="dot" w:pos="9062"/>
        </w:tabs>
      </w:pPr>
      <w:hyperlink w:anchor="_Toc1" w:history="1">
        <w:r>
          <w:t>Key project dates</w:t>
        </w:r>
        <w:r>
          <w:tab/>
        </w:r>
        <w:r>
          <w:fldChar w:fldCharType="begin"/>
        </w:r>
        <w:r>
          <w:instrText xml:space="preserve">PAGEREF 1 \h</w:instrText>
        </w:r>
        <w:r>
          <w:fldChar w:fldCharType="end"/>
        </w:r>
      </w:hyperlink>
    </w:p>
    <w:p>
      <w:pPr>
        <w:tabs>
          <w:tab w:val="right" w:leader="dot" w:pos="9062"/>
        </w:tabs>
      </w:pPr>
      <w:hyperlink w:anchor="_Toc2" w:history="1">
        <w:r>
          <w:t>Overall ratings</w:t>
        </w:r>
        <w:r>
          <w:tab/>
        </w:r>
        <w:r>
          <w:fldChar w:fldCharType="begin"/>
        </w:r>
        <w:r>
          <w:instrText xml:space="preserve">PAGEREF 2 \h</w:instrText>
        </w:r>
        <w:r>
          <w:fldChar w:fldCharType="end"/>
        </w:r>
      </w:hyperlink>
    </w:p>
    <w:p>
      <w:pPr>
        <w:tabs>
          <w:tab w:val="right" w:leader="dot" w:pos="9062"/>
        </w:tabs>
      </w:pPr>
      <w:hyperlink w:anchor="_Toc3" w:history="1">
        <w:r>
          <w:t>Development Objective Progress</w:t>
        </w:r>
        <w:r>
          <w:tab/>
        </w:r>
        <w:r>
          <w:fldChar w:fldCharType="begin"/>
        </w:r>
        <w:r>
          <w:instrText xml:space="preserve">PAGEREF 3 \h</w:instrText>
        </w:r>
        <w:r>
          <w:fldChar w:fldCharType="end"/>
        </w:r>
      </w:hyperlink>
    </w:p>
    <w:p>
      <w:pPr>
        <w:tabs>
          <w:tab w:val="right" w:leader="dot" w:pos="9062"/>
        </w:tabs>
      </w:pPr>
      <w:hyperlink w:anchor="_Toc5" w:history="1">
        <w:r>
          <w:t>Finance/Co-Finance</w:t>
        </w:r>
        <w:r>
          <w:tab/>
        </w:r>
        <w:r>
          <w:fldChar w:fldCharType="begin"/>
        </w:r>
        <w:r>
          <w:instrText xml:space="preserve">PAGEREF 5 \h</w:instrText>
        </w:r>
        <w:r>
          <w:fldChar w:fldCharType="end"/>
        </w:r>
      </w:hyperlink>
    </w:p>
    <w:p>
      <w:pPr>
        <w:tabs>
          <w:tab w:val="right" w:leader="dot" w:pos="9062"/>
        </w:tabs>
      </w:pPr>
      <w:hyperlink w:anchor="_Toc7" w:history="1">
        <w:r>
          <w:t>Implementation Progress</w:t>
        </w:r>
        <w:r>
          <w:tab/>
        </w:r>
        <w:r>
          <w:fldChar w:fldCharType="begin"/>
        </w:r>
        <w:r>
          <w:instrText xml:space="preserve">PAGEREF 7 \h</w:instrText>
        </w:r>
        <w:r>
          <w:fldChar w:fldCharType="end"/>
        </w:r>
      </w:hyperlink>
    </w:p>
    <w:p>
      <w:pPr>
        <w:tabs>
          <w:tab w:val="right" w:leader="dot" w:pos="9062"/>
        </w:tabs>
      </w:pPr>
      <w:hyperlink w:anchor="_Toc8" w:history="1">
        <w:r>
          <w:t>Project Governance</w:t>
        </w:r>
        <w:r>
          <w:tab/>
        </w:r>
        <w:r>
          <w:fldChar w:fldCharType="begin"/>
        </w:r>
        <w:r>
          <w:instrText xml:space="preserve">PAGEREF 8 \h</w:instrText>
        </w:r>
        <w:r>
          <w:fldChar w:fldCharType="end"/>
        </w:r>
      </w:hyperlink>
    </w:p>
    <w:p>
      <w:pPr>
        <w:tabs>
          <w:tab w:val="right" w:leader="dot" w:pos="9062"/>
        </w:tabs>
      </w:pPr>
      <w:hyperlink w:anchor="_Toc9" w:history="1">
        <w:r>
          <w:t>Ratings and Overall Assessments</w:t>
        </w:r>
        <w:r>
          <w:tab/>
        </w:r>
        <w:r>
          <w:fldChar w:fldCharType="begin"/>
        </w:r>
        <w:r>
          <w:instrText xml:space="preserve">PAGEREF 9 \h</w:instrText>
        </w:r>
        <w:r>
          <w:fldChar w:fldCharType="end"/>
        </w:r>
      </w:hyperlink>
    </w:p>
    <w:p>
      <w:pPr>
        <w:tabs>
          <w:tab w:val="right" w:leader="dot" w:pos="9062"/>
        </w:tabs>
      </w:pPr>
      <w:hyperlink w:anchor="_Toc10" w:history="1">
        <w:r>
          <w:t>Minor Amendments</w:t>
        </w:r>
        <w:r>
          <w:tab/>
        </w:r>
        <w:r>
          <w:fldChar w:fldCharType="begin"/>
        </w:r>
        <w:r>
          <w:instrText xml:space="preserve">PAGEREF 10 \h</w:instrText>
        </w:r>
        <w:r>
          <w:fldChar w:fldCharType="end"/>
        </w:r>
      </w:hyperlink>
    </w:p>
    <w:p>
      <w:pPr>
        <w:tabs>
          <w:tab w:val="right" w:leader="dot" w:pos="9062"/>
        </w:tabs>
      </w:pPr>
      <w:hyperlink w:anchor="_Toc11" w:history="1">
        <w:r>
          <w:t>Gender</w:t>
        </w:r>
        <w:r>
          <w:tab/>
        </w:r>
        <w:r>
          <w:fldChar w:fldCharType="begin"/>
        </w:r>
        <w:r>
          <w:instrText xml:space="preserve">PAGEREF 11 \h</w:instrText>
        </w:r>
        <w:r>
          <w:fldChar w:fldCharType="end"/>
        </w:r>
      </w:hyperlink>
    </w:p>
    <w:p>
      <w:pPr>
        <w:tabs>
          <w:tab w:val="right" w:leader="dot" w:pos="9062"/>
        </w:tabs>
      </w:pPr>
      <w:hyperlink w:anchor="_Toc13" w:history="1">
        <w:r>
          <w:t>Risk Management</w:t>
        </w:r>
        <w:r>
          <w:tab/>
        </w:r>
        <w:r>
          <w:fldChar w:fldCharType="begin"/>
        </w:r>
        <w:r>
          <w:instrText xml:space="preserve">PAGEREF 13 \h</w:instrText>
        </w:r>
        <w:r>
          <w:fldChar w:fldCharType="end"/>
        </w:r>
      </w:hyperlink>
    </w:p>
    <w:p>
      <w:pPr>
        <w:tabs>
          <w:tab w:val="right" w:leader="dot" w:pos="9062"/>
        </w:tabs>
      </w:pPr>
      <w:hyperlink w:anchor="_Toc16" w:history="1">
        <w:r>
          <w:t>Knowledge Management &amp; Communications</w:t>
        </w:r>
        <w:r>
          <w:tab/>
        </w:r>
        <w:r>
          <w:fldChar w:fldCharType="begin"/>
        </w:r>
        <w:r>
          <w:instrText xml:space="preserve">PAGEREF 16 \h</w:instrText>
        </w:r>
        <w:r>
          <w:fldChar w:fldCharType="end"/>
        </w:r>
      </w:hyperlink>
    </w:p>
    <w:p>
      <w:pPr>
        <w:tabs>
          <w:tab w:val="right" w:leader="dot" w:pos="9062"/>
        </w:tabs>
      </w:pPr>
      <w:hyperlink w:anchor="_Toc17" w:history="1">
        <w:r>
          <w:t>Annex - Ratings Definitions</w:t>
        </w:r>
        <w:r>
          <w:tab/>
        </w:r>
        <w:r>
          <w:fldChar w:fldCharType="begin"/>
        </w:r>
        <w:r>
          <w:instrText xml:space="preserve">PAGEREF 17 \h</w:instrText>
        </w:r>
        <w:r>
          <w:fldChar w:fldCharType="end"/>
        </w:r>
      </w:hyperlink>
    </w:p>
    <w:p>
      <w:r>
        <w:fldChar w:fldCharType="end"/>
      </w:r>
    </w:p>
    <w:p>
      <w:pPr>
        <w:sectPr>
          <w:headerReference w:type="default" r:id="rId11"/>
          <w:footerReference w:type="default" r:id="rId12"/>
          <w:pgSz w:orient="portrait" w:w="11905.511811023622" w:h="16837.79527559055"/>
          <w:pgMar w:top="1440" w:right="1440" w:bottom="1440" w:left="1440" w:header="720" w:footer="720" w:gutter="0"/>
          <w:cols w:num="1" w:space="720"/>
        </w:sectPr>
      </w:pPr>
    </w:p>
    <w:p>
      <w:pPr>
        <w:pStyle w:val="Heading1"/>
      </w:pPr>
      <w:bookmarkStart w:id="0" w:name="_Toc0"/>
      <w:r>
        <w:t>Basic Data</w:t>
      </w:r>
      <w:bookmarkEnd w:id="0"/>
    </w:p>
    <w:tbl>
      <w:tblGrid>
        <w:gridCol w:w="5000" w:type="dxa"/>
        <w:gridCol w:w="5000" w:type="dxa"/>
      </w:tblGrid>
      <w:tblPr>
        <w:tblW w:w="0" w:type="auto"/>
        <w:tblLayout w:type="autofit"/>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gridSpan w:val="2"/>
            <w:noWrap/>
          </w:tcPr>
          <w:p>
            <w:pPr/>
            <w:r>
              <w:rPr>
                <w:b w:val="1"/>
                <w:bCs w:val="1"/>
              </w:rPr>
              <w:t xml:space="preserve">Project Information</w:t>
            </w:r>
          </w:p>
        </w:tc>
      </w:tr>
      <w:tr>
        <w:trPr/>
        <w:tc>
          <w:tcPr>
            <w:tcW w:w="5000" w:type="dxa"/>
            <w:gridSpan w:val="1"/>
            <w:noWrap/>
          </w:tcPr>
          <w:p>
            <w:pPr/>
            <w:r>
              <w:rPr/>
              <w:t xml:space="preserve">UNDP PIMS ID</w:t>
            </w:r>
          </w:p>
        </w:tc>
        <w:tc>
          <w:tcPr>
            <w:tcW w:w="5000" w:type="dxa"/>
            <w:gridSpan w:val="1"/>
            <w:noWrap/>
          </w:tcPr>
          <w:p>
            <w:pPr/>
            <w:r>
              <w:rPr/>
              <w:t xml:space="preserve">5447</w:t>
            </w:r>
          </w:p>
        </w:tc>
      </w:tr>
      <w:tr>
        <w:trPr/>
        <w:tc>
          <w:tcPr>
            <w:tcW w:w="5000" w:type="dxa"/>
            <w:gridSpan w:val="1"/>
            <w:noWrap/>
          </w:tcPr>
          <w:p>
            <w:pPr/>
            <w:r>
              <w:rPr/>
              <w:t xml:space="preserve">GEF ID</w:t>
            </w:r>
          </w:p>
        </w:tc>
        <w:tc>
          <w:tcPr>
            <w:tcW w:w="5000" w:type="dxa"/>
            <w:gridSpan w:val="1"/>
            <w:noWrap/>
          </w:tcPr>
          <w:p>
            <w:pPr/>
            <w:r>
              <w:rPr/>
              <w:t xml:space="preserve">9041</w:t>
            </w:r>
          </w:p>
        </w:tc>
      </w:tr>
      <w:tr>
        <w:trPr/>
        <w:tc>
          <w:tcPr>
            <w:tcW w:w="5000" w:type="dxa"/>
            <w:gridSpan w:val="1"/>
            <w:noWrap/>
          </w:tcPr>
          <w:p>
            <w:pPr/>
            <w:r>
              <w:rPr/>
              <w:t xml:space="preserve">Title</w:t>
            </w:r>
          </w:p>
        </w:tc>
        <w:tc>
          <w:tcPr>
            <w:tcW w:w="5000" w:type="dxa"/>
            <w:gridSpan w:val="1"/>
            <w:noWrap/>
          </w:tcPr>
          <w:p>
            <w:pPr/>
            <w:r>
              <w:rPr/>
              <w:t xml:space="preserve">Enhancing whole of islands approach to strengthen community resilience to climate and disaster risks in Kiribati</w:t>
            </w:r>
          </w:p>
        </w:tc>
      </w:tr>
      <w:tr>
        <w:trPr/>
        <w:tc>
          <w:tcPr>
            <w:tcW w:w="5000" w:type="dxa"/>
            <w:gridSpan w:val="1"/>
            <w:noWrap/>
          </w:tcPr>
          <w:p>
            <w:pPr/>
            <w:r>
              <w:rPr/>
              <w:t xml:space="preserve">Country(ies)</w:t>
            </w:r>
          </w:p>
        </w:tc>
        <w:tc>
          <w:tcPr>
            <w:tcW w:w="5000" w:type="dxa"/>
            <w:gridSpan w:val="1"/>
            <w:noWrap/>
          </w:tcPr>
          <w:p>
            <w:pPr/>
            <w:r>
              <w:rPr/>
              <w:t xml:space="preserve">Kiribati, Kiribati</w:t>
            </w:r>
          </w:p>
        </w:tc>
      </w:tr>
      <w:tr>
        <w:trPr/>
        <w:tc>
          <w:tcPr>
            <w:tcW w:w="5000" w:type="dxa"/>
            <w:gridSpan w:val="1"/>
            <w:noWrap/>
          </w:tcPr>
          <w:p>
            <w:pPr/>
            <w:r>
              <w:rPr/>
              <w:t xml:space="preserve">UNDP Technical Team</w:t>
            </w:r>
          </w:p>
        </w:tc>
        <w:tc>
          <w:tcPr>
            <w:tcW w:w="5000" w:type="dxa"/>
            <w:gridSpan w:val="1"/>
            <w:noWrap/>
          </w:tcPr>
          <w:p>
            <w:pPr/>
            <w:r>
              <w:rPr/>
              <w:t xml:space="preserve">Climate Change Adaptation</w:t>
            </w:r>
          </w:p>
        </w:tc>
      </w:tr>
      <w:tr>
        <w:trPr/>
        <w:tc>
          <w:tcPr>
            <w:tcW w:w="5000" w:type="dxa"/>
            <w:gridSpan w:val="1"/>
            <w:noWrap/>
          </w:tcPr>
          <w:p>
            <w:pPr/>
            <w:r>
              <w:rPr/>
              <w:t xml:space="preserve">Management Arrangements</w:t>
            </w:r>
          </w:p>
        </w:tc>
        <w:tc>
          <w:tcPr>
            <w:tcW w:w="5000" w:type="dxa"/>
            <w:gridSpan w:val="1"/>
            <w:noWrap/>
          </w:tcPr>
          <w:p>
            <w:pPr/>
            <w:r>
              <w:rPr/>
              <w:t xml:space="preserve">CO Support to NIM</w:t>
            </w:r>
          </w:p>
        </w:tc>
      </w:tr>
      <w:tr>
        <w:trPr/>
        <w:tc>
          <w:tcPr>
            <w:tcW w:w="5000" w:type="dxa"/>
            <w:gridSpan w:val="1"/>
            <w:noWrap/>
          </w:tcPr>
          <w:p>
            <w:pPr/>
            <w:r>
              <w:rPr/>
              <w:t xml:space="preserve">Project Implementing Partner</w:t>
            </w:r>
          </w:p>
        </w:tc>
        <w:tc>
          <w:tcPr>
            <w:tcW w:w="5000" w:type="dxa"/>
            <w:gridSpan w:val="1"/>
            <w:noWrap/>
          </w:tcPr>
          <w:p>
            <w:pPr/>
            <w:r>
              <w:rPr/>
              <w:t xml:space="preserve">The Office of Te Beretitenti National Strategic Policy Division (OB NSPD)</w:t>
            </w:r>
          </w:p>
        </w:tc>
      </w:tr>
      <w:tr>
        <w:trPr/>
        <w:tc>
          <w:tcPr>
            <w:tcW w:w="5000" w:type="dxa"/>
            <w:gridSpan w:val="1"/>
            <w:noWrap/>
          </w:tcPr>
          <w:p>
            <w:pPr/>
            <w:r>
              <w:rPr/>
              <w:t xml:space="preserve">Joint Agencies</w:t>
            </w:r>
          </w:p>
        </w:tc>
        <w:tc>
          <w:tcPr>
            <w:tcW w:w="5000" w:type="dxa"/>
            <w:gridSpan w:val="1"/>
            <w:noWrap/>
          </w:tcPr>
          <w:p>
            <w:pPr/>
            <w:r>
              <w:rPr>
                <w:i w:val="1"/>
                <w:iCs w:val="1"/>
              </w:rPr>
              <w:t xml:space="preserve">(not set or not applicable)</w:t>
            </w:r>
          </w:p>
        </w:tc>
      </w:tr>
      <w:tr>
        <w:trPr/>
        <w:tc>
          <w:tcPr>
            <w:tcW w:w="5000" w:type="dxa"/>
            <w:gridSpan w:val="1"/>
            <w:noWrap/>
          </w:tcPr>
          <w:p>
            <w:pPr/>
            <w:r>
              <w:rPr/>
              <w:t xml:space="preserve">Project Type</w:t>
            </w:r>
          </w:p>
        </w:tc>
        <w:tc>
          <w:tcPr>
            <w:tcW w:w="5000" w:type="dxa"/>
            <w:gridSpan w:val="1"/>
            <w:noWrap/>
          </w:tcPr>
          <w:p>
            <w:pPr/>
            <w:r>
              <w:rPr/>
              <w:t xml:space="preserve">Full Size</w:t>
            </w:r>
          </w:p>
        </w:tc>
      </w:tr>
      <w:tr>
        <w:trPr/>
        <w:tc>
          <w:tcPr>
            <w:tcW w:w="5000" w:type="dxa"/>
            <w:gridSpan w:val="1"/>
            <w:noWrap/>
          </w:tcPr>
          <w:p>
            <w:pPr/>
            <w:r>
              <w:rPr/>
              <w:t xml:space="preserve">Implementation Status</w:t>
            </w:r>
          </w:p>
        </w:tc>
        <w:tc>
          <w:tcPr>
            <w:tcW w:w="5000" w:type="dxa"/>
            <w:gridSpan w:val="1"/>
            <w:noWrap/>
          </w:tcPr>
          <w:p>
            <w:pPr/>
            <w:r>
              <w:rPr/>
              <w:t xml:space="preserve">5th PIR</w:t>
            </w:r>
          </w:p>
        </w:tc>
      </w:tr>
      <w:tr>
        <w:trPr/>
        <w:tc>
          <w:tcPr>
            <w:tcW w:w="5000" w:type="dxa"/>
            <w:gridSpan w:val="1"/>
            <w:noWrap/>
          </w:tcPr>
          <w:p>
            <w:pPr/>
            <w:r>
              <w:rPr/>
              <w:t xml:space="preserve">GEF Fiscal Year</w:t>
            </w:r>
          </w:p>
        </w:tc>
        <w:tc>
          <w:tcPr>
            <w:tcW w:w="5000" w:type="dxa"/>
            <w:gridSpan w:val="1"/>
            <w:noWrap/>
          </w:tcPr>
          <w:p>
            <w:pPr/>
            <w:r>
              <w:rPr/>
              <w:t xml:space="preserve">FY25</w:t>
            </w:r>
          </w:p>
        </w:tc>
      </w:tr>
      <w:tr>
        <w:trPr/>
        <w:tc>
          <w:tcPr>
            <w:tcW w:w="5000" w:type="dxa"/>
            <w:gridSpan w:val="1"/>
            <w:noWrap/>
          </w:tcPr>
          <w:p>
            <w:pPr/>
            <w:r>
              <w:rPr/>
              <w:t xml:space="preserve">Trust Fund</w:t>
            </w:r>
          </w:p>
        </w:tc>
        <w:tc>
          <w:tcPr>
            <w:tcW w:w="5000" w:type="dxa"/>
            <w:gridSpan w:val="1"/>
            <w:noWrap/>
          </w:tcPr>
          <w:p>
            <w:pPr/>
            <w:r>
              <w:rPr/>
              <w:t xml:space="preserve">Least Developed Countries Fund</w:t>
            </w:r>
          </w:p>
        </w:tc>
      </w:tr>
    </w:tbl>
    <w:p/>
    <w:tbl>
      <w:tblGrid>
        <w:gridCol w:w="10000" w:type="dxa"/>
      </w:tblGrid>
      <w:tblPr>
        <w:tblW w:w="0" w:type="auto"/>
        <w:tblLayout w:type="autofit"/>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gridSpan w:val="1"/>
            <w:noWrap/>
          </w:tcPr>
          <w:p>
            <w:pPr/>
            <w:r>
              <w:rPr>
                <w:b w:val="1"/>
                <w:bCs w:val="1"/>
              </w:rPr>
              <w:t xml:space="preserve">Project Description</w:t>
            </w:r>
          </w:p>
        </w:tc>
      </w:tr>
      <w:tr>
        <w:trPr/>
        <w:tc>
          <w:tcPr>
            <w:tcW w:w="10000" w:type="dxa"/>
            <w:gridSpan w:val="1"/>
            <w:noWrap/>
          </w:tcPr>
          <w:p>
            <w:pPr/>
            <w:r>
              <w:rPr/>
              <w:t xml:space="preserve">The Republic of Kiribati is a Small Island State with 33 low-lying and narrow atolls dispersed over 3.5 million km² in the Central Pacific Ocean and a population of approximately 110,000 people.  Climate change and climate-induced disasters are projected to exacerbate the vulnerability of the i-Kiribati people by causing more frequent inundations leading to damage of coastal infrastructure and exacerbating the already problematic access to clean water and food.</w:t>
            </w:r>
          </w:p>
          <w:p>
            <w:pPr/>
            <w:r>
              <w:rPr/>
              <w:t xml:space="preserve"/>
            </w:r>
          </w:p>
          <w:p>
            <w:pPr/>
            <w:r>
              <w:rPr/>
              <w:t xml:space="preserve">Despite an existing strong policy framework and previous efforts, several barriers exist that prevent Kiribati from achieving its adaptation objectives. The Project will therefore address a number of underlying institutional and technical constraints to increase community resilience to the impacts of climate change, climate variability and disasters through four inter-related components:</w:t>
            </w:r>
          </w:p>
          <w:p>
            <w:pPr/>
            <w:r>
              <w:rPr/>
              <w:t xml:space="preserve">•	Component 1: National and sectoral policies strengthened through enhanced institutions and knowledge</w:t>
            </w:r>
          </w:p>
          <w:p>
            <w:pPr/>
            <w:r>
              <w:rPr/>
              <w:t xml:space="preserve">•	Component 2: Island level climate change resilient planning and institutional capacity development in 5 pilot islands</w:t>
            </w:r>
          </w:p>
          <w:p>
            <w:pPr/>
            <w:r>
              <w:rPr/>
              <w:t xml:space="preserve">•	Component 3: WoI-implementation of water, food security and infrastructure adaptation measures</w:t>
            </w:r>
          </w:p>
          <w:p>
            <w:pPr/>
            <w:r>
              <w:rPr/>
              <w:t xml:space="preserve">•	Component 4: Enhanced knowledge management and communication strategies</w:t>
            </w:r>
          </w:p>
          <w:p>
            <w:pPr/>
            <w:r>
              <w:rPr/>
              <w:t xml:space="preserve"/>
            </w:r>
          </w:p>
          <w:p>
            <w:pPr/>
            <w:r>
              <w:rPr/>
              <w:t xml:space="preserve">The project targets to deliver adaptation benefits to 17,500 people, of which 49% women, at the five pilot Project Islands through implementation of practices and technologies for improved food security, water security and coastal management.</w:t>
            </w:r>
          </w:p>
        </w:tc>
      </w:tr>
    </w:tbl>
    <w:p/>
    <w:tbl>
      <w:tblGrid>
        <w:gridCol w:w="5000" w:type="dxa"/>
        <w:gridCol w:w="5000" w:type="dxa"/>
      </w:tblGrid>
      <w:tblPr>
        <w:tblW w:w="0" w:type="auto"/>
        <w:tblLayout w:type="autofit"/>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gridSpan w:val="2"/>
            <w:noWrap/>
          </w:tcPr>
          <w:p>
            <w:pPr/>
            <w:r>
              <w:rPr>
                <w:b w:val="1"/>
                <w:bCs w:val="1"/>
              </w:rPr>
              <w:t xml:space="preserve">Project Contacts</w:t>
            </w:r>
          </w:p>
        </w:tc>
      </w:tr>
      <w:tr>
        <w:trPr/>
        <w:tc>
          <w:tcPr>
            <w:tcW w:w="5000" w:type="dxa"/>
            <w:gridSpan w:val="1"/>
            <w:noWrap/>
          </w:tcPr>
          <w:p>
            <w:pPr/>
            <w:r>
              <w:rPr/>
              <w:t xml:space="preserve">UNDP BPPS Technical Advisor</w:t>
            </w:r>
          </w:p>
        </w:tc>
        <w:tc>
          <w:tcPr>
            <w:tcW w:w="5000" w:type="dxa"/>
            <w:gridSpan w:val="1"/>
            <w:noWrap/>
          </w:tcPr>
          <w:p>
            <w:pPr/>
            <w:r>
              <w:rPr/>
              <w:t xml:space="preserve">Mr. Karma Rapten (karma.rapten@undp.org)</w:t>
            </w:r>
          </w:p>
        </w:tc>
      </w:tr>
      <w:tr>
        <w:trPr/>
        <w:tc>
          <w:tcPr>
            <w:tcW w:w="5000" w:type="dxa"/>
            <w:gridSpan w:val="1"/>
            <w:noWrap/>
          </w:tcPr>
          <w:p>
            <w:pPr/>
            <w:r>
              <w:rPr/>
              <w:t xml:space="preserve">UNDP BPPS Programme Associate</w:t>
            </w:r>
          </w:p>
        </w:tc>
        <w:tc>
          <w:tcPr>
            <w:tcW w:w="5000" w:type="dxa"/>
            <w:gridSpan w:val="1"/>
            <w:noWrap/>
          </w:tcPr>
          <w:p>
            <w:pPr/>
            <w:r>
              <w:rPr/>
              <w:t xml:space="preserve">Ms. Siriboon (Aom) Ketphichai (siriboon.ketphichai@undp.org)</w:t>
            </w:r>
          </w:p>
        </w:tc>
      </w:tr>
      <w:tr>
        <w:trPr/>
        <w:tc>
          <w:tcPr>
            <w:tcW w:w="5000" w:type="dxa"/>
            <w:gridSpan w:val="1"/>
            <w:noWrap/>
          </w:tcPr>
          <w:p>
            <w:pPr/>
            <w:r>
              <w:rPr/>
              <w:t xml:space="preserve">UNDP BPPS SES Technical Advisor</w:t>
            </w:r>
          </w:p>
        </w:tc>
        <w:tc>
          <w:tcPr>
            <w:tcW w:w="5000" w:type="dxa"/>
            <w:gridSpan w:val="1"/>
            <w:noWrap/>
          </w:tcPr>
          <w:p>
            <w:pPr/>
            <w:r>
              <w:rPr/>
              <w:t xml:space="preserve">Ms. Kate Walker (kate.walker@undp.org)</w:t>
            </w:r>
          </w:p>
        </w:tc>
      </w:tr>
      <w:tr>
        <w:trPr/>
        <w:tc>
          <w:tcPr>
            <w:tcW w:w="5000" w:type="dxa"/>
            <w:gridSpan w:val="1"/>
            <w:noWrap/>
          </w:tcPr>
          <w:p>
            <w:pPr/>
            <w:r>
              <w:rPr/>
              <w:t xml:space="preserve">Project Manager/Coordinator</w:t>
            </w:r>
          </w:p>
        </w:tc>
        <w:tc>
          <w:tcPr>
            <w:tcW w:w="5000" w:type="dxa"/>
            <w:gridSpan w:val="1"/>
            <w:noWrap/>
          </w:tcPr>
          <w:p>
            <w:pPr/>
            <w:r>
              <w:rPr/>
              <w:t xml:space="preserve">Mr. Tokintekai Bakineti (tokintekai@ob.gov.ki)</w:t>
            </w:r>
          </w:p>
          <w:p>
            <w:pPr/>
            <w:r>
              <w:rPr/>
              <w:t xml:space="preserve">Anne Larsen (larsen.anneerica@gmail.com)</w:t>
            </w:r>
          </w:p>
        </w:tc>
      </w:tr>
      <w:tr>
        <w:trPr/>
        <w:tc>
          <w:tcPr>
            <w:tcW w:w="5000" w:type="dxa"/>
            <w:gridSpan w:val="1"/>
            <w:noWrap/>
          </w:tcPr>
          <w:p>
            <w:pPr/>
            <w:r>
              <w:rPr/>
              <w:t xml:space="preserve">UNDP Country Office Programme Officer</w:t>
            </w:r>
          </w:p>
        </w:tc>
        <w:tc>
          <w:tcPr>
            <w:tcW w:w="5000" w:type="dxa"/>
            <w:gridSpan w:val="1"/>
            <w:noWrap/>
          </w:tcPr>
          <w:p>
            <w:pPr/>
            <w:r>
              <w:rPr/>
              <w:t xml:space="preserve">Ms. Wanyi Wang (wanyi.wang@undp.org)</w:t>
            </w:r>
          </w:p>
          <w:p>
            <w:pPr/>
            <w:r>
              <w:rPr/>
              <w:t xml:space="preserve">Legriv Vilee Marquez (legriv.vilee.marquez@undp.org)</w:t>
            </w:r>
          </w:p>
        </w:tc>
      </w:tr>
      <w:tr>
        <w:trPr/>
        <w:tc>
          <w:tcPr>
            <w:tcW w:w="5000" w:type="dxa"/>
            <w:gridSpan w:val="1"/>
            <w:noWrap/>
          </w:tcPr>
          <w:p>
            <w:pPr/>
            <w:r>
              <w:rPr/>
              <w:t xml:space="preserve">UNDP Country Office Deputy Resident Representative</w:t>
            </w:r>
          </w:p>
        </w:tc>
        <w:tc>
          <w:tcPr>
            <w:tcW w:w="5000" w:type="dxa"/>
            <w:gridSpan w:val="1"/>
            <w:noWrap/>
          </w:tcPr>
          <w:p>
            <w:pPr/>
            <w:r>
              <w:rPr/>
              <w:t xml:space="preserve">Mr. Abduvakkos Abdurahmanov (abduvakkos.abdurahmanov@undp.org)</w:t>
            </w:r>
          </w:p>
          <w:p>
            <w:pPr/>
            <w:r>
              <w:rPr/>
              <w:t xml:space="preserve">Gulbahor Nematova (gulbahor.nematova@undp.org)</w:t>
            </w:r>
          </w:p>
        </w:tc>
      </w:tr>
      <w:tr>
        <w:trPr/>
        <w:tc>
          <w:tcPr>
            <w:tcW w:w="5000" w:type="dxa"/>
            <w:gridSpan w:val="1"/>
            <w:noWrap/>
          </w:tcPr>
          <w:p>
            <w:pPr/>
            <w:r>
              <w:rPr/>
              <w:t xml:space="preserve">UNDP Regional Bureau Desk Officer</w:t>
            </w:r>
          </w:p>
        </w:tc>
        <w:tc>
          <w:tcPr>
            <w:tcW w:w="5000" w:type="dxa"/>
            <w:gridSpan w:val="1"/>
            <w:noWrap/>
          </w:tcPr>
          <w:p>
            <w:pPr/>
            <w:r>
              <w:rPr/>
              <w:t xml:space="preserve">Ms. Rany Pen (rany.pen@undp.org)</w:t>
            </w:r>
          </w:p>
        </w:tc>
      </w:tr>
      <w:tr>
        <w:trPr/>
        <w:tc>
          <w:tcPr>
            <w:tcW w:w="5000" w:type="dxa"/>
            <w:gridSpan w:val="1"/>
            <w:noWrap/>
          </w:tcPr>
          <w:p>
            <w:pPr/>
            <w:r>
              <w:rPr/>
              <w:t xml:space="preserve">GEF Operational Focal Point</w:t>
            </w:r>
          </w:p>
        </w:tc>
        <w:tc>
          <w:tcPr>
            <w:tcW w:w="5000" w:type="dxa"/>
            <w:gridSpan w:val="1"/>
            <w:noWrap/>
          </w:tcPr>
          <w:p>
            <w:pPr/>
            <w:r>
              <w:rPr/>
              <w:t xml:space="preserve">Ms. Nenenteiti Teariki-Ruatu (decd@melad.gov.ki)</w:t>
            </w:r>
          </w:p>
        </w:tc>
      </w:tr>
      <w:tr>
        <w:trPr/>
        <w:tc>
          <w:tcPr>
            <w:tcW w:w="5000" w:type="dxa"/>
            <w:gridSpan w:val="1"/>
            <w:noWrap/>
          </w:tcPr>
          <w:p>
            <w:pPr/>
            <w:r>
              <w:rPr/>
              <w:t xml:space="preserve">Project Implementing Partner</w:t>
            </w:r>
          </w:p>
        </w:tc>
        <w:tc>
          <w:tcPr>
            <w:tcW w:w="5000" w:type="dxa"/>
            <w:gridSpan w:val="1"/>
            <w:noWrap/>
          </w:tcPr>
          <w:p>
            <w:pPr/>
            <w:r>
              <w:rPr/>
              <w:t xml:space="preserve">Ms. Takena Redfern (takena@ob.gov.ki)</w:t>
            </w:r>
          </w:p>
        </w:tc>
      </w:tr>
      <w:tr>
        <w:trPr/>
        <w:tc>
          <w:tcPr>
            <w:tcW w:w="5000" w:type="dxa"/>
            <w:gridSpan w:val="1"/>
            <w:noWrap/>
          </w:tcPr>
          <w:p>
            <w:pPr/>
            <w:r>
              <w:rPr/>
              <w:t xml:space="preserve">Other Partners</w:t>
            </w:r>
          </w:p>
        </w:tc>
        <w:tc>
          <w:tcPr>
            <w:tcW w:w="5000" w:type="dxa"/>
            <w:gridSpan w:val="1"/>
            <w:noWrap/>
          </w:tcPr>
          <w:p>
            <w:pPr/>
            <w:r>
              <w:rPr>
                <w:i w:val="1"/>
                <w:iCs w:val="1"/>
              </w:rPr>
              <w:t xml:space="preserve">(not set or not applicable)</w:t>
            </w:r>
          </w:p>
        </w:tc>
      </w:tr>
    </w:tbl>
    <w:p>
      <w:pPr>
        <w:sectPr>
          <w:pgSz w:orient="portrait" w:w="11905.511811023622" w:h="16837.79527559055"/>
          <w:pgMar w:top="1440" w:right="1440" w:bottom="1440" w:left="1440" w:header="720" w:footer="720" w:gutter="0"/>
          <w:cols w:num="1" w:space="720"/>
        </w:sectPr>
      </w:pPr>
    </w:p>
    <w:p>
      <w:pPr>
        <w:pStyle w:val="Heading1"/>
      </w:pPr>
      <w:bookmarkStart w:id="1" w:name="_Toc1"/>
      <w:r>
        <w:t>Key project dates</w:t>
      </w:r>
      <w:bookmarkEnd w:id="1"/>
    </w:p>
    <w:tbl>
      <w:tblGrid>
        <w:gridCol w:w="5000" w:type="dxa"/>
        <w:gridCol w:w="5000" w:type="dxa"/>
      </w:tblGrid>
      <w:tblPr>
        <w:tblW w:w="0" w:type="auto"/>
        <w:tblLayout w:type="autofit"/>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5000" w:type="dxa"/>
            <w:gridSpan w:val="1"/>
            <w:noWrap/>
          </w:tcPr>
          <w:p>
            <w:pPr/>
            <w:r>
              <w:rPr/>
              <w:t xml:space="preserve">Project duration</w:t>
            </w:r>
          </w:p>
        </w:tc>
        <w:tc>
          <w:tcPr>
            <w:tcW w:w="5000" w:type="dxa"/>
            <w:vAlign w:val="center"/>
            <w:gridSpan w:val="1"/>
            <w:noWrap/>
          </w:tcPr>
          <w:p>
            <w:pPr>
              <w:jc w:val="right"/>
            </w:pPr>
            <w:r>
              <w:rPr/>
              <w:t xml:space="preserve">60 months</w:t>
            </w:r>
          </w:p>
        </w:tc>
      </w:tr>
      <w:tr>
        <w:trPr/>
        <w:tc>
          <w:tcPr>
            <w:tcW w:w="5000" w:type="dxa"/>
            <w:gridSpan w:val="1"/>
            <w:noWrap/>
          </w:tcPr>
          <w:p>
            <w:pPr/>
            <w:r>
              <w:rPr/>
              <w:t xml:space="preserve">PIF Approval Date</w:t>
            </w:r>
          </w:p>
        </w:tc>
        <w:tc>
          <w:tcPr>
            <w:tcW w:w="5000" w:type="dxa"/>
            <w:vAlign w:val="center"/>
            <w:gridSpan w:val="1"/>
            <w:noWrap/>
          </w:tcPr>
          <w:p>
            <w:pPr>
              <w:jc w:val="right"/>
            </w:pPr>
            <w:r>
              <w:rPr/>
              <w:t xml:space="preserve">Mar 2, 2017</w:t>
            </w:r>
          </w:p>
        </w:tc>
      </w:tr>
      <w:tr>
        <w:trPr/>
        <w:tc>
          <w:tcPr>
            <w:tcW w:w="5000" w:type="dxa"/>
            <w:gridSpan w:val="1"/>
            <w:noWrap/>
          </w:tcPr>
          <w:p>
            <w:pPr/>
            <w:r>
              <w:rPr/>
              <w:t xml:space="preserve">CEO Endorsement Date</w:t>
            </w:r>
          </w:p>
        </w:tc>
        <w:tc>
          <w:tcPr>
            <w:tcW w:w="5000" w:type="dxa"/>
            <w:vAlign w:val="center"/>
            <w:gridSpan w:val="1"/>
            <w:noWrap/>
          </w:tcPr>
          <w:p>
            <w:pPr>
              <w:jc w:val="right"/>
            </w:pPr>
            <w:r>
              <w:rPr/>
              <w:t xml:space="preserve">Nov 18, 2020</w:t>
            </w:r>
          </w:p>
        </w:tc>
      </w:tr>
      <w:tr>
        <w:trPr/>
        <w:tc>
          <w:tcPr>
            <w:tcW w:w="5000" w:type="dxa"/>
            <w:gridSpan w:val="1"/>
            <w:noWrap/>
          </w:tcPr>
          <w:p>
            <w:pPr/>
            <w:r>
              <w:rPr/>
              <w:t xml:space="preserve">Project Document Signature Date (project start date):</w:t>
            </w:r>
          </w:p>
        </w:tc>
        <w:tc>
          <w:tcPr>
            <w:tcW w:w="5000" w:type="dxa"/>
            <w:vAlign w:val="center"/>
            <w:gridSpan w:val="1"/>
            <w:noWrap/>
          </w:tcPr>
          <w:p>
            <w:pPr>
              <w:jc w:val="right"/>
            </w:pPr>
            <w:r>
              <w:rPr/>
              <w:t xml:space="preserve">Jan 21, 2021</w:t>
            </w:r>
          </w:p>
        </w:tc>
      </w:tr>
      <w:tr>
        <w:trPr/>
        <w:tc>
          <w:tcPr>
            <w:tcW w:w="5000" w:type="dxa"/>
            <w:gridSpan w:val="1"/>
            <w:noWrap/>
          </w:tcPr>
          <w:p>
            <w:pPr/>
            <w:r>
              <w:rPr/>
              <w:t xml:space="preserve">Date of Inception Workshop</w:t>
            </w:r>
          </w:p>
        </w:tc>
        <w:tc>
          <w:tcPr>
            <w:tcW w:w="5000" w:type="dxa"/>
            <w:vAlign w:val="center"/>
            <w:gridSpan w:val="1"/>
            <w:noWrap/>
          </w:tcPr>
          <w:p>
            <w:pPr>
              <w:jc w:val="right"/>
            </w:pPr>
            <w:r>
              <w:rPr/>
              <w:t xml:space="preserve">Mar 12, 2025</w:t>
            </w:r>
          </w:p>
        </w:tc>
      </w:tr>
      <w:tr>
        <w:trPr/>
        <w:tc>
          <w:tcPr>
            <w:tcW w:w="5000" w:type="dxa"/>
            <w:gridSpan w:val="1"/>
            <w:noWrap/>
          </w:tcPr>
          <w:p>
            <w:pPr/>
            <w:r>
              <w:rPr/>
              <w:t xml:space="preserve">First Disbursement Date</w:t>
            </w:r>
          </w:p>
        </w:tc>
        <w:tc>
          <w:tcPr>
            <w:tcW w:w="5000" w:type="dxa"/>
            <w:vAlign w:val="center"/>
            <w:gridSpan w:val="1"/>
            <w:noWrap/>
          </w:tcPr>
          <w:p>
            <w:pPr>
              <w:jc w:val="right"/>
            </w:pPr>
            <w:r>
              <w:rPr/>
              <w:t xml:space="preserve">May 31, 2021</w:t>
            </w:r>
          </w:p>
        </w:tc>
      </w:tr>
      <w:tr>
        <w:trPr/>
        <w:tc>
          <w:tcPr>
            <w:tcW w:w="5000" w:type="dxa"/>
            <w:gridSpan w:val="1"/>
            <w:noWrap/>
          </w:tcPr>
          <w:p>
            <w:pPr/>
            <w:r>
              <w:rPr/>
              <w:t xml:space="preserve">Expected Date of Mid-term Review</w:t>
            </w:r>
          </w:p>
        </w:tc>
        <w:tc>
          <w:tcPr>
            <w:tcW w:w="5000" w:type="dxa"/>
            <w:vAlign w:val="center"/>
            <w:gridSpan w:val="1"/>
            <w:noWrap/>
          </w:tcPr>
          <w:p>
            <w:pPr>
              <w:jc w:val="right"/>
            </w:pPr>
            <w:r>
              <w:rPr/>
              <w:t xml:space="preserve">May 18, 2024</w:t>
            </w:r>
          </w:p>
        </w:tc>
      </w:tr>
      <w:tr>
        <w:trPr/>
        <w:tc>
          <w:tcPr>
            <w:tcW w:w="5000" w:type="dxa"/>
            <w:gridSpan w:val="1"/>
            <w:noWrap/>
          </w:tcPr>
          <w:p>
            <w:pPr/>
            <w:r>
              <w:rPr/>
              <w:t xml:space="preserve">Actual Date of Mid-term Review</w:t>
            </w:r>
          </w:p>
        </w:tc>
        <w:tc>
          <w:tcPr>
            <w:tcW w:w="5000" w:type="dxa"/>
            <w:vAlign w:val="center"/>
            <w:gridSpan w:val="1"/>
            <w:noWrap/>
          </w:tcPr>
          <w:p>
            <w:pPr>
              <w:jc w:val="right"/>
            </w:pPr>
            <w:r>
              <w:rPr>
                <w:i w:val="1"/>
                <w:iCs w:val="1"/>
              </w:rPr>
              <w:t xml:space="preserve">(not set or not applicable)</w:t>
            </w:r>
          </w:p>
        </w:tc>
      </w:tr>
      <w:tr>
        <w:trPr/>
        <w:tc>
          <w:tcPr>
            <w:tcW w:w="5000" w:type="dxa"/>
            <w:gridSpan w:val="1"/>
            <w:noWrap/>
          </w:tcPr>
          <w:p>
            <w:pPr/>
            <w:r>
              <w:rPr/>
              <w:t xml:space="preserve">Expected Date of Terminal Evaluation</w:t>
            </w:r>
          </w:p>
        </w:tc>
        <w:tc>
          <w:tcPr>
            <w:tcW w:w="5000" w:type="dxa"/>
            <w:vAlign w:val="center"/>
            <w:gridSpan w:val="1"/>
            <w:noWrap/>
          </w:tcPr>
          <w:p>
            <w:pPr>
              <w:jc w:val="right"/>
            </w:pPr>
            <w:r>
              <w:rPr/>
              <w:t xml:space="preserve">Oct 21, 2025</w:t>
            </w:r>
          </w:p>
        </w:tc>
      </w:tr>
      <w:tr>
        <w:trPr/>
        <w:tc>
          <w:tcPr>
            <w:tcW w:w="5000" w:type="dxa"/>
            <w:gridSpan w:val="1"/>
            <w:noWrap/>
          </w:tcPr>
          <w:p>
            <w:pPr/>
            <w:r>
              <w:rPr/>
              <w:t xml:space="preserve">Original Planned Closing Date</w:t>
            </w:r>
          </w:p>
        </w:tc>
        <w:tc>
          <w:tcPr>
            <w:tcW w:w="5000" w:type="dxa"/>
            <w:vAlign w:val="center"/>
            <w:gridSpan w:val="1"/>
            <w:noWrap/>
          </w:tcPr>
          <w:p>
            <w:pPr>
              <w:jc w:val="right"/>
            </w:pPr>
            <w:r>
              <w:rPr/>
              <w:t xml:space="preserve">Jan 21, 2026</w:t>
            </w:r>
          </w:p>
        </w:tc>
      </w:tr>
      <w:tr>
        <w:trPr/>
        <w:tc>
          <w:tcPr>
            <w:tcW w:w="5000" w:type="dxa"/>
            <w:gridSpan w:val="1"/>
            <w:noWrap/>
          </w:tcPr>
          <w:p>
            <w:pPr/>
            <w:r>
              <w:rPr/>
              <w:t xml:space="preserve">Revised Planned Closing Date</w:t>
            </w:r>
          </w:p>
        </w:tc>
        <w:tc>
          <w:tcPr>
            <w:tcW w:w="5000" w:type="dxa"/>
            <w:vAlign w:val="center"/>
            <w:gridSpan w:val="1"/>
            <w:noWrap/>
          </w:tcPr>
          <w:p>
            <w:pPr>
              <w:jc w:val="right"/>
            </w:pPr>
            <w:r>
              <w:rPr>
                <w:i w:val="1"/>
                <w:iCs w:val="1"/>
              </w:rPr>
              <w:t xml:space="preserve">(not set or not applicable)</w:t>
            </w:r>
          </w:p>
        </w:tc>
      </w:tr>
    </w:tbl>
    <w:p>
      <w:pPr>
        <w:sectPr>
          <w:pgSz w:orient="portrait" w:w="11905.511811023622" w:h="16837.79527559055"/>
          <w:pgMar w:top="1440" w:right="1440" w:bottom="1440" w:left="1440" w:header="720" w:footer="720" w:gutter="0"/>
          <w:cols w:num="1" w:space="720"/>
        </w:sectPr>
      </w:pPr>
    </w:p>
    <w:p>
      <w:pPr>
        <w:pStyle w:val="Heading1"/>
      </w:pPr>
      <w:bookmarkStart w:id="2" w:name="_Toc2"/>
      <w:r>
        <w:t>Overall ratings</w:t>
      </w:r>
      <w:bookmarkEnd w:id="2"/>
    </w:p>
    <w:tbl>
      <w:tblGrid>
        <w:gridCol w:w="8000" w:type="dxa"/>
        <w:gridCol w:w="8000" w:type="dxa"/>
      </w:tblGrid>
      <w:tblPr>
        <w:tblW w:w="0" w:type="auto"/>
        <w:tblLayout w:type="autofit"/>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8000" w:type="dxa"/>
            <w:gridSpan w:val="1"/>
            <w:noWrap/>
          </w:tcPr>
          <w:p>
            <w:pPr/>
            <w:r>
              <w:rPr/>
              <w:t xml:space="preserve">Overall DO Rating</w:t>
            </w:r>
          </w:p>
        </w:tc>
        <w:tc>
          <w:tcPr>
            <w:tcW w:w="8000" w:type="dxa"/>
            <w:gridSpan w:val="1"/>
            <w:noWrap/>
          </w:tcPr>
          <w:p>
            <w:pPr/>
            <w:r>
              <w:rPr/>
              <w:t xml:space="preserve">Moderately Unsatisfactory</w:t>
            </w:r>
          </w:p>
        </w:tc>
      </w:tr>
      <w:tr>
        <w:trPr/>
        <w:tc>
          <w:tcPr>
            <w:tcW w:w="8000" w:type="dxa"/>
            <w:gridSpan w:val="1"/>
            <w:noWrap/>
          </w:tcPr>
          <w:p>
            <w:pPr/>
            <w:r>
              <w:rPr/>
              <w:t xml:space="preserve">Overall IP Rating</w:t>
            </w:r>
          </w:p>
        </w:tc>
        <w:tc>
          <w:tcPr>
            <w:tcW w:w="8000" w:type="dxa"/>
            <w:gridSpan w:val="1"/>
            <w:noWrap/>
          </w:tcPr>
          <w:p>
            <w:pPr/>
            <w:r>
              <w:rPr/>
              <w:t xml:space="preserve">Unsatisfactory</w:t>
            </w:r>
          </w:p>
        </w:tc>
      </w:tr>
      <w:tr>
        <w:trPr/>
        <w:tc>
          <w:tcPr>
            <w:tcW w:w="8000" w:type="dxa"/>
            <w:gridSpan w:val="1"/>
            <w:noWrap/>
          </w:tcPr>
          <w:p>
            <w:pPr/>
            <w:r>
              <w:rPr/>
              <w:t xml:space="preserve">Overall Risk Rating</w:t>
            </w:r>
          </w:p>
        </w:tc>
        <w:tc>
          <w:tcPr>
            <w:tcW w:w="8000" w:type="dxa"/>
            <w:gridSpan w:val="1"/>
            <w:noWrap/>
          </w:tcPr>
          <w:p>
            <w:pPr/>
            <w:r>
              <w:rPr/>
              <w:t xml:space="preserve">substantial</w:t>
            </w:r>
          </w:p>
        </w:tc>
      </w:tr>
    </w:tbl>
    <w:p>
      <w:pPr>
        <w:sectPr>
          <w:pgSz w:orient="portrait" w:w="11905.511811023622" w:h="16837.79527559055"/>
          <w:pgMar w:top="1440" w:right="1440" w:bottom="1440" w:left="1440" w:header="720" w:footer="720" w:gutter="0"/>
          <w:cols w:num="1" w:space="720"/>
        </w:sectPr>
      </w:pPr>
    </w:p>
    <w:p>
      <w:pPr>
        <w:pStyle w:val="Heading1"/>
      </w:pPr>
      <w:bookmarkStart w:id="3" w:name="_Toc3"/>
      <w:r>
        <w:t>Development Objective Progress</w:t>
      </w:r>
      <w:bookmarkEnd w:id="3"/>
    </w:p>
    <w:p>
      <w:pPr/>
      <w:r>
        <w:rPr/>
        <w:t xml:space="preserve">It is mandatory for all reported progress to be substantiated by evidence. Please upload evidence files for each objective/outcome via the DO PROGRESS section in the online PIR platform.  If there is no evidence to upload, the Project Manager is required to provide an explanation. </w:t>
      </w:r>
    </w:p>
    <w:tbl>
      <w:tblGrid>
        <w:gridCol w:w="4000" w:type="dxa"/>
        <w:gridCol w:w="2000" w:type="dxa"/>
        <w:gridCol w:w="2000" w:type="dxa"/>
        <w:gridCol w:w="2000" w:type="dxa"/>
        <w:gridCol w:w="4000" w:type="dxa"/>
        <w:gridCol w:w="4000" w:type="dxa"/>
      </w:tblGrid>
      <w:tblPr>
        <w:tblW w:w="0" w:type="auto"/>
        <w:tblLayout w:type="autofit"/>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6000" w:type="dxa"/>
            <w:gridSpan w:val="7"/>
            <w:noWrap/>
          </w:tcPr>
          <w:p>
            <w:pPr/>
            <w:r>
              <w:rPr>
                <w:b w:val="1"/>
                <w:bCs w:val="1"/>
              </w:rPr>
              <w:t xml:space="preserve">Description</w:t>
            </w:r>
          </w:p>
        </w:tc>
      </w:tr>
      <w:tr>
        <w:trPr/>
        <w:tc>
          <w:tcPr>
            <w:tcW w:w="16000" w:type="dxa"/>
            <w:shd w:val="clear" w:fill="#D9D9D9"/>
            <w:gridSpan w:val="7"/>
            <w:noWrap/>
          </w:tcPr>
          <w:p>
            <w:pPr/>
            <w:r>
              <w:rPr>
                <w:b w:val="1"/>
                <w:bCs w:val="1"/>
              </w:rPr>
              <w:t xml:space="preserve">Objective</w:t>
            </w:r>
          </w:p>
          <w:p>
            <w:pPr/>
            <w:r>
              <w:rPr>
                <w:b w:val="1"/>
                <w:bCs w:val="1"/>
              </w:rPr>
              <w:t xml:space="preserve">To address urgent and immediate adaptation priorities, and kick-start the medium to long-term adaptation planning process to ensure that the development efforts are durable and sustainable</w:t>
            </w:r>
          </w:p>
        </w:tc>
      </w:tr>
      <w:tr>
        <w:trPr/>
        <w:tc>
          <w:tcPr>
            <w:tcW w:w="4000" w:type="dxa"/>
            <w:gridSpan w:val="1"/>
            <w:noWrap/>
          </w:tcPr>
          <w:p>
            <w:pPr/>
            <w:r>
              <w:rPr>
                <w:b w:val="1"/>
                <w:bCs w:val="1"/>
              </w:rPr>
              <w:t xml:space="preserve">Description of Indicator</w:t>
            </w:r>
          </w:p>
        </w:tc>
        <w:tc>
          <w:tcPr>
            <w:tcW w:w="2000" w:type="dxa"/>
            <w:gridSpan w:val="1"/>
            <w:noWrap/>
          </w:tcPr>
          <w:p>
            <w:pPr/>
            <w:r>
              <w:rPr>
                <w:b w:val="1"/>
                <w:bCs w:val="1"/>
              </w:rPr>
              <w:t xml:space="preserve">Baseline Level</w:t>
            </w:r>
          </w:p>
        </w:tc>
        <w:tc>
          <w:tcPr>
            <w:tcW w:w="2000" w:type="dxa"/>
            <w:gridSpan w:val="1"/>
            <w:noWrap/>
          </w:tcPr>
          <w:p>
            <w:pPr/>
            <w:r>
              <w:rPr>
                <w:b w:val="1"/>
                <w:bCs w:val="1"/>
              </w:rPr>
              <w:t xml:space="preserve">Midterm target level</w:t>
            </w:r>
          </w:p>
        </w:tc>
        <w:tc>
          <w:tcPr>
            <w:tcW w:w="2000" w:type="dxa"/>
            <w:gridSpan w:val="1"/>
            <w:noWrap/>
          </w:tcPr>
          <w:p>
            <w:pPr/>
            <w:r>
              <w:rPr>
                <w:b w:val="1"/>
                <w:bCs w:val="1"/>
              </w:rPr>
              <w:t xml:space="preserve">End of project target level</w:t>
            </w:r>
          </w:p>
        </w:tc>
        <w:tc>
          <w:tcPr>
            <w:tcW w:w="4000" w:type="dxa"/>
            <w:gridSpan w:val="1"/>
            <w:noWrap/>
          </w:tcPr>
          <w:p>
            <w:pPr/>
            <w:r>
              <w:rPr>
                <w:b w:val="1"/>
                <w:bCs w:val="1"/>
              </w:rPr>
              <w:t xml:space="preserve">Level at Jun 30, 2024</w:t>
            </w:r>
          </w:p>
        </w:tc>
        <w:tc>
          <w:tcPr>
            <w:tcW w:w="4000" w:type="dxa"/>
            <w:gridSpan w:val="1"/>
            <w:noWrap/>
          </w:tcPr>
          <w:p>
            <w:pPr/>
            <w:r>
              <w:rPr>
                <w:b w:val="1"/>
                <w:bCs w:val="1"/>
              </w:rPr>
              <w:t xml:space="preserve">Cumulative progress since project start as of Jun 30, 2025</w:t>
            </w:r>
          </w:p>
        </w:tc>
      </w:tr>
      <w:tr>
        <w:trPr/>
        <w:tc>
          <w:tcPr>
            <w:tcW w:w="4000" w:type="dxa"/>
            <w:gridSpan w:val="1"/>
            <w:noWrap/>
          </w:tcPr>
          <w:p>
            <w:pPr/>
            <w:r>
              <w:rPr/>
              <w:t xml:space="preserve">Indicator 1: Extent to which implementation of comprehensive measures - plans, strategies, policies, programmes and budgets – to achieve low-emission and climate-resilient development objectives has improved</w:t>
            </w:r>
          </w:p>
          <w:p>
            <w:pPr/>
            <w:r>
              <w:rPr/>
              <w:t xml:space="preserve">(UNDP Strategic Plan IRRF outcome indicator 1.4.2)</w:t>
            </w:r>
          </w:p>
          <w:p>
            <w:pPr/>
            <w:r>
              <w:rPr/>
              <w:t xml:space="preserve"/>
            </w:r>
          </w:p>
        </w:tc>
        <w:tc>
          <w:tcPr>
            <w:tcW w:w="2000" w:type="dxa"/>
            <w:gridSpan w:val="1"/>
            <w:noWrap/>
          </w:tcPr>
          <w:p>
            <w:pPr/>
            <w:r>
              <w:rPr/>
              <w:t xml:space="preserve">Baseline and impact measurement through scorecard (IRRF indicator 1.4.2) assessment:</w:t>
            </w:r>
          </w:p>
          <w:p>
            <w:pPr/>
            <w:r>
              <w:rPr/>
              <w:t xml:space="preserve">Baseline: 2</w:t>
            </w:r>
          </w:p>
          <w:p>
            <w:pPr/>
            <w:r>
              <w:rPr/>
              <w:t xml:space="preserve"/>
            </w:r>
          </w:p>
        </w:tc>
        <w:tc>
          <w:tcPr>
            <w:tcW w:w="2000" w:type="dxa"/>
            <w:gridSpan w:val="1"/>
            <w:noWrap/>
          </w:tcPr>
          <w:p>
            <w:pPr/>
            <w:r>
              <w:rPr/>
              <w:t xml:space="preserve">3</w:t>
            </w:r>
          </w:p>
        </w:tc>
        <w:tc>
          <w:tcPr>
            <w:tcW w:w="2000" w:type="dxa"/>
            <w:gridSpan w:val="1"/>
            <w:noWrap/>
          </w:tcPr>
          <w:p>
            <w:pPr/>
            <w:r>
              <w:rPr/>
              <w:t xml:space="preserve">4</w:t>
            </w:r>
          </w:p>
        </w:tc>
        <w:tc>
          <w:tcPr>
            <w:tcW w:w="4000" w:type="dxa"/>
            <w:gridSpan w:val="1"/>
            <w:noWrap/>
          </w:tcPr>
          <w:p>
            <w:pPr/>
            <w:r>
              <w:rPr/>
              <w:t xml:space="preserve">No progress made due to the project implementation being put on hold during the reporting period by UNDP’s Regional Bureau for Asia and the Pacific.</w:t>
            </w:r>
          </w:p>
        </w:tc>
        <w:tc>
          <w:tcPr>
            <w:tcW w:w="4000" w:type="dxa"/>
            <w:gridSpan w:val="1"/>
            <w:noWrap/>
          </w:tcPr>
          <w:p>
            <w:pPr/>
            <w:r>
              <w:rPr/>
              <w:t xml:space="preserve">No progress made towards the indicator as the project only started in 2025. The project was unsuspended in 2024 and pre-inception consultations were held from December 2024 to February 2025 where the project document was reviewed and re-validated.</w:t>
            </w:r>
          </w:p>
          <w:p>
            <w:pPr/>
            <w:r>
              <w:rPr/>
              <w:t xml:space="preserve"/>
            </w:r>
          </w:p>
          <w:p>
            <w:pPr/>
            <w:r>
              <w:rPr/>
              <w:t xml:space="preserve">The inception workshop was held on 12-13 March 2025 with renewed commitment towards project implementation of the IP, UNDP, and all stakeholders involved.</w:t>
            </w:r>
          </w:p>
          <w:p>
            <w:pPr/>
            <w:r>
              <w:rPr/>
              <w:t xml:space="preserve"/>
            </w:r>
          </w:p>
          <w:p>
            <w:pPr/>
            <w:r>
              <w:rPr/>
              <w:t xml:space="preserve">An extension request for the full project duration of 5 years has been prepared, and the project and programme teams are currently addressing reviewer comments. Once the extension is approved, the rating will take into consideration the revised project end date.</w:t>
            </w:r>
          </w:p>
          <w:p>
            <w:pPr/>
            <w:r>
              <w:rPr/>
              <w:t xml:space="preserve"/>
            </w:r>
          </w:p>
        </w:tc>
      </w:tr>
      <w:tr>
        <w:trPr/>
        <w:tc>
          <w:tcPr>
            <w:tcW w:w="4000" w:type="dxa"/>
            <w:gridSpan w:val="1"/>
            <w:noWrap/>
          </w:tcPr>
          <w:p>
            <w:pPr/>
            <w:r>
              <w:rPr/>
              <w:t xml:space="preserve">Indicator 2: Number of direct project beneficiaries – disaggregated by gender</w:t>
            </w:r>
          </w:p>
          <w:p>
            <w:pPr/>
            <w:r>
              <w:rPr/>
              <w:t xml:space="preserve"/>
            </w:r>
          </w:p>
          <w:p>
            <w:pPr/>
            <w:r>
              <w:rPr/>
              <w:t xml:space="preserve">GEF CCA tracking tool, core indicator 1 and indicator 1.1.1</w:t>
            </w:r>
          </w:p>
          <w:p>
            <w:pPr/>
            <w:r>
              <w:rPr/>
              <w:t xml:space="preserve"/>
            </w:r>
          </w:p>
        </w:tc>
        <w:tc>
          <w:tcPr>
            <w:tcW w:w="2000" w:type="dxa"/>
            <w:gridSpan w:val="1"/>
            <w:noWrap/>
          </w:tcPr>
          <w:p>
            <w:pPr/>
            <w:r>
              <w:rPr/>
              <w:t xml:space="preserve">0</w:t>
            </w:r>
          </w:p>
        </w:tc>
        <w:tc>
          <w:tcPr>
            <w:tcW w:w="2000" w:type="dxa"/>
            <w:gridSpan w:val="1"/>
            <w:noWrap/>
          </w:tcPr>
          <w:p>
            <w:pPr/>
            <w:r>
              <w:rPr/>
              <w:t xml:space="preserve">2,000 people</w:t>
            </w:r>
          </w:p>
        </w:tc>
        <w:tc>
          <w:tcPr>
            <w:tcW w:w="2000" w:type="dxa"/>
            <w:gridSpan w:val="1"/>
            <w:noWrap/>
          </w:tcPr>
          <w:p>
            <w:pPr/>
            <w:r>
              <w:rPr/>
              <w:t xml:space="preserve">18,900 people (updated at Inception workshop, original target is 17,500 people)</w:t>
            </w:r>
          </w:p>
        </w:tc>
        <w:tc>
          <w:tcPr>
            <w:tcW w:w="4000" w:type="dxa"/>
            <w:gridSpan w:val="1"/>
            <w:noWrap/>
          </w:tcPr>
          <w:p>
            <w:pPr/>
            <w:r>
              <w:rPr/>
              <w:t xml:space="preserve">No progress made</w:t>
            </w:r>
          </w:p>
        </w:tc>
        <w:tc>
          <w:tcPr>
            <w:tcW w:w="4000" w:type="dxa"/>
            <w:gridSpan w:val="1"/>
            <w:noWrap/>
          </w:tcPr>
          <w:p>
            <w:pPr/>
            <w:r>
              <w:rPr/>
              <w:t xml:space="preserve">No progress made, although the project has started to provide support to KJIP through facilitating coordination with KNEG on cross-cutting issues related to CCDRM</w:t>
            </w:r>
          </w:p>
          <w:p>
            <w:pPr/>
            <w:r>
              <w:rPr/>
              <w:t xml:space="preserve">At island level, technical advisory on assessments, mapping, and provision of EWS equipment is being initiated by way of preparing TORs and collecting inputs for equipment procurement specifications.  Direct implementation and work with project beneficiaries will start from 2026.</w:t>
            </w:r>
          </w:p>
          <w:p>
            <w:pPr/>
            <w:r>
              <w:rPr/>
              <w:t xml:space="preserve"/>
            </w:r>
          </w:p>
          <w:p>
            <w:pPr/>
            <w:r>
              <w:rPr/>
              <w:t xml:space="preserve">A 5-year project extension is in progress, following which the project timeline will be updated.</w:t>
            </w:r>
          </w:p>
          <w:p>
            <w:pPr/>
            <w:r>
              <w:rPr/>
              <w:t xml:space="preserve"/>
            </w:r>
          </w:p>
        </w:tc>
      </w:tr>
      <w:tr>
        <w:trPr/>
        <w:tc>
          <w:tcPr>
            <w:tcW w:w="4000" w:type="dxa"/>
            <w:gridSpan w:val="1"/>
            <w:noWrap/>
          </w:tcPr>
          <w:p>
            <w:pPr/>
            <w:r>
              <w:rPr>
                <w:b w:val="1"/>
                <w:bCs w:val="1"/>
              </w:rPr>
              <w:t xml:space="preserve">The progress of the objective/outcome can be described as:</w:t>
            </w:r>
          </w:p>
        </w:tc>
        <w:tc>
          <w:tcPr>
            <w:tcW w:w="12000" w:type="dxa"/>
            <w:gridSpan w:val="5"/>
            <w:noWrap/>
          </w:tcPr>
          <w:p>
            <w:pPr/>
            <w:r>
              <w:rPr>
                <w:b w:val="1"/>
                <w:bCs w:val="1"/>
              </w:rPr>
              <w:t xml:space="preserve">Off track</w:t>
            </w:r>
          </w:p>
        </w:tc>
      </w:tr>
      <w:tr>
        <w:trPr/>
        <w:tc>
          <w:tcPr>
            <w:tcW w:w="4000" w:type="dxa"/>
            <w:gridSpan w:val="1"/>
            <w:noWrap/>
          </w:tcPr>
          <w:p>
            <w:pPr/>
            <w:r>
              <w:rPr>
                <w:b w:val="1"/>
                <w:bCs w:val="1"/>
              </w:rPr>
              <w:t xml:space="preserve">Evidence uploaded:</w:t>
            </w:r>
          </w:p>
        </w:tc>
        <w:tc>
          <w:tcPr>
            <w:tcW w:w="12000" w:type="dxa"/>
            <w:gridSpan w:val="5"/>
            <w:noWrap/>
          </w:tcPr>
          <w:p>
            <w:pPr/>
            <w:r>
              <w:rPr/>
              <w:t xml:space="preserve">YES</w:t>
            </w:r>
          </w:p>
        </w:tc>
      </w:tr>
      <w:tr>
        <w:trPr/>
        <w:tc>
          <w:tcPr>
            <w:tcW w:w="16000" w:type="dxa"/>
            <w:shd w:val="clear" w:fill="#D9D9D9"/>
            <w:gridSpan w:val="7"/>
            <w:noWrap/>
          </w:tcPr>
          <w:p>
            <w:pPr/>
            <w:r>
              <w:rPr>
                <w:b w:val="1"/>
                <w:bCs w:val="1"/>
              </w:rPr>
              <w:t xml:space="preserve">Outcome 1</w:t>
            </w:r>
          </w:p>
          <w:p>
            <w:pPr/>
            <w:r>
              <w:rPr>
                <w:b w:val="1"/>
                <w:bCs w:val="1"/>
              </w:rPr>
              <w:t xml:space="preserve">Component 1: National and sectoral policies strengthened through enhanced institutions and knowledge</w:t>
            </w:r>
          </w:p>
          <w:p>
            <w:pPr/>
            <w:r>
              <w:rPr>
                <w:b w:val="1"/>
                <w:bCs w:val="1"/>
              </w:rPr>
              <w:t xml:space="preserve">Outcome 1.1 Capacities of national government institutions and personnel strengthened on mainstreaming climate and disaster risks, supporting the operationalization of the Kiribati Joint Implementation Plan for Climate Change and Disaster Risk Management 2014-2023 (KJIP)</w:t>
            </w:r>
          </w:p>
          <w:p>
            <w:pPr/>
            <w:r>
              <w:rPr>
                <w:b w:val="1"/>
                <w:bCs w:val="1"/>
              </w:rPr>
              <w:t xml:space="preserve">1.1.1 National and sectoral level policy, planning and legal frameworks revised or developed, integrating climate change and disaster risks</w:t>
            </w:r>
          </w:p>
          <w:p>
            <w:pPr/>
            <w:r>
              <w:rPr>
                <w:b w:val="1"/>
                <w:bCs w:val="1"/>
              </w:rPr>
              <w:t xml:space="preserve">1.1.2 National, sectoral and island-level monitoring and evaluation (M&amp;E) processes, related data gathering, and communication systems enhanced and adjusted to support KJIP implementation</w:t>
            </w:r>
          </w:p>
          <w:p>
            <w:pPr/>
            <w:r>
              <w:rPr>
                <w:b w:val="1"/>
                <w:bCs w:val="1"/>
              </w:rPr>
              <w:t xml:space="preserve">1.1.3 KJIP Coordination mechanism enhanced</w:t>
            </w:r>
          </w:p>
          <w:p>
            <w:pPr/>
            <w:r>
              <w:rPr>
                <w:b w:val="1"/>
                <w:bCs w:val="1"/>
              </w:rPr>
              <w:t xml:space="preserve">1.1.4 Tools and mechanisms to develop, stock, and share data, knowledge, and information on climate change and disaster risks enhanced at the national level</w:t>
            </w:r>
          </w:p>
          <w:p>
            <w:pPr/>
            <w:r>
              <w:rPr>
                <w:b w:val="1"/>
                <w:bCs w:val="1"/>
              </w:rPr>
              <w:t xml:space="preserve"/>
            </w:r>
          </w:p>
        </w:tc>
      </w:tr>
      <w:tr>
        <w:trPr/>
        <w:tc>
          <w:tcPr>
            <w:tcW w:w="4000" w:type="dxa"/>
            <w:gridSpan w:val="1"/>
            <w:noWrap/>
          </w:tcPr>
          <w:p>
            <w:pPr/>
            <w:r>
              <w:rPr>
                <w:b w:val="1"/>
                <w:bCs w:val="1"/>
              </w:rPr>
              <w:t xml:space="preserve">Description of Indicator</w:t>
            </w:r>
          </w:p>
        </w:tc>
        <w:tc>
          <w:tcPr>
            <w:tcW w:w="2000" w:type="dxa"/>
            <w:gridSpan w:val="1"/>
            <w:noWrap/>
          </w:tcPr>
          <w:p>
            <w:pPr/>
            <w:r>
              <w:rPr>
                <w:b w:val="1"/>
                <w:bCs w:val="1"/>
              </w:rPr>
              <w:t xml:space="preserve">Baseline Level</w:t>
            </w:r>
          </w:p>
        </w:tc>
        <w:tc>
          <w:tcPr>
            <w:tcW w:w="2000" w:type="dxa"/>
            <w:gridSpan w:val="1"/>
            <w:noWrap/>
          </w:tcPr>
          <w:p>
            <w:pPr/>
            <w:r>
              <w:rPr>
                <w:b w:val="1"/>
                <w:bCs w:val="1"/>
              </w:rPr>
              <w:t xml:space="preserve">Midterm target level</w:t>
            </w:r>
          </w:p>
        </w:tc>
        <w:tc>
          <w:tcPr>
            <w:tcW w:w="2000" w:type="dxa"/>
            <w:gridSpan w:val="1"/>
            <w:noWrap/>
          </w:tcPr>
          <w:p>
            <w:pPr/>
            <w:r>
              <w:rPr>
                <w:b w:val="1"/>
                <w:bCs w:val="1"/>
              </w:rPr>
              <w:t xml:space="preserve">End of project target level</w:t>
            </w:r>
          </w:p>
        </w:tc>
        <w:tc>
          <w:tcPr>
            <w:tcW w:w="4000" w:type="dxa"/>
            <w:gridSpan w:val="1"/>
            <w:noWrap/>
          </w:tcPr>
          <w:p>
            <w:pPr/>
            <w:r>
              <w:rPr>
                <w:b w:val="1"/>
                <w:bCs w:val="1"/>
              </w:rPr>
              <w:t xml:space="preserve">Level at Jun 30, 2024</w:t>
            </w:r>
          </w:p>
        </w:tc>
        <w:tc>
          <w:tcPr>
            <w:tcW w:w="4000" w:type="dxa"/>
            <w:gridSpan w:val="1"/>
            <w:noWrap/>
          </w:tcPr>
          <w:p>
            <w:pPr/>
            <w:r>
              <w:rPr>
                <w:b w:val="1"/>
                <w:bCs w:val="1"/>
              </w:rPr>
              <w:t xml:space="preserve">Cumulative progress since project start as of Jun 30, 2025</w:t>
            </w:r>
          </w:p>
        </w:tc>
      </w:tr>
      <w:tr>
        <w:trPr/>
        <w:tc>
          <w:tcPr>
            <w:tcW w:w="4000" w:type="dxa"/>
            <w:gridSpan w:val="1"/>
            <w:noWrap/>
          </w:tcPr>
          <w:p>
            <w:pPr/>
            <w:r>
              <w:rPr/>
              <w:t xml:space="preserve">Indicator 3: Number of legal frameworks and plans mainstreaming CCA&amp;DRM, including gender from a CCA/DRM-perspective</w:t>
            </w:r>
          </w:p>
          <w:p>
            <w:pPr/>
            <w:r>
              <w:rPr/>
              <w:t xml:space="preserve"/>
            </w:r>
          </w:p>
          <w:p>
            <w:pPr/>
            <w:r>
              <w:rPr/>
              <w:t xml:space="preserve">Link to GEF CCA tracking tool, core indicator 3 and indicator 2.1.1</w:t>
            </w:r>
          </w:p>
          <w:p>
            <w:pPr/>
            <w:r>
              <w:rPr/>
              <w:t xml:space="preserve"/>
            </w:r>
          </w:p>
        </w:tc>
        <w:tc>
          <w:tcPr>
            <w:tcW w:w="2000" w:type="dxa"/>
            <w:gridSpan w:val="1"/>
            <w:noWrap/>
          </w:tcPr>
          <w:p>
            <w:pPr/>
            <w:r>
              <w:rPr/>
              <w:t xml:space="preserve">0</w:t>
            </w:r>
          </w:p>
        </w:tc>
        <w:tc>
          <w:tcPr>
            <w:tcW w:w="2000" w:type="dxa"/>
            <w:gridSpan w:val="1"/>
            <w:noWrap/>
          </w:tcPr>
          <w:p>
            <w:pPr/>
            <w:r>
              <w:rPr/>
              <w:t xml:space="preserve">Total at mid-term: 8</w:t>
            </w:r>
          </w:p>
          <w:p>
            <w:pPr/>
            <w:r>
              <w:rPr/>
              <w:t xml:space="preserve"/>
            </w:r>
          </w:p>
          <w:p>
            <w:pPr/>
            <w:r>
              <w:rPr/>
              <w:t xml:space="preserve">4 Ministerial Strategic Plans (MSPs)</w:t>
            </w:r>
          </w:p>
          <w:p>
            <w:pPr/>
            <w:r>
              <w:rPr/>
              <w:t xml:space="preserve">4 Ministerial Operational Plans (MOPs)</w:t>
            </w:r>
          </w:p>
          <w:p>
            <w:pPr/>
            <w:r>
              <w:rPr/>
              <w:t xml:space="preserve"/>
            </w:r>
          </w:p>
        </w:tc>
        <w:tc>
          <w:tcPr>
            <w:tcW w:w="2000" w:type="dxa"/>
            <w:gridSpan w:val="1"/>
            <w:noWrap/>
          </w:tcPr>
          <w:p>
            <w:pPr/>
            <w:r>
              <w:rPr/>
              <w:t xml:space="preserve">Total at project-end: 9</w:t>
            </w:r>
          </w:p>
          <w:p>
            <w:pPr/>
            <w:r>
              <w:rPr/>
              <w:t xml:space="preserve">At least 4 MSPs</w:t>
            </w:r>
          </w:p>
          <w:p>
            <w:pPr/>
            <w:r>
              <w:rPr/>
              <w:t xml:space="preserve">At least 4 MOPs</w:t>
            </w:r>
          </w:p>
          <w:p>
            <w:pPr/>
            <w:r>
              <w:rPr/>
              <w:t xml:space="preserve">At least 1 legal framework</w:t>
            </w:r>
          </w:p>
          <w:p>
            <w:pPr/>
            <w:r>
              <w:rPr/>
              <w:t xml:space="preserve"/>
            </w:r>
          </w:p>
        </w:tc>
        <w:tc>
          <w:tcPr>
            <w:tcW w:w="4000" w:type="dxa"/>
            <w:gridSpan w:val="1"/>
            <w:noWrap/>
          </w:tcPr>
          <w:p>
            <w:pPr/>
            <w:r>
              <w:rPr/>
              <w:t xml:space="preserve">No progress made</w:t>
            </w:r>
          </w:p>
        </w:tc>
        <w:tc>
          <w:tcPr>
            <w:tcW w:w="4000" w:type="dxa"/>
            <w:gridSpan w:val="1"/>
            <w:noWrap/>
          </w:tcPr>
          <w:p>
            <w:pPr/>
            <w:r>
              <w:rPr/>
              <w:t xml:space="preserve">TOR for international and local consultants prepared for legal CCDRM review, planned to be procured through a consultancy firm The training is planned from 3rd quarter 2025</w:t>
            </w:r>
          </w:p>
        </w:tc>
      </w:tr>
      <w:tr>
        <w:trPr/>
        <w:tc>
          <w:tcPr>
            <w:tcW w:w="4000" w:type="dxa"/>
            <w:gridSpan w:val="1"/>
            <w:noWrap/>
          </w:tcPr>
          <w:p>
            <w:pPr/>
            <w:r>
              <w:rPr/>
              <w:t xml:space="preserve">Indicator 4: Number of people trained at national level (KNEG and line ministries) regarding climate change impacts and appropriate adaptation responses</w:t>
            </w:r>
          </w:p>
          <w:p>
            <w:pPr/>
            <w:r>
              <w:rPr/>
              <w:t xml:space="preserve"/>
            </w:r>
          </w:p>
          <w:p>
            <w:pPr/>
            <w:r>
              <w:rPr/>
              <w:t xml:space="preserve">Link to GEF  CCA tracking tool, core indicator 4 and indicator 2.3.1</w:t>
            </w:r>
          </w:p>
          <w:p>
            <w:pPr/>
            <w:r>
              <w:rPr/>
              <w:t xml:space="preserve"/>
            </w:r>
          </w:p>
        </w:tc>
        <w:tc>
          <w:tcPr>
            <w:tcW w:w="2000" w:type="dxa"/>
            <w:gridSpan w:val="1"/>
            <w:noWrap/>
          </w:tcPr>
          <w:p>
            <w:pPr/>
            <w:r>
              <w:rPr/>
              <w:t xml:space="preserve">0</w:t>
            </w:r>
          </w:p>
        </w:tc>
        <w:tc>
          <w:tcPr>
            <w:tcW w:w="2000" w:type="dxa"/>
            <w:gridSpan w:val="1"/>
            <w:noWrap/>
          </w:tcPr>
          <w:p>
            <w:pPr/>
            <w:r>
              <w:rPr/>
              <w:t xml:space="preserve">50</w:t>
            </w:r>
          </w:p>
        </w:tc>
        <w:tc>
          <w:tcPr>
            <w:tcW w:w="2000" w:type="dxa"/>
            <w:gridSpan w:val="1"/>
            <w:noWrap/>
          </w:tcPr>
          <w:p>
            <w:pPr/>
            <w:r>
              <w:rPr/>
              <w:t xml:space="preserve">50</w:t>
            </w:r>
          </w:p>
        </w:tc>
        <w:tc>
          <w:tcPr>
            <w:tcW w:w="4000" w:type="dxa"/>
            <w:gridSpan w:val="1"/>
            <w:noWrap/>
          </w:tcPr>
          <w:p>
            <w:pPr/>
            <w:r>
              <w:rPr/>
              <w:t xml:space="preserve">No progress made</w:t>
            </w:r>
          </w:p>
        </w:tc>
        <w:tc>
          <w:tcPr>
            <w:tcW w:w="4000" w:type="dxa"/>
            <w:gridSpan w:val="1"/>
            <w:noWrap/>
          </w:tcPr>
          <w:p>
            <w:pPr/>
            <w:r>
              <w:rPr/>
              <w:t xml:space="preserve">TORs prepared for international consultants to provide capacity development for KNEG, project technical committee members and sectors involved in implementation. Trainings to be conducted by a consultancy firm is planned  for the 3rd and 4th quarters 2025:</w:t>
            </w:r>
          </w:p>
          <w:p>
            <w:pPr/>
            <w:r>
              <w:rPr/>
              <w:t xml:space="preserve">-	Gender and CCDRM</w:t>
            </w:r>
          </w:p>
          <w:p>
            <w:pPr/>
            <w:r>
              <w:rPr/>
              <w:t xml:space="preserve">-	Legal framework for CCDRM</w:t>
            </w:r>
          </w:p>
          <w:p>
            <w:pPr/>
            <w:r>
              <w:rPr/>
              <w:t xml:space="preserve">-	Project Safeguards</w:t>
            </w:r>
          </w:p>
          <w:p>
            <w:pPr/>
            <w:r>
              <w:rPr/>
              <w:t xml:space="preserve">-	Climate resilient agriculture</w:t>
            </w:r>
          </w:p>
          <w:p>
            <w:pPr/>
            <w:r>
              <w:rPr/>
              <w:t xml:space="preserve">-	Water security</w:t>
            </w:r>
          </w:p>
          <w:p>
            <w:pPr/>
            <w:r>
              <w:rPr/>
              <w:t xml:space="preserve">-	Climate Resilient Infrastructure</w:t>
            </w:r>
          </w:p>
          <w:p>
            <w:pPr/>
            <w:r>
              <w:rPr/>
              <w:t xml:space="preserve">-	Coastal Hazard mapping</w:t>
            </w:r>
          </w:p>
          <w:p>
            <w:pPr/>
            <w:r>
              <w:rPr/>
              <w:t xml:space="preserve"/>
            </w:r>
          </w:p>
        </w:tc>
      </w:tr>
      <w:tr>
        <w:trPr/>
        <w:tc>
          <w:tcPr>
            <w:tcW w:w="4000" w:type="dxa"/>
            <w:gridSpan w:val="1"/>
            <w:noWrap/>
          </w:tcPr>
          <w:p>
            <w:pPr/>
            <w:r>
              <w:rPr/>
              <w:t xml:space="preserve">Indicator 5: Number of frameworks and tools enhanced to support KJIP-monitoring and CCA&amp;DRM data management and analysis, including gender disaggregated data</w:t>
            </w:r>
          </w:p>
          <w:p>
            <w:pPr/>
            <w:r>
              <w:rPr/>
              <w:t xml:space="preserve"/>
            </w:r>
          </w:p>
          <w:p>
            <w:pPr/>
            <w:r>
              <w:rPr/>
              <w:t xml:space="preserve">Link to GEF indicator 2.1.3.</w:t>
            </w:r>
          </w:p>
          <w:p>
            <w:pPr/>
            <w:r>
              <w:rPr/>
              <w:t xml:space="preserve"/>
            </w:r>
          </w:p>
        </w:tc>
        <w:tc>
          <w:tcPr>
            <w:tcW w:w="2000" w:type="dxa"/>
            <w:gridSpan w:val="1"/>
            <w:noWrap/>
          </w:tcPr>
          <w:p>
            <w:pPr/>
            <w:r>
              <w:rPr/>
              <w:t xml:space="preserve">KIVA database established 2017-2018</w:t>
            </w:r>
          </w:p>
        </w:tc>
        <w:tc>
          <w:tcPr>
            <w:tcW w:w="2000" w:type="dxa"/>
            <w:gridSpan w:val="1"/>
            <w:noWrap/>
          </w:tcPr>
          <w:p>
            <w:pPr/>
            <w:r>
              <w:rPr/>
              <w:t xml:space="preserve">Total at mid-term: 3</w:t>
            </w:r>
          </w:p>
          <w:p>
            <w:pPr/>
            <w:r>
              <w:rPr/>
              <w:t xml:space="preserve"/>
            </w:r>
          </w:p>
          <w:p>
            <w:pPr/>
            <w:r>
              <w:rPr/>
              <w:t xml:space="preserve">KJIP M&amp;E framework developed</w:t>
            </w:r>
          </w:p>
          <w:p>
            <w:pPr/>
            <w:r>
              <w:rPr/>
              <w:t xml:space="preserve"/>
            </w:r>
          </w:p>
          <w:p>
            <w:pPr/>
            <w:r>
              <w:rPr/>
              <w:t xml:space="preserve">KIVA database tool developed for KJIP-monitoring at national and subnational levels</w:t>
            </w:r>
          </w:p>
          <w:p>
            <w:pPr/>
            <w:r>
              <w:rPr/>
              <w:t xml:space="preserve"/>
            </w:r>
          </w:p>
          <w:p>
            <w:pPr/>
            <w:r>
              <w:rPr/>
              <w:t xml:space="preserve">GIS-platform strengthened</w:t>
            </w:r>
          </w:p>
          <w:p>
            <w:pPr/>
            <w:r>
              <w:rPr/>
              <w:t xml:space="preserve"/>
            </w:r>
          </w:p>
        </w:tc>
        <w:tc>
          <w:tcPr>
            <w:tcW w:w="2000" w:type="dxa"/>
            <w:gridSpan w:val="1"/>
            <w:noWrap/>
          </w:tcPr>
          <w:p>
            <w:pPr/>
            <w:r>
              <w:rPr/>
              <w:t xml:space="preserve">Total at project-end: 4</w:t>
            </w:r>
          </w:p>
          <w:p>
            <w:pPr/>
            <w:r>
              <w:rPr/>
              <w:t xml:space="preserve"/>
            </w:r>
          </w:p>
          <w:p>
            <w:pPr/>
            <w:r>
              <w:rPr/>
              <w:t xml:space="preserve">KIVA database data analysis tool/module developed for key sectors</w:t>
            </w:r>
          </w:p>
          <w:p>
            <w:pPr/>
            <w:r>
              <w:rPr/>
              <w:t xml:space="preserve"/>
            </w:r>
          </w:p>
        </w:tc>
        <w:tc>
          <w:tcPr>
            <w:tcW w:w="4000" w:type="dxa"/>
            <w:gridSpan w:val="1"/>
            <w:noWrap/>
          </w:tcPr>
          <w:p>
            <w:pPr/>
            <w:r>
              <w:rPr/>
              <w:t xml:space="preserve">No progress made</w:t>
            </w:r>
          </w:p>
        </w:tc>
        <w:tc>
          <w:tcPr>
            <w:tcW w:w="4000" w:type="dxa"/>
            <w:gridSpan w:val="1"/>
            <w:noWrap/>
          </w:tcPr>
          <w:p>
            <w:pPr/>
            <w:r>
              <w:rPr/>
              <w:t xml:space="preserve">KJIP MEL (Monitoring, Evaluation and Leaning) Framework developed by NAP Global Network-project, while the project will support CCA&amp;DRM management and analysis.TOR prepared for KJIP monitoring consultant in 3rd and 4rd quarters 2025.</w:t>
            </w:r>
          </w:p>
          <w:p>
            <w:pPr/>
            <w:r>
              <w:rPr/>
              <w:t xml:space="preserve"/>
            </w:r>
          </w:p>
          <w:p>
            <w:pPr/>
            <w:r>
              <w:rPr/>
              <w:t xml:space="preserve"/>
            </w:r>
          </w:p>
        </w:tc>
      </w:tr>
      <w:tr>
        <w:trPr/>
        <w:tc>
          <w:tcPr>
            <w:tcW w:w="4000" w:type="dxa"/>
            <w:gridSpan w:val="1"/>
            <w:noWrap/>
          </w:tcPr>
          <w:p>
            <w:pPr/>
            <w:r>
              <w:rPr>
                <w:b w:val="1"/>
                <w:bCs w:val="1"/>
              </w:rPr>
              <w:t xml:space="preserve">The progress of the objective/outcome can be described as:</w:t>
            </w:r>
          </w:p>
        </w:tc>
        <w:tc>
          <w:tcPr>
            <w:tcW w:w="12000" w:type="dxa"/>
            <w:gridSpan w:val="5"/>
            <w:noWrap/>
          </w:tcPr>
          <w:p>
            <w:pPr/>
            <w:r>
              <w:rPr>
                <w:b w:val="1"/>
                <w:bCs w:val="1"/>
              </w:rPr>
              <w:t xml:space="preserve">Off track</w:t>
            </w:r>
          </w:p>
        </w:tc>
      </w:tr>
      <w:tr>
        <w:trPr/>
        <w:tc>
          <w:tcPr>
            <w:tcW w:w="4000" w:type="dxa"/>
            <w:gridSpan w:val="1"/>
            <w:noWrap/>
          </w:tcPr>
          <w:p>
            <w:pPr/>
            <w:r>
              <w:rPr>
                <w:b w:val="1"/>
                <w:bCs w:val="1"/>
              </w:rPr>
              <w:t xml:space="preserve">Evidence uploaded:</w:t>
            </w:r>
          </w:p>
        </w:tc>
        <w:tc>
          <w:tcPr>
            <w:tcW w:w="12000" w:type="dxa"/>
            <w:gridSpan w:val="5"/>
            <w:noWrap/>
          </w:tcPr>
          <w:p>
            <w:pPr/>
            <w:r>
              <w:rPr/>
              <w:t xml:space="preserve">YES</w:t>
            </w:r>
          </w:p>
        </w:tc>
      </w:tr>
      <w:tr>
        <w:trPr/>
        <w:tc>
          <w:tcPr>
            <w:tcW w:w="16000" w:type="dxa"/>
            <w:shd w:val="clear" w:fill="#D9D9D9"/>
            <w:gridSpan w:val="7"/>
            <w:noWrap/>
          </w:tcPr>
          <w:p>
            <w:pPr/>
            <w:r>
              <w:rPr>
                <w:b w:val="1"/>
                <w:bCs w:val="1"/>
              </w:rPr>
              <w:t xml:space="preserve">Outcome 2</w:t>
            </w:r>
          </w:p>
          <w:p>
            <w:pPr/>
            <w:r>
              <w:rPr>
                <w:b w:val="1"/>
                <w:bCs w:val="1"/>
              </w:rPr>
              <w:t xml:space="preserve">Component 2: Island level climate change resilient planning and institutional capacity development</w:t>
            </w:r>
          </w:p>
          <w:p>
            <w:pPr/>
            <w:r>
              <w:rPr>
                <w:b w:val="1"/>
                <w:bCs w:val="1"/>
              </w:rPr>
              <w:t xml:space="preserve">Outcome 2.1 Capacity of island administrations enhanced to plan for and monitor climate change adaptation processes in a Whole-of-Island (WoI) approach</w:t>
            </w:r>
          </w:p>
          <w:p>
            <w:pPr/>
            <w:r>
              <w:rPr>
                <w:b w:val="1"/>
                <w:bCs w:val="1"/>
              </w:rPr>
              <w:t xml:space="preserve">2.2.1 Island and community level vulnerability and adaptation (IVA) assessments revised and/or developed at 5 islands</w:t>
            </w:r>
          </w:p>
          <w:p>
            <w:pPr/>
            <w:r>
              <w:rPr>
                <w:b w:val="1"/>
                <w:bCs w:val="1"/>
              </w:rPr>
              <w:t xml:space="preserve">2.1.2 Island Council Strategic Plans formulated/reviewed, integrating whole of island adaptation action plans in 5 islands</w:t>
            </w:r>
          </w:p>
          <w:p>
            <w:pPr/>
            <w:r>
              <w:rPr>
                <w:b w:val="1"/>
                <w:bCs w:val="1"/>
              </w:rPr>
              <w:t xml:space="preserve">2.1.3 Tools and mechanisms to develop, stock, and share data, knowledge, and information on CC and DR enhanced at the island level – with the option of exploring the software and hardware to strengthen information and communication mechanisms for early warning system (EWS)</w:t>
            </w:r>
          </w:p>
          <w:p>
            <w:pPr/>
            <w:r>
              <w:rPr>
                <w:b w:val="1"/>
                <w:bCs w:val="1"/>
              </w:rPr>
              <w:t xml:space="preserve">2.1.4 I Kiribati population in 5 islands receives formal and informal training and awareness raising programmes on climate change and disaster risk management</w:t>
            </w:r>
          </w:p>
          <w:p>
            <w:pPr/>
            <w:r>
              <w:rPr>
                <w:b w:val="1"/>
                <w:bCs w:val="1"/>
              </w:rPr>
              <w:t xml:space="preserve"/>
            </w:r>
          </w:p>
        </w:tc>
      </w:tr>
      <w:tr>
        <w:trPr/>
        <w:tc>
          <w:tcPr>
            <w:tcW w:w="4000" w:type="dxa"/>
            <w:gridSpan w:val="1"/>
            <w:noWrap/>
          </w:tcPr>
          <w:p>
            <w:pPr/>
            <w:r>
              <w:rPr>
                <w:b w:val="1"/>
                <w:bCs w:val="1"/>
              </w:rPr>
              <w:t xml:space="preserve">Description of Indicator</w:t>
            </w:r>
          </w:p>
        </w:tc>
        <w:tc>
          <w:tcPr>
            <w:tcW w:w="2000" w:type="dxa"/>
            <w:gridSpan w:val="1"/>
            <w:noWrap/>
          </w:tcPr>
          <w:p>
            <w:pPr/>
            <w:r>
              <w:rPr>
                <w:b w:val="1"/>
                <w:bCs w:val="1"/>
              </w:rPr>
              <w:t xml:space="preserve">Baseline Level</w:t>
            </w:r>
          </w:p>
        </w:tc>
        <w:tc>
          <w:tcPr>
            <w:tcW w:w="2000" w:type="dxa"/>
            <w:gridSpan w:val="1"/>
            <w:noWrap/>
          </w:tcPr>
          <w:p>
            <w:pPr/>
            <w:r>
              <w:rPr>
                <w:b w:val="1"/>
                <w:bCs w:val="1"/>
              </w:rPr>
              <w:t xml:space="preserve">Midterm target level</w:t>
            </w:r>
          </w:p>
        </w:tc>
        <w:tc>
          <w:tcPr>
            <w:tcW w:w="2000" w:type="dxa"/>
            <w:gridSpan w:val="1"/>
            <w:noWrap/>
          </w:tcPr>
          <w:p>
            <w:pPr/>
            <w:r>
              <w:rPr>
                <w:b w:val="1"/>
                <w:bCs w:val="1"/>
              </w:rPr>
              <w:t xml:space="preserve">End of project target level</w:t>
            </w:r>
          </w:p>
        </w:tc>
        <w:tc>
          <w:tcPr>
            <w:tcW w:w="4000" w:type="dxa"/>
            <w:gridSpan w:val="1"/>
            <w:noWrap/>
          </w:tcPr>
          <w:p>
            <w:pPr/>
            <w:r>
              <w:rPr>
                <w:b w:val="1"/>
                <w:bCs w:val="1"/>
              </w:rPr>
              <w:t xml:space="preserve">Level at Jun 30, 2024</w:t>
            </w:r>
          </w:p>
        </w:tc>
        <w:tc>
          <w:tcPr>
            <w:tcW w:w="4000" w:type="dxa"/>
            <w:gridSpan w:val="1"/>
            <w:noWrap/>
          </w:tcPr>
          <w:p>
            <w:pPr/>
            <w:r>
              <w:rPr>
                <w:b w:val="1"/>
                <w:bCs w:val="1"/>
              </w:rPr>
              <w:t xml:space="preserve">Cumulative progress since project start as of Jun 30, 2025</w:t>
            </w:r>
          </w:p>
        </w:tc>
      </w:tr>
      <w:tr>
        <w:trPr/>
        <w:tc>
          <w:tcPr>
            <w:tcW w:w="4000" w:type="dxa"/>
            <w:gridSpan w:val="1"/>
            <w:noWrap/>
          </w:tcPr>
          <w:p>
            <w:pPr/>
            <w:r>
              <w:rPr/>
              <w:t xml:space="preserve">Indicator 6: Number of GESI-sensitive plans supporting Island-level strategic development (ICSP), WoI-planning and community-based disaster risk management (CBDRM) planning based on identified and prioritized vulnerabilities (IVA)</w:t>
            </w:r>
          </w:p>
          <w:p>
            <w:pPr/>
            <w:r>
              <w:rPr/>
              <w:t xml:space="preserve"/>
            </w:r>
          </w:p>
          <w:p>
            <w:pPr/>
            <w:r>
              <w:rPr/>
              <w:t xml:space="preserve"/>
            </w:r>
          </w:p>
          <w:p>
            <w:pPr/>
            <w:r>
              <w:rPr/>
              <w:t xml:space="preserve">Link to GEF  CCA tracking tool, core indicator 3 and indicator 2.1.1</w:t>
            </w:r>
          </w:p>
          <w:p>
            <w:pPr/>
            <w:r>
              <w:rPr/>
              <w:t xml:space="preserve"/>
            </w:r>
          </w:p>
        </w:tc>
        <w:tc>
          <w:tcPr>
            <w:tcW w:w="2000" w:type="dxa"/>
            <w:gridSpan w:val="1"/>
            <w:noWrap/>
          </w:tcPr>
          <w:p>
            <w:pPr/>
            <w:r>
              <w:rPr/>
              <w:t xml:space="preserve">0</w:t>
            </w:r>
          </w:p>
          <w:p>
            <w:pPr/>
            <w:r>
              <w:rPr/>
              <w:t xml:space="preserve"/>
            </w:r>
          </w:p>
          <w:p>
            <w:pPr/>
            <w:r>
              <w:rPr/>
              <w:t xml:space="preserve">IVA completed for 8 islands (1 project island - Kiritimati)</w:t>
            </w:r>
          </w:p>
          <w:p>
            <w:pPr/>
            <w:r>
              <w:rPr/>
              <w:t xml:space="preserve">7 Island Council Strategic Plans developed (0 in project islands)</w:t>
            </w:r>
          </w:p>
          <w:p>
            <w:pPr/>
            <w:r>
              <w:rPr/>
              <w:t xml:space="preserve"/>
            </w:r>
          </w:p>
        </w:tc>
        <w:tc>
          <w:tcPr>
            <w:tcW w:w="2000" w:type="dxa"/>
            <w:gridSpan w:val="1"/>
            <w:noWrap/>
          </w:tcPr>
          <w:p>
            <w:pPr/>
            <w:r>
              <w:rPr/>
              <w:t xml:space="preserve">Total at mid-term: 10 plans</w:t>
            </w:r>
          </w:p>
          <w:p>
            <w:pPr/>
            <w:r>
              <w:rPr/>
              <w:t xml:space="preserve"/>
            </w:r>
          </w:p>
          <w:p>
            <w:pPr/>
            <w:r>
              <w:rPr/>
              <w:t xml:space="preserve">5 ICSP reviewed/ developed</w:t>
            </w:r>
          </w:p>
          <w:p>
            <w:pPr/>
            <w:r>
              <w:rPr/>
              <w:t xml:space="preserve">5 WoI-implementation plans developed and operationalized</w:t>
            </w:r>
          </w:p>
          <w:p>
            <w:pPr/>
            <w:r>
              <w:rPr/>
              <w:t xml:space="preserve"/>
            </w:r>
          </w:p>
        </w:tc>
        <w:tc>
          <w:tcPr>
            <w:tcW w:w="2000" w:type="dxa"/>
            <w:gridSpan w:val="1"/>
            <w:noWrap/>
          </w:tcPr>
          <w:p>
            <w:pPr/>
            <w:r>
              <w:rPr/>
              <w:t xml:space="preserve">Total at project-end: 10 plans</w:t>
            </w:r>
          </w:p>
        </w:tc>
        <w:tc>
          <w:tcPr>
            <w:tcW w:w="4000" w:type="dxa"/>
            <w:gridSpan w:val="1"/>
            <w:noWrap/>
          </w:tcPr>
          <w:p>
            <w:pPr/>
            <w:r>
              <w:rPr/>
              <w:t xml:space="preserve">No progress made</w:t>
            </w:r>
          </w:p>
        </w:tc>
        <w:tc>
          <w:tcPr>
            <w:tcW w:w="4000" w:type="dxa"/>
            <w:gridSpan w:val="1"/>
            <w:noWrap/>
          </w:tcPr>
          <w:p>
            <w:pPr/>
            <w:r>
              <w:rPr/>
              <w:t xml:space="preserve">GESI-review planned in 3rd and 4th quarter 2025 of the Island Strategic Plan-template. TOR has been prepared and consultancy firm to provide services is in procurement process</w:t>
            </w:r>
          </w:p>
        </w:tc>
      </w:tr>
      <w:tr>
        <w:trPr/>
        <w:tc>
          <w:tcPr>
            <w:tcW w:w="4000" w:type="dxa"/>
            <w:gridSpan w:val="1"/>
            <w:noWrap/>
          </w:tcPr>
          <w:p>
            <w:pPr/>
            <w:r>
              <w:rPr/>
              <w:t xml:space="preserve">Indicator 7: Number of people at island level trained regarding climate change impacts and appropriate adaptation responses (including community members/associations, Island Councils, extension officers, teachers and 80% of all school children)</w:t>
            </w:r>
          </w:p>
          <w:p>
            <w:pPr/>
            <w:r>
              <w:rPr/>
              <w:t xml:space="preserve"/>
            </w:r>
          </w:p>
          <w:p>
            <w:pPr/>
            <w:r>
              <w:rPr/>
              <w:t xml:space="preserve">Link to GEF core indicator 4 and indicator 2.3. 1</w:t>
            </w:r>
          </w:p>
          <w:p>
            <w:pPr/>
            <w:r>
              <w:rPr/>
              <w:t xml:space="preserve"/>
            </w:r>
          </w:p>
        </w:tc>
        <w:tc>
          <w:tcPr>
            <w:tcW w:w="2000" w:type="dxa"/>
            <w:gridSpan w:val="1"/>
            <w:noWrap/>
          </w:tcPr>
          <w:p>
            <w:pPr/>
            <w:r>
              <w:rPr/>
              <w:t xml:space="preserve">0</w:t>
            </w:r>
          </w:p>
          <w:p>
            <w:pPr/>
            <w:r>
              <w:rPr/>
              <w:t xml:space="preserve">(baseline to be verified during project year 1 for each of the project islands)</w:t>
            </w:r>
          </w:p>
          <w:p>
            <w:pPr/>
            <w:r>
              <w:rPr/>
              <w:t xml:space="preserve"/>
            </w:r>
          </w:p>
        </w:tc>
        <w:tc>
          <w:tcPr>
            <w:tcW w:w="2000" w:type="dxa"/>
            <w:gridSpan w:val="1"/>
            <w:noWrap/>
          </w:tcPr>
          <w:p>
            <w:pPr/>
            <w:r>
              <w:rPr/>
              <w:t xml:space="preserve">135 people</w:t>
            </w:r>
          </w:p>
        </w:tc>
        <w:tc>
          <w:tcPr>
            <w:tcW w:w="2000" w:type="dxa"/>
            <w:gridSpan w:val="1"/>
            <w:noWrap/>
          </w:tcPr>
          <w:p>
            <w:pPr/>
            <w:r>
              <w:rPr/>
              <w:t xml:space="preserve">4,355 people</w:t>
            </w:r>
          </w:p>
        </w:tc>
        <w:tc>
          <w:tcPr>
            <w:tcW w:w="4000" w:type="dxa"/>
            <w:gridSpan w:val="1"/>
            <w:noWrap/>
          </w:tcPr>
          <w:p>
            <w:pPr/>
            <w:r>
              <w:rPr/>
              <w:t xml:space="preserve">No progress made</w:t>
            </w:r>
          </w:p>
        </w:tc>
        <w:tc>
          <w:tcPr>
            <w:tcW w:w="4000" w:type="dxa"/>
            <w:gridSpan w:val="1"/>
            <w:noWrap/>
          </w:tcPr>
          <w:p>
            <w:pPr/>
            <w:r>
              <w:rPr/>
              <w:t xml:space="preserve">Project island implementation and work with project beneficiaries will only start from 2026.</w:t>
            </w:r>
          </w:p>
        </w:tc>
      </w:tr>
      <w:tr>
        <w:trPr/>
        <w:tc>
          <w:tcPr>
            <w:tcW w:w="4000" w:type="dxa"/>
            <w:gridSpan w:val="1"/>
            <w:noWrap/>
          </w:tcPr>
          <w:p>
            <w:pPr/>
            <w:r>
              <w:rPr/>
              <w:t xml:space="preserve">Indicator 8: Extent to which population reached through community outreach and awareness activities (gender disaggregated data)</w:t>
            </w:r>
          </w:p>
          <w:p>
            <w:pPr/>
            <w:r>
              <w:rPr/>
              <w:t xml:space="preserve"/>
            </w:r>
          </w:p>
          <w:p>
            <w:pPr/>
            <w:r>
              <w:rPr/>
              <w:t xml:space="preserve">Link to GEF CCA tracking tool, core indicator 4 and indicator 2.3.2</w:t>
            </w:r>
          </w:p>
          <w:p>
            <w:pPr/>
            <w:r>
              <w:rPr/>
              <w:t xml:space="preserve"/>
            </w:r>
          </w:p>
        </w:tc>
        <w:tc>
          <w:tcPr>
            <w:tcW w:w="2000" w:type="dxa"/>
            <w:gridSpan w:val="1"/>
            <w:noWrap/>
          </w:tcPr>
          <w:p>
            <w:pPr/>
            <w:r>
              <w:rPr/>
              <w:t xml:space="preserve">0</w:t>
            </w:r>
          </w:p>
        </w:tc>
        <w:tc>
          <w:tcPr>
            <w:tcW w:w="2000" w:type="dxa"/>
            <w:gridSpan w:val="1"/>
            <w:noWrap/>
          </w:tcPr>
          <w:p>
            <w:pPr/>
            <w:r>
              <w:rPr/>
              <w:t xml:space="preserve">Total at midterm:</w:t>
            </w:r>
          </w:p>
          <w:p>
            <w:pPr/>
            <w:r>
              <w:rPr/>
              <w:t xml:space="preserve">6,000 people</w:t>
            </w:r>
          </w:p>
          <w:p>
            <w:pPr/>
            <w:r>
              <w:rPr/>
              <w:t xml:space="preserve"/>
            </w:r>
          </w:p>
        </w:tc>
        <w:tc>
          <w:tcPr>
            <w:tcW w:w="2000" w:type="dxa"/>
            <w:gridSpan w:val="1"/>
            <w:noWrap/>
          </w:tcPr>
          <w:p>
            <w:pPr/>
            <w:r>
              <w:rPr/>
              <w:t xml:space="preserve">Total at project- end:  14,500 people</w:t>
            </w:r>
          </w:p>
          <w:p>
            <w:pPr/>
            <w:r>
              <w:rPr/>
              <w:t xml:space="preserve"/>
            </w:r>
          </w:p>
          <w:p>
            <w:pPr/>
            <w:r>
              <w:rPr/>
              <w:t xml:space="preserve">(100% of population at 5 islands above 5 years of age)</w:t>
            </w:r>
          </w:p>
          <w:p>
            <w:pPr/>
            <w:r>
              <w:rPr/>
              <w:t xml:space="preserve"/>
            </w:r>
          </w:p>
        </w:tc>
        <w:tc>
          <w:tcPr>
            <w:tcW w:w="4000" w:type="dxa"/>
            <w:gridSpan w:val="1"/>
            <w:noWrap/>
          </w:tcPr>
          <w:p>
            <w:pPr/>
            <w:r>
              <w:rPr/>
              <w:t xml:space="preserve">No progress made</w:t>
            </w:r>
          </w:p>
        </w:tc>
        <w:tc>
          <w:tcPr>
            <w:tcW w:w="4000" w:type="dxa"/>
            <w:gridSpan w:val="1"/>
            <w:noWrap/>
          </w:tcPr>
          <w:p>
            <w:pPr/>
            <w:r>
              <w:rPr/>
              <w:t xml:space="preserve">Project island implementation and work with project beneficiaries will only start from 2026.</w:t>
            </w:r>
          </w:p>
        </w:tc>
      </w:tr>
      <w:tr>
        <w:trPr/>
        <w:tc>
          <w:tcPr>
            <w:tcW w:w="4000" w:type="dxa"/>
            <w:gridSpan w:val="1"/>
            <w:noWrap/>
          </w:tcPr>
          <w:p>
            <w:pPr/>
            <w:r>
              <w:rPr>
                <w:b w:val="1"/>
                <w:bCs w:val="1"/>
              </w:rPr>
              <w:t xml:space="preserve">The progress of the objective/outcome can be described as:</w:t>
            </w:r>
          </w:p>
        </w:tc>
        <w:tc>
          <w:tcPr>
            <w:tcW w:w="12000" w:type="dxa"/>
            <w:gridSpan w:val="5"/>
            <w:noWrap/>
          </w:tcPr>
          <w:p>
            <w:pPr/>
            <w:r>
              <w:rPr>
                <w:b w:val="1"/>
                <w:bCs w:val="1"/>
              </w:rPr>
              <w:t xml:space="preserve">Off track</w:t>
            </w:r>
          </w:p>
        </w:tc>
      </w:tr>
      <w:tr>
        <w:trPr/>
        <w:tc>
          <w:tcPr>
            <w:tcW w:w="4000" w:type="dxa"/>
            <w:gridSpan w:val="1"/>
            <w:noWrap/>
          </w:tcPr>
          <w:p>
            <w:pPr/>
            <w:r>
              <w:rPr>
                <w:b w:val="1"/>
                <w:bCs w:val="1"/>
              </w:rPr>
              <w:t xml:space="preserve">Evidence uploaded:</w:t>
            </w:r>
          </w:p>
        </w:tc>
        <w:tc>
          <w:tcPr>
            <w:tcW w:w="12000" w:type="dxa"/>
            <w:gridSpan w:val="5"/>
            <w:noWrap/>
          </w:tcPr>
          <w:p>
            <w:pPr/>
            <w:r>
              <w:rPr/>
              <w:t xml:space="preserve">YES</w:t>
            </w:r>
          </w:p>
        </w:tc>
      </w:tr>
      <w:tr>
        <w:trPr/>
        <w:tc>
          <w:tcPr>
            <w:tcW w:w="16000" w:type="dxa"/>
            <w:shd w:val="clear" w:fill="#D9D9D9"/>
            <w:gridSpan w:val="7"/>
            <w:noWrap/>
          </w:tcPr>
          <w:p>
            <w:pPr/>
            <w:r>
              <w:rPr>
                <w:b w:val="1"/>
                <w:bCs w:val="1"/>
              </w:rPr>
              <w:t xml:space="preserve">Outcome 3</w:t>
            </w:r>
          </w:p>
          <w:p>
            <w:pPr/>
            <w:r>
              <w:rPr>
                <w:b w:val="1"/>
                <w:bCs w:val="1"/>
              </w:rPr>
              <w:t xml:space="preserve">Component 3: Whole of Island implementation of water, food security and infrastructure adaptation measures</w:t>
            </w:r>
          </w:p>
          <w:p>
            <w:pPr/>
            <w:r>
              <w:rPr>
                <w:b w:val="1"/>
                <w:bCs w:val="1"/>
              </w:rPr>
              <w:t xml:space="preserve">Outcome 3.1 Community capacities enhanced to adapt to climate induced risks to food and water security and community assets</w:t>
            </w:r>
          </w:p>
          <w:p>
            <w:pPr/>
            <w:r>
              <w:rPr>
                <w:b w:val="1"/>
                <w:bCs w:val="1"/>
              </w:rPr>
              <w:t xml:space="preserve">3.1.1	Climate-resilient agriculture and livestock practices (including supply, production and processing/storage aspects) are introduced in at least 5 additional islands and communities</w:t>
            </w:r>
          </w:p>
          <w:p>
            <w:pPr/>
            <w:r>
              <w:rPr>
                <w:b w:val="1"/>
                <w:bCs w:val="1"/>
              </w:rPr>
              <w:t xml:space="preserve">3.1.2	Water supply and storage facilities enhanced and/or installed at 5 additional islands and communities</w:t>
            </w:r>
          </w:p>
          <w:p>
            <w:pPr/>
            <w:r>
              <w:rPr>
                <w:b w:val="1"/>
                <w:bCs w:val="1"/>
              </w:rPr>
              <w:t xml:space="preserve">3.1.3	Shoreline protection and climate proofing of infrastructure measures implemented at 5 additional islands and communities</w:t>
            </w:r>
          </w:p>
          <w:p>
            <w:pPr/>
            <w:r>
              <w:rPr>
                <w:b w:val="1"/>
                <w:bCs w:val="1"/>
              </w:rPr>
              <w:t xml:space="preserve"/>
            </w:r>
          </w:p>
        </w:tc>
      </w:tr>
      <w:tr>
        <w:trPr/>
        <w:tc>
          <w:tcPr>
            <w:tcW w:w="4000" w:type="dxa"/>
            <w:gridSpan w:val="1"/>
            <w:noWrap/>
          </w:tcPr>
          <w:p>
            <w:pPr/>
            <w:r>
              <w:rPr>
                <w:b w:val="1"/>
                <w:bCs w:val="1"/>
              </w:rPr>
              <w:t xml:space="preserve">Description of Indicator</w:t>
            </w:r>
          </w:p>
        </w:tc>
        <w:tc>
          <w:tcPr>
            <w:tcW w:w="2000" w:type="dxa"/>
            <w:gridSpan w:val="1"/>
            <w:noWrap/>
          </w:tcPr>
          <w:p>
            <w:pPr/>
            <w:r>
              <w:rPr>
                <w:b w:val="1"/>
                <w:bCs w:val="1"/>
              </w:rPr>
              <w:t xml:space="preserve">Baseline Level</w:t>
            </w:r>
          </w:p>
        </w:tc>
        <w:tc>
          <w:tcPr>
            <w:tcW w:w="2000" w:type="dxa"/>
            <w:gridSpan w:val="1"/>
            <w:noWrap/>
          </w:tcPr>
          <w:p>
            <w:pPr/>
            <w:r>
              <w:rPr>
                <w:b w:val="1"/>
                <w:bCs w:val="1"/>
              </w:rPr>
              <w:t xml:space="preserve">Midterm target level</w:t>
            </w:r>
          </w:p>
        </w:tc>
        <w:tc>
          <w:tcPr>
            <w:tcW w:w="2000" w:type="dxa"/>
            <w:gridSpan w:val="1"/>
            <w:noWrap/>
          </w:tcPr>
          <w:p>
            <w:pPr/>
            <w:r>
              <w:rPr>
                <w:b w:val="1"/>
                <w:bCs w:val="1"/>
              </w:rPr>
              <w:t xml:space="preserve">End of project target level</w:t>
            </w:r>
          </w:p>
        </w:tc>
        <w:tc>
          <w:tcPr>
            <w:tcW w:w="4000" w:type="dxa"/>
            <w:gridSpan w:val="1"/>
            <w:noWrap/>
          </w:tcPr>
          <w:p>
            <w:pPr/>
            <w:r>
              <w:rPr>
                <w:b w:val="1"/>
                <w:bCs w:val="1"/>
              </w:rPr>
              <w:t xml:space="preserve">Level at Jun 30, 2024</w:t>
            </w:r>
          </w:p>
        </w:tc>
        <w:tc>
          <w:tcPr>
            <w:tcW w:w="4000" w:type="dxa"/>
            <w:gridSpan w:val="1"/>
            <w:noWrap/>
          </w:tcPr>
          <w:p>
            <w:pPr/>
            <w:r>
              <w:rPr>
                <w:b w:val="1"/>
                <w:bCs w:val="1"/>
              </w:rPr>
              <w:t xml:space="preserve">Cumulative progress since project start as of Jun 30, 2025</w:t>
            </w:r>
          </w:p>
        </w:tc>
      </w:tr>
      <w:tr>
        <w:trPr/>
        <w:tc>
          <w:tcPr>
            <w:tcW w:w="4000" w:type="dxa"/>
            <w:gridSpan w:val="1"/>
            <w:noWrap/>
          </w:tcPr>
          <w:p>
            <w:pPr/>
            <w:r>
              <w:rPr/>
              <w:t xml:space="preserve">Indicator 9: Number of agricultural nurseries, community-groups, schools and farmers practicing and promoting climate-resilient agroforestry practices in the areas of climate-resilient crop-diversification, water use, land-use, compost, and livestock-production</w:t>
            </w:r>
          </w:p>
          <w:p>
            <w:pPr/>
            <w:r>
              <w:rPr/>
              <w:t xml:space="preserve"/>
            </w:r>
          </w:p>
          <w:p>
            <w:pPr/>
            <w:r>
              <w:rPr/>
              <w:t xml:space="preserve">Link to GEF CCA tracking tool, indicator 1.1.2</w:t>
            </w:r>
          </w:p>
          <w:p>
            <w:pPr/>
            <w:r>
              <w:rPr/>
              <w:t xml:space="preserve"/>
            </w:r>
          </w:p>
        </w:tc>
        <w:tc>
          <w:tcPr>
            <w:tcW w:w="2000" w:type="dxa"/>
            <w:gridSpan w:val="1"/>
            <w:noWrap/>
          </w:tcPr>
          <w:p>
            <w:pPr/>
            <w:r>
              <w:rPr/>
              <w:t xml:space="preserve">Baseline: 0</w:t>
            </w:r>
          </w:p>
          <w:p>
            <w:pPr/>
            <w:r>
              <w:rPr/>
              <w:t xml:space="preserve">Baseline to be validated at project year 1 by MELAD for each of the 5 targeted islands</w:t>
            </w:r>
          </w:p>
          <w:p>
            <w:pPr/>
            <w:r>
              <w:rPr/>
              <w:t xml:space="preserve"/>
            </w:r>
          </w:p>
        </w:tc>
        <w:tc>
          <w:tcPr>
            <w:tcW w:w="2000" w:type="dxa"/>
            <w:gridSpan w:val="1"/>
            <w:noWrap/>
          </w:tcPr>
          <w:p>
            <w:pPr/>
            <w:r>
              <w:rPr/>
              <w:t xml:space="preserve">Total at project mid-term:</w:t>
            </w:r>
          </w:p>
          <w:p>
            <w:pPr/>
            <w:r>
              <w:rPr/>
              <w:t xml:space="preserve">5 agricultural nurseries</w:t>
            </w:r>
          </w:p>
          <w:p>
            <w:pPr/>
            <w:r>
              <w:rPr/>
              <w:t xml:space="preserve">5 schools</w:t>
            </w:r>
          </w:p>
          <w:p>
            <w:pPr/>
            <w:r>
              <w:rPr/>
              <w:t xml:space="preserve">5 community-groups</w:t>
            </w:r>
          </w:p>
          <w:p>
            <w:pPr/>
            <w:r>
              <w:rPr/>
              <w:t xml:space="preserve"/>
            </w:r>
          </w:p>
        </w:tc>
        <w:tc>
          <w:tcPr>
            <w:tcW w:w="2000" w:type="dxa"/>
            <w:gridSpan w:val="1"/>
            <w:noWrap/>
          </w:tcPr>
          <w:p>
            <w:pPr/>
            <w:r>
              <w:rPr/>
              <w:t xml:space="preserve">Total at project end:</w:t>
            </w:r>
          </w:p>
          <w:p>
            <w:pPr/>
            <w:r>
              <w:rPr/>
              <w:t xml:space="preserve">5 Agricultural nurseries</w:t>
            </w:r>
          </w:p>
          <w:p>
            <w:pPr/>
            <w:r>
              <w:rPr/>
              <w:t xml:space="preserve">10 Schools</w:t>
            </w:r>
          </w:p>
          <w:p>
            <w:pPr/>
            <w:r>
              <w:rPr/>
              <w:t xml:space="preserve">15 Community-groups</w:t>
            </w:r>
          </w:p>
          <w:p>
            <w:pPr/>
            <w:r>
              <w:rPr/>
              <w:t xml:space="preserve">300 farmers (1,800 people living in farming households)</w:t>
            </w:r>
          </w:p>
          <w:p>
            <w:pPr/>
            <w:r>
              <w:rPr/>
              <w:t xml:space="preserve"/>
            </w:r>
          </w:p>
        </w:tc>
        <w:tc>
          <w:tcPr>
            <w:tcW w:w="4000" w:type="dxa"/>
            <w:gridSpan w:val="1"/>
            <w:noWrap/>
          </w:tcPr>
          <w:p>
            <w:pPr/>
            <w:r>
              <w:rPr/>
              <w:t xml:space="preserve">No progress made</w:t>
            </w:r>
          </w:p>
        </w:tc>
        <w:tc>
          <w:tcPr>
            <w:tcW w:w="4000" w:type="dxa"/>
            <w:gridSpan w:val="1"/>
            <w:noWrap/>
          </w:tcPr>
          <w:p>
            <w:pPr/>
            <w:r>
              <w:rPr/>
              <w:t xml:space="preserve">TOR developed for International Climate Resilient Agriculture Specialist to support the project from the 3rd quarter 2025. The consultant will support MELAD-ALD to establish the baseline and prepare a detailed plan for project island implementation from 2026.</w:t>
            </w:r>
          </w:p>
        </w:tc>
      </w:tr>
      <w:tr>
        <w:trPr/>
        <w:tc>
          <w:tcPr>
            <w:tcW w:w="4000" w:type="dxa"/>
            <w:gridSpan w:val="1"/>
            <w:noWrap/>
          </w:tcPr>
          <w:p>
            <w:pPr/>
            <w:r>
              <w:rPr/>
              <w:t xml:space="preserve">Indicator 10:  Number of islands with sufficient quantity of safe drinking water, and related improved capacities for operation and maintenance, given existing and projected climate change</w:t>
            </w:r>
          </w:p>
          <w:p>
            <w:pPr/>
            <w:r>
              <w:rPr/>
              <w:t xml:space="preserve"/>
            </w:r>
          </w:p>
          <w:p>
            <w:pPr/>
            <w:r>
              <w:rPr/>
              <w:t xml:space="preserve">Link to GEF CCA tracking tool, indicator 1.1.1</w:t>
            </w:r>
          </w:p>
          <w:p>
            <w:pPr/>
            <w:r>
              <w:rPr/>
              <w:t xml:space="preserve"/>
            </w:r>
          </w:p>
        </w:tc>
        <w:tc>
          <w:tcPr>
            <w:tcW w:w="2000" w:type="dxa"/>
            <w:gridSpan w:val="1"/>
            <w:noWrap/>
          </w:tcPr>
          <w:p>
            <w:pPr/>
            <w:r>
              <w:rPr/>
              <w:t xml:space="preserve">0</w:t>
            </w:r>
          </w:p>
        </w:tc>
        <w:tc>
          <w:tcPr>
            <w:tcW w:w="2000" w:type="dxa"/>
            <w:gridSpan w:val="1"/>
            <w:noWrap/>
          </w:tcPr>
          <w:p>
            <w:pPr/>
            <w:r>
              <w:rPr/>
              <w:t xml:space="preserve">0</w:t>
            </w:r>
          </w:p>
          <w:p>
            <w:pPr/>
            <w:r>
              <w:rPr/>
              <w:t xml:space="preserve"/>
            </w:r>
          </w:p>
          <w:p>
            <w:pPr/>
            <w:r>
              <w:rPr/>
              <w:t xml:space="preserve">Water Resources Assessments carried out for all project islands</w:t>
            </w:r>
          </w:p>
          <w:p>
            <w:pPr/>
            <w:r>
              <w:rPr/>
              <w:t xml:space="preserve"/>
            </w:r>
          </w:p>
          <w:p>
            <w:pPr/>
            <w:r>
              <w:rPr/>
              <w:t xml:space="preserve">Technology assessment</w:t>
            </w:r>
          </w:p>
          <w:p>
            <w:pPr/>
            <w:r>
              <w:rPr/>
              <w:t xml:space="preserve"/>
            </w:r>
          </w:p>
        </w:tc>
        <w:tc>
          <w:tcPr>
            <w:tcW w:w="2000" w:type="dxa"/>
            <w:gridSpan w:val="1"/>
            <w:noWrap/>
          </w:tcPr>
          <w:p>
            <w:pPr/>
            <w:r>
              <w:rPr/>
              <w:t xml:space="preserve">5 islands</w:t>
            </w:r>
          </w:p>
          <w:p>
            <w:pPr/>
            <w:r>
              <w:rPr/>
              <w:t xml:space="preserve"/>
            </w:r>
          </w:p>
          <w:p>
            <w:pPr/>
            <w:r>
              <w:rPr/>
              <w:t xml:space="preserve">Water adaptation technologies in place to provide sufficient quantity of safe drinking water in 5 islands</w:t>
            </w:r>
          </w:p>
          <w:p>
            <w:pPr/>
            <w:r>
              <w:rPr/>
              <w:t xml:space="preserve"/>
            </w:r>
          </w:p>
        </w:tc>
        <w:tc>
          <w:tcPr>
            <w:tcW w:w="4000" w:type="dxa"/>
            <w:gridSpan w:val="1"/>
            <w:noWrap/>
          </w:tcPr>
          <w:p>
            <w:pPr/>
            <w:r>
              <w:rPr/>
              <w:t xml:space="preserve">No progress made</w:t>
            </w:r>
          </w:p>
        </w:tc>
        <w:tc>
          <w:tcPr>
            <w:tcW w:w="4000" w:type="dxa"/>
            <w:gridSpan w:val="1"/>
            <w:noWrap/>
          </w:tcPr>
          <w:p>
            <w:pPr/>
            <w:r>
              <w:rPr/>
              <w:t xml:space="preserve">TOR developed for International Water Security Specialist to support the project from the 3rd quarter, 2025. The consultant will support MISE-WSED to establish the baseline and prepare a detailed plan for project island implementation from 2026.</w:t>
            </w:r>
          </w:p>
        </w:tc>
      </w:tr>
      <w:tr>
        <w:trPr/>
        <w:tc>
          <w:tcPr>
            <w:tcW w:w="4000" w:type="dxa"/>
            <w:gridSpan w:val="1"/>
            <w:noWrap/>
          </w:tcPr>
          <w:p>
            <w:pPr/>
            <w:r>
              <w:rPr/>
              <w:t xml:space="preserve">Indicator 11: Number of community infrastructure and costal infrastructure in high risks zones assessed and retrofitted according to safety standards and gender responsive design protocols</w:t>
            </w:r>
          </w:p>
          <w:p>
            <w:pPr/>
            <w:r>
              <w:rPr/>
              <w:t xml:space="preserve"/>
            </w:r>
          </w:p>
          <w:p>
            <w:pPr/>
            <w:r>
              <w:rPr/>
              <w:t xml:space="preserve">Link to GEF CCA tracking tool,  indicator 1.1.1</w:t>
            </w:r>
          </w:p>
          <w:p>
            <w:pPr/>
            <w:r>
              <w:rPr/>
              <w:t xml:space="preserve"/>
            </w:r>
          </w:p>
        </w:tc>
        <w:tc>
          <w:tcPr>
            <w:tcW w:w="2000" w:type="dxa"/>
            <w:gridSpan w:val="1"/>
            <w:noWrap/>
          </w:tcPr>
          <w:p>
            <w:pPr/>
            <w:r>
              <w:rPr/>
              <w:t xml:space="preserve">0</w:t>
            </w:r>
          </w:p>
          <w:p>
            <w:pPr/>
            <w:r>
              <w:rPr/>
              <w:t xml:space="preserve"/>
            </w:r>
          </w:p>
          <w:p>
            <w:pPr/>
            <w:r>
              <w:rPr/>
              <w:t xml:space="preserve">Baseline to be validated during project year 1 by MISE-CEU for each of the 5 targeted islands</w:t>
            </w:r>
          </w:p>
          <w:p>
            <w:pPr/>
            <w:r>
              <w:rPr/>
              <w:t xml:space="preserve"/>
            </w:r>
          </w:p>
        </w:tc>
        <w:tc>
          <w:tcPr>
            <w:tcW w:w="2000" w:type="dxa"/>
            <w:gridSpan w:val="1"/>
            <w:noWrap/>
          </w:tcPr>
          <w:p>
            <w:pPr/>
            <w:r>
              <w:rPr/>
              <w:t xml:space="preserve">0</w:t>
            </w:r>
          </w:p>
          <w:p>
            <w:pPr/>
            <w:r>
              <w:rPr/>
              <w:t xml:space="preserve"/>
            </w:r>
          </w:p>
          <w:p>
            <w:pPr/>
            <w:r>
              <w:rPr/>
              <w:t xml:space="preserve">Vulnerable public and community assets in high risk zones identified, assessed and prioritized</w:t>
            </w:r>
          </w:p>
          <w:p>
            <w:pPr/>
            <w:r>
              <w:rPr/>
              <w:t xml:space="preserve"/>
            </w:r>
          </w:p>
        </w:tc>
        <w:tc>
          <w:tcPr>
            <w:tcW w:w="2000" w:type="dxa"/>
            <w:gridSpan w:val="1"/>
            <w:noWrap/>
          </w:tcPr>
          <w:p>
            <w:pPr/>
            <w:r>
              <w:rPr/>
              <w:t xml:space="preserve">5 community/coastal infrastructures</w:t>
            </w:r>
          </w:p>
        </w:tc>
        <w:tc>
          <w:tcPr>
            <w:tcW w:w="4000" w:type="dxa"/>
            <w:gridSpan w:val="1"/>
            <w:noWrap/>
          </w:tcPr>
          <w:p>
            <w:pPr/>
            <w:r>
              <w:rPr/>
              <w:t xml:space="preserve">No progress made</w:t>
            </w:r>
          </w:p>
        </w:tc>
        <w:tc>
          <w:tcPr>
            <w:tcW w:w="4000" w:type="dxa"/>
            <w:gridSpan w:val="1"/>
            <w:noWrap/>
          </w:tcPr>
          <w:p>
            <w:pPr/>
            <w:r>
              <w:rPr/>
              <w:t xml:space="preserve">TOR developed for International Climate Resilient Infrastructure Specialist to support the project from the 3rd quarter, 2025. The consultant will support MISE-CEU to establish the baseline and prepare a detailed plan for project island implementation from 2026.</w:t>
            </w:r>
          </w:p>
        </w:tc>
      </w:tr>
      <w:tr>
        <w:trPr/>
        <w:tc>
          <w:tcPr>
            <w:tcW w:w="4000" w:type="dxa"/>
            <w:gridSpan w:val="1"/>
            <w:noWrap/>
          </w:tcPr>
          <w:p>
            <w:pPr/>
            <w:r>
              <w:rPr>
                <w:b w:val="1"/>
                <w:bCs w:val="1"/>
              </w:rPr>
              <w:t xml:space="preserve">The progress of the objective/outcome can be described as:</w:t>
            </w:r>
          </w:p>
        </w:tc>
        <w:tc>
          <w:tcPr>
            <w:tcW w:w="12000" w:type="dxa"/>
            <w:gridSpan w:val="5"/>
            <w:noWrap/>
          </w:tcPr>
          <w:p>
            <w:pPr/>
            <w:r>
              <w:rPr>
                <w:b w:val="1"/>
                <w:bCs w:val="1"/>
              </w:rPr>
              <w:t xml:space="preserve">Off track</w:t>
            </w:r>
          </w:p>
        </w:tc>
      </w:tr>
      <w:tr>
        <w:trPr/>
        <w:tc>
          <w:tcPr>
            <w:tcW w:w="4000" w:type="dxa"/>
            <w:gridSpan w:val="1"/>
            <w:noWrap/>
          </w:tcPr>
          <w:p>
            <w:pPr/>
            <w:r>
              <w:rPr>
                <w:b w:val="1"/>
                <w:bCs w:val="1"/>
              </w:rPr>
              <w:t xml:space="preserve">Evidence uploaded:</w:t>
            </w:r>
          </w:p>
        </w:tc>
        <w:tc>
          <w:tcPr>
            <w:tcW w:w="12000" w:type="dxa"/>
            <w:gridSpan w:val="5"/>
            <w:noWrap/>
          </w:tcPr>
          <w:p>
            <w:pPr/>
            <w:r>
              <w:rPr/>
              <w:t xml:space="preserve">YES</w:t>
            </w:r>
          </w:p>
        </w:tc>
      </w:tr>
      <w:tr>
        <w:trPr/>
        <w:tc>
          <w:tcPr>
            <w:tcW w:w="16000" w:type="dxa"/>
            <w:shd w:val="clear" w:fill="#D9D9D9"/>
            <w:gridSpan w:val="7"/>
            <w:noWrap/>
          </w:tcPr>
          <w:p>
            <w:pPr/>
            <w:r>
              <w:rPr>
                <w:b w:val="1"/>
                <w:bCs w:val="1"/>
              </w:rPr>
              <w:t xml:space="preserve">Outcome 4</w:t>
            </w:r>
          </w:p>
          <w:p>
            <w:pPr/>
            <w:r>
              <w:rPr>
                <w:b w:val="1"/>
                <w:bCs w:val="1"/>
              </w:rPr>
              <w:t xml:space="preserve">Component 4: Whole-of-Island communication and knowledge management                                                                                                                                                                       Outcome 4.1. Effective communication and coordination support knowledge sharing and upscaling of the project approach</w:t>
            </w:r>
          </w:p>
          <w:p>
            <w:pPr/>
            <w:r>
              <w:rPr>
                <w:b w:val="1"/>
                <w:bCs w:val="1"/>
              </w:rPr>
              <w:t xml:space="preserve">4.1.1 Whole-of-Island communication, engagement and coordination strengthened at national, island and community levels</w:t>
            </w:r>
          </w:p>
          <w:p>
            <w:pPr/>
            <w:r>
              <w:rPr>
                <w:b w:val="1"/>
                <w:bCs w:val="1"/>
              </w:rPr>
              <w:t xml:space="preserve">4.1.2 Whole-of-Island lessons learned captured and shared with national and regional stakeholders to promote project replication and upscaling</w:t>
            </w:r>
          </w:p>
          <w:p>
            <w:pPr/>
            <w:r>
              <w:rPr>
                <w:b w:val="1"/>
                <w:bCs w:val="1"/>
              </w:rPr>
              <w:t xml:space="preserve"/>
            </w:r>
          </w:p>
        </w:tc>
      </w:tr>
      <w:tr>
        <w:trPr/>
        <w:tc>
          <w:tcPr>
            <w:tcW w:w="4000" w:type="dxa"/>
            <w:gridSpan w:val="1"/>
            <w:noWrap/>
          </w:tcPr>
          <w:p>
            <w:pPr/>
            <w:r>
              <w:rPr>
                <w:b w:val="1"/>
                <w:bCs w:val="1"/>
              </w:rPr>
              <w:t xml:space="preserve">Description of Indicator</w:t>
            </w:r>
          </w:p>
        </w:tc>
        <w:tc>
          <w:tcPr>
            <w:tcW w:w="2000" w:type="dxa"/>
            <w:gridSpan w:val="1"/>
            <w:noWrap/>
          </w:tcPr>
          <w:p>
            <w:pPr/>
            <w:r>
              <w:rPr>
                <w:b w:val="1"/>
                <w:bCs w:val="1"/>
              </w:rPr>
              <w:t xml:space="preserve">Baseline Level</w:t>
            </w:r>
          </w:p>
        </w:tc>
        <w:tc>
          <w:tcPr>
            <w:tcW w:w="2000" w:type="dxa"/>
            <w:gridSpan w:val="1"/>
            <w:noWrap/>
          </w:tcPr>
          <w:p>
            <w:pPr/>
            <w:r>
              <w:rPr>
                <w:b w:val="1"/>
                <w:bCs w:val="1"/>
              </w:rPr>
              <w:t xml:space="preserve">Midterm target level</w:t>
            </w:r>
          </w:p>
        </w:tc>
        <w:tc>
          <w:tcPr>
            <w:tcW w:w="2000" w:type="dxa"/>
            <w:gridSpan w:val="1"/>
            <w:noWrap/>
          </w:tcPr>
          <w:p>
            <w:pPr/>
            <w:r>
              <w:rPr>
                <w:b w:val="1"/>
                <w:bCs w:val="1"/>
              </w:rPr>
              <w:t xml:space="preserve">End of project target level</w:t>
            </w:r>
          </w:p>
        </w:tc>
        <w:tc>
          <w:tcPr>
            <w:tcW w:w="4000" w:type="dxa"/>
            <w:gridSpan w:val="1"/>
            <w:noWrap/>
          </w:tcPr>
          <w:p>
            <w:pPr/>
            <w:r>
              <w:rPr>
                <w:b w:val="1"/>
                <w:bCs w:val="1"/>
              </w:rPr>
              <w:t xml:space="preserve">Level at Jun 30, 2024</w:t>
            </w:r>
          </w:p>
        </w:tc>
        <w:tc>
          <w:tcPr>
            <w:tcW w:w="4000" w:type="dxa"/>
            <w:gridSpan w:val="1"/>
            <w:noWrap/>
          </w:tcPr>
          <w:p>
            <w:pPr/>
            <w:r>
              <w:rPr>
                <w:b w:val="1"/>
                <w:bCs w:val="1"/>
              </w:rPr>
              <w:t xml:space="preserve">Cumulative progress since project start as of Jun 30, 2025</w:t>
            </w:r>
          </w:p>
        </w:tc>
      </w:tr>
      <w:tr>
        <w:trPr/>
        <w:tc>
          <w:tcPr>
            <w:tcW w:w="4000" w:type="dxa"/>
            <w:gridSpan w:val="1"/>
            <w:noWrap/>
          </w:tcPr>
          <w:p>
            <w:pPr/>
            <w:r>
              <w:rPr/>
              <w:t xml:space="preserve">Indicator 12: Number of communication and knowledge management materials and events on WoI approach supported</w:t>
            </w:r>
          </w:p>
        </w:tc>
        <w:tc>
          <w:tcPr>
            <w:tcW w:w="2000" w:type="dxa"/>
            <w:gridSpan w:val="1"/>
            <w:noWrap/>
          </w:tcPr>
          <w:p>
            <w:pPr/>
            <w:r>
              <w:rPr/>
              <w:t xml:space="preserve">0</w:t>
            </w:r>
          </w:p>
        </w:tc>
        <w:tc>
          <w:tcPr>
            <w:tcW w:w="2000" w:type="dxa"/>
            <w:gridSpan w:val="1"/>
            <w:noWrap/>
          </w:tcPr>
          <w:p>
            <w:pPr/>
            <w:r>
              <w:rPr/>
              <w:t xml:space="preserve">Total at mid-term: 3</w:t>
            </w:r>
          </w:p>
          <w:p>
            <w:pPr/>
            <w:r>
              <w:rPr/>
              <w:t xml:space="preserve"/>
            </w:r>
          </w:p>
          <w:p>
            <w:pPr/>
            <w:r>
              <w:rPr/>
              <w:t xml:space="preserve">1 WoI and CCA&amp;DRM-knowledge management and communication strategy for national level and project islands</w:t>
            </w:r>
          </w:p>
          <w:p>
            <w:pPr/>
            <w:r>
              <w:rPr/>
              <w:t xml:space="preserve">1 GESI-research publication</w:t>
            </w:r>
          </w:p>
          <w:p>
            <w:pPr/>
            <w:r>
              <w:rPr/>
              <w:t xml:space="preserve">1 WoI-regional partner meetings</w:t>
            </w:r>
          </w:p>
          <w:p>
            <w:pPr/>
            <w:r>
              <w:rPr/>
              <w:t xml:space="preserve"/>
            </w:r>
          </w:p>
        </w:tc>
        <w:tc>
          <w:tcPr>
            <w:tcW w:w="2000" w:type="dxa"/>
            <w:gridSpan w:val="1"/>
            <w:noWrap/>
          </w:tcPr>
          <w:p>
            <w:pPr/>
            <w:r>
              <w:rPr/>
              <w:t xml:space="preserve">Total at project-end: at least 6</w:t>
            </w:r>
          </w:p>
          <w:p>
            <w:pPr/>
            <w:r>
              <w:rPr/>
              <w:t xml:space="preserve"/>
            </w:r>
          </w:p>
          <w:p>
            <w:pPr/>
            <w:r>
              <w:rPr/>
              <w:t xml:space="preserve">2 WoI-regional partner meetings</w:t>
            </w:r>
          </w:p>
          <w:p>
            <w:pPr/>
            <w:r>
              <w:rPr/>
              <w:t xml:space="preserve">1 WoI-lessons learned publication</w:t>
            </w:r>
          </w:p>
          <w:p>
            <w:pPr/>
            <w:r>
              <w:rPr/>
              <w:t xml:space="preserve">1 national WoI-forum for islands, national and regional stakeholders by the end of the project</w:t>
            </w:r>
          </w:p>
          <w:p>
            <w:pPr/>
            <w:r>
              <w:rPr/>
              <w:t xml:space="preserve"/>
            </w:r>
          </w:p>
        </w:tc>
        <w:tc>
          <w:tcPr>
            <w:tcW w:w="4000" w:type="dxa"/>
            <w:gridSpan w:val="1"/>
            <w:noWrap/>
          </w:tcPr>
          <w:p>
            <w:pPr/>
            <w:r>
              <w:rPr/>
              <w:t xml:space="preserve">No progress made</w:t>
            </w:r>
          </w:p>
        </w:tc>
        <w:tc>
          <w:tcPr>
            <w:tcW w:w="4000" w:type="dxa"/>
            <w:gridSpan w:val="1"/>
            <w:noWrap/>
          </w:tcPr>
          <w:p>
            <w:pPr/>
            <w:r>
              <w:rPr/>
              <w:t xml:space="preserve">CCDRM communications advisor recruited as part of the Project Management Team.</w:t>
            </w:r>
          </w:p>
          <w:p>
            <w:pPr/>
            <w:r>
              <w:rPr/>
              <w:t xml:space="preserve">TOR developed for International CCDRM specialist to develop a project Communication and Knowledge Management Strategy from the 3rd quarter. The consultant will support the Project Management Unit to prepare a detailed plan for implementation from 2026.</w:t>
            </w:r>
          </w:p>
          <w:p>
            <w:pPr/>
            <w:r>
              <w:rPr/>
              <w:t xml:space="preserve">Collaboration discussed with development partners (NAP GN, SPREP, UNDRR, GGGI).</w:t>
            </w:r>
          </w:p>
          <w:p>
            <w:pPr/>
            <w:r>
              <w:rPr/>
              <w:t xml:space="preserve">Project partner/WOIA coordination workshop planned in the 3rd quarter 2025 with CCDRM-projects in Kiribati to discuss synergies and ways to enhance cooperation and collaboration.</w:t>
            </w:r>
          </w:p>
          <w:p>
            <w:pPr/>
            <w:r>
              <w:rPr/>
              <w:t xml:space="preserve"/>
            </w:r>
          </w:p>
          <w:p>
            <w:pPr/>
            <w:r>
              <w:rPr/>
              <w:t xml:space="preserve"/>
            </w:r>
          </w:p>
        </w:tc>
      </w:tr>
      <w:tr>
        <w:trPr/>
        <w:tc>
          <w:tcPr>
            <w:tcW w:w="4000" w:type="dxa"/>
            <w:gridSpan w:val="1"/>
            <w:noWrap/>
          </w:tcPr>
          <w:p>
            <w:pPr/>
            <w:r>
              <w:rPr>
                <w:b w:val="1"/>
                <w:bCs w:val="1"/>
              </w:rPr>
              <w:t xml:space="preserve">The progress of the objective/outcome can be described as:</w:t>
            </w:r>
          </w:p>
        </w:tc>
        <w:tc>
          <w:tcPr>
            <w:tcW w:w="12000" w:type="dxa"/>
            <w:gridSpan w:val="5"/>
            <w:noWrap/>
          </w:tcPr>
          <w:p>
            <w:pPr/>
            <w:r>
              <w:rPr>
                <w:b w:val="1"/>
                <w:bCs w:val="1"/>
              </w:rPr>
              <w:t xml:space="preserve">Off track</w:t>
            </w:r>
          </w:p>
        </w:tc>
      </w:tr>
      <w:tr>
        <w:trPr/>
        <w:tc>
          <w:tcPr>
            <w:tcW w:w="4000" w:type="dxa"/>
            <w:gridSpan w:val="1"/>
            <w:noWrap/>
          </w:tcPr>
          <w:p>
            <w:pPr/>
            <w:r>
              <w:rPr>
                <w:b w:val="1"/>
                <w:bCs w:val="1"/>
              </w:rPr>
              <w:t xml:space="preserve">Evidence uploaded:</w:t>
            </w:r>
          </w:p>
        </w:tc>
        <w:tc>
          <w:tcPr>
            <w:tcW w:w="12000" w:type="dxa"/>
            <w:gridSpan w:val="5"/>
            <w:noWrap/>
          </w:tcPr>
          <w:p>
            <w:pPr/>
            <w:r>
              <w:rPr/>
              <w:t xml:space="preserve">YES</w:t>
            </w:r>
          </w:p>
        </w:tc>
      </w:tr>
    </w:tbl>
    <w:p>
      <w:pPr>
        <w:pStyle w:val="Heading2"/>
      </w:pPr>
      <w:bookmarkStart w:id="4" w:name="_Toc4"/>
      <w:r>
        <w:t>Action plan</w:t>
      </w:r>
      <w:bookmarkEnd w:id="4"/>
    </w:p>
    <w:tbl>
      <w:tblGrid>
        <w:gridCol w:w="3000" w:type="dxa"/>
        <w:gridCol w:w="5000" w:type="dxa"/>
        <w:gridCol w:w="5000" w:type="dxa"/>
        <w:gridCol w:w="3000" w:type="dxa"/>
      </w:tblGrid>
      <w:tblPr>
        <w:tblW w:w="0" w:type="auto"/>
        <w:tblLayout w:type="autofit"/>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3000" w:type="dxa"/>
            <w:gridSpan w:val="1"/>
            <w:noWrap/>
          </w:tcPr>
          <w:p>
            <w:pPr/>
            <w:r>
              <w:rPr>
                <w:b w:val="1"/>
                <w:bCs w:val="1"/>
              </w:rPr>
              <w:t xml:space="preserve">Off-track objective/outcome</w:t>
            </w:r>
          </w:p>
        </w:tc>
        <w:tc>
          <w:tcPr>
            <w:tcW w:w="5000" w:type="dxa"/>
            <w:gridSpan w:val="1"/>
            <w:noWrap/>
          </w:tcPr>
          <w:p>
            <w:pPr/>
            <w:r>
              <w:rPr>
                <w:b w:val="1"/>
                <w:bCs w:val="1"/>
              </w:rPr>
              <w:t xml:space="preserve">Action(s) to be taken</w:t>
            </w:r>
          </w:p>
        </w:tc>
        <w:tc>
          <w:tcPr>
            <w:tcW w:w="5000" w:type="dxa"/>
            <w:gridSpan w:val="1"/>
            <w:noWrap/>
          </w:tcPr>
          <w:p>
            <w:pPr/>
            <w:r>
              <w:rPr>
                <w:b w:val="1"/>
                <w:bCs w:val="1"/>
              </w:rPr>
              <w:t xml:space="preserve">Responsible party/ies</w:t>
            </w:r>
          </w:p>
        </w:tc>
        <w:tc>
          <w:tcPr>
            <w:tcW w:w="3000" w:type="dxa"/>
            <w:gridSpan w:val="1"/>
            <w:noWrap/>
          </w:tcPr>
          <w:p>
            <w:pPr/>
            <w:r>
              <w:rPr>
                <w:b w:val="1"/>
                <w:bCs w:val="1"/>
              </w:rPr>
              <w:t xml:space="preserve">Due Date</w:t>
            </w:r>
          </w:p>
        </w:tc>
      </w:tr>
      <w:tr>
        <w:trPr/>
        <w:tc>
          <w:tcPr>
            <w:tcW w:w="3000" w:type="dxa"/>
            <w:gridSpan w:val="1"/>
            <w:noWrap/>
          </w:tcPr>
          <w:p>
            <w:pPr/>
            <w:r>
              <w:rPr/>
              <w:t xml:space="preserve">Objective</w:t>
            </w:r>
          </w:p>
        </w:tc>
        <w:tc>
          <w:tcPr>
            <w:tcW w:w="5000" w:type="dxa"/>
            <w:gridSpan w:val="1"/>
            <w:noWrap/>
          </w:tcPr>
          <w:p>
            <w:pPr/>
            <w:r>
              <w:rPr/>
              <w:t xml:space="preserve">1. Continued capacity building for PMU on project implementation and management including weekly meetings on detailed action points to move project implementation forward as well as the provision of CO support services on procurement, HR etc. .</w:t>
            </w:r>
          </w:p>
          <w:p>
            <w:pPr/>
            <w:r>
              <w:rPr/>
              <w:t xml:space="preserve">2. Strengthened oversight to through weekly meetings to ensure programmatic alignment and HACT compliance, including training and working-sessions on the preparation and use of project implementation documentations such as FACE Forms and progress reporting templates.</w:t>
            </w:r>
          </w:p>
          <w:p>
            <w:pPr/>
            <w:r>
              <w:rPr/>
              <w:t xml:space="preserve"/>
            </w:r>
          </w:p>
          <w:p>
            <w:pPr/>
            <w:r>
              <w:rPr/>
              <w:t xml:space="preserve">3. Accelerated CO support services on procurement by consolidating individual consultancy contracts into firm-level service agreements, thereby improving delivery efficiency and enabling access to a broader pool of readily available market expertise.</w:t>
            </w:r>
          </w:p>
          <w:p>
            <w:pPr/>
            <w:r>
              <w:rPr/>
              <w:t xml:space="preserve">4. Transitioning to the Kiribati Fiduciary Services Unit (KFSU), under the Ministry of Finance and Economic Development (MFED), which offers more efficient processing of project finances and is the preferred mechanism for many government agencies.</w:t>
            </w:r>
          </w:p>
          <w:p>
            <w:pPr/>
            <w:r>
              <w:rPr/>
              <w:t xml:space="preserve">. Conducting a spot check once the project has liquidated USD 50,000 (expected by end of September), followed by submission of a request to the Regional Bureau for an increase in the Direct Cash Transfer (DCT) ceiling for review and approval</w:t>
            </w:r>
          </w:p>
          <w:p>
            <w:pPr/>
            <w:r>
              <w:rPr/>
              <w:t xml:space="preserve">6. Consolidating a substantial portion of international consultants’ tasks into contractual service packages and engaging established consultancy networks to increase efficiency in the delivery of technical advisory services.</w:t>
            </w:r>
          </w:p>
          <w:p>
            <w:pPr/>
            <w:r>
              <w:rPr/>
              <w:t xml:space="preserve">7. Enhance in-country presence and support for the initial period of the project by exploring the deployment of a Technical Coordinator or increase the CTA percentage to full-time for augmented and dedicated implementation support to the Project Manager.</w:t>
            </w:r>
          </w:p>
          <w:p>
            <w:pPr/>
            <w:r>
              <w:rPr/>
              <w:t xml:space="preserve"/>
            </w:r>
          </w:p>
          <w:p>
            <w:pPr/>
            <w:r>
              <w:rPr/>
              <w:t xml:space="preserve"/>
            </w:r>
          </w:p>
        </w:tc>
        <w:tc>
          <w:tcPr>
            <w:tcW w:w="5000" w:type="dxa"/>
            <w:gridSpan w:val="1"/>
            <w:noWrap/>
          </w:tcPr>
          <w:p>
            <w:pPr/>
            <w:r>
              <w:rPr/>
              <w:t xml:space="preserve">UNDP in close collaboration with the Implementing Partner OB</w:t>
            </w:r>
          </w:p>
        </w:tc>
        <w:tc>
          <w:tcPr>
            <w:tcW w:w="3000" w:type="dxa"/>
            <w:gridSpan w:val="1"/>
            <w:noWrap/>
          </w:tcPr>
          <w:p>
            <w:pPr/>
            <w:r>
              <w:rPr/>
              <w:t xml:space="preserve">Jun 30, 2026</w:t>
            </w:r>
          </w:p>
        </w:tc>
      </w:tr>
      <w:tr>
        <w:trPr/>
        <w:tc>
          <w:tcPr>
            <w:tcW w:w="3000" w:type="dxa"/>
            <w:gridSpan w:val="1"/>
            <w:noWrap/>
          </w:tcPr>
          <w:p>
            <w:pPr/>
            <w:r>
              <w:rPr/>
              <w:t xml:space="preserve">Outcome 1</w:t>
            </w:r>
          </w:p>
        </w:tc>
        <w:tc>
          <w:tcPr>
            <w:tcW w:w="5000" w:type="dxa"/>
            <w:gridSpan w:val="1"/>
            <w:noWrap/>
          </w:tcPr>
          <w:p>
            <w:pPr/>
            <w:r>
              <w:rPr/>
              <w:t xml:space="preserve">1. Continued capacity building for PMU on project implementation and management including weekly meetings on detailed action points to move project implementation forward as well as the provision of CO support services on procurement, HR etc.</w:t>
            </w:r>
          </w:p>
          <w:p>
            <w:pPr/>
            <w:r>
              <w:rPr/>
              <w:t xml:space="preserve"/>
            </w:r>
          </w:p>
          <w:p>
            <w:pPr/>
            <w:r>
              <w:rPr/>
              <w:t xml:space="preserve">2. Strengthened oversight to through weekly meetings to ensure programmatic alignment and HACT compliance, including training and working-sessions on the preparation and use of project implementation documentations such as FACE Forms and progress reporting templates.</w:t>
            </w:r>
          </w:p>
          <w:p>
            <w:pPr/>
            <w:r>
              <w:rPr/>
              <w:t xml:space="preserve"/>
            </w:r>
          </w:p>
          <w:p>
            <w:pPr/>
            <w:r>
              <w:rPr/>
              <w:t xml:space="preserve">3. Transitioning to the Kiribati Fiduciary Services Unit (KFSU), under the Ministry of Finance and Economic Development (MFED), which offers more efficient processing of project finances and is the preferred mechanism for many government agencies.</w:t>
            </w:r>
          </w:p>
          <w:p>
            <w:pPr/>
            <w:r>
              <w:rPr/>
              <w:t xml:space="preserve"/>
            </w:r>
          </w:p>
          <w:p>
            <w:pPr/>
            <w:r>
              <w:rPr/>
              <w:t xml:space="preserve">4. Conducting a spot check once the project has liquidated USD 50,000 (expected by end of September), followed by submission of a request to the Regional Bureau for an increase in the Direct Cash Transfer (DCT) ceiling for review and approval.</w:t>
            </w:r>
          </w:p>
          <w:p>
            <w:pPr/>
            <w:r>
              <w:rPr/>
              <w:t xml:space="preserve"/>
            </w:r>
          </w:p>
        </w:tc>
        <w:tc>
          <w:tcPr>
            <w:tcW w:w="5000" w:type="dxa"/>
            <w:gridSpan w:val="1"/>
            <w:noWrap/>
          </w:tcPr>
          <w:p>
            <w:pPr/>
            <w:r>
              <w:rPr/>
              <w:t xml:space="preserve">UNDP and PMU in close collaboration with the Implementing Partner, Office of Te Berititenti (OB, or the Office of the President), and other government agencies in Kiribati (KFSU-MFED)</w:t>
            </w:r>
          </w:p>
        </w:tc>
        <w:tc>
          <w:tcPr>
            <w:tcW w:w="3000" w:type="dxa"/>
            <w:gridSpan w:val="1"/>
            <w:noWrap/>
          </w:tcPr>
          <w:p>
            <w:pPr/>
            <w:r>
              <w:rPr/>
              <w:t xml:space="preserve">Jun 30, 2026</w:t>
            </w:r>
          </w:p>
        </w:tc>
      </w:tr>
      <w:tr>
        <w:trPr/>
        <w:tc>
          <w:tcPr>
            <w:tcW w:w="3000" w:type="dxa"/>
            <w:gridSpan w:val="1"/>
            <w:noWrap/>
          </w:tcPr>
          <w:p>
            <w:pPr/>
            <w:r>
              <w:rPr/>
              <w:t xml:space="preserve">Outcome 2</w:t>
            </w:r>
          </w:p>
        </w:tc>
        <w:tc>
          <w:tcPr>
            <w:tcW w:w="5000" w:type="dxa"/>
            <w:gridSpan w:val="1"/>
            <w:noWrap/>
          </w:tcPr>
          <w:p>
            <w:pPr/>
            <w:r>
              <w:rPr/>
              <w:t xml:space="preserve">1. Identify partners that already works on the KIVA database to identify synergies and ensure coordinated support to the government of Kiribati as the owner of the data. Use subcontracts with such partners to add value on the existing work.</w:t>
            </w:r>
          </w:p>
          <w:p>
            <w:pPr/>
            <w:r>
              <w:rPr/>
              <w:t xml:space="preserve"/>
            </w:r>
          </w:p>
          <w:p>
            <w:pPr/>
            <w:r>
              <w:rPr/>
              <w:t xml:space="preserve">2. Continued capacity building for PMU on project implementation and management including weekly meetings on detailed action points to move project implementation forward as well as the provision of CO support services on procurement, HR etc.</w:t>
            </w:r>
          </w:p>
          <w:p>
            <w:pPr/>
            <w:r>
              <w:rPr/>
              <w:t xml:space="preserve"/>
            </w:r>
          </w:p>
          <w:p>
            <w:pPr/>
            <w:r>
              <w:rPr/>
              <w:t xml:space="preserve">3. Strengthened oversight to through weekly meetings to ensure programmatic alignment and HACT compliance, including training and working-sessions on the preparation and use of project implementation documentations such as FACE Forms and progress reporting templates.</w:t>
            </w:r>
          </w:p>
          <w:p>
            <w:pPr/>
            <w:r>
              <w:rPr/>
              <w:t xml:space="preserve"/>
            </w:r>
          </w:p>
          <w:p>
            <w:pPr/>
            <w:r>
              <w:rPr/>
              <w:t xml:space="preserve">4. Transitioning to the Kiribati Fiduciary Services Unit (KFSU), under the Ministry of Finance and Economic Development (MFED), which offers more efficient processing of project finances and is the preferred mechanism for many government agencies.</w:t>
            </w:r>
          </w:p>
          <w:p>
            <w:pPr/>
            <w:r>
              <w:rPr/>
              <w:t xml:space="preserve"/>
            </w:r>
          </w:p>
          <w:p>
            <w:pPr/>
            <w:r>
              <w:rPr/>
              <w:t xml:space="preserve">5. Conducting a spot check once the project has liquidated USD 50,000 (expected by end of September), followed by submission of a request to the Regional Bureau for an increase in the Direct Cash Transfer (DCT) ceiling for review and approval.</w:t>
            </w:r>
          </w:p>
        </w:tc>
        <w:tc>
          <w:tcPr>
            <w:tcW w:w="5000" w:type="dxa"/>
            <w:gridSpan w:val="1"/>
            <w:noWrap/>
          </w:tcPr>
          <w:p>
            <w:pPr/>
            <w:r>
              <w:rPr/>
              <w:t xml:space="preserve">UNDP  in close collaboration with the Implementing Partner, Office of Te Berititenti (OB, or the Office of the President), and other government agencies in Kiribati (KFSU-MFED)</w:t>
            </w:r>
          </w:p>
        </w:tc>
        <w:tc>
          <w:tcPr>
            <w:tcW w:w="3000" w:type="dxa"/>
            <w:gridSpan w:val="1"/>
            <w:noWrap/>
          </w:tcPr>
          <w:p>
            <w:pPr/>
            <w:r>
              <w:rPr/>
              <w:t xml:space="preserve">Jun 30, 2026</w:t>
            </w:r>
          </w:p>
        </w:tc>
      </w:tr>
      <w:tr>
        <w:trPr/>
        <w:tc>
          <w:tcPr>
            <w:tcW w:w="3000" w:type="dxa"/>
            <w:gridSpan w:val="1"/>
            <w:noWrap/>
          </w:tcPr>
          <w:p>
            <w:pPr/>
            <w:r>
              <w:rPr/>
              <w:t xml:space="preserve">Outcome 3</w:t>
            </w:r>
          </w:p>
        </w:tc>
        <w:tc>
          <w:tcPr>
            <w:tcW w:w="5000" w:type="dxa"/>
            <w:gridSpan w:val="1"/>
            <w:noWrap/>
          </w:tcPr>
          <w:p>
            <w:pPr/>
            <w:r>
              <w:rPr/>
              <w:t xml:space="preserve">1. Continued capacity building for PMU on project implementation and management including weekly meetings on detailed action points to move project implementation forward as well as the provision of CO support services on procurement, HR etc.</w:t>
            </w:r>
          </w:p>
          <w:p>
            <w:pPr/>
            <w:r>
              <w:rPr/>
              <w:t xml:space="preserve"/>
            </w:r>
          </w:p>
          <w:p>
            <w:pPr/>
            <w:r>
              <w:rPr/>
              <w:t xml:space="preserve">2. Strengthened oversight to through weekly meetings to ensure programmatic alignment and HACT compliance, including training and working-sessions on the preparation and use of project implementation documentations such as FACE Forms and progress reporting templates.</w:t>
            </w:r>
          </w:p>
          <w:p>
            <w:pPr/>
            <w:r>
              <w:rPr/>
              <w:t xml:space="preserve"/>
            </w:r>
          </w:p>
          <w:p>
            <w:pPr/>
            <w:r>
              <w:rPr/>
              <w:t xml:space="preserve">3. Transitioning to the Kiribati Fiduciary Services Unit (KFSU), under the Ministry of Finance and Economic Development (MFED), which offers more efficient processing of project finances and is the preferred mechanism for many government agencies.</w:t>
            </w:r>
          </w:p>
          <w:p>
            <w:pPr/>
            <w:r>
              <w:rPr/>
              <w:t xml:space="preserve"/>
            </w:r>
          </w:p>
          <w:p>
            <w:pPr/>
            <w:r>
              <w:rPr/>
              <w:t xml:space="preserve">4. Conducting a spot check once the project has liquidated USD 50,000 (expected by end of September), followed by submission of a request to the Regional Bureau for an increase in the Direct Cash Transfer (DCT) ceiling for review and approval.</w:t>
            </w:r>
          </w:p>
          <w:p>
            <w:pPr/>
            <w:r>
              <w:rPr/>
              <w:t xml:space="preserve"/>
            </w:r>
          </w:p>
        </w:tc>
        <w:tc>
          <w:tcPr>
            <w:tcW w:w="5000" w:type="dxa"/>
            <w:gridSpan w:val="1"/>
            <w:noWrap/>
          </w:tcPr>
          <w:p>
            <w:pPr/>
            <w:r>
              <w:rPr/>
              <w:t xml:space="preserve">UNDP and PMU in close collaboration with the Implementing Partner, Office of Te Berititenti (OB, or the Office of the President), and other government agencies in Kiribati (KFSU-MFED)</w:t>
            </w:r>
          </w:p>
        </w:tc>
        <w:tc>
          <w:tcPr>
            <w:tcW w:w="3000" w:type="dxa"/>
            <w:gridSpan w:val="1"/>
            <w:noWrap/>
          </w:tcPr>
          <w:p>
            <w:pPr/>
            <w:r>
              <w:rPr/>
              <w:t xml:space="preserve">Jun 30, 2026</w:t>
            </w:r>
          </w:p>
        </w:tc>
      </w:tr>
      <w:tr>
        <w:trPr/>
        <w:tc>
          <w:tcPr>
            <w:tcW w:w="3000" w:type="dxa"/>
            <w:gridSpan w:val="1"/>
            <w:noWrap/>
          </w:tcPr>
          <w:p>
            <w:pPr/>
            <w:r>
              <w:rPr/>
              <w:t xml:space="preserve">Outcome 4</w:t>
            </w:r>
          </w:p>
        </w:tc>
        <w:tc>
          <w:tcPr>
            <w:tcW w:w="5000" w:type="dxa"/>
            <w:gridSpan w:val="1"/>
            <w:noWrap/>
          </w:tcPr>
          <w:p>
            <w:pPr/>
            <w:r>
              <w:rPr/>
              <w:t xml:space="preserve">The project has onboarded a communication officer. PMU work through MCIA and MLPID through technical committee meetings.</w:t>
            </w:r>
          </w:p>
          <w:p>
            <w:pPr/>
            <w:r>
              <w:rPr/>
              <w:t xml:space="preserve"/>
            </w:r>
          </w:p>
          <w:p>
            <w:pPr/>
            <w:r>
              <w:rPr/>
              <w:t xml:space="preserve">Strengthen oversight by holding weekly meetings to ensure programmatic alignment and HACT compliance, and conduct training and working sessions on preparing and using project implementation documents (e.g., FACE Forms and progress reporting templates).</w:t>
            </w:r>
          </w:p>
          <w:p>
            <w:pPr/>
            <w:r>
              <w:rPr/>
              <w:t xml:space="preserve"/>
            </w:r>
          </w:p>
        </w:tc>
        <w:tc>
          <w:tcPr>
            <w:tcW w:w="5000" w:type="dxa"/>
            <w:gridSpan w:val="1"/>
            <w:noWrap/>
          </w:tcPr>
          <w:p>
            <w:pPr/>
            <w:r>
              <w:rPr/>
              <w:t xml:space="preserve">UNDP and PMU in close collaboration with the Implementing Partner, Office of Te Berititenti (OB, or the Office of the President), and other government agencies in Kiribati (KFSU-MFED)</w:t>
            </w:r>
          </w:p>
        </w:tc>
        <w:tc>
          <w:tcPr>
            <w:tcW w:w="3000" w:type="dxa"/>
            <w:gridSpan w:val="1"/>
            <w:noWrap/>
          </w:tcPr>
          <w:p>
            <w:pPr/>
            <w:r>
              <w:rPr/>
              <w:t xml:space="preserve">Jun 30, 2026</w:t>
            </w:r>
          </w:p>
        </w:tc>
      </w:tr>
    </w:tbl>
    <w:p>
      <w:pPr>
        <w:sectPr>
          <w:pgSz w:orient="landscape" w:w="16837.79527559055" w:h="11905.511811023622"/>
          <w:pgMar w:top="500" w:right="500" w:bottom="500" w:left="500" w:header="720" w:footer="720" w:gutter="0"/>
          <w:cols w:num="1" w:space="720"/>
        </w:sectPr>
      </w:pPr>
    </w:p>
    <w:p>
      <w:pPr>
        <w:pStyle w:val="Heading1"/>
      </w:pPr>
      <w:bookmarkStart w:id="5" w:name="_Toc5"/>
      <w:r>
        <w:t>Finance/Co-Finance</w:t>
      </w:r>
      <w:bookmarkEnd w:id="5"/>
    </w:p>
    <w:tbl>
      <w:tblGrid>
        <w:gridCol w:w="5000" w:type="dxa"/>
        <w:gridCol w:w="5000" w:type="dxa"/>
      </w:tblGrid>
      <w:tblPr>
        <w:tblW w:w="0" w:type="auto"/>
        <w:tblLayout w:type="autofit"/>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5000" w:type="dxa"/>
            <w:vAlign w:val="center"/>
            <w:noWrap/>
          </w:tcPr>
          <w:p>
            <w:pPr/>
            <w:r>
              <w:rPr/>
              <w:t xml:space="preserve">Cumulative disbursement as of Jun 30, 2025:</w:t>
            </w:r>
          </w:p>
          <w:p>
            <w:pPr/>
            <w:r>
              <w:rPr>
                <w:i w:val="1"/>
                <w:iCs w:val="1"/>
              </w:rPr>
              <w:t xml:space="preserve">
*Disbursement for the FY 2025 period is an estimate as books for UNDP Q2 2025 are not yet closed.</w:t>
            </w:r>
          </w:p>
        </w:tc>
        <w:tc>
          <w:tcPr>
            <w:tcW w:w="5000" w:type="dxa"/>
            <w:vAlign w:val="center"/>
            <w:gridSpan w:val="1"/>
            <w:noWrap/>
          </w:tcPr>
          <w:p>
            <w:pPr>
              <w:jc w:val="right"/>
            </w:pPr>
            <w:r>
              <w:rPr/>
              <w:t xml:space="preserve">53,416</w:t>
            </w:r>
          </w:p>
        </w:tc>
      </w:tr>
    </w:tbl>
    <w:p>
      <w:pPr>
        <w:pStyle w:val="Heading2"/>
      </w:pPr>
      <w:bookmarkStart w:id="6" w:name="_Toc6"/>
      <w:r>
        <w:t>Key Financing Amounts</w:t>
      </w:r>
      <w:bookmarkEnd w:id="6"/>
    </w:p>
    <w:tbl>
      <w:tblGrid>
        <w:gridCol w:w="5000" w:type="dxa"/>
        <w:gridCol w:w="5000" w:type="dxa"/>
      </w:tblGrid>
      <w:tblPr>
        <w:tblW w:w="0" w:type="auto"/>
        <w:tblLayout w:type="autofit"/>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5000" w:type="dxa"/>
            <w:gridSpan w:val="1"/>
            <w:noWrap/>
          </w:tcPr>
          <w:p>
            <w:pPr/>
            <w:r>
              <w:rPr/>
              <w:t xml:space="preserve">PPG Amount</w:t>
            </w:r>
          </w:p>
        </w:tc>
        <w:tc>
          <w:tcPr>
            <w:tcW w:w="5000" w:type="dxa"/>
            <w:vAlign w:val="center"/>
            <w:gridSpan w:val="1"/>
            <w:noWrap/>
          </w:tcPr>
          <w:p>
            <w:pPr>
              <w:jc w:val="right"/>
            </w:pPr>
            <w:r>
              <w:rPr/>
              <w:t xml:space="preserve">200,000</w:t>
            </w:r>
          </w:p>
        </w:tc>
      </w:tr>
      <w:tr>
        <w:trPr/>
        <w:tc>
          <w:tcPr>
            <w:tcW w:w="5000" w:type="dxa"/>
            <w:gridSpan w:val="1"/>
            <w:noWrap/>
          </w:tcPr>
          <w:p>
            <w:pPr/>
            <w:r>
              <w:rPr/>
              <w:t xml:space="preserve">GEF Grant Amount</w:t>
            </w:r>
          </w:p>
        </w:tc>
        <w:tc>
          <w:tcPr>
            <w:tcW w:w="5000" w:type="dxa"/>
            <w:vAlign w:val="center"/>
            <w:gridSpan w:val="1"/>
            <w:noWrap/>
          </w:tcPr>
          <w:p>
            <w:pPr>
              <w:jc w:val="right"/>
            </w:pPr>
            <w:r>
              <w:rPr/>
              <w:t xml:space="preserve">8,925,000</w:t>
            </w:r>
          </w:p>
        </w:tc>
      </w:tr>
      <w:tr>
        <w:trPr/>
        <w:tc>
          <w:tcPr>
            <w:tcW w:w="5000" w:type="dxa"/>
            <w:gridSpan w:val="1"/>
            <w:noWrap/>
          </w:tcPr>
          <w:p>
            <w:pPr/>
            <w:r>
              <w:rPr/>
              <w:t xml:space="preserve">Co-financing</w:t>
            </w:r>
          </w:p>
        </w:tc>
        <w:tc>
          <w:tcPr>
            <w:tcW w:w="5000" w:type="dxa"/>
            <w:vAlign w:val="center"/>
            <w:gridSpan w:val="1"/>
            <w:noWrap/>
          </w:tcPr>
          <w:p>
            <w:pPr>
              <w:jc w:val="right"/>
            </w:pPr>
            <w:r>
              <w:rPr/>
              <w:t xml:space="preserve">48,543,587</w:t>
            </w:r>
          </w:p>
        </w:tc>
      </w:tr>
    </w:tbl>
    <w:p>
      <w:pPr>
        <w:sectPr>
          <w:pgSz w:orient="portrait" w:w="11905.511811023622" w:h="16837.79527559055"/>
          <w:pgMar w:top="1440" w:right="1440" w:bottom="1440" w:left="1440" w:header="720" w:footer="720" w:gutter="0"/>
          <w:cols w:num="1" w:space="720"/>
        </w:sectPr>
      </w:pPr>
    </w:p>
    <w:p>
      <w:pPr>
        <w:pStyle w:val="Heading1"/>
      </w:pPr>
      <w:bookmarkStart w:id="7" w:name="_Toc7"/>
      <w:r>
        <w:t>Implementation Progress</w:t>
      </w:r>
      <w:bookmarkEnd w:id="7"/>
    </w:p>
    <w:tbl>
      <w:tblGrid>
        <w:gridCol w:w="10000" w:type="dxa"/>
      </w:tblGrid>
      <w:tblPr>
        <w:tblW w:w="0" w:type="auto"/>
        <w:tblLayout w:type="autofit"/>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noWrap/>
          </w:tcPr>
          <w:p>
            <w:pPr/>
            <w:r>
              <w:rPr>
                <w:b w:val="1"/>
                <w:bCs w:val="1"/>
              </w:rPr>
              <w:t xml:space="preserve">Project Manager: Please provide comments on delays with outputs/activities during the period 1 July 2024 through 30 June 2025.  If there were no delays, please indicate 'not applicable'.</w:t>
            </w:r>
          </w:p>
        </w:tc>
      </w:tr>
      <w:tr>
        <w:trPr/>
        <w:tc>
          <w:tcPr>
            <w:tcW w:w="10000" w:type="dxa"/>
            <w:gridSpan w:val="1"/>
            <w:noWrap/>
          </w:tcPr>
          <w:p>
            <w:pPr/>
            <w:r>
              <w:rPr/>
              <w:t xml:space="preserve">The project start was delayed since signature in January 2021 due to global COVID19-impacts and UNDP suspension of the project from April 2022-June 2024 due to risks associated with   a HACT Micro-Assessment with the risk overall rating as “significant”. In June 2024, the project was reactivated, with a limit on the direct cash transfer to the IP under USD 150,000 USD per year.</w:t>
            </w:r>
          </w:p>
          <w:p>
            <w:pPr/>
            <w:r>
              <w:rPr/>
              <w:t xml:space="preserve"/>
            </w:r>
          </w:p>
          <w:p>
            <w:pPr/>
            <w:r>
              <w:rPr/>
              <w:t xml:space="preserve">Despite the implementation standstill from 2021 to 2024, the project's objectives remain highly relevant to Kiribati's priorities.</w:t>
            </w:r>
          </w:p>
          <w:p>
            <w:pPr/>
            <w:r>
              <w:rPr/>
              <w:t xml:space="preserve">However, a no-cost project extension is necessary to make up for the implementation time lost. A no cost extension request was prepared by the project and programme team in May 2025 to allow the project implementation for 5 full years (January 2025 - January 2030)the Regional Bureau has provided feedback for project and programme team clarifications  . The project multi-year work plan and total budget work plan, and the procurement plan have been updated for this revised implementation period.</w:t>
            </w:r>
          </w:p>
          <w:p>
            <w:pPr/>
            <w:r>
              <w:rPr/>
              <w:t xml:space="preserve"/>
            </w:r>
          </w:p>
          <w:p>
            <w:pPr/>
            <w:r>
              <w:rPr/>
              <w:t xml:space="preserve">The project started implementation with pre-inception consultations in December 2024 and inception workshop in March 2025. An Annual Work Plan was prepared for 2025, and the Project Management Unit has been established in Tarawa, Kiribati, with three national staff (Project Manager, Communications officer and Finance-and Procurement Officer). A Technical coordinator is expected to be recruited in the 3rd quarter of 2025. In addition, the project is being supported by an international Chief Technical Advisor.</w:t>
            </w:r>
          </w:p>
          <w:p>
            <w:pPr/>
            <w:r>
              <w:rPr/>
              <w:t xml:space="preserve"/>
            </w:r>
          </w:p>
          <w:p>
            <w:pPr/>
            <w:r>
              <w:rPr/>
              <w:t xml:space="preserve">The project experienced some challenges in the 2nd quarter 2025 related to significant delays in the fund advance and access to project funds through the government system. The IP (OB) initially decided to use the government system for finance management through the government account no. 4 for the 1st and 2nd quarters 2025. However, this process proved to be cumbersome and causing delays in the project’s ability to access funds for operational costs and implementation (still unresolved as of 30 June 2025). This impacted salary payments and procurement for the Project Management Unit set-up as well as project activities related to the Technical committee and project partner coordination that had to be postponed to the 3rd quarter 2025. Therefore, and based on experience from other projects, the IP has indicated willingness to shift to finance management through KFSU (Kiribati Fiduciary Services Unit within the Ministry of Finance and Economic Development) that is established to handle project funds more efficiently from the 3rd quarter 2025.</w:t>
            </w:r>
          </w:p>
          <w:p>
            <w:pPr/>
            <w:r>
              <w:rPr/>
              <w:t xml:space="preserve"/>
            </w:r>
          </w:p>
        </w:tc>
      </w:tr>
    </w:tbl>
    <w:tbl>
      <w:tblGrid>
        <w:gridCol w:w="10000" w:type="dxa"/>
      </w:tblGrid>
      <w:tblPr>
        <w:tblW w:w="0" w:type="auto"/>
        <w:tblLayout w:type="autofit"/>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noWrap/>
          </w:tcPr>
          <w:p>
            <w:pPr/>
            <w:r>
              <w:rPr>
                <w:b w:val="1"/>
                <w:bCs w:val="1"/>
              </w:rPr>
              <w:t xml:space="preserve">CO Programme Officer: Please include specific measures to manage the project's implementation performance</w:t>
            </w:r>
          </w:p>
          <w:p>
            <w:pPr/>
            <w:r>
              <w:rPr>
                <w:b w:val="1"/>
                <w:bCs w:val="1"/>
              </w:rPr>
              <w:t xml:space="preserve"/>
            </w:r>
          </w:p>
          <w:p>
            <w:pPr/>
            <w:r>
              <w:rPr>
                <w:b w:val="1"/>
                <w:bCs w:val="1"/>
              </w:rPr>
              <w:t xml:space="preserve"/>
            </w:r>
          </w:p>
        </w:tc>
      </w:tr>
      <w:tr>
        <w:trPr/>
        <w:tc>
          <w:tcPr>
            <w:tcW w:w="10000" w:type="dxa"/>
            <w:gridSpan w:val="1"/>
            <w:noWrap/>
          </w:tcPr>
          <w:p>
            <w:pPr/>
            <w:r>
              <w:rPr/>
              <w:t xml:space="preserve">Next steps include:</w:t>
            </w:r>
          </w:p>
          <w:p>
            <w:pPr/>
            <w:r>
              <w:rPr/>
              <w:t xml:space="preserve">1. Continued capacity building for PMU on project implementation and management, including weekly meetings on detailed action points to move project implementation forward, as well as the provision of CO support services on procurement, HR, etc.</w:t>
            </w:r>
          </w:p>
          <w:p>
            <w:pPr/>
            <w:r>
              <w:rPr/>
              <w:t xml:space="preserve"/>
            </w:r>
          </w:p>
          <w:p>
            <w:pPr/>
            <w:r>
              <w:rPr/>
              <w:t xml:space="preserve">2. Strengthened oversight through weekly meetings to ensure programmatic alignment and HACT compliance, including training and working sessions on the preparation and use of project implementation documentations such as FACE Forms and progress reporting templates.</w:t>
            </w:r>
          </w:p>
          <w:p>
            <w:pPr/>
            <w:r>
              <w:rPr/>
              <w:t xml:space="preserve"/>
            </w:r>
          </w:p>
          <w:p>
            <w:pPr/>
            <w:r>
              <w:rPr/>
              <w:t xml:space="preserve">3. Accelerated CO support services on procurement by consolidating individual consultancy contracts into firm-level service agreements, thereby improving delivery efficiency and enabling access to a broader pool of readily available market expertise.</w:t>
            </w:r>
          </w:p>
          <w:p>
            <w:pPr/>
            <w:r>
              <w:rPr/>
              <w:t xml:space="preserve"/>
            </w:r>
          </w:p>
          <w:p>
            <w:pPr/>
            <w:r>
              <w:rPr/>
              <w:t xml:space="preserve">4. Transitioning to the Kiribati Fiduciary Services Unit (KFSU), under the Ministry of Finance and Economic Development (MFED), which offers more efficient processing of project finances and is the preferred mechanism for many government agencies.</w:t>
            </w:r>
          </w:p>
          <w:p>
            <w:pPr/>
            <w:r>
              <w:rPr/>
              <w:t xml:space="preserve"/>
            </w:r>
          </w:p>
          <w:p>
            <w:pPr/>
            <w:r>
              <w:rPr/>
              <w:t xml:space="preserve">5. Conducting a spot check once the project has liquidated USD 50,000 (expected by the end of September), followed by submission of a request to the Regional Bureau for an increase in the Direct Cash Transfer (DCT) ceiling for review and approval</w:t>
            </w:r>
          </w:p>
          <w:p>
            <w:pPr/>
            <w:r>
              <w:rPr/>
              <w:t xml:space="preserve"/>
            </w:r>
          </w:p>
          <w:p>
            <w:pPr/>
            <w:r>
              <w:rPr/>
              <w:t xml:space="preserve">6. Consolidating a substantial portion of international consultants’ tasks into contractual service packages and engaging established consultancy networks to increase efficiency in the delivery of technical advisory services.</w:t>
            </w:r>
          </w:p>
          <w:p>
            <w:pPr/>
            <w:r>
              <w:rPr/>
              <w:t xml:space="preserve"/>
            </w:r>
          </w:p>
          <w:p>
            <w:pPr/>
            <w:r>
              <w:rPr/>
              <w:t xml:space="preserve">7. Enhance in-country presence and support for the initial period of the project by exploring the deployment of a Technical Coordinator or increasing the CTA percentage to full-time for augmented and dedicated implementation support to the Project Manager.</w:t>
            </w:r>
          </w:p>
          <w:p>
            <w:pPr/>
            <w:r>
              <w:rPr/>
              <w:t xml:space="preserve"/>
            </w:r>
          </w:p>
        </w:tc>
      </w:tr>
    </w:tbl>
    <w:tbl>
      <w:tblGrid>
        <w:gridCol w:w="10000" w:type="dxa"/>
      </w:tblGrid>
      <w:tblPr>
        <w:tblW w:w="0" w:type="auto"/>
        <w:tblLayout w:type="autofit"/>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noWrap/>
          </w:tcPr>
          <w:p>
            <w:pPr/>
            <w:r>
              <w:rPr>
                <w:b w:val="1"/>
                <w:bCs w:val="1"/>
              </w:rPr>
              <w:t xml:space="preserve">BPPS RTA: Please include specific measures to manage the project's implementation performance.</w:t>
            </w:r>
          </w:p>
        </w:tc>
      </w:tr>
      <w:tr>
        <w:trPr/>
        <w:tc>
          <w:tcPr>
            <w:tcW w:w="10000" w:type="dxa"/>
            <w:gridSpan w:val="1"/>
            <w:noWrap/>
          </w:tcPr>
          <w:p>
            <w:pPr/>
            <w:r>
              <w:rPr/>
              <w:t xml:space="preserve">The project receives an Unsatisfactory Implementation Progress rating, same as previous years because implementation is not proceeding as planned despite the lifting of the suspension of the project in late 2024. The project continues to face major implementation challenges and implementation of most outputs/activities is off track. The suspension on the project imposed by the regional bureau was lifted in mid-2024 but with conditions related to a cap on Direct Cash Transfer of $150,000 to the IP which, if not removed, will result in delays in project implementation due to restrictions in the ability of the IP to undertake procurements, travel costs, HR etc. The CO has a plan to monitor the implementation of the initial $150,000 direct cash transfer closely and undertake a spot-check to assist with validating the capacity of the IP and the Government entities such as the Kiribati Fiduciary Services Unit (KFSU) who manages the cash transfer from UNDP to the IP and RPs. The result of this monitoring and spot-check, along with the CO’s project on capacity building is meant to allow for this Direct Cash Transfer limit to be lifted or increased.</w:t>
            </w:r>
          </w:p>
          <w:p>
            <w:pPr/>
            <w:r>
              <w:rPr/>
              <w:t xml:space="preserve"/>
            </w:r>
          </w:p>
          <w:p>
            <w:pPr/>
            <w:r>
              <w:rPr/>
              <w:t xml:space="preserve">While key PMU members such as the Project Manager was recruited in December 2024 and communications personnel hired in early 2025, there remains delays in payments of salaries and other expenditures due to delays in cash advancement to the IP. Furthermore, key position such as the CTA position has not been hired on a permanent basis. This, along with other technical advisor positions as international consultants have been delayed in recruitment thus far which has also contributed to the delays in implementation since the suspension was lifted.</w:t>
            </w:r>
          </w:p>
          <w:p>
            <w:pPr/>
            <w:r>
              <w:rPr/>
              <w:t xml:space="preserve"/>
            </w:r>
          </w:p>
          <w:p>
            <w:pPr/>
            <w:r>
              <w:rPr/>
              <w:t xml:space="preserve">In terms of progress made, the project officially restarted implementation and held the Inception workshop and the first Project Board meeting in March 2025. The Inception phase confirmed the continued relevance of the project objectives, outcomes and intended results to the country and therefore the project should be able to proceed with implementation at full scale without any restrictions, should the direct cash transfer issue be resolved and key positions are recruited and technical advisors are procured. The alternative of UNDP execution support will incur additional costs which requires to be covered by sources other than the GEF funds if beyond the currently agreed DPC during CEO endorsement.</w:t>
            </w:r>
          </w:p>
          <w:p>
            <w:pPr/>
            <w:r>
              <w:rPr/>
              <w:t xml:space="preserve"/>
            </w:r>
          </w:p>
          <w:p>
            <w:pPr/>
            <w:r>
              <w:rPr/>
              <w:t xml:space="preserve">Specific measures to be undertaken include:</w:t>
            </w:r>
          </w:p>
          <w:p>
            <w:pPr/>
            <w:r>
              <w:rPr/>
              <w:t xml:space="preserve">•	Close monitoring of the progress on initial $150,000 Direct Cash Advance to ensure that the capacity of the IP and Government entities (including KFSU)</w:t>
            </w:r>
          </w:p>
          <w:p>
            <w:pPr/>
            <w:r>
              <w:rPr/>
              <w:t xml:space="preserve">•	Development of a thorough procurement plan including scenarios for extent of CO execution support</w:t>
            </w:r>
          </w:p>
          <w:p>
            <w:pPr/>
            <w:r>
              <w:rPr/>
              <w:t xml:space="preserve">•	Closely monitored recruitment of key project personnel, including CTA and technical advisors.</w:t>
            </w:r>
          </w:p>
          <w:p>
            <w:pPr/>
            <w:r>
              <w:rPr/>
              <w:t xml:space="preserve">•	Regular engagement by RTA and CO management (DRR and EFP) with the IP on project progress</w:t>
            </w:r>
          </w:p>
          <w:p>
            <w:pPr/>
            <w:r>
              <w:rPr/>
              <w:t xml:space="preserve">•	Maximise the role of the Project Borad in ensuring continued commitment of the Government partners (RPs)</w:t>
            </w:r>
          </w:p>
          <w:p>
            <w:pPr/>
            <w:r>
              <w:rPr/>
              <w:t xml:space="preserve">•	Update and monitor key project monitoring tools such as the Gender Action Plan, Communications Strategy, ESMF, Stakeholder Engagement Plan etc.</w:t>
            </w:r>
          </w:p>
        </w:tc>
      </w:tr>
    </w:tbl>
    <w:p>
      <w:pPr>
        <w:sectPr>
          <w:pgSz w:orient="portrait" w:w="11905.511811023622" w:h="16837.79527559055"/>
          <w:pgMar w:top="1440" w:right="1440" w:bottom="1440" w:left="1440" w:header="720" w:footer="720" w:gutter="0"/>
          <w:cols w:num="1" w:space="720"/>
        </w:sectPr>
      </w:pPr>
    </w:p>
    <w:p>
      <w:pPr>
        <w:pStyle w:val="Heading1"/>
      </w:pPr>
      <w:bookmarkStart w:id="8" w:name="_Toc8"/>
      <w:r>
        <w:t>Project Governance</w:t>
      </w:r>
      <w:bookmarkEnd w:id="8"/>
    </w:p>
    <w:tbl>
      <w:tblGrid>
        <w:gridCol w:w="10000" w:type="dxa"/>
      </w:tblGrid>
      <w:tblPr>
        <w:tblW w:w="0" w:type="auto"/>
        <w:tblLayout w:type="autofit"/>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noWrap/>
          </w:tcPr>
          <w:p>
            <w:pPr/>
            <w:r>
              <w:rPr>
                <w:b w:val="1"/>
                <w:bCs w:val="1"/>
              </w:rPr>
              <w:t xml:space="preserve">1) Please enter the dates of Project Board meetings during the reporting period (1 July 2024 to 30 June 2025)</w:t>
            </w:r>
          </w:p>
        </w:tc>
      </w:tr>
      <w:tr>
        <w:trPr/>
        <w:tc>
          <w:tcPr>
            <w:tcW w:w="10000" w:type="dxa"/>
            <w:gridSpan w:val="1"/>
            <w:noWrap/>
          </w:tcPr>
          <w:p>
            <w:pPr/>
            <w:r>
              <w:rPr/>
              <w:t xml:space="preserve">2025-03-13</w:t>
            </w:r>
          </w:p>
        </w:tc>
      </w:tr>
    </w:tbl>
    <w:p>
      <w:pPr>
        <w:sectPr>
          <w:pgSz w:orient="portrait" w:w="11905.511811023622" w:h="16837.79527559055"/>
          <w:pgMar w:top="1440" w:right="1440" w:bottom="1440" w:left="1440" w:header="720" w:footer="720" w:gutter="0"/>
          <w:cols w:num="1" w:space="720"/>
        </w:sectPr>
      </w:pPr>
    </w:p>
    <w:p>
      <w:pPr>
        <w:pStyle w:val="Heading1"/>
      </w:pPr>
      <w:bookmarkStart w:id="9" w:name="_Toc9"/>
      <w:r>
        <w:t>Ratings and Overall Assessments</w:t>
      </w:r>
      <w:bookmarkEnd w:id="9"/>
    </w:p>
    <w:tbl>
      <w:tblGrid>
        <w:gridCol w:w="5000" w:type="dxa"/>
        <w:gridCol w:w="5000" w:type="dxa"/>
        <w:gridCol w:w="5000" w:type="dxa"/>
      </w:tblGrid>
      <w:tblPr>
        <w:tblW w:w="0" w:type="auto"/>
        <w:tblLayout w:type="autofit"/>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5000" w:type="dxa"/>
            <w:gridSpan w:val="1"/>
            <w:noWrap/>
          </w:tcPr>
          <w:p>
            <w:pPr/>
            <w:r>
              <w:rPr>
                <w:b w:val="1"/>
                <w:bCs w:val="1"/>
              </w:rPr>
              <w:t xml:space="preserve">Role</w:t>
            </w:r>
          </w:p>
        </w:tc>
        <w:tc>
          <w:tcPr>
            <w:tcW w:w="5000" w:type="dxa"/>
            <w:gridSpan w:val="1"/>
            <w:noWrap/>
          </w:tcPr>
          <w:p>
            <w:pPr/>
            <w:r>
              <w:rPr>
                <w:b w:val="1"/>
                <w:bCs w:val="1"/>
              </w:rPr>
              <w:t xml:space="preserve">2025 Development Objective Progress Rating</w:t>
            </w:r>
          </w:p>
        </w:tc>
        <w:tc>
          <w:tcPr>
            <w:tcW w:w="5000" w:type="dxa"/>
            <w:gridSpan w:val="1"/>
            <w:noWrap/>
          </w:tcPr>
          <w:p>
            <w:pPr/>
            <w:r>
              <w:rPr>
                <w:b w:val="1"/>
                <w:bCs w:val="1"/>
              </w:rPr>
              <w:t xml:space="preserve">2025 Implementation Progress Rating</w:t>
            </w:r>
          </w:p>
        </w:tc>
      </w:tr>
      <w:tr>
        <w:trPr/>
        <w:tc>
          <w:tcPr>
            <w:tcW w:w="5000" w:type="dxa"/>
            <w:gridSpan w:val="1"/>
            <w:noWrap/>
          </w:tcPr>
          <w:p>
            <w:pPr/>
            <w:r>
              <w:rPr>
                <w:b w:val="1"/>
                <w:bCs w:val="1"/>
              </w:rPr>
              <w:t xml:space="preserve">UNDP BPPS Technical Advisor</w:t>
            </w:r>
          </w:p>
        </w:tc>
        <w:tc>
          <w:tcPr>
            <w:tcW w:w="5000" w:type="dxa"/>
            <w:gridSpan w:val="1"/>
            <w:noWrap/>
          </w:tcPr>
          <w:p>
            <w:pPr/>
            <w:r>
              <w:rPr/>
              <w:t xml:space="preserve">Moderately Unsatisfactory</w:t>
            </w:r>
          </w:p>
        </w:tc>
        <w:tc>
          <w:tcPr>
            <w:tcW w:w="5000" w:type="dxa"/>
            <w:gridSpan w:val="1"/>
            <w:noWrap/>
          </w:tcPr>
          <w:p>
            <w:pPr/>
            <w:r>
              <w:rPr/>
              <w:t xml:space="preserve">Unsatisfactory</w:t>
            </w:r>
          </w:p>
        </w:tc>
      </w:tr>
    </w:tbl>
    <w:p>
      <w:pPr/>
      <w:r>
        <w:rPr/>
        <w:t xml:space="preserve"/>
      </w:r>
    </w:p>
    <w:tbl>
      <w:tblGrid>
        <w:gridCol w:w="5000" w:type="dxa"/>
        <w:gridCol w:w="10000" w:type="dxa"/>
      </w:tblGrid>
      <w:tblPr>
        <w:tblW w:w="0" w:type="auto"/>
        <w:tblLayout w:type="autofit"/>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5000" w:type="dxa"/>
            <w:gridSpan w:val="1"/>
            <w:noWrap/>
          </w:tcPr>
          <w:p>
            <w:pPr/>
            <w:r>
              <w:rPr>
                <w:b w:val="1"/>
                <w:bCs w:val="1"/>
              </w:rPr>
              <w:t xml:space="preserve">Role</w:t>
            </w:r>
          </w:p>
        </w:tc>
        <w:tc>
          <w:tcPr>
            <w:tcW w:w="10000" w:type="dxa"/>
            <w:gridSpan w:val="1"/>
            <w:noWrap/>
          </w:tcPr>
          <w:p>
            <w:pPr/>
            <w:r>
              <w:rPr>
                <w:b w:val="1"/>
                <w:bCs w:val="1"/>
              </w:rPr>
              <w:t xml:space="preserve">2025 Overall Assessment</w:t>
            </w:r>
          </w:p>
        </w:tc>
      </w:tr>
      <w:tr>
        <w:trPr/>
        <w:tc>
          <w:tcPr>
            <w:tcW w:w="5000" w:type="dxa"/>
            <w:gridSpan w:val="1"/>
            <w:noWrap/>
          </w:tcPr>
          <w:p>
            <w:pPr/>
            <w:r>
              <w:rPr>
                <w:b w:val="1"/>
                <w:bCs w:val="1"/>
              </w:rPr>
              <w:t xml:space="preserve">UNDP BPPS Technical Advisor</w:t>
            </w:r>
          </w:p>
        </w:tc>
        <w:tc>
          <w:tcPr>
            <w:tcW w:w="10000" w:type="dxa"/>
            <w:gridSpan w:val="1"/>
            <w:noWrap/>
          </w:tcPr>
          <w:p>
            <w:pPr/>
            <w:r>
              <w:rPr/>
              <w:t xml:space="preserve">The UNDP Support to Kiribati NAPA Follow-Up Project has made notable strides in 2025 following a prolonged suspension period from 2022 to mid-2024. The project, which aims to enhance resilience to climate and disaster risks through a Whole-of-Island (WoI) approach, officially resumed implementation with the Inception Workshop and Project Board meeting held in March 2025. These events reaffirmed the continued relevance of the project’s objectives, outcomes, and design, despite the significant delay in implementation.</w:t>
            </w:r>
          </w:p>
          <w:p>
            <w:pPr/>
            <w:r>
              <w:rPr/>
              <w:t xml:space="preserve"/>
            </w:r>
          </w:p>
          <w:p>
            <w:pPr/>
            <w:r>
              <w:rPr/>
              <w:t xml:space="preserve">The project remains off-track in terms of achieving its development objectives and implementation progress. The Development Objective (DO) rating has improved slightly to Moderately Unsatisfactory from last year’s Unsatisfactory rating, reflecting the findings of the Inception phase of continues relevance of project Objective and Outcomes and the renewed momentum and potential for recovery. However, the Implementation Progress (IP) rating remains Unsatisfactory. The project has the potential to achieve its intended outcomes by the end of the project period with adaptive management change, including a No-Cost-Extension.</w:t>
            </w:r>
          </w:p>
          <w:p>
            <w:pPr/>
            <w:r>
              <w:rPr/>
              <w:t xml:space="preserve"/>
            </w:r>
          </w:p>
          <w:p>
            <w:pPr/>
            <w:r>
              <w:rPr/>
              <w:t xml:space="preserve">Key achievements during this reporting period include:</w:t>
            </w:r>
          </w:p>
          <w:p>
            <w:pPr/>
            <w:r>
              <w:rPr/>
              <w:t xml:space="preserve">•	Reactivation of the project and lifting of the suspension by the Regional Bureau for Asia and the Pacific.</w:t>
            </w:r>
          </w:p>
          <w:p>
            <w:pPr/>
            <w:r>
              <w:rPr/>
              <w:t xml:space="preserve">•	Recruitment of core PMU staff, including the Project Manager, Communications Officer, and Finance and Procurement Officer.</w:t>
            </w:r>
          </w:p>
          <w:p>
            <w:pPr/>
            <w:r>
              <w:rPr/>
              <w:t xml:space="preserve">•	Preparation and validation of the Annual Work Plan (AWP) for 2025 and Terms of Reference for key international consultants.</w:t>
            </w:r>
          </w:p>
          <w:p>
            <w:pPr/>
            <w:r>
              <w:rPr/>
              <w:t xml:space="preserve">•	Submission of a no-cost extension request to allow for full five-year implementation as originally envisioned.</w:t>
            </w:r>
          </w:p>
          <w:p>
            <w:pPr/>
            <w:r>
              <w:rPr/>
              <w:t xml:space="preserve"/>
            </w:r>
          </w:p>
          <w:p>
            <w:pPr/>
            <w:r>
              <w:rPr/>
              <w:t xml:space="preserve">The risk rating remains Substantial, with key risks identified around project duration, financial delivery, and institutional capacity. Mitigation measures are underway, including transitioning to the Kiribati Fiduciary Services Unit (KFSU) for financial management and conducting a spot check to potentially lift the DCT ceiling.</w:t>
            </w:r>
          </w:p>
          <w:p>
            <w:pPr/>
            <w:r>
              <w:rPr/>
              <w:t xml:space="preserve"/>
            </w:r>
          </w:p>
          <w:p>
            <w:pPr/>
            <w:r>
              <w:rPr/>
              <w:t xml:space="preserve">The project’s relevance has been reaffirmed through stakeholder consultations, and the strategic results framework has been updated to reflect revised beneficiary numbers based on the latest census. However, all four project components are currently rated as off-track, with implementation activities largely deferred to 2026 pending recruitment and mobilization of technical support.</w:t>
            </w:r>
          </w:p>
          <w:p>
            <w:pPr/>
            <w:r>
              <w:rPr/>
              <w:t xml:space="preserve"/>
            </w:r>
          </w:p>
          <w:p>
            <w:pPr/>
            <w:r>
              <w:rPr/>
              <w:t xml:space="preserve">Looking ahead, the project’s success hinges on:</w:t>
            </w:r>
          </w:p>
          <w:p>
            <w:pPr/>
            <w:r>
              <w:rPr/>
              <w:t xml:space="preserve">•	Resolution of the Direct Cash Transfer limit or the enhancement of the UNDP execution support.</w:t>
            </w:r>
          </w:p>
          <w:p>
            <w:pPr/>
            <w:r>
              <w:rPr/>
              <w:t xml:space="preserve">•	Approval of the requested extension to enable full implementation.</w:t>
            </w:r>
          </w:p>
          <w:p>
            <w:pPr/>
            <w:r>
              <w:rPr/>
              <w:t xml:space="preserve">•	Timely recruitment of the Chief Technical Advisor and Technical Coordinators.</w:t>
            </w:r>
          </w:p>
          <w:p>
            <w:pPr/>
            <w:r>
              <w:rPr/>
              <w:t xml:space="preserve">•	Strengthened capacity building and oversight mechanisms.</w:t>
            </w:r>
          </w:p>
          <w:p>
            <w:pPr/>
            <w:r>
              <w:rPr/>
              <w:t xml:space="preserve">•	Enhanced utilization of UNDP Country Office support services.</w:t>
            </w:r>
          </w:p>
          <w:p>
            <w:pPr/>
            <w:r>
              <w:rPr/>
              <w:t xml:space="preserve"/>
            </w:r>
          </w:p>
          <w:p>
            <w:pPr/>
            <w:r>
              <w:rPr/>
              <w:t xml:space="preserve">In conclusion, while the project has regained momentum in 2025, significant adaptive management and institutional support are required to bring implementation back on track and ensure the achievement of intended outcomes by the revised project closure date.</w:t>
            </w:r>
          </w:p>
          <w:p>
            <w:pPr/>
            <w:r>
              <w:rPr/>
              <w:t xml:space="preserve">----</w:t>
            </w:r>
          </w:p>
          <w:p>
            <w:pPr/>
            <w:r>
              <w:rPr/>
              <w:t xml:space="preserve">Project challenges in this reporting period include:</w:t>
            </w:r>
          </w:p>
          <w:p>
            <w:pPr/>
            <w:r>
              <w:rPr/>
              <w:t xml:space="preserve">•	Continued delays in recruitment of technical advisors and consultants.</w:t>
            </w:r>
          </w:p>
          <w:p>
            <w:pPr/>
            <w:r>
              <w:rPr/>
              <w:t xml:space="preserve">•	Financial constraints stemming from the cap on Direct Cash Transfers (DCT) to the Implementing Partner (IP).</w:t>
            </w:r>
          </w:p>
          <w:p>
            <w:pPr/>
            <w:r>
              <w:rPr/>
              <w:t xml:space="preserve">•	Operational challenges in fund disbursement through government systems, which have impacted timely execution of activities and salary payments.</w:t>
            </w:r>
          </w:p>
        </w:tc>
      </w:tr>
      <w:tr>
        <w:trPr/>
        <w:tc>
          <w:tcPr>
            <w:tcW w:w="5000" w:type="dxa"/>
            <w:gridSpan w:val="1"/>
            <w:noWrap/>
          </w:tcPr>
          <w:p>
            <w:pPr/>
            <w:r>
              <w:rPr>
                <w:b w:val="1"/>
                <w:bCs w:val="1"/>
              </w:rPr>
              <w:t xml:space="preserve">UNDP Country Office Programme Officer</w:t>
            </w:r>
          </w:p>
        </w:tc>
        <w:tc>
          <w:tcPr>
            <w:tcW w:w="10000" w:type="dxa"/>
            <w:gridSpan w:val="1"/>
            <w:noWrap/>
          </w:tcPr>
          <w:p>
            <w:pPr/>
            <w:r>
              <w:rPr/>
              <w:t xml:space="preserve">The project remained suspended from the time of its approval until June 2024, with a Direct Cash Transfer (DCT) ceiling of USD 150,000 to the Government. This suspension coincided with a period of democratic leadership transition in the country until December.</w:t>
            </w:r>
          </w:p>
          <w:p>
            <w:pPr/>
            <w:r>
              <w:rPr/>
              <w:t xml:space="preserve"/>
            </w:r>
          </w:p>
          <w:p>
            <w:pPr/>
            <w:r>
              <w:rPr/>
              <w:t xml:space="preserve">Since then, significant progress has been made, including the onboarding of the in-country project team and an interim international CTA providing support remotely with in-country missions  , the provision of ongoing and hands-on capacity building for the Project Management Unit (PMU), the completion of a comprehensive project reformulation based on extensive stakeholder consultations, and the initiation and coordination of technical advisory and procurement activities across all outputs. A project extension request have also been   prepared along with necessary annexes and plans, which have been reviewed by the regional Bureau for further revisions. The project and programme team is currently addressing Bureau comments.</w:t>
            </w:r>
          </w:p>
          <w:p>
            <w:pPr/>
            <w:r>
              <w:rPr/>
              <w:t xml:space="preserve"/>
            </w:r>
          </w:p>
          <w:p>
            <w:pPr/>
            <w:r>
              <w:rPr/>
              <w:t xml:space="preserve">Given the context of Kiribati, the fact that the WOIA project works with 8 different sectors and ministries, and 5 islands each comes with its own governing body, the progress since December demonstrates good progress, but challenges for ensuring steady implementation remain:</w:t>
            </w:r>
          </w:p>
          <w:p>
            <w:pPr/>
            <w:r>
              <w:rPr/>
              <w:t xml:space="preserve">•	Government staffing constraints and competing priorities: The limited number of government staff, coupled with frequent duty travel and competing responsibilities, impacts the timeliness of engagement and decision-making for project activities.</w:t>
            </w:r>
          </w:p>
          <w:p>
            <w:pPr/>
            <w:r>
              <w:rPr/>
              <w:t xml:space="preserve">•	PMU location outside of government structures: As the PMU is situated outside of government premises, it does not have real-time access to the Implementing Partner (IP), which limits day-to-day coordination and responsiveness.</w:t>
            </w:r>
          </w:p>
          <w:p>
            <w:pPr/>
            <w:r>
              <w:rPr/>
              <w:t xml:space="preserve">•	Complexities in financial management and reporting: The project utilized the Government #4 Account for the first tranche of the NIM advance; however, government counterparts remain unfamiliar with allotment and reconciliation procedures. This, combined with system lags in capturing real-time expenditures, has made accessing and utilizing project funds challenging.</w:t>
            </w:r>
          </w:p>
          <w:p>
            <w:pPr/>
            <w:r>
              <w:rPr/>
              <w:t xml:space="preserve">•	Cross-ministerial coordination challenges: The WOIA project spans eight ministries and multiple sectors, with coordination further complicated by institutional overlaps. Four islands fall under the Ministry of Commerce, Industry and Cooperatives (MCIA), which operates in parallel to the Office of the President (OB) as the Implementing Partner, while Kiritimati Island is under the Ministry of Line and Phoenix Islands Development (MLPID). These parallel governance arrangements pose additional coordination hurdles.</w:t>
            </w:r>
          </w:p>
          <w:p>
            <w:pPr/>
            <w:r>
              <w:rPr/>
              <w:t xml:space="preserve"/>
            </w:r>
          </w:p>
          <w:p>
            <w:pPr/>
            <w:r>
              <w:rPr/>
              <w:t xml:space="preserve">Next steps include:</w:t>
            </w:r>
          </w:p>
          <w:p>
            <w:pPr/>
            <w:r>
              <w:rPr/>
              <w:t xml:space="preserve">1. Continued capacity building for PMU on project implementation and management including weekly meetings on detailed action points to move project implementation forward as well as the provision of CO support services on procurement, HR etc.</w:t>
            </w:r>
          </w:p>
          <w:p>
            <w:pPr/>
            <w:r>
              <w:rPr/>
              <w:t xml:space="preserve">2. Strengthened oversight to through weekly meetings to ensure programmatic alignment and HACT compliance, including training and working-sessions on the preparation and use of project implementation documentations such as FACE Forms and progress reporting templates.</w:t>
            </w:r>
          </w:p>
          <w:p>
            <w:pPr/>
            <w:r>
              <w:rPr/>
              <w:t xml:space="preserve">3. Accelerated CO support services on procurement by consolidating individual consultancy contracts into firm-level service agreements, thereby improving delivery efficiency and enabling access to a broader pool of readily available market expertise.</w:t>
            </w:r>
          </w:p>
          <w:p>
            <w:pPr/>
            <w:r>
              <w:rPr/>
              <w:t xml:space="preserve">4. Transitioning to the Kiribati Fiduciary Services Unit (KFSU), under the Ministry of Finance and Economic Development (MFED), which offers more efficient processing of project finances and is the preferred mechanism for many government agencies.</w:t>
            </w:r>
          </w:p>
          <w:p>
            <w:pPr/>
            <w:r>
              <w:rPr/>
              <w:t xml:space="preserve">5. Conducting a spot check once the project has liquidated USD 50,000 (expected by end of September), followed by submission of a request to the Regional Bureau for an increase in the Direct Cash Transfer (DCT) ceiling for review and approval</w:t>
            </w:r>
          </w:p>
          <w:p>
            <w:pPr/>
            <w:r>
              <w:rPr/>
              <w:t xml:space="preserve">6. Consolidating a substantial portion of international consultants’ tasks into contractual service packages and engaging established consultancy networks to increase efficiency in the delivery of technical advisory services.</w:t>
            </w:r>
          </w:p>
          <w:p>
            <w:pPr/>
            <w:r>
              <w:rPr/>
              <w:t xml:space="preserve">7. Enhance in-country presence and support for the initial period of the project by exploring the deployment of a Technical Coordinator or increase the CTA percentage to full-time for augmented and dedicated implementation support to the Project Manager.</w:t>
            </w:r>
          </w:p>
          <w:p>
            <w:pPr/>
            <w:r>
              <w:rPr/>
              <w:t xml:space="preserve"/>
            </w:r>
          </w:p>
        </w:tc>
      </w:tr>
      <w:tr>
        <w:trPr/>
        <w:tc>
          <w:tcPr>
            <w:tcW w:w="5000" w:type="dxa"/>
            <w:gridSpan w:val="1"/>
            <w:noWrap/>
          </w:tcPr>
          <w:p>
            <w:pPr/>
            <w:r>
              <w:rPr>
                <w:b w:val="1"/>
                <w:bCs w:val="1"/>
              </w:rPr>
              <w:t xml:space="preserve">Project Manager/Coordinator</w:t>
            </w:r>
          </w:p>
        </w:tc>
        <w:tc>
          <w:tcPr>
            <w:tcW w:w="10000" w:type="dxa"/>
            <w:gridSpan w:val="1"/>
            <w:noWrap/>
          </w:tcPr>
          <w:p>
            <w:pPr/>
            <w:r>
              <w:rPr/>
              <w:t xml:space="preserve">With progress and plans made this reporting period, and anticipated project extension for the period 2025-2030, the project is on track to be implemented for a 5-year duration from January 2025-2030.</w:t>
            </w:r>
          </w:p>
          <w:p>
            <w:pPr/>
            <w:r>
              <w:rPr/>
              <w:t xml:space="preserve"/>
            </w:r>
          </w:p>
          <w:p>
            <w:pPr/>
            <w:r>
              <w:rPr/>
              <w:t xml:space="preserve">Key achievements this reporting period includes:</w:t>
            </w:r>
          </w:p>
          <w:p>
            <w:pPr/>
            <w:r>
              <w:rPr/>
              <w:t xml:space="preserve">•	Pre-Inception Consultations: Thorough consultations were conducted between December 2024 and March 2025, to assess changes since project design and approval in 2020. These consultations involved national stakeholders, government entities, CSOs/NGOs, and partners in Tarawa. The concept of a “While of Island” approach, and the theory of change, results and resources framework, project design, specifically the objectives, indicators, targets, outcomes, and outputs were confirmed as still valid and relevant, even following a delayed start, while some activities required updating to complement existing government or donor efforts.</w:t>
            </w:r>
          </w:p>
          <w:p>
            <w:pPr/>
            <w:r>
              <w:rPr/>
              <w:t xml:space="preserve">•	Project Management Unit (PMU) Setup: the Project Manager, the Project Communications Officer and the Project Finance and Communications Officer were recruited by OB. OB also allocated office space for the PMU. UNDP recruited a temporary inception consultant and Chief Technical Advisor until June 2025. From the 3rd quarter 2025, an international Technical Coordinator to be based in Tarawa and an international Chief Technical Advisor will be recruited by UNDP.</w:t>
            </w:r>
          </w:p>
          <w:p>
            <w:pPr/>
            <w:r>
              <w:rPr/>
              <w:t xml:space="preserve">•	Inception Workshop: The workshop was held on March 12-13, 2025, formally launching the project. The first day (March 12) was an internal session with OB and UNDP, while the second day (March 13) was an external session for all stakeholders, followed by a Project Board meeting.</w:t>
            </w:r>
          </w:p>
          <w:p>
            <w:pPr/>
            <w:r>
              <w:rPr/>
              <w:t xml:space="preserve">•	Annual Work Plan: the Annual Workplan for 2025 was signed with a total budget for 2025 of USD 816,500, whereof USD 150,000 allocated as an advance through OB and USD 666,500 for UNDP Country Office support to National Implementation.</w:t>
            </w:r>
          </w:p>
          <w:p>
            <w:pPr/>
            <w:r>
              <w:rPr/>
              <w:t xml:space="preserve">•	No cost Project Extension Request: UNDP is leading the process related to the requested 4 year no-cost extension to ensure the project can run for its originally planned 5-year duration (January 2025-January 2030).</w:t>
            </w:r>
          </w:p>
          <w:p>
            <w:pPr/>
            <w:r>
              <w:rPr/>
              <w:t xml:space="preserve">•	Implementation Activities: the project's initial quarters in 2025 focused on PMU recruitment and procurement. Terms of Reference were prepared for 8 international specialists (safeguards, gender, communications, legal framework, agriculture, water, civil engineering, and coastal hazard mapping) as well as 2 supporting local consultants, who will support project implementation from the 3rd and 4th quarters 2025.</w:t>
            </w:r>
          </w:p>
          <w:p>
            <w:pPr/>
            <w:r>
              <w:rPr/>
              <w:t xml:space="preserve"/>
            </w:r>
          </w:p>
        </w:tc>
      </w:tr>
      <w:tr>
        <w:trPr/>
        <w:tc>
          <w:tcPr>
            <w:tcW w:w="5000" w:type="dxa"/>
            <w:gridSpan w:val="1"/>
            <w:noWrap/>
          </w:tcPr>
          <w:p>
            <w:pPr/>
            <w:r>
              <w:rPr>
                <w:b w:val="1"/>
                <w:bCs w:val="1"/>
              </w:rPr>
              <w:t xml:space="preserve">GEF Operational Focal point</w:t>
            </w:r>
          </w:p>
        </w:tc>
        <w:tc>
          <w:tcPr>
            <w:tcW w:w="10000" w:type="dxa"/>
            <w:gridSpan w:val="1"/>
            <w:noWrap/>
          </w:tcPr>
          <w:p>
            <w:pPr/>
            <w:r>
              <w:rPr>
                <w:i w:val="1"/>
                <w:iCs w:val="1"/>
              </w:rPr>
              <w:t xml:space="preserve">(not set or not applicable)</w:t>
            </w:r>
          </w:p>
        </w:tc>
      </w:tr>
      <w:tr>
        <w:trPr/>
        <w:tc>
          <w:tcPr>
            <w:tcW w:w="5000" w:type="dxa"/>
            <w:gridSpan w:val="1"/>
            <w:noWrap/>
          </w:tcPr>
          <w:p>
            <w:pPr/>
            <w:r>
              <w:rPr>
                <w:b w:val="1"/>
                <w:bCs w:val="1"/>
              </w:rPr>
              <w:t xml:space="preserve">Project Implementing Partner</w:t>
            </w:r>
          </w:p>
        </w:tc>
        <w:tc>
          <w:tcPr>
            <w:tcW w:w="10000" w:type="dxa"/>
            <w:gridSpan w:val="1"/>
            <w:noWrap/>
          </w:tcPr>
          <w:p>
            <w:pPr/>
            <w:r>
              <w:rPr>
                <w:i w:val="1"/>
                <w:iCs w:val="1"/>
              </w:rPr>
              <w:t xml:space="preserve">(not set or not applicable)</w:t>
            </w:r>
          </w:p>
        </w:tc>
      </w:tr>
      <w:tr>
        <w:trPr/>
        <w:tc>
          <w:tcPr>
            <w:tcW w:w="5000" w:type="dxa"/>
            <w:gridSpan w:val="1"/>
            <w:noWrap/>
          </w:tcPr>
          <w:p>
            <w:pPr/>
            <w:r>
              <w:rPr>
                <w:b w:val="1"/>
                <w:bCs w:val="1"/>
              </w:rPr>
              <w:t xml:space="preserve">Other Partners</w:t>
            </w:r>
          </w:p>
        </w:tc>
        <w:tc>
          <w:tcPr>
            <w:tcW w:w="10000" w:type="dxa"/>
            <w:gridSpan w:val="1"/>
            <w:noWrap/>
          </w:tcPr>
          <w:p>
            <w:pPr/>
            <w:r>
              <w:rPr>
                <w:i w:val="1"/>
                <w:iCs w:val="1"/>
              </w:rPr>
              <w:t xml:space="preserve">(not set or not applicable)</w:t>
            </w:r>
          </w:p>
        </w:tc>
      </w:tr>
    </w:tbl>
    <w:p>
      <w:pPr>
        <w:sectPr>
          <w:pgSz w:orient="portrait" w:w="11905.511811023622" w:h="16837.79527559055"/>
          <w:pgMar w:top="500" w:right="500" w:bottom="500" w:left="500" w:header="720" w:footer="720" w:gutter="0"/>
          <w:cols w:num="1" w:space="720"/>
        </w:sectPr>
      </w:pPr>
    </w:p>
    <w:p>
      <w:pPr>
        <w:pStyle w:val="Heading1"/>
      </w:pPr>
      <w:bookmarkStart w:id="10" w:name="_Toc10"/>
      <w:r>
        <w:t>Minor Amendments</w:t>
      </w:r>
      <w:bookmarkEnd w:id="10"/>
    </w:p>
    <w:p>
      <w:pPr>
        <w:spacing w:before="0" w:after="0"/>
      </w:pPr>
      <w:r>
        <w:rPr/>
        <w:t xml:space="preserve"/>
      </w:r>
    </w:p>
    <w:p>
      <w:pPr/>
      <w:r>
        <w:rPr/>
        <w:t xml:space="preserve">Minor amendments are changes to the project design or implementation that do not have significant impact on the project objectives or scope, or an increase of the GEF project financing up to 5% as described in Annex 9 of the </w:t>
      </w:r>
      <w:hyperlink r:id="rId9" w:history="1">
        <w:r>
          <w:rPr/>
          <w:t xml:space="preserve">GEF Project and Program Cycle Policy Guidelines</w:t>
        </w:r>
      </w:hyperlink>
      <w:r>
        <w:rPr/>
        <w:t xml:space="preserve">.</w:t>
      </w:r>
    </w:p>
    <w:p>
      <w:pPr/>
      <w:r>
        <w:rPr>
          <w:b w:val="1"/>
          <w:bCs w:val="1"/>
        </w:rPr>
        <w:t xml:space="preserve">CO Programme Officer:</w:t>
      </w:r>
      <w:r>
        <w:rPr/>
        <w:t xml:space="preserve"> Please mark each category for which a minor amendment occurred during this reporting period (1 July 2024- 30 June 2025). </w:t>
      </w:r>
    </w:p>
    <w:p>
      <w:pPr/>
      <w:r>
        <w:rPr/>
        <w:t xml:space="preserve">For each category that is marked, please provide a brief description of the change that occurred in the associated text box. You may attach supporting documentation, as appropriate.</w:t>
      </w:r>
    </w:p>
    <w:p>
      <w:pPr/>
      <w:r>
        <w:rPr/>
        <w:t xml:space="preserve">The purpose of this section is to capture adaptive management and measure project proactiveness, an indicator outlined in paragraph 70 of the GEF-8 Policy Directions available </w:t>
      </w:r>
      <w:hyperlink r:id="rId10" w:history="1">
        <w:r>
          <w:rPr/>
          <w:t xml:space="preserve">here.</w:t>
        </w:r>
      </w:hyperlink>
    </w:p>
    <w:tbl>
      <w:tblGrid>
        <w:gridCol w:w="10000" w:type="dxa"/>
      </w:tblGrid>
      <w:tblPr>
        <w:tblW w:w="0" w:type="auto"/>
        <w:tblLayout w:type="autofit"/>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noWrap/>
          </w:tcPr>
          <w:p>
            <w:pPr/>
            <w:r>
              <w:rPr>
                <w:b w:val="1"/>
                <w:bCs w:val="1"/>
              </w:rPr>
              <w:t xml:space="preserve">A) Results Framework</w:t>
            </w:r>
          </w:p>
        </w:tc>
      </w:tr>
      <w:tr>
        <w:trPr/>
        <w:tc>
          <w:tcPr>
            <w:tcW w:w="10000" w:type="dxa"/>
            <w:gridSpan w:val="1"/>
            <w:noWrap/>
          </w:tcPr>
          <w:p>
            <w:pPr/>
            <w:r>
              <w:rPr/>
              <w:t xml:space="preserve">Yes</w:t>
            </w:r>
          </w:p>
        </w:tc>
      </w:tr>
      <w:tr>
        <w:trPr/>
        <w:tc>
          <w:tcPr>
            <w:tcW w:w="10000" w:type="dxa"/>
            <w:shd w:val="clear" w:fill="#D9D9D9"/>
            <w:noWrap/>
          </w:tcPr>
          <w:p>
            <w:pPr/>
            <w:r>
              <w:rPr>
                <w:b w:val="1"/>
                <w:bCs w:val="1"/>
              </w:rPr>
              <w:t xml:space="preserve">Provide a description of the change(s) to the 'Results framework'</w:t>
            </w:r>
          </w:p>
        </w:tc>
      </w:tr>
      <w:tr>
        <w:trPr/>
        <w:tc>
          <w:tcPr>
            <w:tcW w:w="10000" w:type="dxa"/>
            <w:gridSpan w:val="1"/>
            <w:noWrap/>
          </w:tcPr>
          <w:p>
            <w:pPr/>
            <w:r>
              <w:rPr/>
              <w:t xml:space="preserve">The Strategic Results Framework was reviewed as part of the Inception workshop with the following minor amendment.</w:t>
            </w:r>
          </w:p>
          <w:p>
            <w:pPr/>
            <w:r>
              <w:rPr/>
              <w:t xml:space="preserve"/>
            </w:r>
          </w:p>
          <w:p>
            <w:pPr/>
            <w:r>
              <w:rPr/>
              <w:t xml:space="preserve">Indicator 2: project beneficiaries final target increased    from 17,500 people to 18,900 people based on the 2020-census for the 5 project islands.</w:t>
            </w:r>
          </w:p>
          <w:p>
            <w:pPr/>
            <w:r>
              <w:rPr/>
              <w:t xml:space="preserve"/>
            </w:r>
          </w:p>
          <w:p>
            <w:pPr/>
            <w:r>
              <w:rPr/>
              <w:t xml:space="preserve"/>
            </w:r>
          </w:p>
        </w:tc>
      </w:tr>
    </w:tbl>
    <w:tbl>
      <w:tblGrid>
        <w:gridCol w:w="10000" w:type="dxa"/>
      </w:tblGrid>
      <w:tblPr>
        <w:tblW w:w="0" w:type="auto"/>
        <w:tblLayout w:type="autofit"/>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noWrap/>
          </w:tcPr>
          <w:p>
            <w:pPr/>
            <w:r>
              <w:rPr>
                <w:b w:val="1"/>
                <w:bCs w:val="1"/>
              </w:rPr>
              <w:t xml:space="preserve">B) Components and cost</w:t>
            </w:r>
          </w:p>
        </w:tc>
      </w:tr>
      <w:tr>
        <w:trPr/>
        <w:tc>
          <w:tcPr>
            <w:tcW w:w="10000" w:type="dxa"/>
            <w:gridSpan w:val="1"/>
            <w:noWrap/>
          </w:tcPr>
          <w:p>
            <w:pPr/>
            <w:r>
              <w:rPr/>
              <w:t xml:space="preserve">No</w:t>
            </w:r>
          </w:p>
        </w:tc>
      </w:tr>
      <w:tr>
        <w:trPr/>
        <w:tc>
          <w:tcPr>
            <w:tcW w:w="10000" w:type="dxa"/>
            <w:shd w:val="clear" w:fill="#D9D9D9"/>
            <w:noWrap/>
          </w:tcPr>
          <w:p>
            <w:pPr/>
            <w:r>
              <w:rPr>
                <w:b w:val="1"/>
                <w:bCs w:val="1"/>
              </w:rPr>
              <w:t xml:space="preserve">Provide a description of the change(s) to 'Components and cost'</w:t>
            </w:r>
          </w:p>
        </w:tc>
      </w:tr>
      <w:tr>
        <w:trPr/>
        <w:tc>
          <w:tcPr>
            <w:tcW w:w="10000" w:type="dxa"/>
            <w:gridSpan w:val="1"/>
            <w:noWrap/>
          </w:tcPr>
          <w:p>
            <w:pPr/>
            <w:r>
              <w:rPr>
                <w:i w:val="1"/>
                <w:iCs w:val="1"/>
              </w:rPr>
              <w:t xml:space="preserve">(not set or not applicable)</w:t>
            </w:r>
          </w:p>
        </w:tc>
      </w:tr>
    </w:tbl>
    <w:tbl>
      <w:tblGrid>
        <w:gridCol w:w="10000" w:type="dxa"/>
      </w:tblGrid>
      <w:tblPr>
        <w:tblW w:w="0" w:type="auto"/>
        <w:tblLayout w:type="autofit"/>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noWrap/>
          </w:tcPr>
          <w:p>
            <w:pPr/>
            <w:r>
              <w:rPr>
                <w:b w:val="1"/>
                <w:bCs w:val="1"/>
              </w:rPr>
              <w:t xml:space="preserve">C) Institutional and implementation arrangements</w:t>
            </w:r>
          </w:p>
        </w:tc>
      </w:tr>
      <w:tr>
        <w:trPr/>
        <w:tc>
          <w:tcPr>
            <w:tcW w:w="10000" w:type="dxa"/>
            <w:gridSpan w:val="1"/>
            <w:noWrap/>
          </w:tcPr>
          <w:p>
            <w:pPr/>
            <w:r>
              <w:rPr/>
              <w:t xml:space="preserve">No</w:t>
            </w:r>
          </w:p>
        </w:tc>
      </w:tr>
      <w:tr>
        <w:trPr/>
        <w:tc>
          <w:tcPr>
            <w:tcW w:w="10000" w:type="dxa"/>
            <w:shd w:val="clear" w:fill="#D9D9D9"/>
            <w:noWrap/>
          </w:tcPr>
          <w:p>
            <w:pPr/>
            <w:r>
              <w:rPr>
                <w:b w:val="1"/>
                <w:bCs w:val="1"/>
              </w:rPr>
              <w:t xml:space="preserve">Provide a description of the change(s) to 'Institutional and implementation arrangements'</w:t>
            </w:r>
          </w:p>
        </w:tc>
      </w:tr>
      <w:tr>
        <w:trPr/>
        <w:tc>
          <w:tcPr>
            <w:tcW w:w="10000" w:type="dxa"/>
            <w:gridSpan w:val="1"/>
            <w:noWrap/>
          </w:tcPr>
          <w:p>
            <w:pPr/>
            <w:r>
              <w:rPr>
                <w:i w:val="1"/>
                <w:iCs w:val="1"/>
              </w:rPr>
              <w:t xml:space="preserve">(not set or not applicable)</w:t>
            </w:r>
          </w:p>
        </w:tc>
      </w:tr>
    </w:tbl>
    <w:tbl>
      <w:tblGrid>
        <w:gridCol w:w="10000" w:type="dxa"/>
      </w:tblGrid>
      <w:tblPr>
        <w:tblW w:w="0" w:type="auto"/>
        <w:tblLayout w:type="autofit"/>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noWrap/>
          </w:tcPr>
          <w:p>
            <w:pPr/>
            <w:r>
              <w:rPr>
                <w:b w:val="1"/>
                <w:bCs w:val="1"/>
              </w:rPr>
              <w:t xml:space="preserve">D) Financial management</w:t>
            </w:r>
          </w:p>
        </w:tc>
      </w:tr>
      <w:tr>
        <w:trPr/>
        <w:tc>
          <w:tcPr>
            <w:tcW w:w="10000" w:type="dxa"/>
            <w:gridSpan w:val="1"/>
            <w:noWrap/>
          </w:tcPr>
          <w:p>
            <w:pPr/>
            <w:r>
              <w:rPr/>
              <w:t xml:space="preserve">No</w:t>
            </w:r>
          </w:p>
        </w:tc>
      </w:tr>
      <w:tr>
        <w:trPr/>
        <w:tc>
          <w:tcPr>
            <w:tcW w:w="10000" w:type="dxa"/>
            <w:shd w:val="clear" w:fill="#D9D9D9"/>
            <w:noWrap/>
          </w:tcPr>
          <w:p>
            <w:pPr/>
            <w:r>
              <w:rPr>
                <w:b w:val="1"/>
                <w:bCs w:val="1"/>
              </w:rPr>
              <w:t xml:space="preserve">Provide a description of the change(s) to 'Financial Management'</w:t>
            </w:r>
          </w:p>
        </w:tc>
      </w:tr>
      <w:tr>
        <w:trPr/>
        <w:tc>
          <w:tcPr>
            <w:tcW w:w="10000" w:type="dxa"/>
            <w:gridSpan w:val="1"/>
            <w:noWrap/>
          </w:tcPr>
          <w:p>
            <w:pPr/>
            <w:r>
              <w:rPr>
                <w:i w:val="1"/>
                <w:iCs w:val="1"/>
              </w:rPr>
              <w:t xml:space="preserve">(not set or not applicable)</w:t>
            </w:r>
          </w:p>
        </w:tc>
      </w:tr>
    </w:tbl>
    <w:tbl>
      <w:tblGrid>
        <w:gridCol w:w="10000" w:type="dxa"/>
      </w:tblGrid>
      <w:tblPr>
        <w:tblW w:w="0" w:type="auto"/>
        <w:tblLayout w:type="autofit"/>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noWrap/>
          </w:tcPr>
          <w:p>
            <w:pPr/>
            <w:r>
              <w:rPr>
                <w:b w:val="1"/>
                <w:bCs w:val="1"/>
              </w:rPr>
              <w:t xml:space="preserve">E) Implementation schedule</w:t>
            </w:r>
          </w:p>
        </w:tc>
      </w:tr>
      <w:tr>
        <w:trPr/>
        <w:tc>
          <w:tcPr>
            <w:tcW w:w="10000" w:type="dxa"/>
            <w:gridSpan w:val="1"/>
            <w:noWrap/>
          </w:tcPr>
          <w:p>
            <w:pPr/>
            <w:r>
              <w:rPr/>
              <w:t xml:space="preserve">Yes</w:t>
            </w:r>
          </w:p>
        </w:tc>
      </w:tr>
      <w:tr>
        <w:trPr/>
        <w:tc>
          <w:tcPr>
            <w:tcW w:w="10000" w:type="dxa"/>
            <w:shd w:val="clear" w:fill="#D9D9D9"/>
            <w:noWrap/>
          </w:tcPr>
          <w:p>
            <w:pPr/>
            <w:r>
              <w:rPr>
                <w:b w:val="1"/>
                <w:bCs w:val="1"/>
              </w:rPr>
              <w:t xml:space="preserve">Provide a description of the change(s) to 'Implementation schedule'</w:t>
            </w:r>
          </w:p>
        </w:tc>
      </w:tr>
      <w:tr>
        <w:trPr/>
        <w:tc>
          <w:tcPr>
            <w:tcW w:w="10000" w:type="dxa"/>
            <w:gridSpan w:val="1"/>
            <w:noWrap/>
          </w:tcPr>
          <w:p>
            <w:pPr/>
            <w:r>
              <w:rPr/>
              <w:t xml:space="preserve">Upon request from the Government, UNDP is leading a four year no-cost project extension from 22 January 2026 – 21 January 2030 extension request process.</w:t>
            </w:r>
          </w:p>
          <w:p>
            <w:pPr/>
            <w:r>
              <w:rPr/>
              <w:t xml:space="preserve"/>
            </w:r>
          </w:p>
          <w:p>
            <w:pPr/>
            <w:r>
              <w:rPr/>
              <w:t xml:space="preserve">Revised milestones (expected, subject to extension request approval):</w:t>
            </w:r>
          </w:p>
          <w:p>
            <w:pPr/>
            <w:r>
              <w:rPr/>
              <w:t xml:space="preserve">-	Pre-inception consultations and preparation of the updated ProDoc and Total Budget and Work Plan: December 2024-February 2025</w:t>
            </w:r>
          </w:p>
          <w:p>
            <w:pPr/>
            <w:r>
              <w:rPr/>
              <w:t xml:space="preserve">-	Project inception workshop: 12th – 13th March 2025</w:t>
            </w:r>
          </w:p>
          <w:p>
            <w:pPr/>
            <w:r>
              <w:rPr/>
              <w:t xml:space="preserve">-	Project extension request submission: 21st May 2025</w:t>
            </w:r>
          </w:p>
          <w:p>
            <w:pPr/>
            <w:r>
              <w:rPr/>
              <w:t xml:space="preserve">-	Project Midterm Review: 30th June 2027</w:t>
            </w:r>
          </w:p>
          <w:p>
            <w:pPr/>
            <w:r>
              <w:rPr/>
              <w:t xml:space="preserve">-	Project Terminal Evaluation: 31st August 2029</w:t>
            </w:r>
          </w:p>
          <w:p>
            <w:pPr/>
            <w:r>
              <w:rPr/>
              <w:t xml:space="preserve">-	Completion of all project activities: 31s December 2029</w:t>
            </w:r>
          </w:p>
          <w:p>
            <w:pPr/>
            <w:r>
              <w:rPr/>
              <w:t xml:space="preserve">-	Planned new Project Closure: 21st January 2030</w:t>
            </w:r>
          </w:p>
          <w:p>
            <w:pPr/>
            <w:r>
              <w:rPr/>
              <w:t xml:space="preserve"/>
            </w:r>
          </w:p>
        </w:tc>
      </w:tr>
    </w:tbl>
    <w:tbl>
      <w:tblGrid>
        <w:gridCol w:w="10000" w:type="dxa"/>
      </w:tblGrid>
      <w:tblPr>
        <w:tblW w:w="0" w:type="auto"/>
        <w:tblLayout w:type="autofit"/>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noWrap/>
          </w:tcPr>
          <w:p>
            <w:pPr/>
            <w:r>
              <w:rPr>
                <w:b w:val="1"/>
                <w:bCs w:val="1"/>
              </w:rPr>
              <w:t xml:space="preserve">F) Executing Entity</w:t>
            </w:r>
          </w:p>
        </w:tc>
      </w:tr>
      <w:tr>
        <w:trPr/>
        <w:tc>
          <w:tcPr>
            <w:tcW w:w="10000" w:type="dxa"/>
            <w:gridSpan w:val="1"/>
            <w:noWrap/>
          </w:tcPr>
          <w:p>
            <w:pPr/>
            <w:r>
              <w:rPr/>
              <w:t xml:space="preserve">No</w:t>
            </w:r>
          </w:p>
        </w:tc>
      </w:tr>
      <w:tr>
        <w:trPr/>
        <w:tc>
          <w:tcPr>
            <w:tcW w:w="10000" w:type="dxa"/>
            <w:shd w:val="clear" w:fill="#D9D9D9"/>
            <w:noWrap/>
          </w:tcPr>
          <w:p>
            <w:pPr/>
            <w:r>
              <w:rPr>
                <w:b w:val="1"/>
                <w:bCs w:val="1"/>
              </w:rPr>
              <w:t xml:space="preserve">Provide a description of the change(s) to 'Executing Entity'</w:t>
            </w:r>
          </w:p>
        </w:tc>
      </w:tr>
      <w:tr>
        <w:trPr/>
        <w:tc>
          <w:tcPr>
            <w:tcW w:w="10000" w:type="dxa"/>
            <w:gridSpan w:val="1"/>
            <w:noWrap/>
          </w:tcPr>
          <w:p>
            <w:pPr/>
            <w:r>
              <w:rPr>
                <w:i w:val="1"/>
                <w:iCs w:val="1"/>
              </w:rPr>
              <w:t xml:space="preserve">(not set or not applicable)</w:t>
            </w:r>
          </w:p>
        </w:tc>
      </w:tr>
    </w:tbl>
    <w:tbl>
      <w:tblGrid>
        <w:gridCol w:w="10000" w:type="dxa"/>
      </w:tblGrid>
      <w:tblPr>
        <w:tblW w:w="0" w:type="auto"/>
        <w:tblLayout w:type="autofit"/>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noWrap/>
          </w:tcPr>
          <w:p>
            <w:pPr/>
            <w:r>
              <w:rPr>
                <w:b w:val="1"/>
                <w:bCs w:val="1"/>
              </w:rPr>
              <w:t xml:space="preserve">G) Executing Entity Category</w:t>
            </w:r>
          </w:p>
        </w:tc>
      </w:tr>
      <w:tr>
        <w:trPr/>
        <w:tc>
          <w:tcPr>
            <w:tcW w:w="10000" w:type="dxa"/>
            <w:gridSpan w:val="1"/>
            <w:noWrap/>
          </w:tcPr>
          <w:p>
            <w:pPr/>
            <w:r>
              <w:rPr/>
              <w:t xml:space="preserve">No</w:t>
            </w:r>
          </w:p>
        </w:tc>
      </w:tr>
      <w:tr>
        <w:trPr/>
        <w:tc>
          <w:tcPr>
            <w:tcW w:w="10000" w:type="dxa"/>
            <w:shd w:val="clear" w:fill="#D9D9D9"/>
            <w:noWrap/>
          </w:tcPr>
          <w:p>
            <w:pPr/>
            <w:r>
              <w:rPr>
                <w:b w:val="1"/>
                <w:bCs w:val="1"/>
              </w:rPr>
              <w:t xml:space="preserve">Provide a description of the change(s) to 'Executing Entity Category'</w:t>
            </w:r>
          </w:p>
        </w:tc>
      </w:tr>
      <w:tr>
        <w:trPr/>
        <w:tc>
          <w:tcPr>
            <w:tcW w:w="10000" w:type="dxa"/>
            <w:gridSpan w:val="1"/>
            <w:noWrap/>
          </w:tcPr>
          <w:p>
            <w:pPr/>
            <w:r>
              <w:rPr>
                <w:i w:val="1"/>
                <w:iCs w:val="1"/>
              </w:rPr>
              <w:t xml:space="preserve">(not set or not applicable)</w:t>
            </w:r>
          </w:p>
        </w:tc>
      </w:tr>
    </w:tbl>
    <w:tbl>
      <w:tblGrid>
        <w:gridCol w:w="10000" w:type="dxa"/>
      </w:tblGrid>
      <w:tblPr>
        <w:tblW w:w="0" w:type="auto"/>
        <w:tblLayout w:type="autofit"/>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noWrap/>
          </w:tcPr>
          <w:p>
            <w:pPr/>
            <w:r>
              <w:rPr>
                <w:b w:val="1"/>
                <w:bCs w:val="1"/>
              </w:rPr>
              <w:t xml:space="preserve">H) Minor project objective change</w:t>
            </w:r>
          </w:p>
        </w:tc>
      </w:tr>
      <w:tr>
        <w:trPr/>
        <w:tc>
          <w:tcPr>
            <w:tcW w:w="10000" w:type="dxa"/>
            <w:gridSpan w:val="1"/>
            <w:noWrap/>
          </w:tcPr>
          <w:p>
            <w:pPr/>
            <w:r>
              <w:rPr/>
              <w:t xml:space="preserve">No</w:t>
            </w:r>
          </w:p>
        </w:tc>
      </w:tr>
      <w:tr>
        <w:trPr/>
        <w:tc>
          <w:tcPr>
            <w:tcW w:w="10000" w:type="dxa"/>
            <w:shd w:val="clear" w:fill="#D9D9D9"/>
            <w:noWrap/>
          </w:tcPr>
          <w:p>
            <w:pPr/>
            <w:r>
              <w:rPr>
                <w:b w:val="1"/>
                <w:bCs w:val="1"/>
              </w:rPr>
              <w:t xml:space="preserve">Provide a description of the change(s) to 'minor project objective change'</w:t>
            </w:r>
          </w:p>
        </w:tc>
      </w:tr>
      <w:tr>
        <w:trPr/>
        <w:tc>
          <w:tcPr>
            <w:tcW w:w="10000" w:type="dxa"/>
            <w:gridSpan w:val="1"/>
            <w:noWrap/>
          </w:tcPr>
          <w:p>
            <w:pPr/>
            <w:r>
              <w:rPr>
                <w:i w:val="1"/>
                <w:iCs w:val="1"/>
              </w:rPr>
              <w:t xml:space="preserve">(not set or not applicable)</w:t>
            </w:r>
          </w:p>
        </w:tc>
      </w:tr>
    </w:tbl>
    <w:tbl>
      <w:tblGrid>
        <w:gridCol w:w="10000" w:type="dxa"/>
      </w:tblGrid>
      <w:tblPr>
        <w:tblW w:w="0" w:type="auto"/>
        <w:tblLayout w:type="autofit"/>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noWrap/>
          </w:tcPr>
          <w:p>
            <w:pPr/>
            <w:r>
              <w:rPr>
                <w:b w:val="1"/>
                <w:bCs w:val="1"/>
              </w:rPr>
              <w:t xml:space="preserve">I) Safeguards</w:t>
            </w:r>
          </w:p>
        </w:tc>
      </w:tr>
      <w:tr>
        <w:trPr/>
        <w:tc>
          <w:tcPr>
            <w:tcW w:w="10000" w:type="dxa"/>
            <w:gridSpan w:val="1"/>
            <w:noWrap/>
          </w:tcPr>
          <w:p>
            <w:pPr/>
            <w:r>
              <w:rPr/>
              <w:t xml:space="preserve">No</w:t>
            </w:r>
          </w:p>
        </w:tc>
      </w:tr>
      <w:tr>
        <w:trPr/>
        <w:tc>
          <w:tcPr>
            <w:tcW w:w="10000" w:type="dxa"/>
            <w:shd w:val="clear" w:fill="#D9D9D9"/>
            <w:noWrap/>
          </w:tcPr>
          <w:p>
            <w:pPr/>
            <w:r>
              <w:rPr>
                <w:b w:val="1"/>
                <w:bCs w:val="1"/>
              </w:rPr>
              <w:t xml:space="preserve">Provide a description of the change(s) to 'Safeguards'</w:t>
            </w:r>
          </w:p>
        </w:tc>
      </w:tr>
      <w:tr>
        <w:trPr/>
        <w:tc>
          <w:tcPr>
            <w:tcW w:w="10000" w:type="dxa"/>
            <w:gridSpan w:val="1"/>
            <w:noWrap/>
          </w:tcPr>
          <w:p>
            <w:pPr/>
            <w:r>
              <w:rPr>
                <w:i w:val="1"/>
                <w:iCs w:val="1"/>
              </w:rPr>
              <w:t xml:space="preserve">(not set or not applicable)</w:t>
            </w:r>
          </w:p>
        </w:tc>
      </w:tr>
    </w:tbl>
    <w:tbl>
      <w:tblGrid>
        <w:gridCol w:w="10000" w:type="dxa"/>
      </w:tblGrid>
      <w:tblPr>
        <w:tblW w:w="0" w:type="auto"/>
        <w:tblLayout w:type="autofit"/>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noWrap/>
          </w:tcPr>
          <w:p>
            <w:pPr/>
            <w:r>
              <w:rPr>
                <w:b w:val="1"/>
                <w:bCs w:val="1"/>
              </w:rPr>
              <w:t xml:space="preserve">J) Risk Analysis</w:t>
            </w:r>
          </w:p>
        </w:tc>
      </w:tr>
      <w:tr>
        <w:trPr/>
        <w:tc>
          <w:tcPr>
            <w:tcW w:w="10000" w:type="dxa"/>
            <w:gridSpan w:val="1"/>
            <w:noWrap/>
          </w:tcPr>
          <w:p>
            <w:pPr/>
            <w:r>
              <w:rPr/>
              <w:t xml:space="preserve">Yes</w:t>
            </w:r>
          </w:p>
        </w:tc>
      </w:tr>
      <w:tr>
        <w:trPr/>
        <w:tc>
          <w:tcPr>
            <w:tcW w:w="10000" w:type="dxa"/>
            <w:shd w:val="clear" w:fill="#D9D9D9"/>
            <w:noWrap/>
          </w:tcPr>
          <w:p>
            <w:pPr/>
            <w:r>
              <w:rPr>
                <w:b w:val="1"/>
                <w:bCs w:val="1"/>
              </w:rPr>
              <w:t xml:space="preserve">Provide a description of the change(s) to 'Risk Analysis'</w:t>
            </w:r>
          </w:p>
        </w:tc>
      </w:tr>
      <w:tr>
        <w:trPr/>
        <w:tc>
          <w:tcPr>
            <w:tcW w:w="10000" w:type="dxa"/>
            <w:gridSpan w:val="1"/>
            <w:noWrap/>
          </w:tcPr>
          <w:p>
            <w:pPr/>
            <w:r>
              <w:rPr/>
              <w:t xml:space="preserve">Project risks and risk assessment have been reviewed and updated as part of the pre-inception consultations and inception workshop. The risks identified at project design are still relevant and do not affect the relevance and viability of the project. Further, there are 2 new risks identified related to project duration and financial delivery:</w:t>
            </w:r>
          </w:p>
          <w:p>
            <w:pPr/>
            <w:r>
              <w:rPr/>
              <w:t xml:space="preserve"/>
            </w:r>
          </w:p>
          <w:p>
            <w:pPr/>
            <w:r>
              <w:rPr/>
              <w:t xml:space="preserve">1. Project duration: Current project closure of 21st January 2026 is identified as a risk if project extension is not granted. Extension of the project to allow implementation for 5 full years as per the project design is instrumental to the success of the project. Both OB and UNDP are supporting this request.</w:t>
            </w:r>
          </w:p>
          <w:p>
            <w:pPr/>
            <w:r>
              <w:rPr/>
              <w:t xml:space="preserve"/>
            </w:r>
          </w:p>
          <w:p>
            <w:pPr/>
            <w:r>
              <w:rPr/>
              <w:t xml:space="preserve">Risk mitigation: Upon request from the Government, UNDP is leading the extension request process with support of the PMU and inputs from OB.</w:t>
            </w:r>
          </w:p>
          <w:p>
            <w:pPr/>
            <w:r>
              <w:rPr/>
              <w:t xml:space="preserve"/>
            </w:r>
          </w:p>
          <w:p>
            <w:pPr/>
            <w:r>
              <w:rPr/>
              <w:t xml:space="preserve">2. Financial delivery and HACT assessment risk rating: The significant HACT risk rating of OB and the limit for funds disbursement through OB has implications on the financial delivery and project implementation. With disbursements through OB being limited to 150,000 USD initially, financial delivery through UNDP CO support to NIM has been increased. However, even with increased UNDP CO support to NIM, there is a need to identify longer term solutions.</w:t>
            </w:r>
          </w:p>
          <w:p>
            <w:pPr/>
            <w:r>
              <w:rPr/>
              <w:t xml:space="preserve"/>
            </w:r>
          </w:p>
          <w:p>
            <w:pPr/>
            <w:r>
              <w:rPr/>
              <w:t xml:space="preserve">Risk mitigation measures:</w:t>
            </w:r>
          </w:p>
          <w:p>
            <w:pPr/>
            <w:r>
              <w:rPr/>
              <w:t xml:space="preserve">o	UNDP will establish approved vendors and suppliers in Tarawa in April 2025 to facilitate UNDP CO support services and payments.</w:t>
            </w:r>
          </w:p>
          <w:p>
            <w:pPr/>
            <w:r>
              <w:rPr/>
              <w:t xml:space="preserve">o	UNDP will provide clarity about whether the HACT assessment risk rating has any implications on the financial management system to be used by the project (government account no. 4 or KFSU).</w:t>
            </w:r>
          </w:p>
          <w:p>
            <w:pPr/>
            <w:r>
              <w:rPr/>
              <w:t xml:space="preserve">o	UNDP will provide guidance to OB on the steps/conditions required to increase/remove the limit for funds disbursement to OB within the first year(s) of implementation.</w:t>
            </w:r>
          </w:p>
          <w:p>
            <w:pPr/>
            <w:r>
              <w:rPr/>
              <w:t xml:space="preserve">o	UNDP will provide guidance and capacity strengthening to OB responding to the risks identified in the HACT Micro Assessment which will contribute to OB’s spot check and audit results and generate institutional capacity improvement before the next Micro Assessment to be conducted in 2027.</w:t>
            </w:r>
          </w:p>
          <w:p>
            <w:pPr/>
            <w:r>
              <w:rPr/>
              <w:t xml:space="preserve"/>
            </w:r>
          </w:p>
        </w:tc>
      </w:tr>
    </w:tbl>
    <w:tbl>
      <w:tblGrid>
        <w:gridCol w:w="10000" w:type="dxa"/>
      </w:tblGrid>
      <w:tblPr>
        <w:tblW w:w="0" w:type="auto"/>
        <w:tblLayout w:type="autofit"/>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noWrap/>
          </w:tcPr>
          <w:p>
            <w:pPr/>
            <w:r>
              <w:rPr>
                <w:b w:val="1"/>
                <w:bCs w:val="1"/>
              </w:rPr>
              <w:t xml:space="preserve">K) Increase of GEF project financing up to 5%</w:t>
            </w:r>
          </w:p>
        </w:tc>
      </w:tr>
      <w:tr>
        <w:trPr/>
        <w:tc>
          <w:tcPr>
            <w:tcW w:w="10000" w:type="dxa"/>
            <w:gridSpan w:val="1"/>
            <w:noWrap/>
          </w:tcPr>
          <w:p>
            <w:pPr/>
            <w:r>
              <w:rPr/>
              <w:t xml:space="preserve">No</w:t>
            </w:r>
          </w:p>
        </w:tc>
      </w:tr>
      <w:tr>
        <w:trPr/>
        <w:tc>
          <w:tcPr>
            <w:tcW w:w="10000" w:type="dxa"/>
            <w:shd w:val="clear" w:fill="#D9D9D9"/>
            <w:noWrap/>
          </w:tcPr>
          <w:p>
            <w:pPr/>
            <w:r>
              <w:rPr>
                <w:b w:val="1"/>
                <w:bCs w:val="1"/>
              </w:rPr>
              <w:t xml:space="preserve">Provide a description of the change to GEF project financing up to 5%</w:t>
            </w:r>
          </w:p>
        </w:tc>
      </w:tr>
      <w:tr>
        <w:trPr/>
        <w:tc>
          <w:tcPr>
            <w:tcW w:w="10000" w:type="dxa"/>
            <w:gridSpan w:val="1"/>
            <w:noWrap/>
          </w:tcPr>
          <w:p>
            <w:pPr/>
            <w:r>
              <w:rPr>
                <w:i w:val="1"/>
                <w:iCs w:val="1"/>
              </w:rPr>
              <w:t xml:space="preserve">(not set or not applicable)</w:t>
            </w:r>
          </w:p>
        </w:tc>
      </w:tr>
    </w:tbl>
    <w:tbl>
      <w:tblGrid>
        <w:gridCol w:w="10000" w:type="dxa"/>
      </w:tblGrid>
      <w:tblPr>
        <w:tblW w:w="0" w:type="auto"/>
        <w:tblLayout w:type="autofit"/>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noWrap/>
          </w:tcPr>
          <w:p>
            <w:pPr/>
            <w:r>
              <w:rPr>
                <w:b w:val="1"/>
                <w:bCs w:val="1"/>
              </w:rPr>
              <w:t xml:space="preserve">L) Co-financing</w:t>
            </w:r>
          </w:p>
        </w:tc>
      </w:tr>
      <w:tr>
        <w:trPr/>
        <w:tc>
          <w:tcPr>
            <w:tcW w:w="10000" w:type="dxa"/>
            <w:gridSpan w:val="1"/>
            <w:noWrap/>
          </w:tcPr>
          <w:p>
            <w:pPr/>
            <w:r>
              <w:rPr/>
              <w:t xml:space="preserve">No</w:t>
            </w:r>
          </w:p>
        </w:tc>
      </w:tr>
      <w:tr>
        <w:trPr/>
        <w:tc>
          <w:tcPr>
            <w:tcW w:w="10000" w:type="dxa"/>
            <w:shd w:val="clear" w:fill="#D9D9D9"/>
            <w:noWrap/>
          </w:tcPr>
          <w:p>
            <w:pPr/>
            <w:r>
              <w:rPr>
                <w:b w:val="1"/>
                <w:bCs w:val="1"/>
              </w:rPr>
              <w:t xml:space="preserve">Provide a description of the change(s) to 'Co-financing'</w:t>
            </w:r>
          </w:p>
        </w:tc>
      </w:tr>
      <w:tr>
        <w:trPr/>
        <w:tc>
          <w:tcPr>
            <w:tcW w:w="10000" w:type="dxa"/>
            <w:gridSpan w:val="1"/>
            <w:noWrap/>
          </w:tcPr>
          <w:p>
            <w:pPr/>
            <w:r>
              <w:rPr>
                <w:i w:val="1"/>
                <w:iCs w:val="1"/>
              </w:rPr>
              <w:t xml:space="preserve">(not set or not applicable)</w:t>
            </w:r>
          </w:p>
        </w:tc>
      </w:tr>
    </w:tbl>
    <w:tbl>
      <w:tblGrid>
        <w:gridCol w:w="10000" w:type="dxa"/>
      </w:tblGrid>
      <w:tblPr>
        <w:tblW w:w="0" w:type="auto"/>
        <w:tblLayout w:type="autofit"/>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noWrap/>
          </w:tcPr>
          <w:p>
            <w:pPr/>
            <w:r>
              <w:rPr>
                <w:b w:val="1"/>
                <w:bCs w:val="1"/>
              </w:rPr>
              <w:t xml:space="preserve">M) Location of project activity</w:t>
            </w:r>
          </w:p>
        </w:tc>
      </w:tr>
      <w:tr>
        <w:trPr/>
        <w:tc>
          <w:tcPr>
            <w:tcW w:w="10000" w:type="dxa"/>
            <w:gridSpan w:val="1"/>
            <w:noWrap/>
          </w:tcPr>
          <w:p>
            <w:pPr/>
            <w:r>
              <w:rPr/>
              <w:t xml:space="preserve">No</w:t>
            </w:r>
          </w:p>
        </w:tc>
      </w:tr>
      <w:tr>
        <w:trPr/>
        <w:tc>
          <w:tcPr>
            <w:tcW w:w="10000" w:type="dxa"/>
            <w:shd w:val="clear" w:fill="#D9D9D9"/>
            <w:noWrap/>
          </w:tcPr>
          <w:p>
            <w:pPr/>
            <w:r>
              <w:rPr>
                <w:b w:val="1"/>
                <w:bCs w:val="1"/>
              </w:rPr>
              <w:t xml:space="preserve">Provide a description of the change(s) to project location activity</w:t>
            </w:r>
          </w:p>
        </w:tc>
      </w:tr>
      <w:tr>
        <w:trPr/>
        <w:tc>
          <w:tcPr>
            <w:tcW w:w="10000" w:type="dxa"/>
            <w:gridSpan w:val="1"/>
            <w:noWrap/>
          </w:tcPr>
          <w:p>
            <w:pPr/>
            <w:r>
              <w:rPr>
                <w:i w:val="1"/>
                <w:iCs w:val="1"/>
              </w:rPr>
              <w:t xml:space="preserve">(not set or not applicable)</w:t>
            </w:r>
          </w:p>
        </w:tc>
      </w:tr>
    </w:tbl>
    <w:tbl>
      <w:tblGrid>
        <w:gridCol w:w="10000" w:type="dxa"/>
      </w:tblGrid>
      <w:tblPr>
        <w:tblW w:w="0" w:type="auto"/>
        <w:tblLayout w:type="autofit"/>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noWrap/>
          </w:tcPr>
          <w:p>
            <w:pPr/>
            <w:r>
              <w:rPr>
                <w:b w:val="1"/>
                <w:bCs w:val="1"/>
              </w:rPr>
              <w:t xml:space="preserve">Please provide a description of other types of minor amendments that do not fall under any of the above categories. For example, minor changes to the project's Gender Action Plan and/or gender activities can be captured here.</w:t>
            </w:r>
          </w:p>
        </w:tc>
      </w:tr>
      <w:tr>
        <w:trPr/>
        <w:tc>
          <w:tcPr>
            <w:tcW w:w="10000" w:type="dxa"/>
            <w:gridSpan w:val="1"/>
            <w:noWrap/>
          </w:tcPr>
          <w:p>
            <w:pPr/>
            <w:r>
              <w:rPr>
                <w:i w:val="1"/>
                <w:iCs w:val="1"/>
              </w:rPr>
              <w:t xml:space="preserve">(not set or not applicable)</w:t>
            </w:r>
          </w:p>
        </w:tc>
      </w:tr>
    </w:tbl>
    <w:p>
      <w:pPr>
        <w:sectPr>
          <w:pgSz w:orient="portrait" w:w="11905.511811023622" w:h="16837.79527559055"/>
          <w:pgMar w:top="1440" w:right="1440" w:bottom="1440" w:left="1440" w:header="720" w:footer="720" w:gutter="0"/>
          <w:cols w:num="1" w:space="720"/>
        </w:sectPr>
      </w:pPr>
    </w:p>
    <w:p>
      <w:pPr>
        <w:pStyle w:val="Heading1"/>
      </w:pPr>
      <w:bookmarkStart w:id="11" w:name="_Toc11"/>
      <w:r>
        <w:t>Gender</w:t>
      </w:r>
      <w:bookmarkEnd w:id="11"/>
    </w:p>
    <w:p>
      <w:pPr>
        <w:pStyle w:val="Heading2"/>
      </w:pPr>
      <w:bookmarkStart w:id="12" w:name="_Toc12"/>
      <w:r>
        <w:t>Progress in Advancing Gender Equality and Women's Empowerment</w:t>
      </w:r>
      <w:bookmarkEnd w:id="12"/>
    </w:p>
    <w:tbl>
      <w:tblGrid>
        <w:gridCol w:w="10000" w:type="dxa"/>
      </w:tblGrid>
      <w:tblPr>
        <w:tblW w:w="0" w:type="auto"/>
        <w:tblLayout w:type="autofit"/>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noWrap/>
          </w:tcPr>
          <w:p>
            <w:pPr/>
            <w:r>
              <w:rPr>
                <w:b w:val="1"/>
                <w:bCs w:val="1"/>
              </w:rPr>
              <w:t xml:space="preserve">1) Please review the project's Gender Analysis and Action Plan.  If the document is not attached or an updated Gender Analysis and/or Gender Action Plan is available please upload the document below or send to the Regional Programme Associate to upload in PIMS+. Please note that all projects approved since 1 July 2014 are required to carry out a gender analysis and all projects approved since 1 July 2018 are required to have a gender analysis and action plan.</w:t>
            </w:r>
          </w:p>
        </w:tc>
      </w:tr>
      <w:tr>
        <w:trPr/>
        <w:tc>
          <w:tcPr>
            <w:tcW w:w="10000" w:type="dxa"/>
            <w:noWrap/>
          </w:tcPr>
          <w:p>
            <w:pPr>
              <w:spacing w:before="0" w:after="0"/>
            </w:pPr>
            <w:r>
              <w:rPr/>
              <w:t xml:space="preserve">Annex H_KIR WoIA-project Gender Action Plan.pdf</w:t>
            </w:r>
          </w:p>
          <w:p>
            <w:pPr/>
          </w:p>
        </w:tc>
      </w:tr>
    </w:tbl>
    <w:tbl>
      <w:tblGrid>
        <w:gridCol w:w="10000" w:type="dxa"/>
      </w:tblGrid>
      <w:tblPr>
        <w:tblW w:w="0" w:type="auto"/>
        <w:tblLayout w:type="autofit"/>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gridSpan w:val="1"/>
            <w:noWrap/>
          </w:tcPr>
          <w:p>
            <w:pPr/>
            <w:r>
              <w:rPr>
                <w:b w:val="1"/>
                <w:bCs w:val="1"/>
              </w:rPr>
              <w:t xml:space="preserve">Quantum Gender Marker Rating</w:t>
            </w:r>
          </w:p>
        </w:tc>
      </w:tr>
      <w:tr>
        <w:trPr/>
        <w:tc>
          <w:tcPr>
            <w:tcW w:w="10000" w:type="dxa"/>
            <w:noWrap/>
          </w:tcPr>
          <w:p>
            <w:pPr/>
            <w:r>
              <w:rPr>
                <w:b w:val="1"/>
                <w:bCs w:val="1"/>
              </w:rPr>
              <w:t xml:space="preserve">GEN2: </w:t>
            </w:r>
            <w:r>
              <w:rPr/>
              <w:t xml:space="preserve">Gender equality as significant objective</w:t>
            </w:r>
          </w:p>
        </w:tc>
      </w:tr>
    </w:tbl>
    <w:tbl>
      <w:tblGrid>
        <w:gridCol w:w="10000" w:type="dxa"/>
      </w:tblGrid>
      <w:tblPr>
        <w:tblW w:w="0" w:type="auto"/>
        <w:tblLayout w:type="autofit"/>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noWrap/>
          </w:tcPr>
          <w:p>
            <w:pPr/>
            <w:r>
              <w:rPr>
                <w:b w:val="1"/>
                <w:bCs w:val="1"/>
              </w:rPr>
              <w:t xml:space="preserve">2) Please indicate in which results areas the project is contributing to gender equality (you may select more than one results area, or select not applicable):</w:t>
            </w:r>
          </w:p>
        </w:tc>
      </w:tr>
      <w:tr>
        <w:trPr/>
        <w:tc>
          <w:tcPr>
            <w:tcW w:w="10000" w:type="dxa"/>
            <w:gridSpan w:val="1"/>
            <w:noWrap/>
          </w:tcPr>
          <w:p>
            <w:pPr/>
            <w:r>
              <w:rPr/>
              <w:t xml:space="preserve">Contributing to closing gender gaps in access to and control over resources: Yes</w:t>
            </w:r>
          </w:p>
        </w:tc>
      </w:tr>
      <w:tr>
        <w:trPr/>
        <w:tc>
          <w:tcPr>
            <w:tcW w:w="10000" w:type="dxa"/>
            <w:gridSpan w:val="1"/>
            <w:noWrap/>
          </w:tcPr>
          <w:p>
            <w:pPr/>
            <w:r>
              <w:rPr/>
              <w:t xml:space="preserve">Improving the participation and decision-making of women in natural resource governance: No</w:t>
            </w:r>
          </w:p>
        </w:tc>
      </w:tr>
      <w:tr>
        <w:trPr/>
        <w:tc>
          <w:tcPr>
            <w:tcW w:w="10000" w:type="dxa"/>
            <w:gridSpan w:val="1"/>
            <w:noWrap/>
          </w:tcPr>
          <w:p>
            <w:pPr/>
            <w:r>
              <w:rPr/>
              <w:t xml:space="preserve">Targeting socio-economic benefits and services for women: No</w:t>
            </w:r>
          </w:p>
        </w:tc>
      </w:tr>
      <w:tr>
        <w:trPr/>
        <w:tc>
          <w:tcPr>
            <w:tcW w:w="10000" w:type="dxa"/>
            <w:gridSpan w:val="1"/>
            <w:noWrap/>
          </w:tcPr>
          <w:p>
            <w:pPr/>
            <w:r>
              <w:rPr/>
              <w:t xml:space="preserve">Not applicable: No</w:t>
            </w:r>
          </w:p>
        </w:tc>
      </w:tr>
    </w:tbl>
    <w:tbl>
      <w:tblGrid>
        <w:gridCol w:w="10000" w:type="dxa"/>
      </w:tblGrid>
      <w:tblPr>
        <w:tblW w:w="0" w:type="auto"/>
        <w:tblLayout w:type="autofit"/>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noWrap/>
          </w:tcPr>
          <w:p>
            <w:pPr/>
            <w:r>
              <w:rPr>
                <w:b w:val="1"/>
                <w:bCs w:val="1"/>
              </w:rPr>
              <w:t xml:space="preserve">3) Please specify results achieved this reporting period that focus on increasing gender equality and the empowerment of women.</w:t>
            </w:r>
          </w:p>
          <w:p>
            <w:pPr/>
            <w:r>
              <w:rPr>
                <w:b w:val="1"/>
                <w:bCs w:val="1"/>
              </w:rPr>
              <w:t xml:space="preserve"/>
            </w:r>
          </w:p>
          <w:p>
            <w:pPr/>
            <w:r>
              <w:rPr>
                <w:b w:val="1"/>
                <w:bCs w:val="1"/>
              </w:rPr>
              <w:t xml:space="preserve">Please explain how the results reported addressed the different needs of men or women, changed norms, values, and power structures, and/or contributed to transforming or challenging gender inequalities and discrimination.</w:t>
            </w:r>
          </w:p>
        </w:tc>
      </w:tr>
      <w:tr>
        <w:trPr/>
        <w:tc>
          <w:tcPr>
            <w:tcW w:w="10000" w:type="dxa"/>
            <w:gridSpan w:val="1"/>
            <w:noWrap/>
          </w:tcPr>
          <w:p>
            <w:pPr/>
            <w:r>
              <w:rPr/>
              <w:t xml:space="preserve">During project design, a comprehensive Gender Equity and Social Inclusion analysis and action plan was developed based on national and island consultations. Targets have been mainstreamed across the project's indicators, activities and targets, and are still relevant. The project GESI action plan was reviewed and re-validated as part of the pre-inception consultations and inception workshop in 2025.</w:t>
            </w:r>
          </w:p>
          <w:p>
            <w:pPr/>
            <w:r>
              <w:rPr/>
              <w:t xml:space="preserve"/>
            </w:r>
          </w:p>
          <w:p>
            <w:pPr/>
            <w:r>
              <w:rPr/>
              <w:t xml:space="preserve">The project will engage a long-term part-time Gender advisor from the 3rd quarter 2025 to help the PMU and OB to operationalize and implement the GESI action plan during the span of the project. This will also include research of the CCDRM context in Kiribati and related capacity development of OB, PMU, project government stakeholders and other relevant stakeholders and national and island level. This will also contribute to the project's communication strategy in terms of ensuring equal opportunities for participation and inclusiveness.</w:t>
            </w:r>
          </w:p>
          <w:p>
            <w:pPr/>
            <w:r>
              <w:rPr/>
              <w:t xml:space="preserve"/>
            </w:r>
          </w:p>
        </w:tc>
      </w:tr>
    </w:tbl>
    <w:tbl>
      <w:tblGrid>
        <w:gridCol w:w="10000" w:type="dxa"/>
      </w:tblGrid>
      <w:tblPr>
        <w:tblW w:w="0" w:type="auto"/>
        <w:tblLayout w:type="autofit"/>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noWrap/>
          </w:tcPr>
          <w:p>
            <w:pPr/>
            <w:r>
              <w:rPr>
                <w:b w:val="1"/>
                <w:bCs w:val="1"/>
              </w:rPr>
              <w:t xml:space="preserve">4) Please describe how work to advance gender equality and women's empowerment enhanced the project's environmental and/or resilience outcomes.</w:t>
            </w:r>
          </w:p>
        </w:tc>
      </w:tr>
      <w:tr>
        <w:trPr/>
        <w:tc>
          <w:tcPr>
            <w:tcW w:w="10000" w:type="dxa"/>
            <w:gridSpan w:val="1"/>
            <w:noWrap/>
          </w:tcPr>
          <w:p>
            <w:pPr/>
            <w:r>
              <w:rPr/>
              <w:t xml:space="preserve">No progress this reporting period</w:t>
            </w:r>
          </w:p>
        </w:tc>
      </w:tr>
    </w:tbl>
    <w:p>
      <w:pPr>
        <w:sectPr>
          <w:pgSz w:orient="portrait" w:w="11905.511811023622" w:h="16837.79527559055"/>
          <w:pgMar w:top="1440" w:right="1440" w:bottom="1440" w:left="1440" w:header="720" w:footer="720" w:gutter="0"/>
          <w:cols w:num="1" w:space="720"/>
        </w:sectPr>
      </w:pPr>
    </w:p>
    <w:p>
      <w:pPr>
        <w:pStyle w:val="Heading1"/>
      </w:pPr>
      <w:bookmarkStart w:id="13" w:name="_Toc13"/>
      <w:r>
        <w:t>Risk Management</w:t>
      </w:r>
      <w:bookmarkEnd w:id="13"/>
    </w:p>
    <w:p>
      <w:pPr>
        <w:pStyle w:val="Heading2"/>
      </w:pPr>
      <w:bookmarkStart w:id="14" w:name="_Toc14"/>
      <w:r>
        <w:t>A) Overall Risk Management</w:t>
      </w:r>
      <w:bookmarkEnd w:id="14"/>
    </w:p>
    <w:tbl>
      <w:tblGrid>
        <w:gridCol w:w="10000" w:type="dxa"/>
      </w:tblGrid>
      <w:tblPr>
        <w:tblW w:w="0" w:type="auto"/>
        <w:tblLayout w:type="autofit"/>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noWrap/>
          </w:tcPr>
          <w:p>
            <w:pPr/>
            <w:r>
              <w:rPr>
                <w:b w:val="1"/>
                <w:bCs w:val="1"/>
              </w:rPr>
              <w:t xml:space="preserve">BPPS RTA: Please discuss the risks flagged in the Quantum project Risk Register and the VF Risk Dashboard in PIMS+ with the CO and then provide an assessment of project risk management undertaken during the  reporting period. Document actions, agreed with the CO, to address all project risks in the coming year.</w:t>
            </w:r>
          </w:p>
          <w:p>
            <w:pPr/>
            <w:r>
              <w:rPr>
                <w:b w:val="1"/>
                <w:bCs w:val="1"/>
              </w:rPr>
              <w:t xml:space="preserve"/>
            </w:r>
          </w:p>
        </w:tc>
      </w:tr>
      <w:tr>
        <w:trPr/>
        <w:tc>
          <w:tcPr>
            <w:tcW w:w="10000" w:type="dxa"/>
            <w:gridSpan w:val="1"/>
            <w:noWrap/>
          </w:tcPr>
          <w:p>
            <w:pPr/>
            <w:r>
              <w:rPr/>
              <w:t xml:space="preserve">The project has 3 risks in the VF Risk Dashboard in PIMS+ and 3 risks in Quantum Risk Register associated with the delay in the start of project implementation, IP capacity. There have been continuous discussions between CO, RBAP and Climate Hub (RTA/RPA) on the progress on this. The RBAP has now lifted the suspension on implementation based on updated HACT assessments, discussions with the Government and the start of a special wholistic capacity support to the Government based on the fact that the capacity issues are affecting the full UNDP portfolio in the country. The project is planning the start of implementation in the latter part of 2024 after the Government elections are completed in Kiribati. As preparation, the recruitment of the PMU and the preparation of the AWP is currently ongoing. It is anticipated that the project will assess the extent of changes required to the project as well as any extension requirements during the inception phase with close consultations with the IP and other Government partners.</w:t>
            </w:r>
          </w:p>
        </w:tc>
      </w:tr>
    </w:tbl>
    <w:p>
      <w:pPr>
        <w:pStyle w:val="Heading2"/>
      </w:pPr>
      <w:bookmarkStart w:id="15" w:name="_Toc15"/>
      <w:r>
        <w:t>B) SES Implementation</w:t>
      </w:r>
      <w:bookmarkEnd w:id="15"/>
    </w:p>
    <w:tbl>
      <w:tblGrid>
        <w:gridCol w:w="10000" w:type="dxa"/>
      </w:tblGrid>
      <w:tblPr>
        <w:tblW w:w="0" w:type="auto"/>
        <w:tblLayout w:type="autofit"/>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noWrap/>
          </w:tcPr>
          <w:p>
            <w:pPr/>
            <w:r>
              <w:rPr>
                <w:b w:val="1"/>
                <w:bCs w:val="1"/>
              </w:rPr>
              <w:t xml:space="preserve">2b) Provide an update on progress, challenges and outcomes related to stakeholder engagement based on the description in the Stakeholder Engagement Plan or equivalent documentation submitted at CEO Endorsement/Approval.</w:t>
            </w:r>
          </w:p>
        </w:tc>
      </w:tr>
      <w:tr>
        <w:trPr/>
        <w:tc>
          <w:tcPr>
            <w:tcW w:w="10000" w:type="dxa"/>
            <w:gridSpan w:val="1"/>
            <w:noWrap/>
          </w:tcPr>
          <w:p>
            <w:pPr/>
            <w:r>
              <w:rPr/>
              <w:t xml:space="preserve">The project Stakeholder Engagement Plan (Project document annex G) was reviewed during the pre-inception consultations, with very little updates related to changes in government ministry names and few new NGO/CSO’s present at national level. All relevant stakeholders were consulted as part of the pre-inception consultations and invited to the project inception workshop held in March 2025. Stakeholder engagement requirements will be reviewed and ensured in more detail as part of the Social and Environmental Management Plan (SEMP) to be developed in the 3rd and 4th quarters 2025.</w:t>
            </w:r>
          </w:p>
        </w:tc>
      </w:tr>
    </w:tbl>
    <w:p>
      <w:pPr>
        <w:sectPr>
          <w:pgSz w:orient="portrait" w:w="11905.511811023622" w:h="16837.79527559055"/>
          <w:pgMar w:top="1440" w:right="1440" w:bottom="1440" w:left="1440" w:header="720" w:footer="720" w:gutter="0"/>
          <w:cols w:num="1" w:space="720"/>
        </w:sectPr>
      </w:pPr>
    </w:p>
    <w:p>
      <w:pPr>
        <w:pStyle w:val="Heading1"/>
      </w:pPr>
      <w:bookmarkStart w:id="16" w:name="_Toc16"/>
      <w:r>
        <w:t>Knowledge Management &amp; Communications</w:t>
      </w:r>
      <w:bookmarkEnd w:id="16"/>
    </w:p>
    <w:p>
      <w:pPr>
        <w:spacing w:before="0" w:after="0"/>
      </w:pPr>
      <w:r>
        <w:rPr/>
        <w:t xml:space="preserve"/>
      </w:r>
    </w:p>
    <w:p>
      <w:pPr/>
      <w:r>
        <w:rPr/>
        <w:t xml:space="preserve"> </w:t>
      </w:r>
    </w:p>
    <w:p>
      <w:pPr/>
      <w:r>
        <w:rPr/>
        <w:t xml:space="preserve">The </w:t>
      </w:r>
      <w:r>
        <w:rPr>
          <w:b w:val="1"/>
          <w:bCs w:val="1"/>
        </w:rPr>
        <w:t xml:space="preserve">Project Manager</w:t>
      </w:r>
      <w:r>
        <w:rPr/>
        <w:t xml:space="preserve"> must complete the three questions below.</w:t>
      </w:r>
    </w:p>
    <w:tbl>
      <w:tblGrid>
        <w:gridCol w:w="10000" w:type="dxa"/>
      </w:tblGrid>
      <w:tblPr>
        <w:tblW w:w="0" w:type="auto"/>
        <w:tblLayout w:type="autofit"/>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noWrap/>
          </w:tcPr>
          <w:p>
            <w:pPr/>
            <w:r>
              <w:rPr>
                <w:b w:val="1"/>
                <w:bCs w:val="1"/>
              </w:rPr>
              <w:t xml:space="preserve">1) Please provide progress on the implementation of the project's Knowledge Management approach approved at CEO Endorsement/Approval.  If there is no KM approach/strategy, please comment on how the project is capturing and disseminating best practices and lessons learned.</w:t>
            </w:r>
          </w:p>
          <w:p>
            <w:pPr/>
            <w:r>
              <w:rPr>
                <w:b w:val="1"/>
                <w:bCs w:val="1"/>
              </w:rPr>
              <w:t xml:space="preserve"/>
            </w:r>
          </w:p>
        </w:tc>
      </w:tr>
      <w:tr>
        <w:trPr/>
        <w:tc>
          <w:tcPr>
            <w:tcW w:w="10000" w:type="dxa"/>
            <w:gridSpan w:val="1"/>
            <w:noWrap/>
          </w:tcPr>
          <w:p>
            <w:pPr/>
            <w:r>
              <w:rPr/>
              <w:t xml:space="preserve">Communications and Knowledge management Strategy to be developed in the 3rd and 4th quarters 2025.</w:t>
            </w:r>
          </w:p>
        </w:tc>
      </w:tr>
    </w:tbl>
    <w:tbl>
      <w:tblGrid>
        <w:gridCol w:w="10000" w:type="dxa"/>
      </w:tblGrid>
      <w:tblPr>
        <w:tblW w:w="0" w:type="auto"/>
        <w:tblLayout w:type="autofit"/>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noWrap/>
          </w:tcPr>
          <w:p>
            <w:pPr/>
            <w:r>
              <w:rPr>
                <w:b w:val="1"/>
                <w:bCs w:val="1"/>
              </w:rPr>
              <w:t xml:space="preserve">2) Please provide URLs specific to this project in the relevant field below.  Please categorize the URLs appropriately (for example: project websites, social media sites, media coverage, etc.)</w:t>
            </w:r>
          </w:p>
        </w:tc>
      </w:tr>
      <w:tr>
        <w:trPr/>
        <w:tc>
          <w:tcPr>
            <w:tcW w:w="10000" w:type="dxa"/>
            <w:gridSpan w:val="1"/>
            <w:noWrap/>
          </w:tcPr>
          <w:p>
            <w:pPr/>
            <w:r>
              <w:rPr/>
              <w:t xml:space="preserve">No project URLs available yet.</w:t>
            </w:r>
          </w:p>
        </w:tc>
      </w:tr>
    </w:tbl>
    <w:tbl>
      <w:tblGrid>
        <w:gridCol w:w="10000" w:type="dxa"/>
      </w:tblGrid>
      <w:tblPr>
        <w:tblW w:w="0" w:type="auto"/>
        <w:tblLayout w:type="autofit"/>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noWrap/>
          </w:tcPr>
          <w:p>
            <w:pPr/>
            <w:r>
              <w:rPr>
                <w:b w:val="1"/>
                <w:bCs w:val="1"/>
              </w:rPr>
              <w:t xml:space="preserve">3) In the PIR platform, please upload any supporting files, including the project's Communications Strategy, photos, videos, stories and other communication/knowledge materials.</w:t>
            </w:r>
          </w:p>
        </w:tc>
      </w:tr>
      <w:tr>
        <w:trPr/>
        <w:tc>
          <w:tcPr>
            <w:tcW w:w="10000" w:type="dxa"/>
            <w:gridSpan w:val="1"/>
            <w:noWrap/>
          </w:tcPr>
          <w:p>
            <w:pPr/>
            <w:r>
              <w:rPr>
                <w:i w:val="1"/>
                <w:iCs w:val="1"/>
              </w:rPr>
              <w:t xml:space="preserve">(not set or not applicable)</w:t>
            </w:r>
          </w:p>
        </w:tc>
      </w:tr>
    </w:tbl>
    <w:p>
      <w:pPr>
        <w:sectPr>
          <w:pgSz w:orient="portrait" w:w="11905.511811023622" w:h="16837.79527559055"/>
          <w:pgMar w:top="1440" w:right="1440" w:bottom="1440" w:left="1440" w:header="720" w:footer="720" w:gutter="0"/>
          <w:cols w:num="1" w:space="720"/>
        </w:sectPr>
      </w:pPr>
    </w:p>
    <w:p>
      <w:pPr>
        <w:pStyle w:val="Heading1"/>
      </w:pPr>
      <w:bookmarkStart w:id="17" w:name="_Toc17"/>
      <w:r>
        <w:t>Annex - Ratings Definitions</w:t>
      </w:r>
      <w:bookmarkEnd w:id="17"/>
    </w:p>
    <w:p>
      <w:pPr/>
      <w:r>
        <w:rPr>
          <w:b w:val="1"/>
          <w:bCs w:val="1"/>
        </w:rPr>
        <w:t xml:space="preserve">Development Objective Progress Ratings Definitions</w:t>
      </w:r>
    </w:p>
    <w:p>
      <w:pPr/>
      <w:r>
        <w:rPr/>
        <w:t xml:space="preserve">(HS) Highly Satisfactory: Project is on track to exceed its end-of-project targets by project closure. The project can be presented as 'outstanding practice'.</w:t>
      </w:r>
    </w:p>
    <w:p>
      <w:pPr/>
      <w:r>
        <w:rPr/>
        <w:t xml:space="preserve">(S) Satisfactory: Project is on track to achieve its end-of-project targets by project closure and any minor challenges are being addressed through an adaptive management plan. The project can be presented as 'good practice'.</w:t>
      </w:r>
    </w:p>
    <w:p>
      <w:pPr/>
      <w:r>
        <w:rPr/>
        <w:t xml:space="preserve">(MS) Moderately Satisfactory: Project is on track to achieve its end-of-project targets by project closure and minor challenges can be addressed if an adaptive management plan is promptly put in place.</w:t>
      </w:r>
    </w:p>
    <w:p>
      <w:pPr/>
      <w:r>
        <w:rPr/>
        <w:t xml:space="preserve">(MU) Moderately Unsatisfactory: Project is off track and is expected to only partially achieve its end-of-project targets by project closure. Project results might still be achieved by project closure if adaptive management is undertaken immediately.</w:t>
      </w:r>
    </w:p>
    <w:p>
      <w:pPr/>
      <w:r>
        <w:rPr/>
        <w:t xml:space="preserve">(U) Unsatisfactory: Project is off track and is expected to only partially achieve its end-of-project targets by project closure. Project results might be partially achieved by project closure if major adaptive management is undertaken immediately.</w:t>
      </w:r>
    </w:p>
    <w:p>
      <w:pPr/>
      <w:r>
        <w:rPr/>
        <w:t xml:space="preserve">(HU) Highly Unsatisfactory: Project is off track and is not expected to achieve its end-of-project targets by project closure and adaptive management is not expected to materialize.</w:t>
      </w:r>
    </w:p>
    <w:p/>
    <w:p>
      <w:pPr/>
      <w:r>
        <w:rPr>
          <w:b w:val="1"/>
          <w:bCs w:val="1"/>
        </w:rPr>
        <w:t xml:space="preserve">Implementation Progress Ratings Definitions</w:t>
      </w:r>
    </w:p>
    <w:p>
      <w:pPr/>
      <w:r>
        <w:rPr/>
        <w:t xml:space="preserve">(HS) Highly Satisfactory: Implementation is exceeding expectations. Implementation of all outputs/activities is fully on track, proceeding as planned, The implementation of the project can be presented as 'outstanding practice'.</w:t>
      </w:r>
    </w:p>
    <w:p>
      <w:pPr/>
      <w:r>
        <w:rPr/>
        <w:t xml:space="preserve">(S) Satisfactory: Implementation is proceeding as planned with minor challenges that are being addressed. Implementation of all outputs/activities is on track with minor deviations The implementation of the project can be presented as 'good practice'. </w:t>
      </w:r>
    </w:p>
    <w:p>
      <w:pPr/>
      <w:r>
        <w:rPr/>
        <w:t xml:space="preserve">(MS) Moderately Satisfactory: Implementation is proceeding as planned with minor challenges that have not yet been addressed. Implementation of most outputs/activities is on track with minor deviations.</w:t>
      </w:r>
    </w:p>
    <w:p>
      <w:pPr/>
      <w:r>
        <w:rPr/>
        <w:t xml:space="preserve">(MU) Moderately Unsatisfactory: Implementation is not proceeding as planned and faces implementation challenges. Implementation of many outputs/activities is off track Implementation progress could be improved if adaptive management is undertaken immediately.</w:t>
      </w:r>
    </w:p>
    <w:p>
      <w:pPr/>
      <w:r>
        <w:rPr/>
        <w:t xml:space="preserve">(U) Unsatisfactory: Implementation is not proceeding as planned and faces major implementation challenges. Implementation of most outputs/activities is off track.</w:t>
      </w:r>
    </w:p>
    <w:p>
      <w:pPr/>
      <w:r>
        <w:rPr/>
        <w:t xml:space="preserve">(HU) Highly Unsatisfactory: Implementation is seriously under-performing. Implementation of all outputs/activities is severely off track.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end"/>
    </w:pPr>
    <w:r>
      <w:t xml:space="preserve">Page </w:t>
    </w:r>
    <w:r>
      <w:fldChar w:fldCharType="begin"/>
    </w:r>
    <w:r>
      <w:instrText xml:space="preserve">PAGE</w:instrText>
    </w:r>
    <w:r>
      <w:fldChar w:fldCharType="separate"/>
    </w:r>
    <w:r>
      <w:fldChar w:fldCharType="end"/>
    </w:r>
    <w:r>
      <w:t xml:space="preserve"> of </w:t>
    </w:r>
    <w:r>
      <w:fldChar w:fldCharType="begin"/>
    </w:r>
    <w: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end"/>
    </w:pPr>
    <w:r>
      <w:t xml:space="preserve">2025 Project Implementation Report</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C159C4"/>
    <w:multiLevelType w:val="multilevel"/>
    <w:lvl w:ilvl="0">
      <w:start w:val="1"/>
      <w:numFmt w:val="upperLetter"/>
      <w:pStyle w:val="Heading1"/>
      <w:suff w:val="tab"/>
      <w:lvlText w:val="%1."/>
      <w:pPr>
        <w:tabs>
          <w:tab w:val="num"/>
        </w:tabs>
        <w:ind/>
      </w:pPr>
      <w:rPr>
        <w:rFonts/>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numPr>
        <w:numId w:val="1"/>
        <w:ilvl w:val="0"/>
      </w:numPr>
      <w:outlineLvl w:val="0"/>
    </w:pPr>
    <w:rPr>
      <w:sz w:val="28"/>
      <w:szCs w:val="28"/>
      <w:b w:val="1"/>
      <w:bCs w:val="1"/>
    </w:rPr>
  </w:style>
  <w:style w:type="paragraph" w:styleId="Heading2">
    <w:link w:val="Heading2Char"/>
    <w:name w:val="heading 2"/>
    <w:basedOn w:val="Normal"/>
    <w:pPr>
      <w:spacing w:before="40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section_image2.jpg"/><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image" Target="media/section_image1.gif"/><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styles" Target="styles.xml"/><Relationship Id="rId6" Type="http://schemas.openxmlformats.org/officeDocument/2006/relationships/fontTable" Target="fontTable.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yperlink" Target="https://www.thegef.org/sites/default/files/documents/2022-04/GEF_R.08_31_GEF-8_Policy_Directions.pdf" TargetMode="External"/><Relationship Id="rId4" Type="http://schemas.openxmlformats.org/officeDocument/2006/relationships/theme" Target="theme/theme1.xml"/><Relationship Id="rId9" Type="http://schemas.openxmlformats.org/officeDocument/2006/relationships/hyperlink" Target="https://www.thegef.org/council-meeting-documents/guidelines-project-and-program-cycle-policy-2020-update" TargetMode="Externa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55F732436BD414ABE4F9007290F88BC" ma:contentTypeVersion="33" ma:contentTypeDescription="Create a new document." ma:contentTypeScope="" ma:versionID="23f63ffa27798759ab7c62b38a6a6eea">
  <xsd:schema xmlns:xsd="http://www.w3.org/2001/XMLSchema" xmlns:xs="http://www.w3.org/2001/XMLSchema" xmlns:p="http://schemas.microsoft.com/office/2006/metadata/properties" xmlns:ns2="d9cf0e28-81d2-4dc7-8b10-820d80ed680d" xmlns:ns3="e91d5986-7c29-4ed1-8a54-b8fb378ed474" targetNamespace="http://schemas.microsoft.com/office/2006/metadata/properties" ma:root="true" ma:fieldsID="d59d36cbda82e4f1c8ad758894042b54" ns2:_="" ns3:_="">
    <xsd:import namespace="d9cf0e28-81d2-4dc7-8b10-820d80ed680d"/>
    <xsd:import namespace="e91d5986-7c29-4ed1-8a54-b8fb378ed474"/>
    <xsd:element name="properties">
      <xsd:complexType>
        <xsd:sequence>
          <xsd:element name="documentManagement">
            <xsd:complexType>
              <xsd:all>
                <xsd:element ref="ns2:DocumentCategory" minOccurs="0"/>
                <xsd:element ref="ns2:DocumentType" minOccurs="0"/>
                <xsd:element ref="ns2:FileClassificationMode" minOccurs="0"/>
                <xsd:element ref="ns2:FileNameDescription" minOccurs="0"/>
                <xsd:element ref="ns2:ProjectNumber" minOccurs="0"/>
                <xsd:element ref="ns2:OperatingUnit" minOccurs="0"/>
                <xsd:element ref="ns2:Language" minOccurs="0"/>
                <xsd:element ref="ns2:FunctionalArea" minOccurs="0"/>
                <xsd:element ref="ns2:OutputNumber" minOccurs="0"/>
                <xsd:element ref="ns2:DocumentStatus" minOccurs="0"/>
                <xsd:element ref="ns2:DocCoverageStartDate" minOccurs="0"/>
                <xsd:element ref="ns2:DocCoverageEndDate" minOccurs="0"/>
                <xsd:element ref="ns2:FocusArea" minOccurs="0"/>
                <xsd:element ref="ns2:AuthorName" minOccurs="0"/>
                <xsd:element ref="ns2:OfficeCountry" minOccurs="0"/>
                <xsd:element ref="ns2:MediaServiceMetadata" minOccurs="0"/>
                <xsd:element ref="ns2:MediaServiceFastMetadata"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ServiceObjectDetectorVersions" minOccurs="0"/>
                <xsd:element ref="ns2:MediaServiceLocation" minOccurs="0"/>
                <xsd:element ref="ns2:MediaServiceSearchProperties" minOccurs="0"/>
                <xsd:element ref="ns2:EventDate" minOccurs="0"/>
                <xsd:element ref="ns2:ProjectDocumentTyp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cf0e28-81d2-4dc7-8b10-820d80ed680d" elementFormDefault="qualified">
    <xsd:import namespace="http://schemas.microsoft.com/office/2006/documentManagement/types"/>
    <xsd:import namespace="http://schemas.microsoft.com/office/infopath/2007/PartnerControls"/>
    <xsd:element name="DocumentCategory" ma:index="8" nillable="true" ma:displayName="DocumentCategory" ma:format="Dropdown" ma:indexed="true" ma:internalName="DocumentCategory">
      <xsd:simpleType>
        <xsd:restriction base="dms:Text">
          <xsd:maxLength value="255"/>
        </xsd:restriction>
      </xsd:simpleType>
    </xsd:element>
    <xsd:element name="DocumentType" ma:index="9" nillable="true" ma:displayName="DocumentType" ma:format="Dropdown" ma:indexed="true" ma:internalName="DocumentType">
      <xsd:simpleType>
        <xsd:restriction base="dms:Text">
          <xsd:maxLength value="255"/>
        </xsd:restriction>
      </xsd:simpleType>
    </xsd:element>
    <xsd:element name="FileClassificationMode" ma:index="10" nillable="true" ma:displayName="FileClassificationMode" ma:format="Dropdown" ma:indexed="true" ma:internalName="FileClassificationMode">
      <xsd:simpleType>
        <xsd:restriction base="dms:Text">
          <xsd:maxLength value="255"/>
        </xsd:restriction>
      </xsd:simpleType>
    </xsd:element>
    <xsd:element name="FileNameDescription" ma:index="11" nillable="true" ma:displayName="FileNameDescription" ma:format="Dropdown" ma:indexed="true" ma:internalName="FileNameDescription">
      <xsd:simpleType>
        <xsd:restriction base="dms:Text">
          <xsd:maxLength value="255"/>
        </xsd:restriction>
      </xsd:simpleType>
    </xsd:element>
    <xsd:element name="ProjectNumber" ma:index="12" nillable="true" ma:displayName="ProjectNumber" ma:format="Dropdown" ma:indexed="true" ma:internalName="ProjectNumber">
      <xsd:simpleType>
        <xsd:restriction base="dms:Text">
          <xsd:maxLength value="255"/>
        </xsd:restriction>
      </xsd:simpleType>
    </xsd:element>
    <xsd:element name="OperatingUnit" ma:index="13" nillable="true" ma:displayName="OperatingUnit" ma:format="Dropdown" ma:indexed="true" ma:internalName="OperatingUnit">
      <xsd:simpleType>
        <xsd:restriction base="dms:Text">
          <xsd:maxLength value="255"/>
        </xsd:restriction>
      </xsd:simpleType>
    </xsd:element>
    <xsd:element name="Language" ma:index="14" nillable="true" ma:displayName="Language" ma:format="Dropdown" ma:internalName="Language">
      <xsd:simpleType>
        <xsd:restriction base="dms:Text">
          <xsd:maxLength value="255"/>
        </xsd:restriction>
      </xsd:simpleType>
    </xsd:element>
    <xsd:element name="FunctionalArea" ma:index="15" nillable="true" ma:displayName="FunctionalArea" ma:format="Dropdown" ma:internalName="FunctionalArea">
      <xsd:simpleType>
        <xsd:restriction base="dms:Text">
          <xsd:maxLength value="255"/>
        </xsd:restriction>
      </xsd:simpleType>
    </xsd:element>
    <xsd:element name="OutputNumber" ma:index="16" nillable="true" ma:displayName="OutputNumber" ma:format="Dropdown" ma:indexed="true" ma:internalName="OutputNumber">
      <xsd:simpleType>
        <xsd:restriction base="dms:Text">
          <xsd:maxLength value="255"/>
        </xsd:restriction>
      </xsd:simpleType>
    </xsd:element>
    <xsd:element name="DocumentStatus" ma:index="17" nillable="true" ma:displayName="DocumentStatus" ma:format="Dropdown" ma:internalName="DocumentStatus">
      <xsd:simpleType>
        <xsd:restriction base="dms:Text">
          <xsd:maxLength value="255"/>
        </xsd:restriction>
      </xsd:simpleType>
    </xsd:element>
    <xsd:element name="DocCoverageStartDate" ma:index="18" nillable="true" ma:displayName="DocCoverageStartDate" ma:default="[today]" ma:format="DateOnly" ma:indexed="true" ma:internalName="DocCoverageStartDate">
      <xsd:simpleType>
        <xsd:restriction base="dms:DateTime"/>
      </xsd:simpleType>
    </xsd:element>
    <xsd:element name="DocCoverageEndDate" ma:index="19" nillable="true" ma:displayName="DocCoverageEndDate" ma:format="DateOnly" ma:internalName="DocCoverageEndDate">
      <xsd:simpleType>
        <xsd:restriction base="dms:DateTime"/>
      </xsd:simpleType>
    </xsd:element>
    <xsd:element name="FocusArea" ma:index="20" nillable="true" ma:displayName="FocusArea" ma:format="Dropdown" ma:indexed="true" ma:internalName="FocusArea">
      <xsd:simpleType>
        <xsd:restriction base="dms:Text">
          <xsd:maxLength value="255"/>
        </xsd:restriction>
      </xsd:simpleType>
    </xsd:element>
    <xsd:element name="AuthorName" ma:index="21" nillable="true" ma:displayName="AuthorName" ma:format="Dropdown" ma:indexed="true" ma:internalName="AuthorName">
      <xsd:simpleType>
        <xsd:restriction base="dms:Text">
          <xsd:maxLength value="255"/>
        </xsd:restriction>
      </xsd:simpleType>
    </xsd:element>
    <xsd:element name="OfficeCountry" ma:index="22" nillable="true" ma:displayName="OfficeCountry" ma:format="Dropdown" ma:indexed="true" ma:internalName="OfficeCountry">
      <xsd:simpleType>
        <xsd:restriction base="dms:Text">
          <xsd:maxLength value="255"/>
        </xsd:restriction>
      </xsd:simpleType>
    </xsd:element>
    <xsd:element name="MediaServiceMetadata" ma:index="23" nillable="true" ma:displayName="MediaServiceMetadata" ma:hidden="true" ma:internalName="MediaServiceMetadata" ma:readOnly="true">
      <xsd:simpleType>
        <xsd:restriction base="dms:Note"/>
      </xsd:simpleType>
    </xsd:element>
    <xsd:element name="MediaServiceFastMetadata" ma:index="24" nillable="true" ma:displayName="MediaServiceFastMetadata" ma:hidden="true" ma:internalName="MediaServiceFastMetadata"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element name="MediaServiceOCR" ma:index="31" nillable="true" ma:displayName="Extracted Text" ma:internalName="MediaServiceOCR" ma:readOnly="true">
      <xsd:simpleType>
        <xsd:restriction base="dms:Note">
          <xsd:maxLength value="255"/>
        </xsd:restriction>
      </xsd:simpleType>
    </xsd:element>
    <xsd:element name="MediaServiceDateTaken" ma:index="32" nillable="true" ma:displayName="MediaServiceDateTaken" ma:hidden="true" ma:indexed="true" ma:internalName="MediaServiceDateTaken" ma:readOnly="true">
      <xsd:simpleType>
        <xsd:restriction base="dms:Text"/>
      </xsd:simpleType>
    </xsd:element>
    <xsd:element name="MediaServiceObjectDetectorVersions" ma:index="33" nillable="true" ma:displayName="MediaServiceObjectDetectorVersions" ma:hidden="true" ma:indexed="true" ma:internalName="MediaServiceObjectDetectorVersions" ma:readOnly="true">
      <xsd:simpleType>
        <xsd:restriction base="dms:Text"/>
      </xsd:simpleType>
    </xsd:element>
    <xsd:element name="MediaServiceLocation" ma:index="34" nillable="true" ma:displayName="Location" ma:indexed="true" ma:internalName="MediaServiceLocation" ma:readOnly="true">
      <xsd:simpleType>
        <xsd:restriction base="dms:Text"/>
      </xsd:simpleType>
    </xsd:element>
    <xsd:element name="MediaServiceSearchProperties" ma:index="35" nillable="true" ma:displayName="MediaServiceSearchProperties" ma:hidden="true" ma:internalName="MediaServiceSearchProperties" ma:readOnly="true">
      <xsd:simpleType>
        <xsd:restriction base="dms:Note"/>
      </xsd:simpleType>
    </xsd:element>
    <xsd:element name="EventDate" ma:index="36" nillable="true" ma:displayName="EventDate" ma:format="DateOnly" ma:internalName="EventDate">
      <xsd:simpleType>
        <xsd:restriction base="dms:DateTime"/>
      </xsd:simpleType>
    </xsd:element>
    <xsd:element name="ProjectDocumentTypes" ma:index="37" nillable="true" ma:displayName="ProjectDocumentTypes" ma:format="Dropdown" ma:internalName="ProjectDocumentTypes">
      <xsd:simpleType>
        <xsd:restriction base="dms:Choice">
          <xsd:enumeration value="Project Board Meeting Minutes"/>
          <xsd:enumeration value="Monitoring/Field visit report"/>
          <xsd:enumeration value="Sustainability Plan"/>
          <xsd:enumeration value="Combined Delivery reports (CDR)"/>
        </xsd:restriction>
      </xsd:simpleType>
    </xsd:element>
    <xsd:element name="MediaServiceBillingMetadata" ma:index="3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91d5986-7c29-4ed1-8a54-b8fb378ed474" elementFormDefault="qualified">
    <xsd:import namespace="http://schemas.microsoft.com/office/2006/documentManagement/types"/>
    <xsd:import namespace="http://schemas.microsoft.com/office/infopath/2007/PartnerControls"/>
    <xsd:element name="TaxCatchAll" ma:index="28" nillable="true" ma:displayName="Taxonomy Catch All Column" ma:hidden="true" ma:list="{89ecd518-8760-4857-902e-5583cb61199f}" ma:internalName="TaxCatchAll" ma:showField="CatchAllData" ma:web="e91d5986-7c29-4ed1-8a54-b8fb378ed47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OfficeCountry xmlns="d9cf0e28-81d2-4dc7-8b10-820d80ed680d">B0413 - Kiribati - Cty Pgmm</OfficeCountry>
    <DocumentStatus xmlns="d9cf0e28-81d2-4dc7-8b10-820d80ed680d">Final</DocumentStatus>
    <DocCoverageEndDate xmlns="d9cf0e28-81d2-4dc7-8b10-820d80ed680d">2025-06-30T04:00:00+00:00</DocCoverageEndDate>
    <TaxCatchAll xmlns="e91d5986-7c29-4ed1-8a54-b8fb378ed474" xsi:nil="true"/>
    <EventDate xmlns="d9cf0e28-81d2-4dc7-8b10-820d80ed680d" xsi:nil="true"/>
    <ProjectDocumentTypes xmlns="d9cf0e28-81d2-4dc7-8b10-820d80ed680d" xsi:nil="true"/>
    <FunctionalArea xmlns="d9cf0e28-81d2-4dc7-8b10-820d80ed680d" xsi:nil="true"/>
    <FileNameDescription xmlns="d9cf0e28-81d2-4dc7-8b10-820d80ed680d" xsi:nil="true"/>
    <ProjectNumber xmlns="d9cf0e28-81d2-4dc7-8b10-820d80ed680d">00098972</ProjectNumber>
    <DocumentType xmlns="d9cf0e28-81d2-4dc7-8b10-820d80ed680d">Progress Report</DocumentType>
    <Language xmlns="d9cf0e28-81d2-4dc7-8b10-820d80ed680d">English</Language>
    <AuthorName xmlns="d9cf0e28-81d2-4dc7-8b10-820d80ed680d">UNDP</AuthorName>
    <DocumentCategory xmlns="d9cf0e28-81d2-4dc7-8b10-820d80ed680d">Project</DocumentCategory>
    <OperatingUnit xmlns="d9cf0e28-81d2-4dc7-8b10-820d80ed680d">UNDP-FJI</OperatingUnit>
    <lcf76f155ced4ddcb4097134ff3c332f xmlns="d9cf0e28-81d2-4dc7-8b10-820d80ed680d">
      <Terms xmlns="http://schemas.microsoft.com/office/infopath/2007/PartnerControls"/>
    </lcf76f155ced4ddcb4097134ff3c332f>
    <FocusArea xmlns="d9cf0e28-81d2-4dc7-8b10-820d80ed680d" xsi:nil="true"/>
    <DocCoverageStartDate xmlns="d9cf0e28-81d2-4dc7-8b10-820d80ed680d">2024-07-01T04:00:00+00:00</DocCoverageStartDate>
    <FileClassificationMode xmlns="d9cf0e28-81d2-4dc7-8b10-820d80ed680d">Public</FileClassificationMode>
    <OutputNumber xmlns="d9cf0e28-81d2-4dc7-8b10-820d80ed680d">00102201</OutputNumber>
  </documentManagement>
</p:properties>
</file>

<file path=customXml/itemProps1.xml><?xml version="1.0" encoding="utf-8"?>
<ds:datastoreItem xmlns:ds="http://schemas.openxmlformats.org/officeDocument/2006/customXml" ds:itemID="{709088C6-4E62-499E-8840-7BDDB5D04FA2}"/>
</file>

<file path=customXml/itemProps2.xml><?xml version="1.0" encoding="utf-8"?>
<ds:datastoreItem xmlns:ds="http://schemas.openxmlformats.org/officeDocument/2006/customXml" ds:itemID="{34744AAE-D94A-4399-8817-1F3A6143D9D1}"/>
</file>

<file path=customXml/itemProps3.xml><?xml version="1.0" encoding="utf-8"?>
<ds:datastoreItem xmlns:ds="http://schemas.openxmlformats.org/officeDocument/2006/customXml" ds:itemID="{2EC4C27E-A84B-492B-801A-62773F68091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dcterms:created xsi:type="dcterms:W3CDTF">2025-09-09T05:11:45Z</dcterms:created>
  <dcterms:modified xsi:type="dcterms:W3CDTF">2025-09-09T05:11:45Z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0x010100155F732436BD414ABE4F9007290F88BC</vt:lpwstr>
  </property>
</Properties>
</file>