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83.149606299213pt; height:91.086614173228pt; margin-left:0pt; margin-top:0pt; position:absolute; mso-position-horizontal:left; mso-position-vertical:top; mso-position-horizontal-relative:margin; mso-position-vertical-relative:line;">
            <w10:wrap type="square" anchorx="page" anchory="page"/>
            <v:imagedata r:id="rId7" o:title=""/>
          </v:shape>
        </w:pict>
      </w:r>
      <w:r>
        <w:pict>
          <v:shape type="#_x0000_t75" stroked="f" style="width:67.275590551181pt; height:120.18897637795pt; margin-left:0pt; margin-top:0pt; position:absolute; mso-position-horizontal:right; mso-position-vertical:top; mso-position-horizontal-relative:margin; mso-position-vertical-relative:line;">
            <w10:wrap type="square" anchorx="page" anchory="page"/>
            <v:imagedata r:id="rId8" o:title=""/>
          </v:shape>
        </w:pict>
      </w:r>
    </w:p>
    <w:p>
      <w:pPr>
        <w:jc w:val="center"/>
      </w:pPr>
      <w:r>
        <w:rPr>
          <w:sz w:val="28"/>
          <w:szCs w:val="28"/>
        </w:rPr>
        <w:t xml:space="preserve">2025</w:t>
      </w:r>
    </w:p>
    <w:p>
      <w:pPr>
        <w:jc w:val="center"/>
      </w:pPr>
      <w:r>
        <w:rPr>
          <w:sz w:val="28"/>
          <w:szCs w:val="28"/>
        </w:rPr>
        <w:t xml:space="preserve">Project Implementation Report (PIR)</w:t>
      </w:r>
    </w:p>
    <w:p>
      <w:pPr/>
      <w:r>
        <w:rPr/>
        <w:t xml:space="preserve"/>
      </w:r>
    </w:p>
    <w:p>
      <w:pPr/>
      <w:r>
        <w:rPr/>
        <w:t xml:space="preserve"/>
      </w:r>
    </w:p>
    <w:p>
      <w:pPr/>
      <w:r>
        <w:rPr/>
        <w:t xml:space="preserve"/>
      </w:r>
    </w:p>
    <w:p>
      <w:pPr>
        <w:jc w:val="center"/>
      </w:pPr>
      <w:r>
        <w:rPr>
          <w:sz w:val="28"/>
          <w:szCs w:val="28"/>
          <w:b w:val="1"/>
          <w:bCs w:val="1"/>
        </w:rPr>
        <w:t xml:space="preserve">CBIT Montenegro</w:t>
      </w:r>
    </w:p>
    <w:p>
      <w:pPr>
        <w:tabs>
          <w:tab w:val="right" w:leader="dot" w:pos="9062"/>
        </w:tabs>
      </w:pPr>
      <w:r>
        <w:fldChar w:fldCharType="begin"/>
      </w:r>
      <w:r>
        <w:instrText xml:space="preserve">TOC \o 1-1 \h \z \u</w:instrText>
      </w:r>
      <w:r>
        <w:fldChar w:fldCharType="separate"/>
      </w:r>
      <w:hyperlink w:anchor="_Toc0" w:history="1">
        <w:r>
          <w:t>Basic Data</w:t>
        </w:r>
        <w:r>
          <w:tab/>
        </w:r>
        <w:r>
          <w:fldChar w:fldCharType="begin"/>
        </w:r>
        <w:r>
          <w:instrText xml:space="preserve">PAGEREF 0 \h</w:instrText>
        </w:r>
        <w:r>
          <w:fldChar w:fldCharType="end"/>
        </w:r>
      </w:hyperlink>
    </w:p>
    <w:p>
      <w:pPr>
        <w:tabs>
          <w:tab w:val="right" w:leader="dot" w:pos="9062"/>
        </w:tabs>
      </w:pPr>
      <w:hyperlink w:anchor="_Toc1" w:history="1">
        <w:r>
          <w:t>Key project dates</w:t>
        </w:r>
        <w:r>
          <w:tab/>
        </w:r>
        <w:r>
          <w:fldChar w:fldCharType="begin"/>
        </w:r>
        <w:r>
          <w:instrText xml:space="preserve">PAGEREF 1 \h</w:instrText>
        </w:r>
        <w:r>
          <w:fldChar w:fldCharType="end"/>
        </w:r>
      </w:hyperlink>
    </w:p>
    <w:p>
      <w:pPr>
        <w:tabs>
          <w:tab w:val="right" w:leader="dot" w:pos="9062"/>
        </w:tabs>
      </w:pPr>
      <w:hyperlink w:anchor="_Toc2" w:history="1">
        <w:r>
          <w:t>Overall ratings</w:t>
        </w:r>
        <w:r>
          <w:tab/>
        </w:r>
        <w:r>
          <w:fldChar w:fldCharType="begin"/>
        </w:r>
        <w:r>
          <w:instrText xml:space="preserve">PAGEREF 2 \h</w:instrText>
        </w:r>
        <w:r>
          <w:fldChar w:fldCharType="end"/>
        </w:r>
      </w:hyperlink>
    </w:p>
    <w:p>
      <w:pPr>
        <w:tabs>
          <w:tab w:val="right" w:leader="dot" w:pos="9062"/>
        </w:tabs>
      </w:pPr>
      <w:hyperlink w:anchor="_Toc3" w:history="1">
        <w:r>
          <w:t>Development Objective Progress</w:t>
        </w:r>
        <w:r>
          <w:tab/>
        </w:r>
        <w:r>
          <w:fldChar w:fldCharType="begin"/>
        </w:r>
        <w:r>
          <w:instrText xml:space="preserve">PAGEREF 3 \h</w:instrText>
        </w:r>
        <w:r>
          <w:fldChar w:fldCharType="end"/>
        </w:r>
      </w:hyperlink>
    </w:p>
    <w:p>
      <w:pPr>
        <w:tabs>
          <w:tab w:val="right" w:leader="dot" w:pos="9062"/>
        </w:tabs>
      </w:pPr>
      <w:hyperlink w:anchor="_Toc4" w:history="1">
        <w:r>
          <w:t>Finance/Co-Finance</w:t>
        </w:r>
        <w:r>
          <w:tab/>
        </w:r>
        <w:r>
          <w:fldChar w:fldCharType="begin"/>
        </w:r>
        <w:r>
          <w:instrText xml:space="preserve">PAGEREF 4 \h</w:instrText>
        </w:r>
        <w:r>
          <w:fldChar w:fldCharType="end"/>
        </w:r>
      </w:hyperlink>
    </w:p>
    <w:p>
      <w:pPr>
        <w:tabs>
          <w:tab w:val="right" w:leader="dot" w:pos="9062"/>
        </w:tabs>
      </w:pPr>
      <w:hyperlink w:anchor="_Toc6" w:history="1">
        <w:r>
          <w:t>Implementation Progress</w:t>
        </w:r>
        <w:r>
          <w:tab/>
        </w:r>
        <w:r>
          <w:fldChar w:fldCharType="begin"/>
        </w:r>
        <w:r>
          <w:instrText xml:space="preserve">PAGEREF 6 \h</w:instrText>
        </w:r>
        <w:r>
          <w:fldChar w:fldCharType="end"/>
        </w:r>
      </w:hyperlink>
    </w:p>
    <w:p>
      <w:pPr>
        <w:tabs>
          <w:tab w:val="right" w:leader="dot" w:pos="9062"/>
        </w:tabs>
      </w:pPr>
      <w:hyperlink w:anchor="_Toc7" w:history="1">
        <w:r>
          <w:t>Project Governance</w:t>
        </w:r>
        <w:r>
          <w:tab/>
        </w:r>
        <w:r>
          <w:fldChar w:fldCharType="begin"/>
        </w:r>
        <w:r>
          <w:instrText xml:space="preserve">PAGEREF 7 \h</w:instrText>
        </w:r>
        <w:r>
          <w:fldChar w:fldCharType="end"/>
        </w:r>
      </w:hyperlink>
    </w:p>
    <w:p>
      <w:pPr>
        <w:tabs>
          <w:tab w:val="right" w:leader="dot" w:pos="9062"/>
        </w:tabs>
      </w:pPr>
      <w:hyperlink w:anchor="_Toc8" w:history="1">
        <w:r>
          <w:t>Ratings and Overall Assessments</w:t>
        </w:r>
        <w:r>
          <w:tab/>
        </w:r>
        <w:r>
          <w:fldChar w:fldCharType="begin"/>
        </w:r>
        <w:r>
          <w:instrText xml:space="preserve">PAGEREF 8 \h</w:instrText>
        </w:r>
        <w:r>
          <w:fldChar w:fldCharType="end"/>
        </w:r>
      </w:hyperlink>
    </w:p>
    <w:p>
      <w:pPr>
        <w:tabs>
          <w:tab w:val="right" w:leader="dot" w:pos="9062"/>
        </w:tabs>
      </w:pPr>
      <w:hyperlink w:anchor="_Toc9" w:history="1">
        <w:r>
          <w:t>Minor Amendments</w:t>
        </w:r>
        <w:r>
          <w:tab/>
        </w:r>
        <w:r>
          <w:fldChar w:fldCharType="begin"/>
        </w:r>
        <w:r>
          <w:instrText xml:space="preserve">PAGEREF 9 \h</w:instrText>
        </w:r>
        <w:r>
          <w:fldChar w:fldCharType="end"/>
        </w:r>
      </w:hyperlink>
    </w:p>
    <w:p>
      <w:pPr>
        <w:tabs>
          <w:tab w:val="right" w:leader="dot" w:pos="9062"/>
        </w:tabs>
      </w:pPr>
      <w:hyperlink w:anchor="_Toc10" w:history="1">
        <w:r>
          <w:t>Gender</w:t>
        </w:r>
        <w:r>
          <w:tab/>
        </w:r>
        <w:r>
          <w:fldChar w:fldCharType="begin"/>
        </w:r>
        <w:r>
          <w:instrText xml:space="preserve">PAGEREF 10 \h</w:instrText>
        </w:r>
        <w:r>
          <w:fldChar w:fldCharType="end"/>
        </w:r>
      </w:hyperlink>
    </w:p>
    <w:p>
      <w:pPr>
        <w:tabs>
          <w:tab w:val="right" w:leader="dot" w:pos="9062"/>
        </w:tabs>
      </w:pPr>
      <w:hyperlink w:anchor="_Toc12" w:history="1">
        <w:r>
          <w:t>Risk Management</w:t>
        </w:r>
        <w:r>
          <w:tab/>
        </w:r>
        <w:r>
          <w:fldChar w:fldCharType="begin"/>
        </w:r>
        <w:r>
          <w:instrText xml:space="preserve">PAGEREF 12 \h</w:instrText>
        </w:r>
        <w:r>
          <w:fldChar w:fldCharType="end"/>
        </w:r>
      </w:hyperlink>
    </w:p>
    <w:p>
      <w:pPr>
        <w:tabs>
          <w:tab w:val="right" w:leader="dot" w:pos="9062"/>
        </w:tabs>
      </w:pPr>
      <w:hyperlink w:anchor="_Toc15" w:history="1">
        <w:r>
          <w:t>Knowledge Management &amp; Communications</w:t>
        </w:r>
        <w:r>
          <w:tab/>
        </w:r>
        <w:r>
          <w:fldChar w:fldCharType="begin"/>
        </w:r>
        <w:r>
          <w:instrText xml:space="preserve">PAGEREF 15 \h</w:instrText>
        </w:r>
        <w:r>
          <w:fldChar w:fldCharType="end"/>
        </w:r>
      </w:hyperlink>
    </w:p>
    <w:p>
      <w:pPr>
        <w:tabs>
          <w:tab w:val="right" w:leader="dot" w:pos="9062"/>
        </w:tabs>
      </w:pPr>
      <w:hyperlink w:anchor="_Toc16" w:history="1">
        <w:r>
          <w:t>Annex - Ratings Definitions</w:t>
        </w:r>
        <w:r>
          <w:tab/>
        </w:r>
        <w:r>
          <w:fldChar w:fldCharType="begin"/>
        </w:r>
        <w:r>
          <w:instrText xml:space="preserve">PAGEREF 16 \h</w:instrText>
        </w:r>
        <w:r>
          <w:fldChar w:fldCharType="end"/>
        </w:r>
      </w:hyperlink>
    </w:p>
    <w:p>
      <w:r>
        <w:fldChar w:fldCharType="end"/>
      </w:r>
    </w:p>
    <w:p>
      <w:pPr>
        <w:sectPr>
          <w:headerReference w:type="default" r:id="rId11"/>
          <w:footerReference w:type="default" r:id="rId12"/>
          <w:pgSz w:orient="portrait" w:w="11905.511811023622" w:h="16837.79527559055"/>
          <w:pgMar w:top="1440" w:right="1440" w:bottom="1440" w:left="1440" w:header="720" w:footer="720" w:gutter="0"/>
          <w:cols w:num="1" w:space="720"/>
        </w:sectPr>
      </w:pPr>
    </w:p>
    <w:p>
      <w:pPr>
        <w:pStyle w:val="Heading1"/>
      </w:pPr>
      <w:bookmarkStart w:id="0" w:name="_Toc0"/>
      <w:r>
        <w:t>Basic Data</w:t>
      </w:r>
      <w:bookmarkEnd w:id="0"/>
    </w:p>
    <w:tbl>
      <w:tblGrid>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2"/>
            <w:noWrap/>
          </w:tcPr>
          <w:p>
            <w:pPr/>
            <w:r>
              <w:rPr>
                <w:b w:val="1"/>
                <w:bCs w:val="1"/>
              </w:rPr>
              <w:t xml:space="preserve">Project Information</w:t>
            </w:r>
          </w:p>
        </w:tc>
      </w:tr>
      <w:tr>
        <w:trPr/>
        <w:tc>
          <w:tcPr>
            <w:tcW w:w="5000" w:type="dxa"/>
            <w:gridSpan w:val="1"/>
            <w:noWrap/>
          </w:tcPr>
          <w:p>
            <w:pPr/>
            <w:r>
              <w:rPr/>
              <w:t xml:space="preserve">UNDP PIMS ID</w:t>
            </w:r>
          </w:p>
        </w:tc>
        <w:tc>
          <w:tcPr>
            <w:tcW w:w="5000" w:type="dxa"/>
            <w:gridSpan w:val="1"/>
            <w:noWrap/>
          </w:tcPr>
          <w:p>
            <w:pPr/>
            <w:r>
              <w:rPr/>
              <w:t xml:space="preserve">6225</w:t>
            </w:r>
          </w:p>
        </w:tc>
      </w:tr>
      <w:tr>
        <w:trPr/>
        <w:tc>
          <w:tcPr>
            <w:tcW w:w="5000" w:type="dxa"/>
            <w:gridSpan w:val="1"/>
            <w:noWrap/>
          </w:tcPr>
          <w:p>
            <w:pPr/>
            <w:r>
              <w:rPr/>
              <w:t xml:space="preserve">GEF ID</w:t>
            </w:r>
          </w:p>
        </w:tc>
        <w:tc>
          <w:tcPr>
            <w:tcW w:w="5000" w:type="dxa"/>
            <w:gridSpan w:val="1"/>
            <w:noWrap/>
          </w:tcPr>
          <w:p>
            <w:pPr/>
            <w:r>
              <w:rPr/>
              <w:t xml:space="preserve">10021</w:t>
            </w:r>
          </w:p>
        </w:tc>
      </w:tr>
      <w:tr>
        <w:trPr/>
        <w:tc>
          <w:tcPr>
            <w:tcW w:w="5000" w:type="dxa"/>
            <w:gridSpan w:val="1"/>
            <w:noWrap/>
          </w:tcPr>
          <w:p>
            <w:pPr/>
            <w:r>
              <w:rPr/>
              <w:t xml:space="preserve">Title</w:t>
            </w:r>
          </w:p>
        </w:tc>
        <w:tc>
          <w:tcPr>
            <w:tcW w:w="5000" w:type="dxa"/>
            <w:gridSpan w:val="1"/>
            <w:noWrap/>
          </w:tcPr>
          <w:p>
            <w:pPr/>
            <w:r>
              <w:rPr/>
              <w:t xml:space="preserve">Strengthening Montenegro’s Nationally Determined Contribution (NDC) and Adaptation Activities Transparency Framework</w:t>
            </w:r>
          </w:p>
        </w:tc>
      </w:tr>
      <w:tr>
        <w:trPr/>
        <w:tc>
          <w:tcPr>
            <w:tcW w:w="5000" w:type="dxa"/>
            <w:gridSpan w:val="1"/>
            <w:noWrap/>
          </w:tcPr>
          <w:p>
            <w:pPr/>
            <w:r>
              <w:rPr/>
              <w:t xml:space="preserve">Country(ies)</w:t>
            </w:r>
          </w:p>
        </w:tc>
        <w:tc>
          <w:tcPr>
            <w:tcW w:w="5000" w:type="dxa"/>
            <w:gridSpan w:val="1"/>
            <w:noWrap/>
          </w:tcPr>
          <w:p>
            <w:pPr/>
            <w:r>
              <w:rPr/>
              <w:t xml:space="preserve">Montenegro, Montenegro</w:t>
            </w:r>
          </w:p>
        </w:tc>
      </w:tr>
      <w:tr>
        <w:trPr/>
        <w:tc>
          <w:tcPr>
            <w:tcW w:w="5000" w:type="dxa"/>
            <w:gridSpan w:val="1"/>
            <w:noWrap/>
          </w:tcPr>
          <w:p>
            <w:pPr/>
            <w:r>
              <w:rPr/>
              <w:t xml:space="preserve">UNDP Technical Team</w:t>
            </w:r>
          </w:p>
        </w:tc>
        <w:tc>
          <w:tcPr>
            <w:tcW w:w="5000" w:type="dxa"/>
            <w:gridSpan w:val="1"/>
            <w:noWrap/>
          </w:tcPr>
          <w:p>
            <w:pPr/>
            <w:r>
              <w:rPr/>
              <w:t xml:space="preserve">Climate Strategies and Policy Team</w:t>
            </w:r>
          </w:p>
        </w:tc>
      </w:tr>
      <w:tr>
        <w:trPr/>
        <w:tc>
          <w:tcPr>
            <w:tcW w:w="5000" w:type="dxa"/>
            <w:gridSpan w:val="1"/>
            <w:noWrap/>
          </w:tcPr>
          <w:p>
            <w:pPr/>
            <w:r>
              <w:rPr/>
              <w:t xml:space="preserve">Management Arrangements</w:t>
            </w:r>
          </w:p>
        </w:tc>
        <w:tc>
          <w:tcPr>
            <w:tcW w:w="5000" w:type="dxa"/>
            <w:gridSpan w:val="1"/>
            <w:noWrap/>
          </w:tcPr>
          <w:p>
            <w:pPr/>
            <w:r>
              <w:rPr/>
              <w:t xml:space="preserve">NIM</w:t>
            </w:r>
          </w:p>
        </w:tc>
      </w:tr>
      <w:tr>
        <w:trPr/>
        <w:tc>
          <w:tcPr>
            <w:tcW w:w="5000" w:type="dxa"/>
            <w:gridSpan w:val="1"/>
            <w:noWrap/>
          </w:tcPr>
          <w:p>
            <w:pPr/>
            <w:r>
              <w:rPr/>
              <w:t xml:space="preserve">Project Implementing Partner</w:t>
            </w:r>
          </w:p>
        </w:tc>
        <w:tc>
          <w:tcPr>
            <w:tcW w:w="5000" w:type="dxa"/>
            <w:gridSpan w:val="1"/>
            <w:noWrap/>
          </w:tcPr>
          <w:p>
            <w:pPr/>
            <w:r>
              <w:rPr/>
              <w:t xml:space="preserve">Ministry of Ecology, Sustainable Development and Northern Region Development</w:t>
            </w:r>
          </w:p>
        </w:tc>
      </w:tr>
      <w:tr>
        <w:trPr/>
        <w:tc>
          <w:tcPr>
            <w:tcW w:w="5000" w:type="dxa"/>
            <w:gridSpan w:val="1"/>
            <w:noWrap/>
          </w:tcPr>
          <w:p>
            <w:pPr/>
            <w:r>
              <w:rPr/>
              <w:t xml:space="preserve">Joint Agencies</w:t>
            </w:r>
          </w:p>
        </w:tc>
        <w:tc>
          <w:tcPr>
            <w:tcW w:w="5000" w:type="dxa"/>
            <w:gridSpan w:val="1"/>
            <w:noWrap/>
          </w:tcPr>
          <w:p>
            <w:pPr/>
            <w:r>
              <w:rPr>
                <w:i w:val="1"/>
                <w:iCs w:val="1"/>
              </w:rPr>
              <w:t xml:space="preserve">(not set or not applicable)</w:t>
            </w:r>
          </w:p>
        </w:tc>
      </w:tr>
      <w:tr>
        <w:trPr/>
        <w:tc>
          <w:tcPr>
            <w:tcW w:w="5000" w:type="dxa"/>
            <w:gridSpan w:val="1"/>
            <w:noWrap/>
          </w:tcPr>
          <w:p>
            <w:pPr/>
            <w:r>
              <w:rPr/>
              <w:t xml:space="preserve">Project Type</w:t>
            </w:r>
          </w:p>
        </w:tc>
        <w:tc>
          <w:tcPr>
            <w:tcW w:w="5000" w:type="dxa"/>
            <w:gridSpan w:val="1"/>
            <w:noWrap/>
          </w:tcPr>
          <w:p>
            <w:pPr/>
            <w:r>
              <w:rPr/>
              <w:t xml:space="preserve">Medium Size - 2 steps</w:t>
            </w:r>
          </w:p>
        </w:tc>
      </w:tr>
      <w:tr>
        <w:trPr/>
        <w:tc>
          <w:tcPr>
            <w:tcW w:w="5000" w:type="dxa"/>
            <w:gridSpan w:val="1"/>
            <w:noWrap/>
          </w:tcPr>
          <w:p>
            <w:pPr/>
            <w:r>
              <w:rPr/>
              <w:t xml:space="preserve">Implementation Status</w:t>
            </w:r>
          </w:p>
        </w:tc>
        <w:tc>
          <w:tcPr>
            <w:tcW w:w="5000" w:type="dxa"/>
            <w:gridSpan w:val="1"/>
            <w:noWrap/>
          </w:tcPr>
          <w:p>
            <w:pPr/>
            <w:r>
              <w:rPr/>
              <w:t xml:space="preserve">4th PIR</w:t>
            </w:r>
          </w:p>
        </w:tc>
      </w:tr>
      <w:tr>
        <w:trPr/>
        <w:tc>
          <w:tcPr>
            <w:tcW w:w="5000" w:type="dxa"/>
            <w:gridSpan w:val="1"/>
            <w:noWrap/>
          </w:tcPr>
          <w:p>
            <w:pPr/>
            <w:r>
              <w:rPr/>
              <w:t xml:space="preserve">GEF Fiscal Year</w:t>
            </w:r>
          </w:p>
        </w:tc>
        <w:tc>
          <w:tcPr>
            <w:tcW w:w="5000" w:type="dxa"/>
            <w:gridSpan w:val="1"/>
            <w:noWrap/>
          </w:tcPr>
          <w:p>
            <w:pPr/>
            <w:r>
              <w:rPr/>
              <w:t xml:space="preserve">FY25</w:t>
            </w:r>
          </w:p>
        </w:tc>
      </w:tr>
      <w:tr>
        <w:trPr/>
        <w:tc>
          <w:tcPr>
            <w:tcW w:w="5000" w:type="dxa"/>
            <w:gridSpan w:val="1"/>
            <w:noWrap/>
          </w:tcPr>
          <w:p>
            <w:pPr/>
            <w:r>
              <w:rPr/>
              <w:t xml:space="preserve">Trust Fund</w:t>
            </w:r>
          </w:p>
        </w:tc>
        <w:tc>
          <w:tcPr>
            <w:tcW w:w="5000" w:type="dxa"/>
            <w:gridSpan w:val="1"/>
            <w:noWrap/>
          </w:tcPr>
          <w:p>
            <w:pPr/>
            <w:r>
              <w:rPr/>
              <w:t xml:space="preserve">GEF CBIT Programme Activity</w:t>
            </w:r>
          </w:p>
        </w:tc>
      </w:tr>
    </w:tbl>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noWrap/>
          </w:tcPr>
          <w:p>
            <w:pPr/>
            <w:r>
              <w:rPr>
                <w:b w:val="1"/>
                <w:bCs w:val="1"/>
              </w:rPr>
              <w:t xml:space="preserve">Project Description</w:t>
            </w:r>
          </w:p>
        </w:tc>
      </w:tr>
      <w:tr>
        <w:trPr/>
        <w:tc>
          <w:tcPr>
            <w:tcW w:w="10000" w:type="dxa"/>
            <w:gridSpan w:val="1"/>
            <w:noWrap/>
          </w:tcPr>
          <w:p>
            <w:pPr/>
            <w:r>
              <w:rPr/>
              <w:t xml:space="preserve">This project aims to enhance the efficiency of national climate change actions and the synergies with other related national actions, policies and measures, in order to achieve climate resilient and low-carbon development.  The project will strengthen national capacities, institutional and technical, pursuing more efficient articulation to allow an enhanced enabling environment for transparency related activities, as well as adopting or improving methodologies and tools to enhance transparency as requested in Article 13 of the Paris Agreement.  Through this strengthening, Montenegro will be more efficient in the definition, development and implementation of policies and measures, based on more timely and accurate information, monitoring and assessment of the instruments applied to face climate change.  A gender- sensitive approach will be included in methodologies for assessing the adequacy, effectiveness and effects of adaptation actions and mitigation actions and policies effects.  The expected results are a strengthened institutional mechanism to track nationally determined contributions and the development of a more robust transparency framework.</w:t>
            </w:r>
          </w:p>
        </w:tc>
      </w:tr>
    </w:tbl>
    <w:p/>
    <w:tbl>
      <w:tblGrid>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2"/>
            <w:noWrap/>
          </w:tcPr>
          <w:p>
            <w:pPr/>
            <w:r>
              <w:rPr>
                <w:b w:val="1"/>
                <w:bCs w:val="1"/>
              </w:rPr>
              <w:t xml:space="preserve">Project Contacts</w:t>
            </w:r>
          </w:p>
        </w:tc>
      </w:tr>
      <w:tr>
        <w:trPr/>
        <w:tc>
          <w:tcPr>
            <w:tcW w:w="5000" w:type="dxa"/>
            <w:gridSpan w:val="1"/>
            <w:noWrap/>
          </w:tcPr>
          <w:p>
            <w:pPr/>
            <w:r>
              <w:rPr/>
              <w:t xml:space="preserve">UNDP BPPS Technical Advisor</w:t>
            </w:r>
          </w:p>
        </w:tc>
        <w:tc>
          <w:tcPr>
            <w:tcW w:w="5000" w:type="dxa"/>
            <w:gridSpan w:val="1"/>
            <w:noWrap/>
          </w:tcPr>
          <w:p>
            <w:pPr/>
            <w:r>
              <w:rPr/>
              <w:t xml:space="preserve">Ms. Snezana Dragojevic (snezana.dragojevic@undp.org)</w:t>
            </w:r>
          </w:p>
        </w:tc>
      </w:tr>
      <w:tr>
        <w:trPr/>
        <w:tc>
          <w:tcPr>
            <w:tcW w:w="5000" w:type="dxa"/>
            <w:gridSpan w:val="1"/>
            <w:noWrap/>
          </w:tcPr>
          <w:p>
            <w:pPr/>
            <w:r>
              <w:rPr/>
              <w:t xml:space="preserve">UNDP BPPS Programme Associate</w:t>
            </w:r>
          </w:p>
        </w:tc>
        <w:tc>
          <w:tcPr>
            <w:tcW w:w="5000" w:type="dxa"/>
            <w:gridSpan w:val="1"/>
            <w:noWrap/>
          </w:tcPr>
          <w:p>
            <w:pPr/>
            <w:r>
              <w:rPr/>
              <w:t xml:space="preserve">Ms. Gulsah Dark Kahyaoglu (gulsah.dark.kahyaoglu@undp.org)</w:t>
            </w:r>
          </w:p>
        </w:tc>
      </w:tr>
      <w:tr>
        <w:trPr/>
        <w:tc>
          <w:tcPr>
            <w:tcW w:w="5000" w:type="dxa"/>
            <w:gridSpan w:val="1"/>
            <w:noWrap/>
          </w:tcPr>
          <w:p>
            <w:pPr/>
            <w:r>
              <w:rPr/>
              <w:t xml:space="preserve">UNDP BPPS SES Technical Advisor</w:t>
            </w:r>
          </w:p>
        </w:tc>
        <w:tc>
          <w:tcPr>
            <w:tcW w:w="5000" w:type="dxa"/>
            <w:gridSpan w:val="1"/>
            <w:noWrap/>
          </w:tcPr>
          <w:p>
            <w:pPr/>
            <w:r>
              <w:rPr/>
              <w:t xml:space="preserve">Mr. Jiri DUSIK (jiri.dusik@undp.org)</w:t>
            </w:r>
          </w:p>
        </w:tc>
      </w:tr>
      <w:tr>
        <w:trPr/>
        <w:tc>
          <w:tcPr>
            <w:tcW w:w="5000" w:type="dxa"/>
            <w:gridSpan w:val="1"/>
            <w:noWrap/>
          </w:tcPr>
          <w:p>
            <w:pPr/>
            <w:r>
              <w:rPr/>
              <w:t xml:space="preserve">Project Manager/Coordinator</w:t>
            </w:r>
          </w:p>
        </w:tc>
        <w:tc>
          <w:tcPr>
            <w:tcW w:w="5000" w:type="dxa"/>
            <w:gridSpan w:val="1"/>
            <w:noWrap/>
          </w:tcPr>
          <w:p>
            <w:pPr/>
            <w:r>
              <w:rPr/>
              <w:t xml:space="preserve">Ms. Jovana Drobnjak (jovana.drobnjak@mepg.gov.me)</w:t>
            </w:r>
          </w:p>
        </w:tc>
      </w:tr>
      <w:tr>
        <w:trPr/>
        <w:tc>
          <w:tcPr>
            <w:tcW w:w="5000" w:type="dxa"/>
            <w:gridSpan w:val="1"/>
            <w:noWrap/>
          </w:tcPr>
          <w:p>
            <w:pPr/>
            <w:r>
              <w:rPr/>
              <w:t xml:space="preserve">UNDP Country Office Programme Officer</w:t>
            </w:r>
          </w:p>
        </w:tc>
        <w:tc>
          <w:tcPr>
            <w:tcW w:w="5000" w:type="dxa"/>
            <w:gridSpan w:val="1"/>
            <w:noWrap/>
          </w:tcPr>
          <w:p>
            <w:pPr/>
            <w:r>
              <w:rPr/>
              <w:t xml:space="preserve">Mr. Borko Vulikic (borko.vulikic@undp.org)</w:t>
            </w:r>
          </w:p>
        </w:tc>
      </w:tr>
      <w:tr>
        <w:trPr/>
        <w:tc>
          <w:tcPr>
            <w:tcW w:w="5000" w:type="dxa"/>
            <w:gridSpan w:val="1"/>
            <w:noWrap/>
          </w:tcPr>
          <w:p>
            <w:pPr/>
            <w:r>
              <w:rPr/>
              <w:t xml:space="preserve">UNDP Country Office Deputy Resident Representative</w:t>
            </w:r>
          </w:p>
        </w:tc>
        <w:tc>
          <w:tcPr>
            <w:tcW w:w="5000" w:type="dxa"/>
            <w:gridSpan w:val="1"/>
            <w:noWrap/>
          </w:tcPr>
          <w:p>
            <w:pPr/>
            <w:r>
              <w:rPr/>
              <w:t xml:space="preserve">Ms. Silke HOLLANDER (silke.hollander@undp.org)</w:t>
            </w:r>
          </w:p>
        </w:tc>
      </w:tr>
      <w:tr>
        <w:trPr/>
        <w:tc>
          <w:tcPr>
            <w:tcW w:w="5000" w:type="dxa"/>
            <w:gridSpan w:val="1"/>
            <w:noWrap/>
          </w:tcPr>
          <w:p>
            <w:pPr/>
            <w:r>
              <w:rPr/>
              <w:t xml:space="preserve">UNDP Regional Bureau Desk Officer</w:t>
            </w:r>
          </w:p>
        </w:tc>
        <w:tc>
          <w:tcPr>
            <w:tcW w:w="5000" w:type="dxa"/>
            <w:gridSpan w:val="1"/>
            <w:noWrap/>
          </w:tcPr>
          <w:p>
            <w:pPr/>
            <w:r>
              <w:rPr/>
              <w:t xml:space="preserve">Ms. Envesa Hodzic-kovac (envesa.hodzic-kovac@undp.org)</w:t>
            </w:r>
          </w:p>
        </w:tc>
      </w:tr>
      <w:tr>
        <w:trPr/>
        <w:tc>
          <w:tcPr>
            <w:tcW w:w="5000" w:type="dxa"/>
            <w:gridSpan w:val="1"/>
            <w:noWrap/>
          </w:tcPr>
          <w:p>
            <w:pPr/>
            <w:r>
              <w:rPr/>
              <w:t xml:space="preserve">GEF Operational Focal Point</w:t>
            </w:r>
          </w:p>
        </w:tc>
        <w:tc>
          <w:tcPr>
            <w:tcW w:w="5000" w:type="dxa"/>
            <w:gridSpan w:val="1"/>
            <w:noWrap/>
          </w:tcPr>
          <w:p>
            <w:pPr/>
            <w:r>
              <w:rPr/>
              <w:t xml:space="preserve">Ms. Jelena Ban (jelena.ban@mers.gov.me)</w:t>
            </w:r>
          </w:p>
        </w:tc>
      </w:tr>
      <w:tr>
        <w:trPr/>
        <w:tc>
          <w:tcPr>
            <w:tcW w:w="5000" w:type="dxa"/>
            <w:gridSpan w:val="1"/>
            <w:noWrap/>
          </w:tcPr>
          <w:p>
            <w:pPr/>
            <w:r>
              <w:rPr/>
              <w:t xml:space="preserve">Project Implementing Partner</w:t>
            </w:r>
          </w:p>
        </w:tc>
        <w:tc>
          <w:tcPr>
            <w:tcW w:w="5000" w:type="dxa"/>
            <w:gridSpan w:val="1"/>
            <w:noWrap/>
          </w:tcPr>
          <w:p>
            <w:pPr/>
            <w:r>
              <w:rPr/>
              <w:t xml:space="preserve">Mr. Nenad Vitomirovic (nenad.vitomirovic@mers.gov.me)</w:t>
            </w:r>
          </w:p>
        </w:tc>
      </w:tr>
      <w:tr>
        <w:trPr/>
        <w:tc>
          <w:tcPr>
            <w:tcW w:w="5000" w:type="dxa"/>
            <w:gridSpan w:val="1"/>
            <w:noWrap/>
          </w:tcPr>
          <w:p>
            <w:pPr/>
            <w:r>
              <w:rPr/>
              <w:t xml:space="preserve">Other Partners</w:t>
            </w:r>
          </w:p>
        </w:tc>
        <w:tc>
          <w:tcPr>
            <w:tcW w:w="5000" w:type="dxa"/>
            <w:gridSpan w:val="1"/>
            <w:noWrap/>
          </w:tcPr>
          <w:p>
            <w:pPr/>
            <w:r>
              <w:rPr/>
              <w:t xml:space="preserve">Mr. Milan Gazdic (gazdic.milan@gmail.com)</w:t>
            </w:r>
          </w:p>
        </w:tc>
      </w:tr>
    </w:tbl>
    <w:p>
      <w:pPr>
        <w:sectPr>
          <w:pgSz w:orient="portrait" w:w="11905.511811023622" w:h="16837.79527559055"/>
          <w:pgMar w:top="1440" w:right="1440" w:bottom="1440" w:left="1440" w:header="720" w:footer="720" w:gutter="0"/>
          <w:cols w:num="1" w:space="720"/>
        </w:sectPr>
      </w:pPr>
    </w:p>
    <w:p>
      <w:pPr>
        <w:pStyle w:val="Heading1"/>
      </w:pPr>
      <w:bookmarkStart w:id="1" w:name="_Toc1"/>
      <w:r>
        <w:t>Key project dates</w:t>
      </w:r>
      <w:bookmarkEnd w:id="1"/>
    </w:p>
    <w:tbl>
      <w:tblGrid>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noWrap/>
          </w:tcPr>
          <w:p>
            <w:pPr/>
            <w:r>
              <w:rPr/>
              <w:t xml:space="preserve">Project duration</w:t>
            </w:r>
          </w:p>
        </w:tc>
        <w:tc>
          <w:tcPr>
            <w:tcW w:w="5000" w:type="dxa"/>
            <w:vAlign w:val="center"/>
            <w:gridSpan w:val="1"/>
            <w:noWrap/>
          </w:tcPr>
          <w:p>
            <w:pPr>
              <w:jc w:val="right"/>
            </w:pPr>
            <w:r>
              <w:rPr/>
              <w:t xml:space="preserve">48 months</w:t>
            </w:r>
          </w:p>
        </w:tc>
      </w:tr>
      <w:tr>
        <w:trPr/>
        <w:tc>
          <w:tcPr>
            <w:tcW w:w="5000" w:type="dxa"/>
            <w:gridSpan w:val="1"/>
            <w:noWrap/>
          </w:tcPr>
          <w:p>
            <w:pPr/>
            <w:r>
              <w:rPr/>
              <w:t xml:space="preserve">PIF Approval Date</w:t>
            </w:r>
          </w:p>
        </w:tc>
        <w:tc>
          <w:tcPr>
            <w:tcW w:w="5000" w:type="dxa"/>
            <w:vAlign w:val="center"/>
            <w:gridSpan w:val="1"/>
            <w:noWrap/>
          </w:tcPr>
          <w:p>
            <w:pPr>
              <w:jc w:val="right"/>
            </w:pPr>
            <w:r>
              <w:rPr/>
              <w:t xml:space="preserve">May 18, 2018</w:t>
            </w:r>
          </w:p>
        </w:tc>
      </w:tr>
      <w:tr>
        <w:trPr/>
        <w:tc>
          <w:tcPr>
            <w:tcW w:w="5000" w:type="dxa"/>
            <w:gridSpan w:val="1"/>
            <w:noWrap/>
          </w:tcPr>
          <w:p>
            <w:pPr/>
            <w:r>
              <w:rPr/>
              <w:t xml:space="preserve">CEO Endorsement Date</w:t>
            </w:r>
          </w:p>
        </w:tc>
        <w:tc>
          <w:tcPr>
            <w:tcW w:w="5000" w:type="dxa"/>
            <w:vAlign w:val="center"/>
            <w:gridSpan w:val="1"/>
            <w:noWrap/>
          </w:tcPr>
          <w:p>
            <w:pPr>
              <w:jc w:val="right"/>
            </w:pPr>
            <w:r>
              <w:rPr/>
              <w:t xml:space="preserve">Jun 10, 2021</w:t>
            </w:r>
          </w:p>
        </w:tc>
      </w:tr>
      <w:tr>
        <w:trPr/>
        <w:tc>
          <w:tcPr>
            <w:tcW w:w="5000" w:type="dxa"/>
            <w:gridSpan w:val="1"/>
            <w:noWrap/>
          </w:tcPr>
          <w:p>
            <w:pPr/>
            <w:r>
              <w:rPr/>
              <w:t xml:space="preserve">Project Document Signature Date (project start date):</w:t>
            </w:r>
          </w:p>
        </w:tc>
        <w:tc>
          <w:tcPr>
            <w:tcW w:w="5000" w:type="dxa"/>
            <w:vAlign w:val="center"/>
            <w:gridSpan w:val="1"/>
            <w:noWrap/>
          </w:tcPr>
          <w:p>
            <w:pPr>
              <w:jc w:val="right"/>
            </w:pPr>
            <w:r>
              <w:rPr/>
              <w:t xml:space="preserve">Aug 25, 2021</w:t>
            </w:r>
          </w:p>
        </w:tc>
      </w:tr>
      <w:tr>
        <w:trPr/>
        <w:tc>
          <w:tcPr>
            <w:tcW w:w="5000" w:type="dxa"/>
            <w:gridSpan w:val="1"/>
            <w:noWrap/>
          </w:tcPr>
          <w:p>
            <w:pPr/>
            <w:r>
              <w:rPr/>
              <w:t xml:space="preserve">Date of Inception Workshop</w:t>
            </w:r>
          </w:p>
        </w:tc>
        <w:tc>
          <w:tcPr>
            <w:tcW w:w="5000" w:type="dxa"/>
            <w:vAlign w:val="center"/>
            <w:gridSpan w:val="1"/>
            <w:noWrap/>
          </w:tcPr>
          <w:p>
            <w:pPr>
              <w:jc w:val="right"/>
            </w:pPr>
            <w:r>
              <w:rPr/>
              <w:t xml:space="preserve">Apr 8, 2022</w:t>
            </w:r>
          </w:p>
        </w:tc>
      </w:tr>
      <w:tr>
        <w:trPr/>
        <w:tc>
          <w:tcPr>
            <w:tcW w:w="5000" w:type="dxa"/>
            <w:gridSpan w:val="1"/>
            <w:noWrap/>
          </w:tcPr>
          <w:p>
            <w:pPr/>
            <w:r>
              <w:rPr/>
              <w:t xml:space="preserve">First Disbursement Date</w:t>
            </w:r>
          </w:p>
        </w:tc>
        <w:tc>
          <w:tcPr>
            <w:tcW w:w="5000" w:type="dxa"/>
            <w:vAlign w:val="center"/>
            <w:gridSpan w:val="1"/>
            <w:noWrap/>
          </w:tcPr>
          <w:p>
            <w:pPr>
              <w:jc w:val="right"/>
            </w:pPr>
            <w:r>
              <w:rPr/>
              <w:t xml:space="preserve">May 10, 2022</w:t>
            </w:r>
          </w:p>
        </w:tc>
      </w:tr>
      <w:tr>
        <w:trPr/>
        <w:tc>
          <w:tcPr>
            <w:tcW w:w="5000" w:type="dxa"/>
            <w:gridSpan w:val="1"/>
            <w:noWrap/>
          </w:tcPr>
          <w:p>
            <w:pPr/>
            <w:r>
              <w:rPr/>
              <w:t xml:space="preserve">Expected Date of Mid-term Review</w:t>
            </w:r>
          </w:p>
        </w:tc>
        <w:tc>
          <w:tcPr>
            <w:tcW w:w="5000" w:type="dxa"/>
            <w:vAlign w:val="center"/>
            <w:gridSpan w:val="1"/>
            <w:noWrap/>
          </w:tcPr>
          <w:p>
            <w:pPr>
              <w:jc w:val="right"/>
            </w:pPr>
            <w:r>
              <w:rPr/>
              <w:t xml:space="preserve">Feb 25, 2024</w:t>
            </w:r>
          </w:p>
        </w:tc>
      </w:tr>
      <w:tr>
        <w:trPr/>
        <w:tc>
          <w:tcPr>
            <w:tcW w:w="5000" w:type="dxa"/>
            <w:gridSpan w:val="1"/>
            <w:noWrap/>
          </w:tcPr>
          <w:p>
            <w:pPr/>
            <w:r>
              <w:rPr/>
              <w:t xml:space="preserve">Actual Date of Mid-term Review</w:t>
            </w:r>
          </w:p>
        </w:tc>
        <w:tc>
          <w:tcPr>
            <w:tcW w:w="5000" w:type="dxa"/>
            <w:vAlign w:val="center"/>
            <w:gridSpan w:val="1"/>
            <w:noWrap/>
          </w:tcPr>
          <w:p>
            <w:pPr>
              <w:jc w:val="right"/>
            </w:pPr>
            <w:r>
              <w:rPr/>
              <w:t xml:space="preserve">Apr 30, 2024</w:t>
            </w:r>
          </w:p>
        </w:tc>
      </w:tr>
      <w:tr>
        <w:trPr/>
        <w:tc>
          <w:tcPr>
            <w:tcW w:w="5000" w:type="dxa"/>
            <w:gridSpan w:val="1"/>
            <w:noWrap/>
          </w:tcPr>
          <w:p>
            <w:pPr/>
            <w:r>
              <w:rPr/>
              <w:t xml:space="preserve">Expected Date of Terminal Evaluation</w:t>
            </w:r>
          </w:p>
        </w:tc>
        <w:tc>
          <w:tcPr>
            <w:tcW w:w="5000" w:type="dxa"/>
            <w:vAlign w:val="center"/>
            <w:gridSpan w:val="1"/>
            <w:noWrap/>
          </w:tcPr>
          <w:p>
            <w:pPr>
              <w:jc w:val="right"/>
            </w:pPr>
            <w:r>
              <w:rPr/>
              <w:t xml:space="preserve">Nov 25, 2025</w:t>
            </w:r>
          </w:p>
        </w:tc>
      </w:tr>
      <w:tr>
        <w:trPr/>
        <w:tc>
          <w:tcPr>
            <w:tcW w:w="5000" w:type="dxa"/>
            <w:gridSpan w:val="1"/>
            <w:noWrap/>
          </w:tcPr>
          <w:p>
            <w:pPr/>
            <w:r>
              <w:rPr/>
              <w:t xml:space="preserve">Original Planned Closing Date</w:t>
            </w:r>
          </w:p>
        </w:tc>
        <w:tc>
          <w:tcPr>
            <w:tcW w:w="5000" w:type="dxa"/>
            <w:vAlign w:val="center"/>
            <w:gridSpan w:val="1"/>
            <w:noWrap/>
          </w:tcPr>
          <w:p>
            <w:pPr>
              <w:jc w:val="right"/>
            </w:pPr>
            <w:r>
              <w:rPr/>
              <w:t xml:space="preserve">Aug 25, 2025</w:t>
            </w:r>
          </w:p>
        </w:tc>
      </w:tr>
      <w:tr>
        <w:trPr/>
        <w:tc>
          <w:tcPr>
            <w:tcW w:w="5000" w:type="dxa"/>
            <w:gridSpan w:val="1"/>
            <w:noWrap/>
          </w:tcPr>
          <w:p>
            <w:pPr/>
            <w:r>
              <w:rPr/>
              <w:t xml:space="preserve">Revised Planned Closing Date</w:t>
            </w:r>
          </w:p>
        </w:tc>
        <w:tc>
          <w:tcPr>
            <w:tcW w:w="5000" w:type="dxa"/>
            <w:vAlign w:val="center"/>
            <w:gridSpan w:val="1"/>
            <w:noWrap/>
          </w:tcPr>
          <w:p>
            <w:pPr>
              <w:jc w:val="right"/>
            </w:pPr>
            <w:r>
              <w:rPr/>
              <w:t xml:space="preserve">Feb 25, 2026</w:t>
            </w:r>
          </w:p>
        </w:tc>
      </w:tr>
    </w:tbl>
    <w:p>
      <w:pPr>
        <w:sectPr>
          <w:pgSz w:orient="portrait" w:w="11905.511811023622" w:h="16837.79527559055"/>
          <w:pgMar w:top="1440" w:right="1440" w:bottom="1440" w:left="1440" w:header="720" w:footer="720" w:gutter="0"/>
          <w:cols w:num="1" w:space="720"/>
        </w:sectPr>
      </w:pPr>
    </w:p>
    <w:p>
      <w:pPr>
        <w:pStyle w:val="Heading1"/>
      </w:pPr>
      <w:bookmarkStart w:id="2" w:name="_Toc2"/>
      <w:r>
        <w:t>Overall ratings</w:t>
      </w:r>
      <w:bookmarkEnd w:id="2"/>
    </w:p>
    <w:tbl>
      <w:tblGrid>
        <w:gridCol w:w="8000" w:type="dxa"/>
        <w:gridCol w:w="8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8000" w:type="dxa"/>
            <w:gridSpan w:val="1"/>
            <w:noWrap/>
          </w:tcPr>
          <w:p>
            <w:pPr/>
            <w:r>
              <w:rPr/>
              <w:t xml:space="preserve">Overall DO Rating</w:t>
            </w:r>
          </w:p>
        </w:tc>
        <w:tc>
          <w:tcPr>
            <w:tcW w:w="8000" w:type="dxa"/>
            <w:gridSpan w:val="1"/>
            <w:noWrap/>
          </w:tcPr>
          <w:p>
            <w:pPr/>
            <w:r>
              <w:rPr/>
              <w:t xml:space="preserve">Moderately Satisfactory</w:t>
            </w:r>
          </w:p>
        </w:tc>
      </w:tr>
      <w:tr>
        <w:trPr/>
        <w:tc>
          <w:tcPr>
            <w:tcW w:w="8000" w:type="dxa"/>
            <w:gridSpan w:val="1"/>
            <w:noWrap/>
          </w:tcPr>
          <w:p>
            <w:pPr/>
            <w:r>
              <w:rPr/>
              <w:t xml:space="preserve">Overall IP Rating</w:t>
            </w:r>
          </w:p>
        </w:tc>
        <w:tc>
          <w:tcPr>
            <w:tcW w:w="8000" w:type="dxa"/>
            <w:gridSpan w:val="1"/>
            <w:noWrap/>
          </w:tcPr>
          <w:p>
            <w:pPr/>
            <w:r>
              <w:rPr/>
              <w:t xml:space="preserve">Moderately Satisfactory</w:t>
            </w:r>
          </w:p>
        </w:tc>
      </w:tr>
      <w:tr>
        <w:trPr/>
        <w:tc>
          <w:tcPr>
            <w:tcW w:w="8000" w:type="dxa"/>
            <w:gridSpan w:val="1"/>
            <w:noWrap/>
          </w:tcPr>
          <w:p>
            <w:pPr/>
            <w:r>
              <w:rPr/>
              <w:t xml:space="preserve">Overall Risk Rating</w:t>
            </w:r>
          </w:p>
        </w:tc>
        <w:tc>
          <w:tcPr>
            <w:tcW w:w="8000" w:type="dxa"/>
            <w:gridSpan w:val="1"/>
            <w:noWrap/>
          </w:tcPr>
          <w:p>
            <w:pPr/>
            <w:r>
              <w:rPr/>
              <w:t xml:space="preserve">moderate</w:t>
            </w:r>
          </w:p>
        </w:tc>
      </w:tr>
    </w:tbl>
    <w:p>
      <w:pPr>
        <w:sectPr>
          <w:pgSz w:orient="portrait" w:w="11905.511811023622" w:h="16837.79527559055"/>
          <w:pgMar w:top="1440" w:right="1440" w:bottom="1440" w:left="1440" w:header="720" w:footer="720" w:gutter="0"/>
          <w:cols w:num="1" w:space="720"/>
        </w:sectPr>
      </w:pPr>
    </w:p>
    <w:p>
      <w:pPr>
        <w:pStyle w:val="Heading1"/>
      </w:pPr>
      <w:bookmarkStart w:id="3" w:name="_Toc3"/>
      <w:r>
        <w:t>Development Objective Progress</w:t>
      </w:r>
      <w:bookmarkEnd w:id="3"/>
    </w:p>
    <w:p>
      <w:pPr/>
      <w:r>
        <w:rPr/>
        <w:t xml:space="preserve">It is mandatory for all reported progress to be substantiated by evidence. Please upload evidence files for each objective/outcome via the DO PROGRESS section in the online PIR platform.  If there is no evidence to upload, the Project Manager is required to provide an explanation. </w:t>
      </w:r>
    </w:p>
    <w:tbl>
      <w:tblGrid>
        <w:gridCol w:w="4000" w:type="dxa"/>
        <w:gridCol w:w="2000" w:type="dxa"/>
        <w:gridCol w:w="2000" w:type="dxa"/>
        <w:gridCol w:w="2000" w:type="dxa"/>
        <w:gridCol w:w="4000" w:type="dxa"/>
        <w:gridCol w:w="4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6000" w:type="dxa"/>
            <w:gridSpan w:val="7"/>
            <w:noWrap/>
          </w:tcPr>
          <w:p>
            <w:pPr/>
            <w:r>
              <w:rPr>
                <w:b w:val="1"/>
                <w:bCs w:val="1"/>
              </w:rPr>
              <w:t xml:space="preserve">Description</w:t>
            </w:r>
          </w:p>
        </w:tc>
      </w:tr>
      <w:tr>
        <w:trPr/>
        <w:tc>
          <w:tcPr>
            <w:tcW w:w="16000" w:type="dxa"/>
            <w:shd w:val="clear" w:fill="#D9D9D9"/>
            <w:gridSpan w:val="7"/>
            <w:noWrap/>
          </w:tcPr>
          <w:p>
            <w:pPr/>
            <w:r>
              <w:rPr>
                <w:b w:val="1"/>
                <w:bCs w:val="1"/>
              </w:rPr>
              <w:t xml:space="preserve">Objective</w:t>
            </w:r>
          </w:p>
          <w:p>
            <w:pPr/>
            <w:r>
              <w:rPr>
                <w:b w:val="1"/>
                <w:bCs w:val="1"/>
              </w:rPr>
              <w:t xml:space="preserve">To strengthen Montenegro’s national capacities through an improved MRV system to meet transparency related requirements under Article 13 of the Paris Agreement</w:t>
            </w:r>
          </w:p>
        </w:tc>
      </w:tr>
      <w:tr>
        <w:trPr/>
        <w:tc>
          <w:tcPr>
            <w:tcW w:w="4000" w:type="dxa"/>
            <w:gridSpan w:val="1"/>
            <w:noWrap/>
          </w:tcPr>
          <w:p>
            <w:pPr/>
            <w:r>
              <w:rPr>
                <w:b w:val="1"/>
                <w:bCs w:val="1"/>
              </w:rPr>
              <w:t xml:space="preserve">Description of Indicator</w:t>
            </w:r>
          </w:p>
        </w:tc>
        <w:tc>
          <w:tcPr>
            <w:tcW w:w="2000" w:type="dxa"/>
            <w:gridSpan w:val="1"/>
            <w:noWrap/>
          </w:tcPr>
          <w:p>
            <w:pPr/>
            <w:r>
              <w:rPr>
                <w:b w:val="1"/>
                <w:bCs w:val="1"/>
              </w:rPr>
              <w:t xml:space="preserve">Baseline Level</w:t>
            </w:r>
          </w:p>
        </w:tc>
        <w:tc>
          <w:tcPr>
            <w:tcW w:w="2000" w:type="dxa"/>
            <w:gridSpan w:val="1"/>
            <w:noWrap/>
          </w:tcPr>
          <w:p>
            <w:pPr/>
            <w:r>
              <w:rPr>
                <w:b w:val="1"/>
                <w:bCs w:val="1"/>
              </w:rPr>
              <w:t xml:space="preserve">Midterm target level</w:t>
            </w:r>
          </w:p>
        </w:tc>
        <w:tc>
          <w:tcPr>
            <w:tcW w:w="2000" w:type="dxa"/>
            <w:gridSpan w:val="1"/>
            <w:noWrap/>
          </w:tcPr>
          <w:p>
            <w:pPr/>
            <w:r>
              <w:rPr>
                <w:b w:val="1"/>
                <w:bCs w:val="1"/>
              </w:rPr>
              <w:t xml:space="preserve">End of project target level</w:t>
            </w:r>
          </w:p>
        </w:tc>
        <w:tc>
          <w:tcPr>
            <w:tcW w:w="4000" w:type="dxa"/>
            <w:gridSpan w:val="1"/>
            <w:noWrap/>
          </w:tcPr>
          <w:p>
            <w:pPr/>
            <w:r>
              <w:rPr>
                <w:b w:val="1"/>
                <w:bCs w:val="1"/>
              </w:rPr>
              <w:t xml:space="preserve">Level at Jun 30, 2024</w:t>
            </w:r>
          </w:p>
        </w:tc>
        <w:tc>
          <w:tcPr>
            <w:tcW w:w="4000" w:type="dxa"/>
            <w:gridSpan w:val="1"/>
            <w:noWrap/>
          </w:tcPr>
          <w:p>
            <w:pPr/>
            <w:r>
              <w:rPr>
                <w:b w:val="1"/>
                <w:bCs w:val="1"/>
              </w:rPr>
              <w:t xml:space="preserve">Cumulative progress since project start as of Jun 30, 2025</w:t>
            </w:r>
          </w:p>
        </w:tc>
      </w:tr>
      <w:tr>
        <w:trPr/>
        <w:tc>
          <w:tcPr>
            <w:tcW w:w="4000" w:type="dxa"/>
            <w:gridSpan w:val="1"/>
            <w:noWrap/>
          </w:tcPr>
          <w:p>
            <w:pPr/>
            <w:r>
              <w:rPr/>
              <w:t xml:space="preserve">Mandatory Indicator 1: IRRF 1.4.2 - Extent to which implementation of comprehensive measures, i.e., plans, strategies, policies, programmes and budgets to achieve low-emission and climate-resilient development objectives has improved.</w:t>
            </w:r>
          </w:p>
          <w:p>
            <w:pPr/>
            <w:r>
              <w:rPr/>
              <w:t xml:space="preserve">1.  Not adequately</w:t>
            </w:r>
          </w:p>
          <w:p>
            <w:pPr/>
            <w:r>
              <w:rPr/>
              <w:t xml:space="preserve">2.  Very partially</w:t>
            </w:r>
          </w:p>
          <w:p>
            <w:pPr/>
            <w:r>
              <w:rPr/>
              <w:t xml:space="preserve">3.  Partially</w:t>
            </w:r>
          </w:p>
          <w:p>
            <w:pPr/>
            <w:r>
              <w:rPr/>
              <w:t xml:space="preserve">4.  Largely</w:t>
            </w:r>
          </w:p>
          <w:p>
            <w:pPr/>
            <w:r>
              <w:rPr/>
              <w:t xml:space="preserve"/>
            </w:r>
          </w:p>
        </w:tc>
        <w:tc>
          <w:tcPr>
            <w:tcW w:w="2000" w:type="dxa"/>
            <w:gridSpan w:val="1"/>
            <w:noWrap/>
          </w:tcPr>
          <w:p>
            <w:pPr/>
            <w:r>
              <w:rPr/>
              <w:t xml:space="preserve">•	Existing coordination and formal mechanisms are inadequate.  The many solutions to combat climate change and achieve the sustainable management of natural resources are only available within the construct of externally-funded projects.  Thus, the baseline of this indicator is effectively one: not adequately.</w:t>
            </w:r>
          </w:p>
          <w:p>
            <w:pPr/>
            <w:r>
              <w:rPr/>
              <w:t xml:space="preserve"/>
            </w:r>
          </w:p>
        </w:tc>
        <w:tc>
          <w:tcPr>
            <w:tcW w:w="2000" w:type="dxa"/>
            <w:gridSpan w:val="1"/>
            <w:noWrap/>
          </w:tcPr>
          <w:p>
            <w:pPr/>
            <w:r>
              <w:rPr>
                <w:i w:val="1"/>
                <w:iCs w:val="1"/>
              </w:rPr>
              <w:t xml:space="preserve">(not set or not applicable)</w:t>
            </w:r>
          </w:p>
        </w:tc>
        <w:tc>
          <w:tcPr>
            <w:tcW w:w="2000" w:type="dxa"/>
            <w:gridSpan w:val="1"/>
            <w:noWrap/>
          </w:tcPr>
          <w:p>
            <w:pPr/>
            <w:r>
              <w:rPr/>
              <w:t xml:space="preserve">•	Institutional arrangements and inter-agency agreements on information management are negotiated</w:t>
            </w:r>
          </w:p>
          <w:p>
            <w:pPr/>
            <w:r>
              <w:rPr/>
              <w:t xml:space="preserve">•	One new cooperation   mechanism is established, i.e., the National Council for Sustainable, Climate Change, and Integrated Coastal Zone Management,  targeted to catalyzing Rio Convention mainstreaming at the directorate level among stakeholder agencies and organizations.  Thus, coordination will have improved from a rating of 1 (not adequately) to 3 (partially).</w:t>
            </w:r>
          </w:p>
          <w:p>
            <w:pPr/>
            <w:r>
              <w:rPr/>
              <w:t xml:space="preserve"/>
            </w:r>
          </w:p>
        </w:tc>
        <w:tc>
          <w:tcPr>
            <w:tcW w:w="4000" w:type="dxa"/>
            <w:gridSpan w:val="1"/>
            <w:noWrap/>
          </w:tcPr>
          <w:p>
            <w:pPr/>
            <w:r>
              <w:rPr/>
              <w:t xml:space="preserve">Progress update: 40% completed.</w:t>
            </w:r>
          </w:p>
          <w:p>
            <w:pPr/>
            <w:r>
              <w:rPr/>
              <w:t xml:space="preserve">Compared to 2023, Montenegro has made significant strategic advancements during the PIR period in strengthening institutional mechanisms for transparency in climate change efforts at both national and local levels. A comprehensive assessment, including a SWOT and gaps analysis, was conducted at both levels to evaluate the capacities and requirements across various domains. This includes the institutional settings, strategic and regulatory frameworks, administrative capacities, climate change finances, knowledge management, and gender-sensitive assessments in the climate change area.</w:t>
            </w:r>
          </w:p>
          <w:p>
            <w:pPr/>
            <w:r>
              <w:rPr/>
              <w:t xml:space="preserve"/>
            </w:r>
          </w:p>
          <w:p>
            <w:pPr/>
            <w:r>
              <w:rPr/>
              <w:t xml:space="preserve">This thorough analysis forms the foundation for the development of methodologies, procedures, and guidelines tailored to Montenegro's needs, as well as a targeted capacity-building program. Key strategic efforts supported by the project include:</w:t>
            </w:r>
          </w:p>
          <w:p>
            <w:pPr/>
            <w:r>
              <w:rPr/>
              <w:t xml:space="preserve"/>
            </w:r>
          </w:p>
          <w:p>
            <w:pPr/>
            <w:r>
              <w:rPr/>
              <w:t xml:space="preserve">- Drafting the new Law on Climate Change.</w:t>
            </w:r>
          </w:p>
          <w:p>
            <w:pPr/>
            <w:r>
              <w:rPr/>
              <w:t xml:space="preserve">- Reviewing and refining the National Adaptation Plan (NAP) Monitoring and Evaluation Framework.</w:t>
            </w:r>
          </w:p>
          <w:p>
            <w:pPr/>
            <w:r>
              <w:rPr/>
              <w:t xml:space="preserve">- Supporting the preparation of Montenegro's report for the EU-Montenegro Joint Sub-Committee on Transport, Energy, Environment, Climate Change, and Regional Policy 2024.</w:t>
            </w:r>
          </w:p>
          <w:p>
            <w:pPr/>
            <w:r>
              <w:rPr/>
              <w:t xml:space="preserve">- Contributing to the finalization of the Reform Agenda.</w:t>
            </w:r>
          </w:p>
          <w:p>
            <w:pPr/>
            <w:r>
              <w:rPr/>
              <w:t xml:space="preserve">- Enhancing the semi-annual report on the implementation of the Action Plan for meeting the final benchmarks in Chapter 27 on environment and climate change.</w:t>
            </w:r>
          </w:p>
          <w:p>
            <w:pPr/>
            <w:r>
              <w:rPr/>
              <w:t xml:space="preserve">- Assisting in drafting pledges and benchmarks for the National Council for Sustainable Development (NCSD) 2023.</w:t>
            </w:r>
          </w:p>
          <w:p>
            <w:pPr/>
            <w:r>
              <w:rPr/>
              <w:t xml:space="preserve">- Contributing to the Strategy for Disaster Risk Reduction with the Action Plan 2025/2026.</w:t>
            </w:r>
          </w:p>
          <w:p>
            <w:pPr/>
            <w:r>
              <w:rPr/>
              <w:t xml:space="preserve">- Integrating biodiversity and climate change considerations into the methodology for preparing strategic documents, in cooperation with the NAP.</w:t>
            </w:r>
          </w:p>
          <w:p>
            <w:pPr/>
            <w:r>
              <w:rPr/>
              <w:t xml:space="preserve">- Conducting a detailed analysis of the 2022 budget execution with initial climate budget marking.</w:t>
            </w:r>
          </w:p>
          <w:p>
            <w:pPr/>
            <w:r>
              <w:rPr/>
              <w:t xml:space="preserve">- Initiating coordination with the World Bank on the Low Carbon Development Strategy.</w:t>
            </w:r>
          </w:p>
          <w:p>
            <w:pPr/>
            <w:r>
              <w:rPr/>
              <w:t xml:space="preserve"/>
            </w:r>
          </w:p>
          <w:p>
            <w:pPr/>
            <w:r>
              <w:rPr/>
              <w:t xml:space="preserve">These initiatives reflect a strategic, collaborative approach to enhancing climate change governance and policy in Montenegro, positioning the country for continued progress in its environmental and climate goals.</w:t>
            </w:r>
          </w:p>
        </w:tc>
        <w:tc>
          <w:tcPr>
            <w:tcW w:w="4000" w:type="dxa"/>
            <w:gridSpan w:val="1"/>
            <w:noWrap/>
          </w:tcPr>
          <w:p>
            <w:pPr/>
            <w:r>
              <w:rPr/>
              <w:t xml:space="preserve">Progress Update: 65% Completed</w:t>
            </w:r>
          </w:p>
          <w:p>
            <w:pPr/>
            <w:r>
              <w:rPr/>
              <w:t xml:space="preserve"/>
            </w:r>
          </w:p>
          <w:p>
            <w:pPr/>
            <w:r>
              <w:rPr/>
              <w:t xml:space="preserve">Despite a very challenging reporting period,  and as explained in the Overall Assessment and IP rating, the project has made significant progress toward achieving this indicator. Key accomplishments include:</w:t>
            </w:r>
          </w:p>
          <w:p>
            <w:pPr/>
            <w:r>
              <w:rPr/>
              <w:t xml:space="preserve"/>
            </w:r>
          </w:p>
          <w:p>
            <w:pPr/>
            <w:r>
              <w:rPr/>
              <w:t xml:space="preserve">1.National Methodologies, Procedures, and Guidelines (MPGs) for mitigation, adaptation, and climate finance have been prepared, fully integrating a gender-sensitive approach. These were developed in the form of detailed instructions and manuals (as explained under Indicator 4).</w:t>
            </w:r>
          </w:p>
          <w:p>
            <w:pPr/>
            <w:r>
              <w:rPr/>
              <w:t xml:space="preserve"/>
            </w:r>
          </w:p>
          <w:p>
            <w:pPr/>
            <w:r>
              <w:rPr/>
              <w:t xml:space="preserve">2.A comprehensive Capacity Building  Program has been developed and is currently being implemented (described under Indicator 2).</w:t>
            </w:r>
          </w:p>
          <w:p>
            <w:pPr/>
            <w:r>
              <w:rPr/>
              <w:t xml:space="preserve"/>
            </w:r>
          </w:p>
          <w:p>
            <w:pPr/>
            <w:r>
              <w:rPr/>
              <w:t xml:space="preserve">3. Localization of the UNDP Digital Solution for the NDC Transparency Portal (Indicator 13).</w:t>
            </w:r>
          </w:p>
          <w:p>
            <w:pPr/>
            <w:r>
              <w:rPr/>
              <w:t xml:space="preserve"/>
            </w:r>
          </w:p>
          <w:p>
            <w:pPr/>
            <w:r>
              <w:rPr/>
              <w:t xml:space="preserve">4. The Glossary of English Climate Terms has been updated and improved (Indicator 12).</w:t>
            </w:r>
          </w:p>
          <w:p>
            <w:pPr/>
            <w:r>
              <w:rPr/>
              <w:t xml:space="preserve"/>
            </w:r>
          </w:p>
          <w:p>
            <w:pPr/>
            <w:r>
              <w:rPr/>
              <w:t xml:space="preserve">5. A gender-sensitive approach has been fully integrated across all segments of the project (Indicator 11).</w:t>
            </w:r>
          </w:p>
          <w:p>
            <w:pPr/>
            <w:r>
              <w:rPr/>
              <w:t xml:space="preserve"/>
            </w:r>
          </w:p>
          <w:p>
            <w:pPr/>
            <w:r>
              <w:rPr/>
              <w:t xml:space="preserve">In addition, the CBIT expert team has worked on:</w:t>
            </w:r>
          </w:p>
          <w:p>
            <w:pPr/>
            <w:r>
              <w:rPr/>
              <w:t xml:space="preserve"/>
            </w:r>
          </w:p>
          <w:p>
            <w:pPr/>
            <w:r>
              <w:rPr/>
              <w:t xml:space="preserve">- A proposal for a new Climate Change Law and related alignment tables for the entire legislative text;</w:t>
            </w:r>
          </w:p>
          <w:p>
            <w:pPr/>
            <w:r>
              <w:rPr/>
              <w:t xml:space="preserve"/>
            </w:r>
          </w:p>
          <w:p>
            <w:pPr/>
            <w:r>
              <w:rPr/>
              <w:t xml:space="preserve">- A comprehensive study on Climate Finance in Montenegro, including a detailed assessment of climate-relevant expenditures in the national budget for the period 2020–2023;</w:t>
            </w:r>
          </w:p>
          <w:p>
            <w:pPr/>
            <w:r>
              <w:rPr/>
              <w:t xml:space="preserve"/>
            </w:r>
          </w:p>
          <w:p>
            <w:pPr/>
            <w:r>
              <w:rPr/>
              <w:t xml:space="preserve">-Providing inputs for the National Communication Strategy for Decarbonization 2024–2027;</w:t>
            </w:r>
          </w:p>
          <w:p>
            <w:pPr/>
            <w:r>
              <w:rPr/>
              <w:t xml:space="preserve"/>
            </w:r>
          </w:p>
          <w:p>
            <w:pPr/>
            <w:r>
              <w:rPr/>
              <w:t xml:space="preserve">-Contributing to the reporting requirements under the Action Plan for the Fulfilment of Closing Benchmarks in Chapter 27.</w:t>
            </w:r>
          </w:p>
          <w:p>
            <w:pPr/>
            <w:r>
              <w:rPr/>
              <w:t xml:space="preserve"/>
            </w:r>
          </w:p>
          <w:p>
            <w:pPr/>
            <w:r>
              <w:rPr/>
              <w:t xml:space="preserve">All supporting documents are added in PIR library:</w:t>
            </w:r>
          </w:p>
          <w:p>
            <w:pPr/>
            <w:r>
              <w:rPr/>
              <w:t xml:space="preserve"/>
            </w:r>
          </w:p>
          <w:p>
            <w:pPr/>
            <w:r>
              <w:rPr/>
              <w:t xml:space="preserve">1.	Indicator_1_Meeting minutes National Decarbonisation Strategy of Montenegro - CBIT info.pdf</w:t>
            </w:r>
          </w:p>
          <w:p>
            <w:pPr/>
            <w:r>
              <w:rPr/>
              <w:t xml:space="preserve">2.	Indicator_1_Meeting minutes National Decarbonisation Strategy of Montenegro - meeting with cbit team_1_.pdf</w:t>
            </w:r>
          </w:p>
          <w:p>
            <w:pPr/>
            <w:r>
              <w:rPr/>
              <w:t xml:space="preserve">3.	Indicator_2_K1_Training_Plan_CapacityBuilding_CBIT1.docx</w:t>
            </w:r>
          </w:p>
          <w:p>
            <w:pPr/>
            <w:r>
              <w:rPr/>
              <w:t xml:space="preserve">4.	Indicator_1010016_BTR2_BTR3 5NC_Montenegro-sd-gd.pptx</w:t>
            </w:r>
          </w:p>
          <w:p>
            <w:pPr/>
            <w:r>
              <w:rPr/>
              <w:t xml:space="preserve">5.	Indicator_1_AP for RR Strategy, draft Activity 5.1.docx</w:t>
            </w:r>
          </w:p>
          <w:p>
            <w:pPr/>
            <w:r>
              <w:rPr/>
              <w:t xml:space="preserve">6.	Indicator_1_Budget 2020 – Climate-relevant expenditures_as of 1 December 2024_.docx</w:t>
            </w:r>
          </w:p>
          <w:p>
            <w:pPr/>
            <w:r>
              <w:rPr/>
              <w:t xml:space="preserve">7.	Indicator_1_Budget 2021 – Climate-relevant expenditures_as of 30 October 2024_.docx</w:t>
            </w:r>
          </w:p>
          <w:p>
            <w:pPr/>
            <w:r>
              <w:rPr/>
              <w:t xml:space="preserve">8.	Indicator_1_Budget 2023 – Climate-relevant expenditures_as of 5 March 2025_.docx</w:t>
            </w:r>
          </w:p>
          <w:p>
            <w:pPr/>
            <w:r>
              <w:rPr/>
              <w:t xml:space="preserve">9.	Indicator_1_CG ToC LULUCF - I to III column HR_003_.docx</w:t>
            </w:r>
          </w:p>
          <w:p>
            <w:pPr/>
            <w:r>
              <w:rPr/>
              <w:t xml:space="preserve">10.	Indicator_1_Climate Financing in Montenegro - excel.xlsx</w:t>
            </w:r>
          </w:p>
          <w:p>
            <w:pPr/>
            <w:r>
              <w:rPr/>
              <w:t xml:space="preserve">11.	Indicator_1_Climate Financing in Montenegro 2025.docx</w:t>
            </w:r>
          </w:p>
          <w:p>
            <w:pPr/>
            <w:r>
              <w:rPr/>
              <w:t xml:space="preserve">12.	Indicator_1_Draft Law on Climate Change 08. May 2025.docx</w:t>
            </w:r>
          </w:p>
          <w:p>
            <w:pPr/>
            <w:r>
              <w:rPr/>
              <w:t xml:space="preserve">13.	Indicator_1_ENG Table of concordance Regulation _EU_422-573 fluorinated gases.docx</w:t>
            </w:r>
          </w:p>
          <w:p>
            <w:pPr/>
            <w:r>
              <w:rPr/>
              <w:t xml:space="preserve">14.	Indicator_1_ENG Table of concordance LULUCF 2018-841.docx</w:t>
            </w:r>
          </w:p>
          <w:p>
            <w:pPr/>
            <w:r>
              <w:rPr/>
              <w:t xml:space="preserve">15.	Indicator_1_Obligations from Action Plan for meeting the closing benchmarks in Chapter 27.pdf</w:t>
            </w:r>
          </w:p>
          <w:p>
            <w:pPr/>
            <w:r>
              <w:rPr/>
              <w:t xml:space="preserve">16.	Indicator_1_Template for reporting - final JD_1_.docx</w:t>
            </w:r>
          </w:p>
          <w:p>
            <w:pPr/>
            <w:r>
              <w:rPr/>
              <w:t xml:space="preserve">17.	Indicator_1_Table of concordance - Directive 2003-87-EC establishing system for greenhouse gas emission allowance trading within the Union 2.docx</w:t>
            </w:r>
          </w:p>
          <w:p>
            <w:pPr/>
            <w:r>
              <w:rPr/>
              <w:t xml:space="preserve">18.	Indicator_1_Table of concordance - Directive 2003-87-EC establishing system for greenhouse gas emission allowance trading within the Union.docx</w:t>
            </w:r>
          </w:p>
          <w:p>
            <w:pPr/>
            <w:r>
              <w:rPr/>
              <w:t xml:space="preserve">19.	Indicator_1_Table of concordance F gases.docx</w:t>
            </w:r>
          </w:p>
          <w:p>
            <w:pPr/>
            <w:r>
              <w:rPr/>
              <w:t xml:space="preserve">20.	Indicator_1_Table of concordance MRR Regulation EU 2018-2066-EC_003_.docx.</w:t>
            </w:r>
          </w:p>
          <w:p>
            <w:pPr/>
            <w:r>
              <w:rPr/>
              <w:t xml:space="preserve"/>
            </w:r>
          </w:p>
          <w:p>
            <w:pPr/>
            <w:r>
              <w:rPr/>
              <w:t xml:space="preserve">Furthermore, the CBIT team has been reinforced by a sub-team of young experts specializing in adaptation, mitigation, and legal affairs. This structure was established to ensure effective knowledge transfer from the national expert team and to further build national capacity.</w:t>
            </w:r>
          </w:p>
          <w:p>
            <w:pPr/>
            <w:r>
              <w:rPr/>
              <w:t xml:space="preserve"/>
            </w:r>
          </w:p>
        </w:tc>
      </w:tr>
      <w:tr>
        <w:trPr/>
        <w:tc>
          <w:tcPr>
            <w:tcW w:w="4000" w:type="dxa"/>
            <w:gridSpan w:val="1"/>
            <w:noWrap/>
          </w:tcPr>
          <w:p>
            <w:pPr/>
            <w:r>
              <w:rPr/>
              <w:t xml:space="preserve">Mandatory Indicator 2:  Number of direct project beneficiaries that increase their capacities to meet enhanced transparency requirements.</w:t>
            </w:r>
          </w:p>
        </w:tc>
        <w:tc>
          <w:tcPr>
            <w:tcW w:w="2000" w:type="dxa"/>
            <w:gridSpan w:val="1"/>
            <w:noWrap/>
          </w:tcPr>
          <w:p>
            <w:pPr/>
            <w:r>
              <w:rPr/>
              <w:t xml:space="preserve">•	While a number of national stakeholders are benefitting from various climate change projects, the baseline is set at zero as the trainings under the project will provide new and expanded skills</w:t>
            </w:r>
          </w:p>
          <w:p>
            <w:pPr/>
            <w:r>
              <w:rPr/>
              <w:t xml:space="preserve">•	The existing institutional structures and mechanisms for data and information management are out of date and hinder by limited data sharing.</w:t>
            </w:r>
          </w:p>
          <w:p>
            <w:pPr/>
            <w:r>
              <w:rPr/>
              <w:t xml:space="preserve"/>
            </w:r>
          </w:p>
        </w:tc>
        <w:tc>
          <w:tcPr>
            <w:tcW w:w="2000" w:type="dxa"/>
            <w:gridSpan w:val="1"/>
            <w:noWrap/>
          </w:tcPr>
          <w:p>
            <w:pPr/>
            <w:r>
              <w:rPr>
                <w:i w:val="1"/>
                <w:iCs w:val="1"/>
              </w:rPr>
              <w:t xml:space="preserve">(not set or not applicable)</w:t>
            </w:r>
          </w:p>
        </w:tc>
        <w:tc>
          <w:tcPr>
            <w:tcW w:w="2000" w:type="dxa"/>
            <w:gridSpan w:val="1"/>
            <w:noWrap/>
          </w:tcPr>
          <w:p>
            <w:pPr/>
            <w:r>
              <w:rPr/>
              <w:t xml:space="preserve">•	At least 420 different stakeholders have benefitted directly from project activities, of which 210 (or 50%) are women.</w:t>
            </w:r>
          </w:p>
          <w:p>
            <w:pPr/>
            <w:r>
              <w:rPr/>
              <w:t xml:space="preserve">•	Institutional and technical capacities to use data and information for planning and decision-making based on better climate models and information</w:t>
            </w:r>
          </w:p>
          <w:p>
            <w:pPr/>
            <w:r>
              <w:rPr/>
              <w:t xml:space="preserve"/>
            </w:r>
          </w:p>
        </w:tc>
        <w:tc>
          <w:tcPr>
            <w:tcW w:w="4000" w:type="dxa"/>
            <w:gridSpan w:val="1"/>
            <w:noWrap/>
          </w:tcPr>
          <w:p>
            <w:pPr/>
            <w:r>
              <w:rPr/>
              <w:t xml:space="preserve">Progress update: 40% completed.</w:t>
            </w:r>
          </w:p>
          <w:p>
            <w:pPr/>
            <w:r>
              <w:rPr/>
              <w:t xml:space="preserve">Capacity building programs, alongside the modalities, procedures and guidelines (MPG), form a critical part of the project and the successful implementation and use of the Measurement, Reporting and Verification - MRV-e portal. Significant attention has been given to developing Requests for Proposal for capacity building program, which was published on June 17, 2024. The Terms of Reference (ToR) for the company focus on creating tailor-made training to meet Montenegro's specific needs in the field of climate change, based on the developed MPG. The training must be available in both live and online formats, with sessions expected to begin in the third quarter of 2024 (Description of Requirements is attached). Also, four training programs for the modules for MRV-E mitigation, adaptation, climate change finance and gender are developed (four curriculum are attached).</w:t>
            </w:r>
          </w:p>
          <w:p>
            <w:pPr/>
            <w:r>
              <w:rPr/>
              <w:t xml:space="preserve">Additionally, the project has continued organizing specialized training sessions for specific groups and topics. In response to the recommendations from the SWOT and gap analysis, and recognizing that climate change finance reporting is at a low level, a series of national workshops was conducted on this topic. Additionally, in collaboration with Capacity Building Initiative for Transparency – Global Support Programme (CBIT GSP), workshops were organized to facilitate the exchange of good practices between CBIT projects, during which Montenegro presented its progress in this area. (All materials from these sessions are available under Indicator 16).</w:t>
            </w:r>
          </w:p>
        </w:tc>
        <w:tc>
          <w:tcPr>
            <w:tcW w:w="4000" w:type="dxa"/>
            <w:gridSpan w:val="1"/>
            <w:noWrap/>
          </w:tcPr>
          <w:p>
            <w:pPr/>
            <w:r>
              <w:rPr/>
              <w:t xml:space="preserve">Progress Update: 70% Completed</w:t>
            </w:r>
          </w:p>
          <w:p>
            <w:pPr/>
            <w:r>
              <w:rPr/>
              <w:t xml:space="preserve"/>
            </w:r>
          </w:p>
          <w:p>
            <w:pPr/>
            <w:r>
              <w:rPr/>
              <w:t xml:space="preserve">A capacity-building programme for state institutions tailored to Montenegro’s specific needs in the field of climate change, based on the developed Methodologies, Procedures, and Guidelines (MPGs) and the Capacity Needs Assessment for Strengthening Institutional Mechanisms for Climate Transparency, has been developed and implementation has already begun.</w:t>
            </w:r>
          </w:p>
          <w:p>
            <w:pPr/>
            <w:r>
              <w:rPr/>
              <w:t xml:space="preserve"/>
            </w:r>
          </w:p>
          <w:p>
            <w:pPr/>
            <w:r>
              <w:rPr/>
              <w:t xml:space="preserve">The programme covers the following areas:</w:t>
            </w:r>
          </w:p>
          <w:p>
            <w:pPr/>
            <w:r>
              <w:rPr/>
              <w:t xml:space="preserve"/>
            </w:r>
          </w:p>
          <w:p>
            <w:pPr/>
            <w:r>
              <w:rPr/>
              <w:t xml:space="preserve">Training Area 1 – Institutional Capacity for Monitoring, Reporting and Verification (MRV)</w:t>
            </w:r>
          </w:p>
          <w:p>
            <w:pPr/>
            <w:r>
              <w:rPr/>
              <w:t xml:space="preserve">Topic 1.1: Monitoring, Reporting and Verification</w:t>
            </w:r>
          </w:p>
          <w:p>
            <w:pPr/>
            <w:r>
              <w:rPr/>
              <w:t xml:space="preserve"/>
            </w:r>
          </w:p>
          <w:p>
            <w:pPr/>
            <w:r>
              <w:rPr/>
              <w:t xml:space="preserve">Topic 1.2: National Greenhouse Gas (GHG) Inventory</w:t>
            </w:r>
          </w:p>
          <w:p>
            <w:pPr/>
            <w:r>
              <w:rPr/>
              <w:t xml:space="preserve"/>
            </w:r>
          </w:p>
          <w:p>
            <w:pPr/>
            <w:r>
              <w:rPr/>
              <w:t xml:space="preserve">Topic 1.3: EU Emissions Trading System (EU ETS)</w:t>
            </w:r>
          </w:p>
          <w:p>
            <w:pPr/>
            <w:r>
              <w:rPr/>
              <w:t xml:space="preserve"/>
            </w:r>
          </w:p>
          <w:p>
            <w:pPr/>
            <w:r>
              <w:rPr/>
              <w:t xml:space="preserve">Topic 1.4: GHG Projections, Policies and Measures (PAMs), and Target Setting</w:t>
            </w:r>
          </w:p>
          <w:p>
            <w:pPr/>
            <w:r>
              <w:rPr/>
              <w:t xml:space="preserve"/>
            </w:r>
          </w:p>
          <w:p>
            <w:pPr/>
            <w:r>
              <w:rPr/>
              <w:t xml:space="preserve">Topic 1.5: General Statistical Data Needs</w:t>
            </w:r>
          </w:p>
          <w:p>
            <w:pPr/>
            <w:r>
              <w:rPr/>
              <w:t xml:space="preserve"/>
            </w:r>
          </w:p>
          <w:p>
            <w:pPr/>
            <w:r>
              <w:rPr/>
              <w:t xml:space="preserve">Topic 1.6: Data Management and Reporting</w:t>
            </w:r>
          </w:p>
          <w:p>
            <w:pPr/>
            <w:r>
              <w:rPr/>
              <w:t xml:space="preserve"/>
            </w:r>
          </w:p>
          <w:p>
            <w:pPr/>
            <w:r>
              <w:rPr/>
              <w:t xml:space="preserve">Training Area 2 – Strengthening Capacity for Adaptation Reporting</w:t>
            </w:r>
          </w:p>
          <w:p>
            <w:pPr/>
            <w:r>
              <w:rPr/>
              <w:t xml:space="preserve">Topic 2.1: Adaptation Metrics and Indicators &amp; Communication and Reporting</w:t>
            </w:r>
          </w:p>
          <w:p>
            <w:pPr/>
            <w:r>
              <w:rPr/>
              <w:t xml:space="preserve"/>
            </w:r>
          </w:p>
          <w:p>
            <w:pPr/>
            <w:r>
              <w:rPr/>
              <w:t xml:space="preserve">Topic 2.2: Vulnerability Assessments</w:t>
            </w:r>
          </w:p>
          <w:p>
            <w:pPr/>
            <w:r>
              <w:rPr/>
              <w:t xml:space="preserve"/>
            </w:r>
          </w:p>
          <w:p>
            <w:pPr/>
            <w:r>
              <w:rPr/>
              <w:t xml:space="preserve">Topic 2.3: Setting Adaptation Targets</w:t>
            </w:r>
          </w:p>
          <w:p>
            <w:pPr/>
            <w:r>
              <w:rPr/>
              <w:t xml:space="preserve"/>
            </w:r>
          </w:p>
          <w:p>
            <w:pPr/>
            <w:r>
              <w:rPr/>
              <w:t xml:space="preserve">Topic 2.4: Capacity Building for Local and Regional Governments</w:t>
            </w:r>
          </w:p>
          <w:p>
            <w:pPr/>
            <w:r>
              <w:rPr/>
              <w:t xml:space="preserve"/>
            </w:r>
          </w:p>
          <w:p>
            <w:pPr/>
            <w:r>
              <w:rPr/>
              <w:t xml:space="preserve">Topic 2.5: Loss and Damage Assessment and Reporting</w:t>
            </w:r>
          </w:p>
          <w:p>
            <w:pPr/>
            <w:r>
              <w:rPr/>
              <w:t xml:space="preserve"/>
            </w:r>
          </w:p>
          <w:p>
            <w:pPr/>
            <w:r>
              <w:rPr/>
              <w:t xml:space="preserve">Training Area 3 – Climate Finance</w:t>
            </w:r>
          </w:p>
          <w:p>
            <w:pPr/>
            <w:r>
              <w:rPr/>
              <w:t xml:space="preserve">Topic 3.1: Climate Finance Management</w:t>
            </w:r>
          </w:p>
          <w:p>
            <w:pPr/>
            <w:r>
              <w:rPr/>
              <w:t xml:space="preserve"/>
            </w:r>
          </w:p>
          <w:p>
            <w:pPr/>
            <w:r>
              <w:rPr/>
              <w:t xml:space="preserve">Topic 3.2: Climate Finance Tracking</w:t>
            </w:r>
          </w:p>
          <w:p>
            <w:pPr/>
            <w:r>
              <w:rPr/>
              <w:t xml:space="preserve"/>
            </w:r>
          </w:p>
          <w:p>
            <w:pPr/>
            <w:r>
              <w:rPr/>
              <w:t xml:space="preserve">In October 2024, the initial presentation of the programme was held to National Council for Sustainable Development Working group for climate change. The official meeting with the Ministry took place on April 16th 2025, and the kick-off meeting was held on May 28th 2025.</w:t>
            </w:r>
          </w:p>
          <w:p>
            <w:pPr/>
            <w:r>
              <w:rPr/>
              <w:t xml:space="preserve"/>
            </w:r>
          </w:p>
          <w:p>
            <w:pPr/>
            <w:r>
              <w:rPr/>
              <w:t xml:space="preserve">Until now four introductory webinars have been organized and attended by 148 participants</w:t>
            </w:r>
          </w:p>
          <w:p>
            <w:pPr/>
            <w:r>
              <w:rPr/>
              <w:t xml:space="preserve">(100 women and 48 men).</w:t>
            </w:r>
          </w:p>
          <w:p>
            <w:pPr/>
            <w:r>
              <w:rPr/>
              <w:t xml:space="preserve"/>
            </w:r>
          </w:p>
          <w:p>
            <w:pPr/>
            <w:r>
              <w:rPr/>
              <w:t xml:space="preserve">The webinars included the following topics:</w:t>
            </w:r>
          </w:p>
          <w:p>
            <w:pPr/>
            <w:r>
              <w:rPr/>
              <w:t xml:space="preserve">Webinar 1 GHG Inventories and the EU ETS</w:t>
            </w:r>
          </w:p>
          <w:p>
            <w:pPr/>
            <w:r>
              <w:rPr/>
              <w:t xml:space="preserve"/>
            </w:r>
          </w:p>
          <w:p>
            <w:pPr/>
            <w:r>
              <w:rPr/>
              <w:t xml:space="preserve">Webinar 2 Mitigation – Policies and Measures (PAMs) and Data Management</w:t>
            </w:r>
          </w:p>
          <w:p>
            <w:pPr/>
            <w:r>
              <w:rPr/>
              <w:t xml:space="preserve"/>
            </w:r>
          </w:p>
          <w:p>
            <w:pPr/>
            <w:r>
              <w:rPr/>
              <w:t xml:space="preserve">Webinar 3 Adaptation</w:t>
            </w:r>
          </w:p>
          <w:p>
            <w:pPr/>
            <w:r>
              <w:rPr/>
              <w:t xml:space="preserve"/>
            </w:r>
          </w:p>
          <w:p>
            <w:pPr/>
            <w:r>
              <w:rPr/>
              <w:t xml:space="preserve">Webinar 4 MRV Systems and Climate Finance.</w:t>
            </w:r>
          </w:p>
          <w:p>
            <w:pPr/>
            <w:r>
              <w:rPr/>
              <w:t xml:space="preserve"/>
            </w:r>
          </w:p>
          <w:p>
            <w:pPr/>
            <w:r>
              <w:rPr/>
              <w:t xml:space="preserve">Starting in July 2025, in-country training sessions will begin.</w:t>
            </w:r>
          </w:p>
          <w:p>
            <w:pPr/>
            <w:r>
              <w:rPr/>
              <w:t xml:space="preserve"/>
            </w:r>
          </w:p>
          <w:p>
            <w:pPr/>
            <w:r>
              <w:rPr/>
              <w:t xml:space="preserve">All training materials include:</w:t>
            </w:r>
          </w:p>
          <w:p>
            <w:pPr/>
            <w:r>
              <w:rPr/>
              <w:t xml:space="preserve">Module descriptions, Presentations, Video recordings, Guidelines, Case studies.</w:t>
            </w:r>
          </w:p>
          <w:p>
            <w:pPr/>
            <w:r>
              <w:rPr/>
              <w:t xml:space="preserve"/>
            </w:r>
          </w:p>
          <w:p>
            <w:pPr/>
            <w:r>
              <w:rPr/>
              <w:t xml:space="preserve">Additionally, all materials have been prepared in Montenegrin and English.</w:t>
            </w:r>
          </w:p>
          <w:p>
            <w:pPr/>
            <w:r>
              <w:rPr/>
              <w:t xml:space="preserve"/>
            </w:r>
          </w:p>
          <w:p>
            <w:pPr/>
            <w:r>
              <w:rPr/>
              <w:t xml:space="preserve">Considering the high staff turnover and limited attendance at initial trainings, a long-term online training programme is being developed in cooperation with the Human Resources Administration of Montenegro. Through their ILIAS platform, a complete set of online modules will be made available for continuous use even after the project ends.</w:t>
            </w:r>
          </w:p>
          <w:p>
            <w:pPr/>
            <w:r>
              <w:rPr/>
              <w:t xml:space="preserve"/>
            </w:r>
          </w:p>
          <w:p>
            <w:pPr/>
            <w:r>
              <w:rPr/>
              <w:t xml:space="preserve">A Memorandum of Understanding between the Ministry and the Human Resources Administration is referenced under Indicator 6. Supporting evidence are in PIR library:</w:t>
            </w:r>
          </w:p>
          <w:p>
            <w:pPr/>
            <w:r>
              <w:rPr/>
              <w:t xml:space="preserve">1.	Indicator_2_Workshop Report CBIT Kick-off, 28 May 2025.docx</w:t>
            </w:r>
          </w:p>
          <w:p>
            <w:pPr/>
            <w:r>
              <w:rPr/>
              <w:t xml:space="preserve">2.	Indicator_2_Introduction_CBIT_Project_23.10.2024.pptx</w:t>
            </w:r>
          </w:p>
          <w:p>
            <w:pPr/>
            <w:r>
              <w:rPr/>
              <w:t xml:space="preserve">3.	Indicator_2_K2_Implementation Training Programme_CapacityBuilding_CBIT.docx</w:t>
            </w:r>
          </w:p>
          <w:p>
            <w:pPr/>
            <w:r>
              <w:rPr/>
              <w:t xml:space="preserve">4.	Indicator_2_Kick off 28.05.2025.rar</w:t>
            </w:r>
          </w:p>
          <w:p>
            <w:pPr/>
            <w:r>
              <w:rPr/>
              <w:t xml:space="preserve">5.	Indicator_2_Meeting Minutes – 16 April 2025.docx</w:t>
            </w:r>
          </w:p>
          <w:p>
            <w:pPr/>
            <w:r>
              <w:rPr/>
              <w:t xml:space="preserve">6.	Indicator_2_P0_Work Plan_CapacityBuilding_CBIT_1_1.docx</w:t>
            </w:r>
          </w:p>
          <w:p>
            <w:pPr/>
            <w:r>
              <w:rPr/>
              <w:t xml:space="preserve">7.	Indicator_2_P1_Progress Report 1_CapacityBuilding_CBIT.docx</w:t>
            </w:r>
          </w:p>
          <w:p>
            <w:pPr/>
            <w:r>
              <w:rPr/>
              <w:t xml:space="preserve">8.	Indicator_2_P2_Progress Report 2_CapacityBuilding_CBIT.docx</w:t>
            </w:r>
          </w:p>
          <w:p>
            <w:pPr/>
            <w:r>
              <w:rPr/>
              <w:t xml:space="preserve">9.	Indicator_2_Webinar 1 GHG Inventories and the EU ETS 05.04.2025.rar</w:t>
            </w:r>
          </w:p>
          <w:p>
            <w:pPr/>
            <w:r>
              <w:rPr/>
              <w:t xml:space="preserve">10.	Indicator_2_Webinar 2_Mitigation Measures_PAMs, and Data Management 10.06.2025.rar</w:t>
            </w:r>
          </w:p>
          <w:p>
            <w:pPr/>
            <w:r>
              <w:rPr/>
              <w:t xml:space="preserve">11.	Indicator_2_Webinar 3_Adaptation 11.06.2025.rar</w:t>
            </w:r>
          </w:p>
          <w:p>
            <w:pPr/>
            <w:r>
              <w:rPr/>
              <w:t xml:space="preserve">12.	Indicator_2_Webinar 4_MRV Systems and Climate Finance 18.06.2025.rar.</w:t>
            </w:r>
          </w:p>
          <w:p>
            <w:pPr/>
            <w:r>
              <w:rPr/>
              <w:t xml:space="preserve"/>
            </w:r>
          </w:p>
        </w:tc>
      </w:tr>
      <w:tr>
        <w:trPr/>
        <w:tc>
          <w:tcPr>
            <w:tcW w:w="4000" w:type="dxa"/>
            <w:gridSpan w:val="1"/>
            <w:noWrap/>
          </w:tcPr>
          <w:p>
            <w:pPr/>
            <w:r>
              <w:rPr>
                <w:b w:val="1"/>
                <w:bCs w:val="1"/>
              </w:rPr>
              <w:t xml:space="preserve">The progress of the objective/outcome can be described as:</w:t>
            </w:r>
          </w:p>
        </w:tc>
        <w:tc>
          <w:tcPr>
            <w:tcW w:w="12000" w:type="dxa"/>
            <w:gridSpan w:val="5"/>
            <w:noWrap/>
          </w:tcPr>
          <w:p>
            <w:pPr/>
            <w:r>
              <w:rPr>
                <w:b w:val="1"/>
                <w:bCs w:val="1"/>
              </w:rPr>
              <w:t xml:space="preserve">On track</w:t>
            </w:r>
          </w:p>
        </w:tc>
      </w:tr>
      <w:tr>
        <w:trPr/>
        <w:tc>
          <w:tcPr>
            <w:tcW w:w="4000" w:type="dxa"/>
            <w:gridSpan w:val="1"/>
            <w:noWrap/>
          </w:tcPr>
          <w:p>
            <w:pPr/>
            <w:r>
              <w:rPr>
                <w:b w:val="1"/>
                <w:bCs w:val="1"/>
              </w:rPr>
              <w:t xml:space="preserve">Evidence uploaded:</w:t>
            </w:r>
          </w:p>
        </w:tc>
        <w:tc>
          <w:tcPr>
            <w:tcW w:w="12000" w:type="dxa"/>
            <w:gridSpan w:val="5"/>
            <w:noWrap/>
          </w:tcPr>
          <w:p>
            <w:pPr/>
            <w:r>
              <w:rPr/>
              <w:t xml:space="preserve">YES</w:t>
            </w:r>
          </w:p>
        </w:tc>
      </w:tr>
      <w:tr>
        <w:trPr/>
        <w:tc>
          <w:tcPr>
            <w:tcW w:w="16000" w:type="dxa"/>
            <w:shd w:val="clear" w:fill="#D9D9D9"/>
            <w:gridSpan w:val="7"/>
            <w:noWrap/>
          </w:tcPr>
          <w:p>
            <w:pPr/>
            <w:r>
              <w:rPr>
                <w:b w:val="1"/>
                <w:bCs w:val="1"/>
              </w:rPr>
              <w:t xml:space="preserve">Outcome 1</w:t>
            </w:r>
          </w:p>
          <w:p>
            <w:pPr/>
            <w:r>
              <w:rPr>
                <w:b w:val="1"/>
                <w:bCs w:val="1"/>
              </w:rPr>
              <w:t xml:space="preserve">A strengthened institutional mechanism for increased transparency</w:t>
            </w:r>
          </w:p>
        </w:tc>
      </w:tr>
      <w:tr>
        <w:trPr/>
        <w:tc>
          <w:tcPr>
            <w:tcW w:w="4000" w:type="dxa"/>
            <w:gridSpan w:val="1"/>
            <w:noWrap/>
          </w:tcPr>
          <w:p>
            <w:pPr/>
            <w:r>
              <w:rPr>
                <w:b w:val="1"/>
                <w:bCs w:val="1"/>
              </w:rPr>
              <w:t xml:space="preserve">Description of Indicator</w:t>
            </w:r>
          </w:p>
        </w:tc>
        <w:tc>
          <w:tcPr>
            <w:tcW w:w="2000" w:type="dxa"/>
            <w:gridSpan w:val="1"/>
            <w:noWrap/>
          </w:tcPr>
          <w:p>
            <w:pPr/>
            <w:r>
              <w:rPr>
                <w:b w:val="1"/>
                <w:bCs w:val="1"/>
              </w:rPr>
              <w:t xml:space="preserve">Baseline Level</w:t>
            </w:r>
          </w:p>
        </w:tc>
        <w:tc>
          <w:tcPr>
            <w:tcW w:w="2000" w:type="dxa"/>
            <w:gridSpan w:val="1"/>
            <w:noWrap/>
          </w:tcPr>
          <w:p>
            <w:pPr/>
            <w:r>
              <w:rPr>
                <w:b w:val="1"/>
                <w:bCs w:val="1"/>
              </w:rPr>
              <w:t xml:space="preserve">Midterm target level</w:t>
            </w:r>
          </w:p>
        </w:tc>
        <w:tc>
          <w:tcPr>
            <w:tcW w:w="2000" w:type="dxa"/>
            <w:gridSpan w:val="1"/>
            <w:noWrap/>
          </w:tcPr>
          <w:p>
            <w:pPr/>
            <w:r>
              <w:rPr>
                <w:b w:val="1"/>
                <w:bCs w:val="1"/>
              </w:rPr>
              <w:t xml:space="preserve">End of project target level</w:t>
            </w:r>
          </w:p>
        </w:tc>
        <w:tc>
          <w:tcPr>
            <w:tcW w:w="4000" w:type="dxa"/>
            <w:gridSpan w:val="1"/>
            <w:noWrap/>
          </w:tcPr>
          <w:p>
            <w:pPr/>
            <w:r>
              <w:rPr>
                <w:b w:val="1"/>
                <w:bCs w:val="1"/>
              </w:rPr>
              <w:t xml:space="preserve">Level at Jun 30, 2024</w:t>
            </w:r>
          </w:p>
        </w:tc>
        <w:tc>
          <w:tcPr>
            <w:tcW w:w="4000" w:type="dxa"/>
            <w:gridSpan w:val="1"/>
            <w:noWrap/>
          </w:tcPr>
          <w:p>
            <w:pPr/>
            <w:r>
              <w:rPr>
                <w:b w:val="1"/>
                <w:bCs w:val="1"/>
              </w:rPr>
              <w:t xml:space="preserve">Cumulative progress since project start as of Jun 30, 2025</w:t>
            </w:r>
          </w:p>
        </w:tc>
      </w:tr>
      <w:tr>
        <w:trPr/>
        <w:tc>
          <w:tcPr>
            <w:tcW w:w="4000" w:type="dxa"/>
            <w:gridSpan w:val="1"/>
            <w:noWrap/>
          </w:tcPr>
          <w:p>
            <w:pPr/>
            <w:r>
              <w:rPr/>
              <w:t xml:space="preserve">Indicator 3:</w:t>
            </w:r>
          </w:p>
          <w:p>
            <w:pPr/>
            <w:r>
              <w:rPr/>
              <w:t xml:space="preserve">Number of recommendations made for improvement of the institutional mechanism for increased transparency including gender equality principles</w:t>
            </w:r>
          </w:p>
          <w:p>
            <w:pPr/>
            <w:r>
              <w:rPr/>
              <w:t xml:space="preserve"/>
            </w:r>
          </w:p>
        </w:tc>
        <w:tc>
          <w:tcPr>
            <w:tcW w:w="2000" w:type="dxa"/>
            <w:gridSpan w:val="1"/>
            <w:noWrap/>
          </w:tcPr>
          <w:p>
            <w:pPr/>
            <w:r>
              <w:rPr/>
              <w:t xml:space="preserve">•	There is no in depth and participatory analysis which should provide the basic informational source for the recommendations on the current institutional and technical capacities in order to support increased transparency</w:t>
            </w:r>
          </w:p>
        </w:tc>
        <w:tc>
          <w:tcPr>
            <w:tcW w:w="2000" w:type="dxa"/>
            <w:gridSpan w:val="1"/>
            <w:noWrap/>
          </w:tcPr>
          <w:p>
            <w:pPr/>
            <w:r>
              <w:rPr>
                <w:i w:val="1"/>
                <w:iCs w:val="1"/>
              </w:rPr>
              <w:t xml:space="preserve">(not set or not applicable)</w:t>
            </w:r>
          </w:p>
        </w:tc>
        <w:tc>
          <w:tcPr>
            <w:tcW w:w="2000" w:type="dxa"/>
            <w:gridSpan w:val="1"/>
            <w:noWrap/>
          </w:tcPr>
          <w:p>
            <w:pPr/>
            <w:r>
              <w:rPr/>
              <w:t xml:space="preserve">•	Set of recommendations (at least 10) recognizing existing gaps in institutional transparency mechanism, serving as a basis for MPG development</w:t>
            </w:r>
          </w:p>
        </w:tc>
        <w:tc>
          <w:tcPr>
            <w:tcW w:w="4000" w:type="dxa"/>
            <w:gridSpan w:val="1"/>
            <w:noWrap/>
          </w:tcPr>
          <w:p>
            <w:pPr/>
            <w:r>
              <w:rPr/>
              <w:t xml:space="preserve">Progress update: 100% completed.</w:t>
            </w:r>
          </w:p>
          <w:p>
            <w:pPr/>
            <w:r>
              <w:rPr/>
              <w:t xml:space="preserve">An advanced assessment, including a SWOT and gaps analysis, was conducted to evaluated capacities and requirements in the institutional settings, strategic and regulatory framework; administrative capacities and requirements, capacities and requirements related to climate change finances, capacities and requirements for knowledge management, and gender-sensitive assessment of capacities and requirements in the climate change area in Montenegro (main study along with reports and presentation from consultative and validation process is attached). The analysis involved 21 institutions, 5 local governments, and 97 consultation participants, of which 66 were women and 31 were men. The overall capacity level was assessed as low in two categories: capacities and requirements related to climate change finances, and capacities and requirements for knowledge management. For the remaining four categories, the capacity level was rated as basic. To address these issues, a total of 48 recommendations were proposed (summary of analysis at English is attached). This thorough analysis was validated by the climate change and sustainable development finance working groups of the National Council for Sustainable Development and forms the basis for the development of MPGs, Capacity building programs, as well as for improving climate change policies.</w:t>
            </w:r>
          </w:p>
          <w:p>
            <w:pPr/>
            <w:r>
              <w:rPr/>
              <w:t xml:space="preserve"/>
            </w:r>
          </w:p>
        </w:tc>
        <w:tc>
          <w:tcPr>
            <w:tcW w:w="4000" w:type="dxa"/>
            <w:gridSpan w:val="1"/>
            <w:noWrap/>
          </w:tcPr>
          <w:p>
            <w:pPr/>
            <w:r>
              <w:rPr/>
              <w:t xml:space="preserve">Completed 100%</w:t>
            </w:r>
          </w:p>
          <w:p>
            <w:pPr/>
            <w:r>
              <w:rPr/>
              <w:t xml:space="preserve"/>
            </w:r>
          </w:p>
          <w:p>
            <w:pPr/>
            <w:r>
              <w:rPr/>
              <w:t xml:space="preserve">An advanced assessment, including a SWOT and gap analysis, was completed to evaluate the capacity of the national system, engaging 21 institutions, 5 local governments, and 97 consultation participants (66 women and 31 men). Validated by the Climate Change and Sustainable Development Finance Working Groups of the National Council for Sustainable Development, the assessment produced a solid evidence base for the development of MPGs, targeted capacity-building programmes, and improvements to climate change policies. As a final deliverable, 48 actionable recommendations were developed in cooperation with relevant institutions. The findings are documented in the report Assessment of Capacities for Strengthening Institutional Mechanisms for Transparency in the Area of Climate Change in Montenegro.</w:t>
            </w:r>
          </w:p>
        </w:tc>
      </w:tr>
      <w:tr>
        <w:trPr/>
        <w:tc>
          <w:tcPr>
            <w:tcW w:w="4000" w:type="dxa"/>
            <w:gridSpan w:val="1"/>
            <w:noWrap/>
          </w:tcPr>
          <w:p>
            <w:pPr/>
            <w:r>
              <w:rPr/>
              <w:t xml:space="preserve">Indicator 4:</w:t>
            </w:r>
          </w:p>
          <w:p>
            <w:pPr/>
            <w:r>
              <w:rPr/>
              <w:t xml:space="preserve">transparency MPGs for tracking NDC, adaptation actions and climate finance developed (through broad participatory process), including gender equality principles</w:t>
            </w:r>
          </w:p>
          <w:p>
            <w:pPr/>
            <w:r>
              <w:rPr/>
              <w:t xml:space="preserve"/>
            </w:r>
          </w:p>
        </w:tc>
        <w:tc>
          <w:tcPr>
            <w:tcW w:w="2000" w:type="dxa"/>
            <w:gridSpan w:val="1"/>
            <w:noWrap/>
          </w:tcPr>
          <w:p>
            <w:pPr/>
            <w:r>
              <w:rPr/>
              <w:t xml:space="preserve">•	No transparency MPGs exist</w:t>
            </w:r>
          </w:p>
          <w:p>
            <w:pPr/>
            <w:r>
              <w:rPr/>
              <w:t xml:space="preserve">•	Staff from key government agencies and stakeholder organizations are not adequately trained in transparency methodologies, procedures, and guidelines that are specific to Montenegro</w:t>
            </w:r>
          </w:p>
          <w:p>
            <w:pPr/>
            <w:r>
              <w:rPr/>
              <w:t xml:space="preserve">•	While prior trainings relevant to the use of transparency methodologies, procedures, and guidelines have made an important impact in improving in-country technical expertise, their coverage could be significantly improved by involving more expert organizations and individuals</w:t>
            </w:r>
          </w:p>
          <w:p>
            <w:pPr/>
            <w:r>
              <w:rPr/>
              <w:t xml:space="preserve"/>
            </w:r>
          </w:p>
        </w:tc>
        <w:tc>
          <w:tcPr>
            <w:tcW w:w="2000" w:type="dxa"/>
            <w:gridSpan w:val="1"/>
            <w:noWrap/>
          </w:tcPr>
          <w:p>
            <w:pPr/>
            <w:r>
              <w:rPr>
                <w:i w:val="1"/>
                <w:iCs w:val="1"/>
              </w:rPr>
              <w:t xml:space="preserve">(not set or not applicable)</w:t>
            </w:r>
          </w:p>
        </w:tc>
        <w:tc>
          <w:tcPr>
            <w:tcW w:w="2000" w:type="dxa"/>
            <w:gridSpan w:val="1"/>
            <w:noWrap/>
          </w:tcPr>
          <w:p>
            <w:pPr/>
            <w:r>
              <w:rPr/>
              <w:t xml:space="preserve">•	Transparency methodologies, procedures and guidelines for tracking NDC, adaptation actions and climate finance specific to Montenegro developed and agreed with national stakeholders by month 24</w:t>
            </w:r>
          </w:p>
        </w:tc>
        <w:tc>
          <w:tcPr>
            <w:tcW w:w="4000" w:type="dxa"/>
            <w:gridSpan w:val="1"/>
            <w:noWrap/>
          </w:tcPr>
          <w:p>
            <w:pPr/>
            <w:r>
              <w:rPr/>
              <w:t xml:space="preserve">Progress update: 25% completed.</w:t>
            </w:r>
          </w:p>
          <w:p>
            <w:pPr/>
            <w:r>
              <w:rPr/>
              <w:t xml:space="preserve">Challenges in contracting quality experts persisted in this reporting period as well. The process has been further affected by a change in Government— the third since the project began —which led to shifts in the Ministry's mandate and management staff and resulted in very slow recruitment processes. (further explained in the section IP). Positions for the National Expert for Mitigation, National Expert for Legal Issues, and English/Translator have been advertised multiple times (22/07/2022, 29/03/2023, 28/09/2023, 01/04/2024, 10/04/2024) (links are available at https://docs.google.com/document/d/1QXH5XVXKm12zescwr69gYeBLPDm1fzg_fud27gThbhI/edit) .</w:t>
            </w:r>
          </w:p>
          <w:p>
            <w:pPr/>
            <w:r>
              <w:rPr/>
              <w:t xml:space="preserve">The CBIT project’s expert team was  completed in mid-May 2024 and now is effectively working on the preparation of the MPGs. The MRV-e system was proposed as part of the new Climate Change Law (article 44 - indicator 1), but its adoption was delayed for almost a year, which also impacted the determination of the legal model for the MRV framework. Two MPGs for mitigation -  (MPG on detailed contents of labels, guides, posters, displays and other promotional literature and materials on fuel consumption in carbon dioxide emissions from new passenger vehicles and MPG on the method of determining mandatory targets to reduce emissions green-house gasses in sectors outside the   emissions trading system) in the form of comments and additions to the existing regulations are being prepared in a draft version.  Additionally, a detailed analysis of the budget execution for 2022 with initial climate budget tagging was done as a basis for defining the process of monitoring the finances of climate change (deliverables are attached).</w:t>
            </w:r>
          </w:p>
        </w:tc>
        <w:tc>
          <w:tcPr>
            <w:tcW w:w="4000" w:type="dxa"/>
            <w:gridSpan w:val="1"/>
            <w:noWrap/>
          </w:tcPr>
          <w:p>
            <w:pPr/>
            <w:r>
              <w:rPr/>
              <w:t xml:space="preserve">Progress Update: 80% Completed</w:t>
            </w:r>
          </w:p>
          <w:p>
            <w:pPr/>
            <w:r>
              <w:rPr/>
              <w:t xml:space="preserve">The process of adopting the new Law on Climate Change, which has been delayed for the third consecutive year, has influenced the format of the MPGs (Modalities, Procedures, and Guidelines). Initially developed as bylaws and rulebooks, the MPGs have now been prepared in the form of guides and reporting guidelines, in accordance with the current legal context.</w:t>
            </w:r>
          </w:p>
          <w:p>
            <w:pPr/>
            <w:r>
              <w:rPr/>
              <w:t xml:space="preserve">All documents have been aligned with the latest draft version of the Climate Change Law, which was shared by the Ministry with the project team on 8th May. The law continues to recognize the MRV-E (Monitoring, Reporting, Verification and Evaluation) system, as outlined in Article 52.</w:t>
            </w:r>
          </w:p>
          <w:p>
            <w:pPr/>
            <w:r>
              <w:rPr/>
              <w:t xml:space="preserve">The following documents have been prepared:</w:t>
            </w:r>
          </w:p>
          <w:p>
            <w:pPr/>
            <w:r>
              <w:rPr/>
              <w:t xml:space="preserve">•	Guide for climate finance reporting</w:t>
            </w:r>
          </w:p>
          <w:p>
            <w:pPr/>
            <w:r>
              <w:rPr/>
              <w:t xml:space="preserve">•	Guide for reporting on climate change adaptation in Montenegro</w:t>
            </w:r>
          </w:p>
          <w:p>
            <w:pPr/>
            <w:r>
              <w:rPr/>
              <w:t xml:space="preserve">•	Guide to reporting on climate change mitigation in Montenegro</w:t>
            </w:r>
          </w:p>
          <w:p>
            <w:pPr/>
            <w:r>
              <w:rPr/>
              <w:t xml:space="preserve">•	Guidelines for reporting (MPGs) on climate change adaptation</w:t>
            </w:r>
          </w:p>
          <w:p>
            <w:pPr/>
            <w:r>
              <w:rPr/>
              <w:t xml:space="preserve">•	Guidelines for reporting (MPGs) for climate finance reporting</w:t>
            </w:r>
          </w:p>
          <w:p>
            <w:pPr/>
            <w:r>
              <w:rPr/>
              <w:t xml:space="preserve">•	Guidelines for reporting for climate change mitigation in Montenegro (MPGs).</w:t>
            </w:r>
          </w:p>
          <w:p>
            <w:pPr/>
            <w:r>
              <w:rPr/>
              <w:t xml:space="preserve">All documents are in PIR library.</w:t>
            </w:r>
          </w:p>
          <w:p>
            <w:pPr/>
            <w:r>
              <w:rPr/>
              <w:t xml:space="preserve">As part of the verification process, all documents were submitted to the Ministry. However, the Ministry did not allow distribution to institutions for review and comments at this stage.</w:t>
            </w:r>
          </w:p>
          <w:p>
            <w:pPr/>
            <w:r>
              <w:rPr/>
              <w:t xml:space="preserve">The consultative process was initiated in July 2025 with an introductory workshop. However, in line with instructions from the Ministry, the further consultation process will depend on the timeline for adoption of the new law.</w:t>
            </w:r>
          </w:p>
          <w:p>
            <w:pPr/>
            <w:r>
              <w:rPr/>
              <w:t xml:space="preserve"/>
            </w:r>
          </w:p>
        </w:tc>
      </w:tr>
      <w:tr>
        <w:trPr/>
        <w:tc>
          <w:tcPr>
            <w:tcW w:w="4000" w:type="dxa"/>
            <w:gridSpan w:val="1"/>
            <w:noWrap/>
          </w:tcPr>
          <w:p>
            <w:pPr/>
            <w:r>
              <w:rPr/>
              <w:t xml:space="preserve">Indicator 5: Number of state institutions providing inputs/ recommendations for development of MPGs for tracking NDC, adaptation actions and climate finance</w:t>
            </w:r>
          </w:p>
        </w:tc>
        <w:tc>
          <w:tcPr>
            <w:tcW w:w="2000" w:type="dxa"/>
            <w:gridSpan w:val="1"/>
            <w:noWrap/>
          </w:tcPr>
          <w:p>
            <w:pPr/>
            <w:r>
              <w:rPr/>
              <w:t xml:space="preserve">•	No transparency MPGs exist</w:t>
            </w:r>
          </w:p>
          <w:p>
            <w:pPr/>
            <w:r>
              <w:rPr/>
              <w:t xml:space="preserve">•	Staff from key government agencies and stakeholder organizations are not adequately trained in transparency methodologies, procedures, and guidelines that are specific to Montenegro</w:t>
            </w:r>
          </w:p>
          <w:p>
            <w:pPr/>
            <w:r>
              <w:rPr/>
              <w:t xml:space="preserve">•	While prior trainings relevant to the use of transparency methodologies, procedures, and guidelines have made an important impact in improving in-country technical expertise, their coverage could be significantly improved by involving more expert organizations and individuals</w:t>
            </w:r>
          </w:p>
          <w:p>
            <w:pPr/>
            <w:r>
              <w:rPr/>
              <w:t xml:space="preserve"/>
            </w:r>
          </w:p>
        </w:tc>
        <w:tc>
          <w:tcPr>
            <w:tcW w:w="2000" w:type="dxa"/>
            <w:gridSpan w:val="1"/>
            <w:noWrap/>
          </w:tcPr>
          <w:p>
            <w:pPr/>
            <w:r>
              <w:rPr>
                <w:i w:val="1"/>
                <w:iCs w:val="1"/>
              </w:rPr>
              <w:t xml:space="preserve">(not set or not applicable)</w:t>
            </w:r>
          </w:p>
        </w:tc>
        <w:tc>
          <w:tcPr>
            <w:tcW w:w="2000" w:type="dxa"/>
            <w:gridSpan w:val="1"/>
            <w:noWrap/>
          </w:tcPr>
          <w:p>
            <w:pPr/>
            <w:r>
              <w:rPr/>
              <w:t xml:space="preserve">•	At least 10 unique state institutions provide inputs for development for MPGs and participated in the learning-by-doing workshops</w:t>
            </w:r>
          </w:p>
          <w:p>
            <w:pPr/>
            <w:r>
              <w:rPr/>
              <w:t xml:space="preserve">•	An equal balance of gender in the learning-by-doing workshops of Outputs 1.1 to 1.4</w:t>
            </w:r>
          </w:p>
          <w:p>
            <w:pPr/>
            <w:r>
              <w:rPr/>
              <w:t xml:space="preserve"/>
            </w:r>
          </w:p>
        </w:tc>
        <w:tc>
          <w:tcPr>
            <w:tcW w:w="4000" w:type="dxa"/>
            <w:gridSpan w:val="1"/>
            <w:noWrap/>
          </w:tcPr>
          <w:p>
            <w:pPr/>
            <w:r>
              <w:rPr/>
              <w:t xml:space="preserve">No progress or changes have been.</w:t>
            </w:r>
          </w:p>
          <w:p>
            <w:pPr/>
            <w:r>
              <w:rPr/>
              <w:t xml:space="preserve">No progress or changes have been made in this indicator during the PIR period. Once the draft MPGs are developed (which is planned for begin of  third quarter ) a wide consultative process involving the institutions will be conducted.</w:t>
            </w:r>
          </w:p>
        </w:tc>
        <w:tc>
          <w:tcPr>
            <w:tcW w:w="4000" w:type="dxa"/>
            <w:gridSpan w:val="1"/>
            <w:noWrap/>
          </w:tcPr>
          <w:p>
            <w:pPr/>
            <w:r>
              <w:rPr/>
              <w:t xml:space="preserve"/>
            </w:r>
          </w:p>
          <w:p>
            <w:pPr/>
            <w:r>
              <w:rPr/>
              <w:t xml:space="preserve">No progress or changes have been.</w:t>
            </w:r>
          </w:p>
          <w:p>
            <w:pPr/>
            <w:r>
              <w:rPr/>
              <w:t xml:space="preserve">In line with Indicator 4, the consultative process will be carried out following the adoption of the law and formal approval from the Ministry to engage relevant institutions.</w:t>
            </w:r>
          </w:p>
          <w:p>
            <w:pPr/>
            <w:r>
              <w:rPr/>
              <w:t xml:space="preserve"/>
            </w:r>
          </w:p>
        </w:tc>
      </w:tr>
      <w:tr>
        <w:trPr/>
        <w:tc>
          <w:tcPr>
            <w:tcW w:w="4000" w:type="dxa"/>
            <w:gridSpan w:val="1"/>
            <w:noWrap/>
          </w:tcPr>
          <w:p>
            <w:pPr/>
            <w:r>
              <w:rPr/>
              <w:t xml:space="preserve">Indicator 6 MRV related inter-agency memoranda of agreements developed through consultative and participatory process</w:t>
            </w:r>
          </w:p>
        </w:tc>
        <w:tc>
          <w:tcPr>
            <w:tcW w:w="2000" w:type="dxa"/>
            <w:gridSpan w:val="1"/>
            <w:noWrap/>
          </w:tcPr>
          <w:p>
            <w:pPr/>
            <w:r>
              <w:rPr/>
              <w:t xml:space="preserve">•	No inter-agency agreements on transparent NDC tracking, adaptation actions and climate finance exists</w:t>
            </w:r>
          </w:p>
        </w:tc>
        <w:tc>
          <w:tcPr>
            <w:tcW w:w="2000" w:type="dxa"/>
            <w:gridSpan w:val="1"/>
            <w:noWrap/>
          </w:tcPr>
          <w:p>
            <w:pPr/>
            <w:r>
              <w:rPr>
                <w:i w:val="1"/>
                <w:iCs w:val="1"/>
              </w:rPr>
              <w:t xml:space="preserve">(not set or not applicable)</w:t>
            </w:r>
          </w:p>
        </w:tc>
        <w:tc>
          <w:tcPr>
            <w:tcW w:w="2000" w:type="dxa"/>
            <w:gridSpan w:val="1"/>
            <w:noWrap/>
          </w:tcPr>
          <w:p>
            <w:pPr/>
            <w:r>
              <w:rPr/>
              <w:t xml:space="preserve">•	Inter-agency memoranda of agreements developed by month 30</w:t>
            </w:r>
          </w:p>
        </w:tc>
        <w:tc>
          <w:tcPr>
            <w:tcW w:w="4000" w:type="dxa"/>
            <w:gridSpan w:val="1"/>
            <w:noWrap/>
          </w:tcPr>
          <w:p>
            <w:pPr/>
            <w:r>
              <w:rPr/>
              <w:t xml:space="preserve">Progress update: 10% completed.</w:t>
            </w:r>
          </w:p>
          <w:p>
            <w:pPr/>
            <w:r>
              <w:rPr/>
              <w:t xml:space="preserve">As described in Indicator 4, the project has faced challenges in identifying qualified candidates for the Legal Expert position and the Expert was contracted in mid-May 2024.  In accordance with the draft Law on Climate Change and MPG, a legal framework has been developed that includes the introduction or amendment of 25 acts, forming the foundation of the MRV-E system (deliverables are attached).</w:t>
            </w:r>
          </w:p>
        </w:tc>
        <w:tc>
          <w:tcPr>
            <w:tcW w:w="4000" w:type="dxa"/>
            <w:gridSpan w:val="1"/>
            <w:noWrap/>
          </w:tcPr>
          <w:p>
            <w:pPr/>
            <w:r>
              <w:rPr/>
              <w:t xml:space="preserve">Progress Update: 50% Completed</w:t>
            </w:r>
          </w:p>
          <w:p>
            <w:pPr/>
            <w:r>
              <w:rPr/>
              <w:t xml:space="preserve">As outlined under Indicator 1, the project continues to provide support for the development of the Law on Climate Change, including the article that defines the MRV-E (Monitoring, Reporting, Verification, and Evaluation) system.</w:t>
            </w:r>
          </w:p>
          <w:p>
            <w:pPr/>
            <w:r>
              <w:rPr/>
              <w:t xml:space="preserve">In addition, three guides and three sets of guidelines have been developed covering adaptation, mitigation, and climate finance, all of which incorporate a gender-responsive approach.</w:t>
            </w:r>
          </w:p>
          <w:p>
            <w:pPr/>
            <w:r>
              <w:rPr/>
              <w:t xml:space="preserve">A draft Memorandum of Understanding between the Ministry and the Human Resources Administration has also been prepared, as a joint initiative of the CBIT and GEF-7 projects. This aims to support the preparation and creation of a long-term online training programme.</w:t>
            </w:r>
          </w:p>
          <w:p>
            <w:pPr/>
            <w:r>
              <w:rPr/>
              <w:t xml:space="preserve">Using the ILIAS platform, modular programmes will be developed, providing users with permanent access to training content. This will help ensure continuity in education and sustain  knowledge levels in the field of climate change. MoU is added in PIR library (Indicator_6_MoU between MERS and the Human Resources Administration of Montenegro.docx).</w:t>
            </w:r>
          </w:p>
        </w:tc>
      </w:tr>
      <w:tr>
        <w:trPr/>
        <w:tc>
          <w:tcPr>
            <w:tcW w:w="4000" w:type="dxa"/>
            <w:gridSpan w:val="1"/>
            <w:noWrap/>
          </w:tcPr>
          <w:p>
            <w:pPr/>
            <w:r>
              <w:rPr>
                <w:b w:val="1"/>
                <w:bCs w:val="1"/>
              </w:rPr>
              <w:t xml:space="preserve">The progress of the objective/outcome can be described as:</w:t>
            </w:r>
          </w:p>
        </w:tc>
        <w:tc>
          <w:tcPr>
            <w:tcW w:w="12000" w:type="dxa"/>
            <w:gridSpan w:val="5"/>
            <w:noWrap/>
          </w:tcPr>
          <w:p>
            <w:pPr/>
            <w:r>
              <w:rPr>
                <w:b w:val="1"/>
                <w:bCs w:val="1"/>
              </w:rPr>
              <w:t xml:space="preserve">On track</w:t>
            </w:r>
          </w:p>
        </w:tc>
      </w:tr>
      <w:tr>
        <w:trPr/>
        <w:tc>
          <w:tcPr>
            <w:tcW w:w="4000" w:type="dxa"/>
            <w:gridSpan w:val="1"/>
            <w:noWrap/>
          </w:tcPr>
          <w:p>
            <w:pPr/>
            <w:r>
              <w:rPr>
                <w:b w:val="1"/>
                <w:bCs w:val="1"/>
              </w:rPr>
              <w:t xml:space="preserve">Evidence uploaded:</w:t>
            </w:r>
          </w:p>
        </w:tc>
        <w:tc>
          <w:tcPr>
            <w:tcW w:w="12000" w:type="dxa"/>
            <w:gridSpan w:val="5"/>
            <w:noWrap/>
          </w:tcPr>
          <w:p>
            <w:pPr/>
            <w:r>
              <w:rPr/>
              <w:t xml:space="preserve">YES</w:t>
            </w:r>
          </w:p>
        </w:tc>
      </w:tr>
      <w:tr>
        <w:trPr/>
        <w:tc>
          <w:tcPr>
            <w:tcW w:w="16000" w:type="dxa"/>
            <w:shd w:val="clear" w:fill="#D9D9D9"/>
            <w:gridSpan w:val="7"/>
            <w:noWrap/>
          </w:tcPr>
          <w:p>
            <w:pPr/>
            <w:r>
              <w:rPr>
                <w:b w:val="1"/>
                <w:bCs w:val="1"/>
              </w:rPr>
              <w:t xml:space="preserve">Outcome 2</w:t>
            </w:r>
          </w:p>
          <w:p>
            <w:pPr/>
            <w:r>
              <w:rPr>
                <w:b w:val="1"/>
                <w:bCs w:val="1"/>
              </w:rPr>
              <w:t xml:space="preserve">Strengthened national institutions to implement enhanced transparency</w:t>
            </w:r>
          </w:p>
        </w:tc>
      </w:tr>
      <w:tr>
        <w:trPr/>
        <w:tc>
          <w:tcPr>
            <w:tcW w:w="4000" w:type="dxa"/>
            <w:gridSpan w:val="1"/>
            <w:noWrap/>
          </w:tcPr>
          <w:p>
            <w:pPr/>
            <w:r>
              <w:rPr>
                <w:b w:val="1"/>
                <w:bCs w:val="1"/>
              </w:rPr>
              <w:t xml:space="preserve">Description of Indicator</w:t>
            </w:r>
          </w:p>
        </w:tc>
        <w:tc>
          <w:tcPr>
            <w:tcW w:w="2000" w:type="dxa"/>
            <w:gridSpan w:val="1"/>
            <w:noWrap/>
          </w:tcPr>
          <w:p>
            <w:pPr/>
            <w:r>
              <w:rPr>
                <w:b w:val="1"/>
                <w:bCs w:val="1"/>
              </w:rPr>
              <w:t xml:space="preserve">Baseline Level</w:t>
            </w:r>
          </w:p>
        </w:tc>
        <w:tc>
          <w:tcPr>
            <w:tcW w:w="2000" w:type="dxa"/>
            <w:gridSpan w:val="1"/>
            <w:noWrap/>
          </w:tcPr>
          <w:p>
            <w:pPr/>
            <w:r>
              <w:rPr>
                <w:b w:val="1"/>
                <w:bCs w:val="1"/>
              </w:rPr>
              <w:t xml:space="preserve">Midterm target level</w:t>
            </w:r>
          </w:p>
        </w:tc>
        <w:tc>
          <w:tcPr>
            <w:tcW w:w="2000" w:type="dxa"/>
            <w:gridSpan w:val="1"/>
            <w:noWrap/>
          </w:tcPr>
          <w:p>
            <w:pPr/>
            <w:r>
              <w:rPr>
                <w:b w:val="1"/>
                <w:bCs w:val="1"/>
              </w:rPr>
              <w:t xml:space="preserve">End of project target level</w:t>
            </w:r>
          </w:p>
        </w:tc>
        <w:tc>
          <w:tcPr>
            <w:tcW w:w="4000" w:type="dxa"/>
            <w:gridSpan w:val="1"/>
            <w:noWrap/>
          </w:tcPr>
          <w:p>
            <w:pPr/>
            <w:r>
              <w:rPr>
                <w:b w:val="1"/>
                <w:bCs w:val="1"/>
              </w:rPr>
              <w:t xml:space="preserve">Level at Jun 30, 2024</w:t>
            </w:r>
          </w:p>
        </w:tc>
        <w:tc>
          <w:tcPr>
            <w:tcW w:w="4000" w:type="dxa"/>
            <w:gridSpan w:val="1"/>
            <w:noWrap/>
          </w:tcPr>
          <w:p>
            <w:pPr/>
            <w:r>
              <w:rPr>
                <w:b w:val="1"/>
                <w:bCs w:val="1"/>
              </w:rPr>
              <w:t xml:space="preserve">Cumulative progress since project start as of Jun 30, 2025</w:t>
            </w:r>
          </w:p>
        </w:tc>
      </w:tr>
      <w:tr>
        <w:trPr/>
        <w:tc>
          <w:tcPr>
            <w:tcW w:w="4000" w:type="dxa"/>
            <w:gridSpan w:val="1"/>
            <w:noWrap/>
          </w:tcPr>
          <w:p>
            <w:pPr/>
            <w:r>
              <w:rPr/>
              <w:t xml:space="preserve">Indicator 7: Number of new/updated tools and methodologies applied in the framework of the domestic MRV system</w:t>
            </w:r>
          </w:p>
        </w:tc>
        <w:tc>
          <w:tcPr>
            <w:tcW w:w="2000" w:type="dxa"/>
            <w:gridSpan w:val="1"/>
            <w:noWrap/>
          </w:tcPr>
          <w:p>
            <w:pPr/>
            <w:r>
              <w:rPr/>
              <w:t xml:space="preserve">•	The GHG inventory and projections in both the FBUR and SBUR are based on methodologies from the 2006 IPCC Guidelines.</w:t>
            </w:r>
          </w:p>
        </w:tc>
        <w:tc>
          <w:tcPr>
            <w:tcW w:w="2000" w:type="dxa"/>
            <w:gridSpan w:val="1"/>
            <w:noWrap/>
          </w:tcPr>
          <w:p>
            <w:pPr/>
            <w:r>
              <w:rPr>
                <w:i w:val="1"/>
                <w:iCs w:val="1"/>
              </w:rPr>
              <w:t xml:space="preserve">(not set or not applicable)</w:t>
            </w:r>
          </w:p>
        </w:tc>
        <w:tc>
          <w:tcPr>
            <w:tcW w:w="2000" w:type="dxa"/>
            <w:gridSpan w:val="1"/>
            <w:noWrap/>
          </w:tcPr>
          <w:p>
            <w:pPr/>
            <w:r>
              <w:rPr/>
              <w:t xml:space="preserve">•	New and updated models, tools, and methodologies for the GHG inventory and projections will be used to inform decision-making</w:t>
            </w:r>
          </w:p>
          <w:p>
            <w:pPr/>
            <w:r>
              <w:rPr/>
              <w:t xml:space="preserve">Number of models, tools and methodologies will be determined after completion of MPGs</w:t>
            </w:r>
          </w:p>
          <w:p>
            <w:pPr/>
            <w:r>
              <w:rPr/>
              <w:t xml:space="preserve"/>
            </w:r>
          </w:p>
        </w:tc>
        <w:tc>
          <w:tcPr>
            <w:tcW w:w="4000" w:type="dxa"/>
            <w:gridSpan w:val="1"/>
            <w:noWrap/>
          </w:tcPr>
          <w:p>
            <w:pPr/>
            <w:r>
              <w:rPr/>
              <w:t xml:space="preserve">No progress or changes have been.</w:t>
            </w:r>
          </w:p>
          <w:p>
            <w:pPr/>
            <w:r>
              <w:rPr/>
              <w:t xml:space="preserve">As explained in Indicator 4, a competitive procurement to identify the National Mitigation Expert was repeated several times. The Expert was contracted in mid-May and is currently developing MPGs. After completion of MPGs number of models, tools and methodologies will be determined.</w:t>
            </w:r>
          </w:p>
        </w:tc>
        <w:tc>
          <w:tcPr>
            <w:tcW w:w="4000" w:type="dxa"/>
            <w:gridSpan w:val="1"/>
            <w:noWrap/>
          </w:tcPr>
          <w:p>
            <w:pPr/>
            <w:r>
              <w:rPr/>
              <w:t xml:space="preserve">Progress Update: 70% Completed</w:t>
            </w:r>
          </w:p>
          <w:p>
            <w:pPr/>
            <w:r>
              <w:rPr/>
              <w:t xml:space="preserve">In collaboration with the Fourth National Communication and First Biannual Transparency Report (FNC/1BTR) and Climate Promise projects, a joint initiative was launched to improve the projections used for the Biannual Transparency Report (BTR) and the upcoming National Determined Contribution 03 (NDC.03).</w:t>
            </w:r>
          </w:p>
          <w:p>
            <w:pPr/>
            <w:r>
              <w:rPr/>
              <w:t xml:space="preserve">A joint analysis was conducted covering the Greenhouse Gas inventory (GHG), policies and measures (PAMs), and institutional training, and a new projection model was presented — now including the Land Use, Land-Use Change and Forestry (LULUCF) sector.</w:t>
            </w:r>
          </w:p>
          <w:p>
            <w:pPr/>
            <w:r>
              <w:rPr/>
              <w:t xml:space="preserve">The joint results have been integrated into the BTR (projections and NDC tracking) as well as into the new NDC.03. This initiative represents a significant step forward in aligning national processes and improving internal coordination.</w:t>
            </w:r>
          </w:p>
          <w:p>
            <w:pPr/>
            <w:r>
              <w:rPr/>
              <w:t xml:space="preserve">In addition, guidelines and manuals on mitigation have been developed in alignment with the latest requirements and the Modalities, Procedures and Guidelines (MPGs) of the United Nations Framework Convention on Climate Change (UNFCCC). A joint event was organized for the validation of results, and the material with the main conclusions is available in the PIR library:</w:t>
            </w:r>
          </w:p>
          <w:p>
            <w:pPr/>
            <w:r>
              <w:rPr/>
              <w:t xml:space="preserve">1.	Indicator_7_1_Workshop Objectives and Agenda_BTR_MNE.pptx</w:t>
            </w:r>
          </w:p>
          <w:p>
            <w:pPr/>
            <w:r>
              <w:rPr/>
              <w:t xml:space="preserve">2.	Indicator_7_1_Workshop Objectives and Agenda_NDC_MNE.pptx</w:t>
            </w:r>
          </w:p>
          <w:p>
            <w:pPr/>
            <w:r>
              <w:rPr/>
              <w:t xml:space="preserve">3.	Indicator_7_2_Paris Agreement and ETF_MNE.pptx</w:t>
            </w:r>
          </w:p>
          <w:p>
            <w:pPr/>
            <w:r>
              <w:rPr/>
              <w:t xml:space="preserve">4.	Indicator_7_3_Foundations_mitigation_MNE.pptx</w:t>
            </w:r>
          </w:p>
          <w:p>
            <w:pPr/>
            <w:r>
              <w:rPr/>
              <w:t xml:space="preserve">5.	Indicator_7_3_Scenarios for NDC update_MNE.pptx</w:t>
            </w:r>
          </w:p>
          <w:p>
            <w:pPr/>
            <w:r>
              <w:rPr/>
              <w:t xml:space="preserve">6.	Indicator_7_4_NDC_Tracking_BTR_MNE.pptx</w:t>
            </w:r>
          </w:p>
          <w:p>
            <w:pPr/>
            <w:r>
              <w:rPr/>
              <w:t xml:space="preserve">7.	Indicator_7_5_Projections_PAMs_MNE.pptx</w:t>
            </w:r>
          </w:p>
          <w:p>
            <w:pPr/>
            <w:r>
              <w:rPr/>
              <w:t xml:space="preserve">8.	Indicator_7_Invitation letter_Week_Climate Chance in Montenegro_Final.pdf</w:t>
            </w:r>
          </w:p>
          <w:p>
            <w:pPr/>
            <w:r>
              <w:rPr/>
              <w:t xml:space="preserve">9.	Indicator_7_NDC_update_ICTU.pptx</w:t>
            </w:r>
          </w:p>
          <w:p>
            <w:pPr/>
            <w:r>
              <w:rPr/>
              <w:t xml:space="preserve">10.	Indicator_7_Summary and Conclusions - Montenegro NDC.docx.</w:t>
            </w:r>
          </w:p>
          <w:p>
            <w:pPr/>
            <w:r>
              <w:rPr/>
              <w:t xml:space="preserve"/>
            </w:r>
          </w:p>
          <w:p>
            <w:pPr/>
            <w:r>
              <w:rPr/>
              <w:t xml:space="preserve"/>
            </w:r>
          </w:p>
          <w:p>
            <w:pPr/>
            <w:r>
              <w:rPr/>
              <w:t xml:space="preserve"/>
            </w:r>
          </w:p>
          <w:p>
            <w:pPr/>
            <w:r>
              <w:rPr/>
              <w:t xml:space="preserve"/>
            </w:r>
          </w:p>
          <w:p>
            <w:pPr/>
            <w:r>
              <w:rPr/>
              <w:t xml:space="preserve"/>
            </w:r>
          </w:p>
        </w:tc>
      </w:tr>
      <w:tr>
        <w:trPr/>
        <w:tc>
          <w:tcPr>
            <w:tcW w:w="4000" w:type="dxa"/>
            <w:gridSpan w:val="1"/>
            <w:noWrap/>
          </w:tcPr>
          <w:p>
            <w:pPr/>
            <w:r>
              <w:rPr/>
              <w:t xml:space="preserve">Indicator 8: Inter-ministerial and inter-directorate communication, coordination, and collaboration is formalized</w:t>
            </w:r>
          </w:p>
        </w:tc>
        <w:tc>
          <w:tcPr>
            <w:tcW w:w="2000" w:type="dxa"/>
            <w:gridSpan w:val="1"/>
            <w:noWrap/>
          </w:tcPr>
          <w:p>
            <w:pPr/>
            <w:r>
              <w:rPr/>
              <w:t xml:space="preserve">•	The 2016 National Council for Sustainable Development, Climate Change and Integrated Coastal Zone Management serves as the mechanism to catalyze inter-ministerial and</w:t>
            </w:r>
          </w:p>
          <w:p>
            <w:pPr/>
            <w:r>
              <w:rPr/>
              <w:t xml:space="preserve">inter- directorate communication and cooperation, which is supported by the Working Group on Mitigation and Adaptation. However, both the Council and the Working Group were not operational for the last two years.</w:t>
            </w:r>
          </w:p>
          <w:p>
            <w:pPr/>
            <w:r>
              <w:rPr/>
              <w:t xml:space="preserve"/>
            </w:r>
          </w:p>
        </w:tc>
        <w:tc>
          <w:tcPr>
            <w:tcW w:w="2000" w:type="dxa"/>
            <w:gridSpan w:val="1"/>
            <w:noWrap/>
          </w:tcPr>
          <w:p>
            <w:pPr/>
            <w:r>
              <w:rPr>
                <w:i w:val="1"/>
                <w:iCs w:val="1"/>
              </w:rPr>
              <w:t xml:space="preserve">(not set or not applicable)</w:t>
            </w:r>
          </w:p>
        </w:tc>
        <w:tc>
          <w:tcPr>
            <w:tcW w:w="2000" w:type="dxa"/>
            <w:gridSpan w:val="1"/>
            <w:noWrap/>
          </w:tcPr>
          <w:p>
            <w:pPr/>
            <w:r>
              <w:rPr/>
              <w:t xml:space="preserve">•	Climate change related developments discussed at the National Council for Sustainable Development</w:t>
            </w:r>
          </w:p>
        </w:tc>
        <w:tc>
          <w:tcPr>
            <w:tcW w:w="4000" w:type="dxa"/>
            <w:gridSpan w:val="1"/>
            <w:noWrap/>
          </w:tcPr>
          <w:p>
            <w:pPr/>
            <w:r>
              <w:rPr/>
              <w:t xml:space="preserve">Progress update: 60% completed.</w:t>
            </w:r>
          </w:p>
          <w:p>
            <w:pPr/>
            <w:r>
              <w:rPr/>
              <w:t xml:space="preserve"/>
            </w:r>
          </w:p>
          <w:p>
            <w:pPr/>
            <w:r>
              <w:rPr/>
              <w:t xml:space="preserve">Cooperation with the National Council for Sustainable Development and its working groups continued successfully despite challenges posed by changes in the Government and the Ministry. The Council's representative, who is a member of the Project Management Board, has actively participated in project management, while the working groups serve as a formal mechanism for addressing climate change issues. Project contributed to draft pledges and benchmarks for NCSD 2023 (Indicator 1).</w:t>
            </w:r>
          </w:p>
          <w:p>
            <w:pPr/>
            <w:r>
              <w:rPr/>
              <w:t xml:space="preserve"/>
            </w:r>
          </w:p>
          <w:p>
            <w:pPr/>
            <w:r>
              <w:rPr/>
              <w:t xml:space="preserve">Workshops for validating the capacity assessment to strengthen the institutional mechanisms for transparency in climate change in Montenegro were held on October 23rd and 24th, during the meetings of the Working Groups for Climate Change and Sustainable Development Finance. These workshops involved 61 representatives from 30 institutions and included detailed analyses, active workshops, and subgroup discussions. The participants provided recommendations and validated the assessment (Deliverables are provided in Indicator 3).</w:t>
            </w:r>
          </w:p>
        </w:tc>
        <w:tc>
          <w:tcPr>
            <w:tcW w:w="4000" w:type="dxa"/>
            <w:gridSpan w:val="1"/>
            <w:noWrap/>
          </w:tcPr>
          <w:p>
            <w:pPr/>
            <w:r>
              <w:rPr/>
              <w:t xml:space="preserve">Progress update: 60% completed.</w:t>
            </w:r>
          </w:p>
          <w:p>
            <w:pPr/>
            <w:r>
              <w:rPr/>
              <w:t xml:space="preserve">With the reorganization of the new Government and subsequently the Ministry, a Directorate for Sustainable Development was established, whose mandate overlaps with that of the National Council. Since the formation of the Government, no members have been appointed, nor has any meeting been held. The working groups are also inactive. There is still no official decision by the Government regarding the dissolution of the Council, nor any official communication about its status or future activities.</w:t>
            </w:r>
          </w:p>
        </w:tc>
      </w:tr>
      <w:tr>
        <w:trPr/>
        <w:tc>
          <w:tcPr>
            <w:tcW w:w="4000" w:type="dxa"/>
            <w:gridSpan w:val="1"/>
            <w:noWrap/>
          </w:tcPr>
          <w:p>
            <w:pPr/>
            <w:r>
              <w:rPr/>
              <w:t xml:space="preserve">Indicator 9: Most appropriate platform for non-state public consultative mechanisms identified and integrated into official planning and decision-making processes</w:t>
            </w:r>
          </w:p>
        </w:tc>
        <w:tc>
          <w:tcPr>
            <w:tcW w:w="2000" w:type="dxa"/>
            <w:gridSpan w:val="1"/>
            <w:noWrap/>
          </w:tcPr>
          <w:p>
            <w:pPr/>
            <w:r>
              <w:rPr/>
              <w:t xml:space="preserve">•	Currently there is no efficient platform allowing non-state/public sector communication</w:t>
            </w:r>
          </w:p>
        </w:tc>
        <w:tc>
          <w:tcPr>
            <w:tcW w:w="2000" w:type="dxa"/>
            <w:gridSpan w:val="1"/>
            <w:noWrap/>
          </w:tcPr>
          <w:p>
            <w:pPr/>
            <w:r>
              <w:rPr>
                <w:i w:val="1"/>
                <w:iCs w:val="1"/>
              </w:rPr>
              <w:t xml:space="preserve">(not set or not applicable)</w:t>
            </w:r>
          </w:p>
        </w:tc>
        <w:tc>
          <w:tcPr>
            <w:tcW w:w="2000" w:type="dxa"/>
            <w:gridSpan w:val="1"/>
            <w:noWrap/>
          </w:tcPr>
          <w:p>
            <w:pPr/>
            <w:r>
              <w:rPr/>
              <w:t xml:space="preserve">•	Non-state consultative platform on implementing enhanced transparency formalized</w:t>
            </w:r>
          </w:p>
        </w:tc>
        <w:tc>
          <w:tcPr>
            <w:tcW w:w="4000" w:type="dxa"/>
            <w:gridSpan w:val="1"/>
            <w:noWrap/>
          </w:tcPr>
          <w:p>
            <w:pPr/>
            <w:r>
              <w:rPr/>
              <w:t xml:space="preserve">Progress update: 20% completed.</w:t>
            </w:r>
          </w:p>
          <w:p>
            <w:pPr/>
            <w:r>
              <w:rPr/>
              <w:t xml:space="preserve">Cooperation with the Dialogue for Development platform continued during this reporting period, with several workshops being held and reports provided under Indicator 16. This collaboration facilitated valuable exchanges and progress tracking. Following the conclusion of the NAP project, the CBIT will assume responsibility for managing and advancing this platform, ensuring the continuity and enhancement of its objectives.</w:t>
            </w:r>
          </w:p>
        </w:tc>
        <w:tc>
          <w:tcPr>
            <w:tcW w:w="4000" w:type="dxa"/>
            <w:gridSpan w:val="1"/>
            <w:noWrap/>
          </w:tcPr>
          <w:p>
            <w:pPr/>
            <w:r>
              <w:rPr/>
              <w:t xml:space="preserve">Progress update: 35% completed.</w:t>
            </w:r>
          </w:p>
          <w:p>
            <w:pPr/>
            <w:r>
              <w:rPr/>
              <w:t xml:space="preserve"/>
            </w:r>
          </w:p>
          <w:p>
            <w:pPr/>
            <w:r>
              <w:rPr/>
              <w:t xml:space="preserve">The Dialogue through Development platform, originally established under the project "Enhancing Montenegro’s capacity to integrate climate change risks into planning," remains active and in use. This platform was designed to overcome key institutional and communication barriers by offering training, information-sharing, and networking opportunities, with the goal of becoming a recognizable and useful tool for a wider audience.</w:t>
            </w:r>
          </w:p>
          <w:p>
            <w:pPr/>
            <w:r>
              <w:rPr/>
              <w:t xml:space="preserve">Within the CBIT project, this platform continues to serve as a key channel for stakeholder engagement. Activities under Indicator 16 are directly linked to the platform, and it will be used to facilitate communication, participation, and visibility of results.</w:t>
            </w:r>
          </w:p>
          <w:p>
            <w:pPr/>
            <w:r>
              <w:rPr/>
              <w:t xml:space="preserve">Furthermore, the project extension,  approved for 6-months, foresees the engagement of a specialized company tasked with the dissemination of data and the development of a visual identity for the platform. This company will also be responsible for its maintenance and further enhancement, ensuring its long-term usability and integration into the national climate transparency framework.</w:t>
            </w:r>
          </w:p>
        </w:tc>
      </w:tr>
      <w:tr>
        <w:trPr/>
        <w:tc>
          <w:tcPr>
            <w:tcW w:w="4000" w:type="dxa"/>
            <w:gridSpan w:val="1"/>
            <w:noWrap/>
          </w:tcPr>
          <w:p>
            <w:pPr/>
            <w:r>
              <w:rPr/>
              <w:t xml:space="preserve">Indicator 10: Project models, scenarios and adaptation concept proposals developed</w:t>
            </w:r>
          </w:p>
        </w:tc>
        <w:tc>
          <w:tcPr>
            <w:tcW w:w="2000" w:type="dxa"/>
            <w:gridSpan w:val="1"/>
            <w:noWrap/>
          </w:tcPr>
          <w:p>
            <w:pPr/>
            <w:r>
              <w:rPr/>
              <w:t xml:space="preserve">•	Currently, there are few  project models, scenarios and adaptation concept proposals developed</w:t>
            </w:r>
          </w:p>
        </w:tc>
        <w:tc>
          <w:tcPr>
            <w:tcW w:w="2000" w:type="dxa"/>
            <w:gridSpan w:val="1"/>
            <w:noWrap/>
          </w:tcPr>
          <w:p>
            <w:pPr/>
            <w:r>
              <w:rPr>
                <w:i w:val="1"/>
                <w:iCs w:val="1"/>
              </w:rPr>
              <w:t xml:space="preserve">(not set or not applicable)</w:t>
            </w:r>
          </w:p>
        </w:tc>
        <w:tc>
          <w:tcPr>
            <w:tcW w:w="2000" w:type="dxa"/>
            <w:gridSpan w:val="1"/>
            <w:noWrap/>
          </w:tcPr>
          <w:p>
            <w:pPr/>
            <w:r>
              <w:rPr/>
              <w:t xml:space="preserve">•	Project models, scenarios, and adaptation project concept proposals developed as part of the learning-by doing trainings are independently determined to be of high quality</w:t>
            </w:r>
          </w:p>
        </w:tc>
        <w:tc>
          <w:tcPr>
            <w:tcW w:w="4000" w:type="dxa"/>
            <w:gridSpan w:val="1"/>
            <w:noWrap/>
          </w:tcPr>
          <w:p>
            <w:pPr/>
            <w:r>
              <w:rPr/>
              <w:t xml:space="preserve">Progress update: 10% completed.</w:t>
            </w:r>
          </w:p>
          <w:p>
            <w:pPr/>
            <w:r>
              <w:rPr/>
              <w:t xml:space="preserve">At the October 2023 meeting of the Working Groups for Climate Change and Sustainable Development Finance, a comprehensive overview of priority areas and topics related to climate change adaptation was conducted. The discussion focused on how to best address these priorities within the context of developing project concepts. It was concluded that the optimal approach would be to prepare a project proposal for funding the next Biennial Transparency Report (BTR). The BTR was identified as providing the best framework for integrating and further exploring adaptation to the negative impacts of climate change. The preparation of a project proposal to be funded by the Global Environment Facility (GEF) would emphasize the integration of adaptation issues into each aspect (chapter) of the report.  In agreement with the National Director of the project, it was decided that CBIT would support the development of a new project for the preparation of the Fifth National Communication and the second and third Biennial Transparency Reports (evidence is attached).</w:t>
            </w:r>
          </w:p>
          <w:p>
            <w:pPr/>
            <w:r>
              <w:rPr/>
              <w:t xml:space="preserve">Mainstreaming gender into NDC tracking, adaptation actions, and climate finance has been effectively addressed through the implementation of the new Climate Change Law. This has been supported by a gender-sensitive SWOT and gap analysis that specifically assessed the capacities and needs within relevant institutions. Additionally, a preliminary list of gender recommendations has been developed (evidence is attached).A list of gender indicators and sex-disaggregated data for MRV will be created as part of the Development of the Fourth National Communication (4NC) and Biennial Transparency Report (BTR) project by the end of 2024. These indicators will be integrated into the final recommendations.</w:t>
            </w:r>
          </w:p>
          <w:p>
            <w:pPr/>
            <w:r>
              <w:rPr/>
              <w:t xml:space="preserve"/>
            </w:r>
          </w:p>
          <w:p>
            <w:pPr/>
            <w:r>
              <w:rPr/>
              <w:t xml:space="preserve">The gender action plan of the CBIT project for 2024 has also been updated (evidence is attached). At the ETF clinics during COP28, the panel "Lessons on Incorporating Gender Aspects into the Enhanced Transparency Framework (ETF) and BTR Processes" featured the presentation "Experience Integrating Gender into BUR/NDCs Montenegro." Additionally, the CBIT National Gender Expert delivered a presentation at the CBIT-GSP webinar titled "Exchange of Experiences between Montenegro and Bosnia and Herzegovina in Integrating Gender Components in Climate Transparency." These presentations are included in Indicator 16.</w:t>
            </w:r>
          </w:p>
        </w:tc>
        <w:tc>
          <w:tcPr>
            <w:tcW w:w="4000" w:type="dxa"/>
            <w:gridSpan w:val="1"/>
            <w:noWrap/>
          </w:tcPr>
          <w:p>
            <w:pPr/>
            <w:r>
              <w:rPr/>
              <w:t xml:space="preserve">Progress update: 20% completed.</w:t>
            </w:r>
          </w:p>
          <w:p>
            <w:pPr/>
            <w:r>
              <w:rPr/>
              <w:t xml:space="preserve"/>
            </w:r>
          </w:p>
          <w:p>
            <w:pPr/>
            <w:r>
              <w:rPr/>
              <w:t xml:space="preserve">The Fourth National Communication (NC4) and the First Biennial Transparency Report (BTR1) were prepared bilingually and submitted to the Ministry in early December 2024, with the goal of meeting the official deadline for submission to the Convention by 31 December.</w:t>
            </w:r>
          </w:p>
          <w:p>
            <w:pPr/>
            <w:r>
              <w:rPr/>
              <w:t xml:space="preserve">However, the Ministry submitted the reports to the UNFCCC only in February 2025, which—despite official notifications—delayed Montenegro’s eligibility to apply for new funding opportunities.</w:t>
            </w:r>
          </w:p>
          <w:p>
            <w:pPr/>
            <w:r>
              <w:rPr/>
              <w:t xml:space="preserve">Since the letter of endorsement was already prepared in July 2024, the Tenth meeting of the Project Steering Committee adopted a decision to restart the procedure for the preparation of a new project document for the Fifth National Communication (NC5) and the Second and Third Biennial Transparency Reports (BTR2 and BTR3). Montenegro CO Presentation to Pre-Investment Steering Committee is added in PIR library.</w:t>
            </w:r>
          </w:p>
        </w:tc>
      </w:tr>
      <w:tr>
        <w:trPr/>
        <w:tc>
          <w:tcPr>
            <w:tcW w:w="4000" w:type="dxa"/>
            <w:gridSpan w:val="1"/>
            <w:noWrap/>
          </w:tcPr>
          <w:p>
            <w:pPr/>
            <w:r>
              <w:rPr/>
              <w:t xml:space="preserve">Indicator 11: Number of recommendations for mainstreaming gender into tracking NDC, adaptation actions and climate finance, developed through consultative process</w:t>
            </w:r>
          </w:p>
        </w:tc>
        <w:tc>
          <w:tcPr>
            <w:tcW w:w="2000" w:type="dxa"/>
            <w:gridSpan w:val="1"/>
            <w:noWrap/>
          </w:tcPr>
          <w:p>
            <w:pPr/>
            <w:r>
              <w:rPr/>
              <w:t xml:space="preserve">•	Gender indicators are included in the revised NDC and NDC implementation Roadmap. However, additional data collection and planning is needed on gender in the adaptation actions and especially in climate finance</w:t>
            </w:r>
          </w:p>
        </w:tc>
        <w:tc>
          <w:tcPr>
            <w:tcW w:w="2000" w:type="dxa"/>
            <w:gridSpan w:val="1"/>
            <w:noWrap/>
          </w:tcPr>
          <w:p>
            <w:pPr/>
            <w:r>
              <w:rPr>
                <w:i w:val="1"/>
                <w:iCs w:val="1"/>
              </w:rPr>
              <w:t xml:space="preserve">(not set or not applicable)</w:t>
            </w:r>
          </w:p>
        </w:tc>
        <w:tc>
          <w:tcPr>
            <w:tcW w:w="2000" w:type="dxa"/>
            <w:gridSpan w:val="1"/>
            <w:noWrap/>
          </w:tcPr>
          <w:p>
            <w:pPr/>
            <w:r>
              <w:rPr/>
              <w:t xml:space="preserve">•	At least 10 recommendations provided for better mainstreaming gender into NDC tracking, adaptation actions and climate finance</w:t>
            </w:r>
          </w:p>
        </w:tc>
        <w:tc>
          <w:tcPr>
            <w:tcW w:w="4000" w:type="dxa"/>
            <w:gridSpan w:val="1"/>
            <w:noWrap/>
          </w:tcPr>
          <w:p>
            <w:pPr/>
            <w:r>
              <w:rPr/>
              <w:t xml:space="preserve">Mainstreaming gender into NDC tracking, adaptation actions, and climate finance has been effectively addressed through the implementation of the new Climate Change Law. This has been supported by a gender-sensitive SWOT and gap analysis that specifically assessed the capacities and needs within relevant institutions. Additionally, a preliminary list of gender recommendations has been developed (evidence is attached).A list of gender indicators and sex-disaggregated data for MRV will be created as part of the Development of the Fourth National Communication (4NC) and Biennial Transparency Report (BTR) project by the end of 2024. These indicators will be integrated into the final recommendations.</w:t>
            </w:r>
          </w:p>
          <w:p>
            <w:pPr/>
            <w:r>
              <w:rPr/>
              <w:t xml:space="preserve"/>
            </w:r>
          </w:p>
          <w:p>
            <w:pPr/>
            <w:r>
              <w:rPr/>
              <w:t xml:space="preserve">The gender action plan of the CBIT project for 2024 has also been updated (evidence is attached). At the ETF clinics during COP28, the panel "Lessons on Incorporating Gender Aspects into the ETF and BTR Processes" featured the presentation "Experience Integrating Gender into BUR/NDCs Montenegro." Additionally, the CBIT National Gender Expert delivered a presentation at the CBIT-GSP webinar titled "Exchange of Experiences between Montenegro and Bosnia and Herzegovina in Integrating Gender Components in Climate Transparency." These presentations are included in Indicator 16.</w:t>
            </w:r>
          </w:p>
        </w:tc>
        <w:tc>
          <w:tcPr>
            <w:tcW w:w="4000" w:type="dxa"/>
            <w:gridSpan w:val="1"/>
            <w:noWrap/>
          </w:tcPr>
          <w:p>
            <w:pPr/>
            <w:r>
              <w:rPr/>
              <w:t xml:space="preserve">Progress update: 90% completed.</w:t>
            </w:r>
          </w:p>
          <w:p>
            <w:pPr/>
            <w:r>
              <w:rPr/>
              <w:t xml:space="preserve">Substantial progress has been made under this indicator, including the following key achievements:</w:t>
            </w:r>
          </w:p>
          <w:p>
            <w:pPr/>
            <w:r>
              <w:rPr/>
              <w:t xml:space="preserve">1.	Reporting guides and guidelines have been developed that integrate a gender component (linked to Indicator 4).</w:t>
            </w:r>
          </w:p>
          <w:p>
            <w:pPr/>
            <w:r>
              <w:rPr/>
              <w:t xml:space="preserve">2.	A training programme has been designed, also incorporating a gender perspective (linked to Indicator 2).</w:t>
            </w:r>
          </w:p>
          <w:p>
            <w:pPr/>
            <w:r>
              <w:rPr/>
              <w:t xml:space="preserve">3.	An analytical report:</w:t>
            </w:r>
          </w:p>
          <w:p>
            <w:pPr/>
            <w:r>
              <w:rPr/>
              <w:t xml:space="preserve">"Review of existing and missing gender-disaggregated data and/or gender-responsive indicators in the area of climate change adaptation" has been prepared. In PIR library added  Indicator_11_Assessment of existing and missing gender-disaggregated data on climate change adaptation.docx.</w:t>
            </w:r>
          </w:p>
          <w:p>
            <w:pPr/>
            <w:r>
              <w:rPr/>
              <w:t xml:space="preserve">In addition, the CBIT gender expert contributed to the development of the Gender Responsive Transparency Reporting Toolkit, including the Good Practice Example:</w:t>
            </w:r>
          </w:p>
          <w:p>
            <w:pPr/>
            <w:r>
              <w:rPr/>
              <w:t xml:space="preserve">"Assessment of capacity and recommendations for improving institutional mechanisms for gender-responsive climate finance transparency in Montenegro".  (In PIR library added  Indicator_11_Gender Toolkit, Good practice Montenegro.docx).</w:t>
            </w:r>
          </w:p>
          <w:p>
            <w:pPr/>
            <w:r>
              <w:rPr/>
              <w:t xml:space="preserve">She also provided comments on the Action Plan for the Gender Equality Strategy, specifically in Priority Area 5 (linked to Indicator 1), and participated in the event:</w:t>
            </w:r>
          </w:p>
          <w:p>
            <w:pPr/>
            <w:r>
              <w:rPr/>
              <w:t xml:space="preserve">International Women’s Day Webinar – Gender-responsive Climate Transparency: Fostering Gender Data for Better Climate Reporting and Policies (Indicator 16). Project Gender plan is updated for 2025 (Provided as evidence in PIR library Indicator_11_Updated Gender Action Plan CBIT.pdf).</w:t>
            </w:r>
          </w:p>
        </w:tc>
      </w:tr>
      <w:tr>
        <w:trPr/>
        <w:tc>
          <w:tcPr>
            <w:tcW w:w="4000" w:type="dxa"/>
            <w:gridSpan w:val="1"/>
            <w:noWrap/>
          </w:tcPr>
          <w:p>
            <w:pPr/>
            <w:r>
              <w:rPr/>
              <w:t xml:space="preserve">Indicator 12: English technical training curricula developed and number of stakeholders trained</w:t>
            </w:r>
          </w:p>
        </w:tc>
        <w:tc>
          <w:tcPr>
            <w:tcW w:w="2000" w:type="dxa"/>
            <w:gridSpan w:val="1"/>
            <w:noWrap/>
          </w:tcPr>
          <w:p>
            <w:pPr/>
            <w:r>
              <w:rPr/>
              <w:t xml:space="preserve">•	English proficiency is an important limitation to understand and adopt better approaches to combat climate change.</w:t>
            </w:r>
          </w:p>
        </w:tc>
        <w:tc>
          <w:tcPr>
            <w:tcW w:w="2000" w:type="dxa"/>
            <w:gridSpan w:val="1"/>
            <w:noWrap/>
          </w:tcPr>
          <w:p>
            <w:pPr/>
            <w:r>
              <w:rPr>
                <w:i w:val="1"/>
                <w:iCs w:val="1"/>
              </w:rPr>
              <w:t xml:space="preserve">(not set or not applicable)</w:t>
            </w:r>
          </w:p>
        </w:tc>
        <w:tc>
          <w:tcPr>
            <w:tcW w:w="2000" w:type="dxa"/>
            <w:gridSpan w:val="1"/>
            <w:noWrap/>
          </w:tcPr>
          <w:p>
            <w:pPr/>
            <w:r>
              <w:rPr/>
              <w:t xml:space="preserve">At least six (6) sets of English technical training courses with at least 30 stakeholders participating, with an equal balance in gender, in each course</w:t>
            </w:r>
          </w:p>
        </w:tc>
        <w:tc>
          <w:tcPr>
            <w:tcW w:w="4000" w:type="dxa"/>
            <w:gridSpan w:val="1"/>
            <w:noWrap/>
          </w:tcPr>
          <w:p>
            <w:pPr/>
            <w:r>
              <w:rPr/>
              <w:t xml:space="preserve">Progress update: 5% completed.</w:t>
            </w:r>
          </w:p>
          <w:p>
            <w:pPr/>
            <w:r>
              <w:rPr/>
              <w:t xml:space="preserve"/>
            </w:r>
          </w:p>
          <w:p>
            <w:pPr/>
            <w:r>
              <w:rPr/>
              <w:t xml:space="preserve">As indicated in Indicator 4, the process of contracting an English Translator expert was concluded in mid-May. Currently, activity related to preparation of The Glossary are in process with the idea to design a living document to be used in two ways: as a dictionary, organized alphabetically, and hierarchically, from main terms to individual terms.</w:t>
            </w:r>
          </w:p>
        </w:tc>
        <w:tc>
          <w:tcPr>
            <w:tcW w:w="4000" w:type="dxa"/>
            <w:gridSpan w:val="1"/>
            <w:noWrap/>
          </w:tcPr>
          <w:p>
            <w:pPr/>
            <w:r>
              <w:rPr/>
              <w:t xml:space="preserve">Progress Update: 15% Completed</w:t>
            </w:r>
          </w:p>
          <w:p>
            <w:pPr/>
            <w:r>
              <w:rPr/>
              <w:t xml:space="preserve">Work has continued on the interactive glossary, which currently includes 220 terms (Provided as evidence in PIR library Indicator_12_Glossary_02-06_.xlsx). A professional translator has been engaged to support the process. English language training sessions are planned for the third and fourth quarters of 2025.</w:t>
            </w:r>
          </w:p>
          <w:p>
            <w:pPr/>
            <w:r>
              <w:rPr/>
              <w:t xml:space="preserve"/>
            </w:r>
          </w:p>
          <w:p>
            <w:pPr/>
            <w:r>
              <w:rPr/>
              <w:t xml:space="preserve"/>
            </w:r>
          </w:p>
        </w:tc>
      </w:tr>
      <w:tr>
        <w:trPr/>
        <w:tc>
          <w:tcPr>
            <w:tcW w:w="4000" w:type="dxa"/>
            <w:gridSpan w:val="1"/>
            <w:noWrap/>
          </w:tcPr>
          <w:p>
            <w:pPr/>
            <w:r>
              <w:rPr>
                <w:b w:val="1"/>
                <w:bCs w:val="1"/>
              </w:rPr>
              <w:t xml:space="preserve">The progress of the objective/outcome can be described as:</w:t>
            </w:r>
          </w:p>
        </w:tc>
        <w:tc>
          <w:tcPr>
            <w:tcW w:w="12000" w:type="dxa"/>
            <w:gridSpan w:val="5"/>
            <w:noWrap/>
          </w:tcPr>
          <w:p>
            <w:pPr/>
            <w:r>
              <w:rPr>
                <w:b w:val="1"/>
                <w:bCs w:val="1"/>
              </w:rPr>
              <w:t xml:space="preserve">On track</w:t>
            </w:r>
          </w:p>
        </w:tc>
      </w:tr>
      <w:tr>
        <w:trPr/>
        <w:tc>
          <w:tcPr>
            <w:tcW w:w="4000" w:type="dxa"/>
            <w:gridSpan w:val="1"/>
            <w:noWrap/>
          </w:tcPr>
          <w:p>
            <w:pPr/>
            <w:r>
              <w:rPr>
                <w:b w:val="1"/>
                <w:bCs w:val="1"/>
              </w:rPr>
              <w:t xml:space="preserve">Evidence uploaded:</w:t>
            </w:r>
          </w:p>
        </w:tc>
        <w:tc>
          <w:tcPr>
            <w:tcW w:w="12000" w:type="dxa"/>
            <w:gridSpan w:val="5"/>
            <w:noWrap/>
          </w:tcPr>
          <w:p>
            <w:pPr/>
            <w:r>
              <w:rPr/>
              <w:t xml:space="preserve">YES</w:t>
            </w:r>
          </w:p>
        </w:tc>
      </w:tr>
      <w:tr>
        <w:trPr/>
        <w:tc>
          <w:tcPr>
            <w:tcW w:w="16000" w:type="dxa"/>
            <w:shd w:val="clear" w:fill="#D9D9D9"/>
            <w:gridSpan w:val="7"/>
            <w:noWrap/>
          </w:tcPr>
          <w:p>
            <w:pPr/>
            <w:r>
              <w:rPr>
                <w:b w:val="1"/>
                <w:bCs w:val="1"/>
              </w:rPr>
              <w:t xml:space="preserve">Outcome 3</w:t>
            </w:r>
          </w:p>
          <w:p>
            <w:pPr/>
            <w:r>
              <w:rPr>
                <w:b w:val="1"/>
                <w:bCs w:val="1"/>
              </w:rPr>
              <w:t xml:space="preserve">Strengthened coordination and information exchange is institutionalized with an enhanced transparency framework</w:t>
            </w:r>
          </w:p>
        </w:tc>
      </w:tr>
      <w:tr>
        <w:trPr/>
        <w:tc>
          <w:tcPr>
            <w:tcW w:w="4000" w:type="dxa"/>
            <w:gridSpan w:val="1"/>
            <w:noWrap/>
          </w:tcPr>
          <w:p>
            <w:pPr/>
            <w:r>
              <w:rPr>
                <w:b w:val="1"/>
                <w:bCs w:val="1"/>
              </w:rPr>
              <w:t xml:space="preserve">Description of Indicator</w:t>
            </w:r>
          </w:p>
        </w:tc>
        <w:tc>
          <w:tcPr>
            <w:tcW w:w="2000" w:type="dxa"/>
            <w:gridSpan w:val="1"/>
            <w:noWrap/>
          </w:tcPr>
          <w:p>
            <w:pPr/>
            <w:r>
              <w:rPr>
                <w:b w:val="1"/>
                <w:bCs w:val="1"/>
              </w:rPr>
              <w:t xml:space="preserve">Baseline Level</w:t>
            </w:r>
          </w:p>
        </w:tc>
        <w:tc>
          <w:tcPr>
            <w:tcW w:w="2000" w:type="dxa"/>
            <w:gridSpan w:val="1"/>
            <w:noWrap/>
          </w:tcPr>
          <w:p>
            <w:pPr/>
            <w:r>
              <w:rPr>
                <w:b w:val="1"/>
                <w:bCs w:val="1"/>
              </w:rPr>
              <w:t xml:space="preserve">Midterm target level</w:t>
            </w:r>
          </w:p>
        </w:tc>
        <w:tc>
          <w:tcPr>
            <w:tcW w:w="2000" w:type="dxa"/>
            <w:gridSpan w:val="1"/>
            <w:noWrap/>
          </w:tcPr>
          <w:p>
            <w:pPr/>
            <w:r>
              <w:rPr>
                <w:b w:val="1"/>
                <w:bCs w:val="1"/>
              </w:rPr>
              <w:t xml:space="preserve">End of project target level</w:t>
            </w:r>
          </w:p>
        </w:tc>
        <w:tc>
          <w:tcPr>
            <w:tcW w:w="4000" w:type="dxa"/>
            <w:gridSpan w:val="1"/>
            <w:noWrap/>
          </w:tcPr>
          <w:p>
            <w:pPr/>
            <w:r>
              <w:rPr>
                <w:b w:val="1"/>
                <w:bCs w:val="1"/>
              </w:rPr>
              <w:t xml:space="preserve">Level at Jun 30, 2024</w:t>
            </w:r>
          </w:p>
        </w:tc>
        <w:tc>
          <w:tcPr>
            <w:tcW w:w="4000" w:type="dxa"/>
            <w:gridSpan w:val="1"/>
            <w:noWrap/>
          </w:tcPr>
          <w:p>
            <w:pPr/>
            <w:r>
              <w:rPr>
                <w:b w:val="1"/>
                <w:bCs w:val="1"/>
              </w:rPr>
              <w:t xml:space="preserve">Cumulative progress since project start as of Jun 30, 2025</w:t>
            </w:r>
          </w:p>
        </w:tc>
      </w:tr>
      <w:tr>
        <w:trPr/>
        <w:tc>
          <w:tcPr>
            <w:tcW w:w="4000" w:type="dxa"/>
            <w:gridSpan w:val="1"/>
            <w:noWrap/>
          </w:tcPr>
          <w:p>
            <w:pPr/>
            <w:r>
              <w:rPr/>
              <w:t xml:space="preserve">Indicator 13: The MRV Portal is designed and optimized within the Government IT infrastructure</w:t>
            </w:r>
          </w:p>
        </w:tc>
        <w:tc>
          <w:tcPr>
            <w:tcW w:w="2000" w:type="dxa"/>
            <w:gridSpan w:val="1"/>
            <w:noWrap/>
          </w:tcPr>
          <w:p>
            <w:pPr/>
            <w:r>
              <w:rPr/>
              <w:t xml:space="preserve">•	Montenegro’s MRV system is in its infancy, having supported the reporting on the national communications and two biennial update reports.  However, Montenegro is pursuing a higher level of transparency that more approximates the European standards (EU 525/2013) and avoids conflicts between climate action (SDG 13) and other SDGs</w:t>
            </w:r>
          </w:p>
          <w:p>
            <w:pPr/>
            <w:r>
              <w:rPr/>
              <w:t xml:space="preserve">•	Data creation and management remains a major challenge for Montenegro</w:t>
            </w:r>
          </w:p>
          <w:p>
            <w:pPr/>
            <w:r>
              <w:rPr/>
              <w:t xml:space="preserve">•	Systems for data and information management are outdated and inadequate</w:t>
            </w:r>
          </w:p>
          <w:p>
            <w:pPr/>
            <w:r>
              <w:rPr/>
              <w:t xml:space="preserve">•	There is limited availability of funding for portal running and maintenance</w:t>
            </w:r>
          </w:p>
          <w:p>
            <w:pPr/>
            <w:r>
              <w:rPr/>
              <w:t xml:space="preserve"/>
            </w:r>
          </w:p>
        </w:tc>
        <w:tc>
          <w:tcPr>
            <w:tcW w:w="2000" w:type="dxa"/>
            <w:gridSpan w:val="1"/>
            <w:noWrap/>
          </w:tcPr>
          <w:p>
            <w:pPr/>
            <w:r>
              <w:rPr>
                <w:i w:val="1"/>
                <w:iCs w:val="1"/>
              </w:rPr>
              <w:t xml:space="preserve">(not set or not applicable)</w:t>
            </w:r>
          </w:p>
        </w:tc>
        <w:tc>
          <w:tcPr>
            <w:tcW w:w="2000" w:type="dxa"/>
            <w:gridSpan w:val="1"/>
            <w:noWrap/>
          </w:tcPr>
          <w:p>
            <w:pPr/>
            <w:r>
              <w:rPr/>
              <w:t xml:space="preserve">•	The upgraded MRV portal is fully operational by the end of the project</w:t>
            </w:r>
          </w:p>
          <w:p>
            <w:pPr/>
            <w:r>
              <w:rPr/>
              <w:t xml:space="preserve">•	Feasible resource mobilization strategy developed by the end of the project</w:t>
            </w:r>
          </w:p>
          <w:p>
            <w:pPr/>
            <w:r>
              <w:rPr/>
              <w:t xml:space="preserve"/>
            </w:r>
          </w:p>
        </w:tc>
        <w:tc>
          <w:tcPr>
            <w:tcW w:w="4000" w:type="dxa"/>
            <w:gridSpan w:val="1"/>
            <w:noWrap/>
          </w:tcPr>
          <w:p>
            <w:pPr/>
            <w:r>
              <w:rPr/>
              <w:t xml:space="preserve">Progress update: 25% completed.</w:t>
            </w:r>
          </w:p>
          <w:p>
            <w:pPr/>
            <w:r>
              <w:rPr/>
              <w:t xml:space="preserve">A public call has been issued for an Information Technology Specialist (ToR is attached, link could be found at https://docs.google.com/document/d/1QXH5XVXKm12zescwr69gYeBLPDm1fzg_fud27gThbhI/edit) in June 2024,  who will oversee the integration of the MRV portal with existing Government information management systems. The specialist will be responsible for the following tasks:</w:t>
            </w:r>
          </w:p>
          <w:p>
            <w:pPr/>
            <w:r>
              <w:rPr/>
              <w:t xml:space="preserve">- Developing a detailed methodology and work plan for the assignment's duration, including a stakeholder engagement plan.</w:t>
            </w:r>
          </w:p>
          <w:p>
            <w:pPr/>
            <w:r>
              <w:rPr/>
              <w:t xml:space="preserve">- Cooperating with the project team and experts working on mitigation, adaptation, climate finance, legal issues, and gender issues to ensure coordination and synergies.</w:t>
            </w:r>
          </w:p>
          <w:p>
            <w:pPr/>
            <w:r>
              <w:rPr/>
              <w:t xml:space="preserve">- Creating an inventory of existing information systems and databases used at national and local levels for collecting, processing, and reporting data relevant to climate change mitigation and adaptation.</w:t>
            </w:r>
          </w:p>
          <w:p>
            <w:pPr/>
            <w:r>
              <w:rPr/>
              <w:t xml:space="preserve">- Assessing the inventory of information systems and databases against a set of eligibility criteria for integration or interconnection with the national climate change MRV-E system, and providing an updated inventory with descriptions of key characteristics.</w:t>
            </w:r>
          </w:p>
          <w:p>
            <w:pPr/>
            <w:r>
              <w:rPr/>
              <w:t xml:space="preserve">- Preparing a gap assessment and recommendation report for the improvement of eligible information systems and databases for integration or interconnection with the national MRV-E system, in cooperation with climate change specialists, information technology managers at national and local levels, and other relevant stakeholders.</w:t>
            </w:r>
          </w:p>
          <w:p>
            <w:pPr/>
            <w:r>
              <w:rPr/>
              <w:t xml:space="preserve">- Providing inputs for the development of detailed Terms of Reference for a service provider for the design and implementation of the national climate change MRV-E system.</w:t>
            </w:r>
          </w:p>
        </w:tc>
        <w:tc>
          <w:tcPr>
            <w:tcW w:w="4000" w:type="dxa"/>
            <w:gridSpan w:val="1"/>
            <w:noWrap/>
          </w:tcPr>
          <w:p>
            <w:pPr/>
            <w:r>
              <w:rPr/>
              <w:t xml:space="preserve">Progress Update: 40%</w:t>
            </w:r>
          </w:p>
          <w:p>
            <w:pPr/>
            <w:r>
              <w:rPr/>
              <w:t xml:space="preserve"/>
            </w:r>
          </w:p>
          <w:p>
            <w:pPr/>
            <w:r>
              <w:rPr/>
              <w:t xml:space="preserve">The development of Montenegro’s National MRV System for Climate Transparency is currently underway, following the approval of this activity by the Project Steering Committee at its 10th meeting for using solutions from the continuation.</w:t>
            </w:r>
          </w:p>
          <w:p>
            <w:pPr/>
            <w:r>
              <w:rPr/>
              <w:t xml:space="preserve"/>
            </w:r>
          </w:p>
          <w:p>
            <w:pPr/>
            <w:r>
              <w:rPr/>
              <w:t xml:space="preserve">The previous call for applications for an IT expert was cancelled, and a new vacancy was published. The technical evaluation applications received is currently ongoing.</w:t>
            </w:r>
          </w:p>
          <w:p>
            <w:pPr/>
            <w:r>
              <w:rPr/>
              <w:t xml:space="preserve"/>
            </w:r>
          </w:p>
          <w:p>
            <w:pPr/>
            <w:r>
              <w:rPr/>
              <w:t xml:space="preserve">Given the time required for the design and implementation of such a complex digital system, Project Board approved UNDP Digital Team optimized approach that could significantly accelerate the process. A suitable open-source solution is available and could be customized and implemented in Montenegro, offering a scalable and cost-effective foundation for the national transparency framework.</w:t>
            </w:r>
          </w:p>
          <w:p>
            <w:pPr/>
            <w:r>
              <w:rPr/>
              <w:t xml:space="preserve"/>
            </w:r>
          </w:p>
          <w:p>
            <w:pPr/>
            <w:r>
              <w:rPr/>
              <w:t xml:space="preserve">Key Features of the Proposed MRV System are:</w:t>
            </w:r>
          </w:p>
          <w:p>
            <w:pPr/>
            <w:r>
              <w:rPr/>
              <w:t xml:space="preserve">-Centralized Data Management</w:t>
            </w:r>
          </w:p>
          <w:p>
            <w:pPr/>
            <w:r>
              <w:rPr/>
              <w:t xml:space="preserve">-Consolidates climate data from multiple sources into a single platform, reducing manual work by automating data aggregation and reporting.</w:t>
            </w:r>
          </w:p>
          <w:p>
            <w:pPr/>
            <w:r>
              <w:rPr/>
              <w:t xml:space="preserve"/>
            </w:r>
          </w:p>
          <w:p>
            <w:pPr/>
            <w:r>
              <w:rPr/>
              <w:t xml:space="preserve">-Automated Reporting and Compliance</w:t>
            </w:r>
          </w:p>
          <w:p>
            <w:pPr/>
            <w:r>
              <w:rPr/>
              <w:t xml:space="preserve">Generates reports in the Common Tabular Format (CTF) for UNFCCC submission and supports export in Excel/CSV formats. Designed for future integration with the UNFCCC registry.</w:t>
            </w:r>
          </w:p>
          <w:p>
            <w:pPr/>
            <w:r>
              <w:rPr/>
              <w:t xml:space="preserve"/>
            </w:r>
          </w:p>
          <w:p>
            <w:pPr/>
            <w:r>
              <w:rPr/>
              <w:t xml:space="preserve">-Data Validation and Quality Assurance</w:t>
            </w:r>
          </w:p>
          <w:p>
            <w:pPr/>
            <w:r>
              <w:rPr/>
              <w:t xml:space="preserve">-A built-in validation layer ensures data accuracy before public presentation and supports role-based validation across actions, programs, and projects.</w:t>
            </w:r>
          </w:p>
          <w:p>
            <w:pPr/>
            <w:r>
              <w:rPr/>
              <w:t xml:space="preserve"/>
            </w:r>
          </w:p>
          <w:p>
            <w:pPr/>
            <w:r>
              <w:rPr/>
              <w:t xml:space="preserve">-Interoperability and API Integration</w:t>
            </w:r>
          </w:p>
          <w:p>
            <w:pPr/>
            <w:r>
              <w:rPr/>
              <w:t xml:space="preserve">Designed for connectivity with national and international systems (e.g., UNFCCC, IPCC software), enabling automated data exchange with external platforms.</w:t>
            </w:r>
          </w:p>
          <w:p>
            <w:pPr/>
            <w:r>
              <w:rPr/>
              <w:t xml:space="preserve"/>
            </w:r>
          </w:p>
          <w:p>
            <w:pPr/>
            <w:r>
              <w:rPr/>
              <w:t xml:space="preserve">-Cost and Operational Efficiency</w:t>
            </w:r>
          </w:p>
          <w:p>
            <w:pPr/>
            <w:r>
              <w:rPr/>
              <w:t xml:space="preserve">Reduces development time and costs by 50–70% compared to building a system from scratch. -Minimizes human error through automation.</w:t>
            </w:r>
          </w:p>
          <w:p>
            <w:pPr/>
            <w:r>
              <w:rPr/>
              <w:t xml:space="preserve"/>
            </w:r>
          </w:p>
          <w:p>
            <w:pPr/>
            <w:r>
              <w:rPr/>
              <w:t xml:space="preserve">-Adaptability and Scalability</w:t>
            </w:r>
          </w:p>
          <w:p>
            <w:pPr/>
            <w:r>
              <w:rPr/>
              <w:t xml:space="preserve">Fully compatible with Biennial Transparency Reports (BTR) and can be extended to adaptation reporting tools, registers, and databases.</w:t>
            </w:r>
          </w:p>
          <w:p>
            <w:pPr/>
            <w:r>
              <w:rPr/>
              <w:t xml:space="preserve"/>
            </w:r>
          </w:p>
          <w:p>
            <w:pPr/>
            <w:r>
              <w:rPr/>
              <w:t xml:space="preserve">-GHG Inventory and Projections</w:t>
            </w:r>
          </w:p>
          <w:p>
            <w:pPr/>
            <w:r>
              <w:rPr/>
              <w:t xml:space="preserve">-Enables modeling of emission projections with external tools. Integration with IPCC inventory software is planned to ensure seamless data input.</w:t>
            </w:r>
          </w:p>
          <w:p>
            <w:pPr/>
            <w:r>
              <w:rPr/>
              <w:t xml:space="preserve">-Part of the Global Digital Ecosystem</w:t>
            </w:r>
          </w:p>
          <w:p>
            <w:pPr/>
            <w:r>
              <w:rPr/>
              <w:t xml:space="preserve">The system is aligned with UNDP’s collaboration with the World Bank, EBRD, and UNFCCC on standardized digital tools. It has already been piloted in Senegal and Seychelles, and serves as a model for replication in other countries.</w:t>
            </w:r>
          </w:p>
          <w:p>
            <w:pPr/>
            <w:r>
              <w:rPr/>
              <w:t xml:space="preserve"/>
            </w:r>
          </w:p>
          <w:p>
            <w:pPr/>
            <w:r>
              <w:rPr/>
              <w:t xml:space="preserve">Key Implementation Phases</w:t>
            </w:r>
          </w:p>
          <w:p>
            <w:pPr/>
            <w:r>
              <w:rPr/>
              <w:t xml:space="preserve">-Phase 0: Planning</w:t>
            </w:r>
          </w:p>
          <w:p>
            <w:pPr/>
            <w:r>
              <w:rPr/>
              <w:t xml:space="preserve">Definition of system requirements, governance structure, budget, and hosting preferences. Engagement of a local IT vendor and a carbon market expert.</w:t>
            </w:r>
          </w:p>
          <w:p>
            <w:pPr/>
            <w:r>
              <w:rPr/>
              <w:t xml:space="preserve"/>
            </w:r>
          </w:p>
          <w:p>
            <w:pPr/>
            <w:r>
              <w:rPr/>
              <w:t xml:space="preserve">Phase 1: Scoping</w:t>
            </w:r>
          </w:p>
          <w:p>
            <w:pPr/>
            <w:r>
              <w:rPr/>
              <w:t xml:space="preserve">Identification of national needs, carbon market context, data gaps, and existing processes. Design and pilot of a Minimum Viable Product (MVP).</w:t>
            </w:r>
          </w:p>
          <w:p>
            <w:pPr/>
            <w:r>
              <w:rPr/>
              <w:t xml:space="preserve"/>
            </w:r>
          </w:p>
          <w:p>
            <w:pPr/>
            <w:r>
              <w:rPr/>
              <w:t xml:space="preserve">Phase 2: Development and Configuration</w:t>
            </w:r>
          </w:p>
          <w:p>
            <w:pPr/>
            <w:r>
              <w:rPr/>
              <w:t xml:space="preserve">Infrastructure setup, open-source software installation, and integration with national databases and APIs. Full-cycle testing with pilot users.</w:t>
            </w:r>
          </w:p>
          <w:p>
            <w:pPr/>
            <w:r>
              <w:rPr/>
              <w:t xml:space="preserve"/>
            </w:r>
          </w:p>
          <w:p>
            <w:pPr/>
            <w:r>
              <w:rPr/>
              <w:t xml:space="preserve">Phase 3: Implementation and Training</w:t>
            </w:r>
          </w:p>
          <w:p>
            <w:pPr/>
            <w:r>
              <w:rPr/>
              <w:t xml:space="preserve">Final adjustments based on user feedback. Development of training materials and user onboarding. Establishment of quality assurance mechanisms.</w:t>
            </w:r>
          </w:p>
          <w:p>
            <w:pPr/>
            <w:r>
              <w:rPr/>
              <w:t xml:space="preserve"/>
            </w:r>
          </w:p>
          <w:p>
            <w:pPr/>
            <w:r>
              <w:rPr/>
              <w:t xml:space="preserve">Phase 4: Maintenance and Continuous Improvement</w:t>
            </w:r>
          </w:p>
          <w:p>
            <w:pPr/>
            <w:r>
              <w:rPr/>
              <w:t xml:space="preserve">The government takes over maintenance and data management. Ongoing updates and participation in global knowledge-sharing platforms and communities of practice.</w:t>
            </w:r>
          </w:p>
          <w:p>
            <w:pPr/>
            <w:r>
              <w:rPr/>
              <w:t xml:space="preserve"/>
            </w:r>
          </w:p>
          <w:p>
            <w:pPr/>
            <w:r>
              <w:rPr/>
              <w:t xml:space="preserve">This approach ensures the establishment of a reliable, cost-effective, and scalable MRV system that meets Montenegro’s international reporting obligations and strengthens national climate transparency infrastructure. In PIR library provided as evidence are: 1. Indicator_13_Serbia_Montenegro CO_meeting_Slide deck1.pptx; 2. Indicator_13_Terms of Reference for Climate Transparency Platform Project Board draft.docx; 3. Indicator_13_ToR IT specialist CBIT.pdf.</w:t>
            </w:r>
          </w:p>
          <w:p>
            <w:pPr/>
            <w:r>
              <w:rPr/>
              <w:t xml:space="preserve"/>
            </w:r>
          </w:p>
        </w:tc>
      </w:tr>
      <w:tr>
        <w:trPr/>
        <w:tc>
          <w:tcPr>
            <w:tcW w:w="4000" w:type="dxa"/>
            <w:gridSpan w:val="1"/>
            <w:noWrap/>
          </w:tcPr>
          <w:p>
            <w:pPr/>
            <w:r>
              <w:rPr/>
              <w:t xml:space="preserve">Indicator 14: Stakeholders are trained on best practice skills and are using the MRV portal for planning and decision-making on the global environment</w:t>
            </w:r>
          </w:p>
        </w:tc>
        <w:tc>
          <w:tcPr>
            <w:tcW w:w="2000" w:type="dxa"/>
            <w:gridSpan w:val="1"/>
            <w:noWrap/>
          </w:tcPr>
          <w:p>
            <w:pPr/>
            <w:r>
              <w:rPr/>
              <w:t xml:space="preserve">•	Decision-makers and government staff have limited technical skills and MRV portal still needs to be designed and optimized within the Government IT infrastructure.</w:t>
            </w:r>
          </w:p>
        </w:tc>
        <w:tc>
          <w:tcPr>
            <w:tcW w:w="2000" w:type="dxa"/>
            <w:gridSpan w:val="1"/>
            <w:noWrap/>
          </w:tcPr>
          <w:p>
            <w:pPr/>
            <w:r>
              <w:rPr>
                <w:i w:val="1"/>
                <w:iCs w:val="1"/>
              </w:rPr>
              <w:t xml:space="preserve">(not set or not applicable)</w:t>
            </w:r>
          </w:p>
        </w:tc>
        <w:tc>
          <w:tcPr>
            <w:tcW w:w="2000" w:type="dxa"/>
            <w:gridSpan w:val="1"/>
            <w:noWrap/>
          </w:tcPr>
          <w:p>
            <w:pPr/>
            <w:r>
              <w:rPr/>
              <w:t xml:space="preserve">•	Participants from at least 15 stakeholders’ institutions (with at least 40% of participants women) are trained on data management skills relevant to the MRV portal</w:t>
            </w:r>
          </w:p>
        </w:tc>
        <w:tc>
          <w:tcPr>
            <w:tcW w:w="4000" w:type="dxa"/>
            <w:gridSpan w:val="1"/>
            <w:noWrap/>
          </w:tcPr>
          <w:p>
            <w:pPr/>
            <w:r>
              <w:rPr/>
              <w:t xml:space="preserve">No progress or changes have been.</w:t>
            </w:r>
          </w:p>
          <w:p>
            <w:pPr/>
            <w:r>
              <w:rPr/>
              <w:t xml:space="preserve">No progress or changes have been made in Indicator 14 as its implementation is scheduled in line with the development and implementation of the MRV portal.</w:t>
            </w:r>
          </w:p>
          <w:p>
            <w:pPr/>
            <w:r>
              <w:rPr/>
              <w:t xml:space="preserve"/>
            </w:r>
          </w:p>
        </w:tc>
        <w:tc>
          <w:tcPr>
            <w:tcW w:w="4000" w:type="dxa"/>
            <w:gridSpan w:val="1"/>
            <w:noWrap/>
          </w:tcPr>
          <w:p>
            <w:pPr/>
            <w:r>
              <w:rPr/>
              <w:t xml:space="preserve">No progress or changes have been.</w:t>
            </w:r>
          </w:p>
          <w:p>
            <w:pPr/>
            <w:r>
              <w:rPr/>
              <w:t xml:space="preserve">No progress or changes have been made in Indicator 14 as its implementation is scheduled in line with the development and implementation of the MRV portal.</w:t>
            </w:r>
          </w:p>
          <w:p>
            <w:pPr/>
            <w:r>
              <w:rPr/>
              <w:t xml:space="preserve">In line with the approved project extension, a new work plan has been prepared, foreseeing this activity in the last quarter of 2025.</w:t>
            </w:r>
          </w:p>
        </w:tc>
      </w:tr>
      <w:tr>
        <w:trPr/>
        <w:tc>
          <w:tcPr>
            <w:tcW w:w="4000" w:type="dxa"/>
            <w:gridSpan w:val="1"/>
            <w:noWrap/>
          </w:tcPr>
          <w:p>
            <w:pPr/>
            <w:r>
              <w:rPr/>
              <w:t xml:space="preserve">Indicator 15: Long-term training programme institutionalized to use the MRV portal for planning and decision-making</w:t>
            </w:r>
          </w:p>
        </w:tc>
        <w:tc>
          <w:tcPr>
            <w:tcW w:w="2000" w:type="dxa"/>
            <w:gridSpan w:val="1"/>
            <w:noWrap/>
          </w:tcPr>
          <w:p>
            <w:pPr/>
            <w:r>
              <w:rPr/>
              <w:t xml:space="preserve">•	There is currently no long-term training program for use of MRV portal and it is necessary to provide a sustainability in sharing of knowledge after the completion of the project.</w:t>
            </w:r>
          </w:p>
        </w:tc>
        <w:tc>
          <w:tcPr>
            <w:tcW w:w="2000" w:type="dxa"/>
            <w:gridSpan w:val="1"/>
            <w:noWrap/>
          </w:tcPr>
          <w:p>
            <w:pPr/>
            <w:r>
              <w:rPr>
                <w:i w:val="1"/>
                <w:iCs w:val="1"/>
              </w:rPr>
              <w:t xml:space="preserve">(not set or not applicable)</w:t>
            </w:r>
          </w:p>
        </w:tc>
        <w:tc>
          <w:tcPr>
            <w:tcW w:w="2000" w:type="dxa"/>
            <w:gridSpan w:val="1"/>
            <w:noWrap/>
          </w:tcPr>
          <w:p>
            <w:pPr/>
            <w:r>
              <w:rPr/>
              <w:t xml:space="preserve">Long-term training programme institutionalized to use the MRV portal</w:t>
            </w:r>
          </w:p>
        </w:tc>
        <w:tc>
          <w:tcPr>
            <w:tcW w:w="4000" w:type="dxa"/>
            <w:gridSpan w:val="1"/>
            <w:noWrap/>
          </w:tcPr>
          <w:p>
            <w:pPr/>
            <w:r>
              <w:rPr/>
              <w:t xml:space="preserve">No progress or changes have been made in Indicator 15 as its implementation is scheduled in line with the development and implementation of the MRV portal.</w:t>
            </w:r>
          </w:p>
          <w:p>
            <w:pPr/>
            <w:r>
              <w:rPr/>
              <w:t xml:space="preserve"/>
            </w:r>
          </w:p>
        </w:tc>
        <w:tc>
          <w:tcPr>
            <w:tcW w:w="4000" w:type="dxa"/>
            <w:gridSpan w:val="1"/>
            <w:noWrap/>
          </w:tcPr>
          <w:p>
            <w:pPr/>
            <w:r>
              <w:rPr/>
              <w:t xml:space="preserve">No progress or changes have been made in Indicator 15 as its implementation is scheduled in line with the development and implementation of the MRV portal. In line with the approved project extension, a new work plan has been prepared, foreseeing this activity in the last quarter of 2025.</w:t>
            </w:r>
          </w:p>
        </w:tc>
      </w:tr>
      <w:tr>
        <w:trPr/>
        <w:tc>
          <w:tcPr>
            <w:tcW w:w="4000" w:type="dxa"/>
            <w:gridSpan w:val="1"/>
            <w:noWrap/>
          </w:tcPr>
          <w:p>
            <w:pPr/>
            <w:r>
              <w:rPr>
                <w:b w:val="1"/>
                <w:bCs w:val="1"/>
              </w:rPr>
              <w:t xml:space="preserve">The progress of the objective/outcome can be described as:</w:t>
            </w:r>
          </w:p>
        </w:tc>
        <w:tc>
          <w:tcPr>
            <w:tcW w:w="12000" w:type="dxa"/>
            <w:gridSpan w:val="5"/>
            <w:noWrap/>
          </w:tcPr>
          <w:p>
            <w:pPr/>
            <w:r>
              <w:rPr>
                <w:b w:val="1"/>
                <w:bCs w:val="1"/>
              </w:rPr>
              <w:t xml:space="preserve">On track</w:t>
            </w:r>
          </w:p>
        </w:tc>
      </w:tr>
      <w:tr>
        <w:trPr/>
        <w:tc>
          <w:tcPr>
            <w:tcW w:w="4000" w:type="dxa"/>
            <w:gridSpan w:val="1"/>
            <w:noWrap/>
          </w:tcPr>
          <w:p>
            <w:pPr/>
            <w:r>
              <w:rPr>
                <w:b w:val="1"/>
                <w:bCs w:val="1"/>
              </w:rPr>
              <w:t xml:space="preserve">Evidence uploaded:</w:t>
            </w:r>
          </w:p>
        </w:tc>
        <w:tc>
          <w:tcPr>
            <w:tcW w:w="12000" w:type="dxa"/>
            <w:gridSpan w:val="5"/>
            <w:noWrap/>
          </w:tcPr>
          <w:p>
            <w:pPr/>
            <w:r>
              <w:rPr/>
              <w:t xml:space="preserve">YES</w:t>
            </w:r>
          </w:p>
        </w:tc>
      </w:tr>
      <w:tr>
        <w:trPr/>
        <w:tc>
          <w:tcPr>
            <w:tcW w:w="16000" w:type="dxa"/>
            <w:shd w:val="clear" w:fill="#D9D9D9"/>
            <w:gridSpan w:val="7"/>
            <w:noWrap/>
          </w:tcPr>
          <w:p>
            <w:pPr/>
            <w:r>
              <w:rPr>
                <w:b w:val="1"/>
                <w:bCs w:val="1"/>
              </w:rPr>
              <w:t xml:space="preserve">Outcome 4</w:t>
            </w:r>
          </w:p>
          <w:p>
            <w:pPr/>
            <w:r>
              <w:rPr>
                <w:b w:val="1"/>
                <w:bCs w:val="1"/>
              </w:rPr>
              <w:t xml:space="preserve">A  technical roadmap on low-carbon and climate-resilient development is formulated and adopted</w:t>
            </w:r>
          </w:p>
        </w:tc>
      </w:tr>
      <w:tr>
        <w:trPr/>
        <w:tc>
          <w:tcPr>
            <w:tcW w:w="4000" w:type="dxa"/>
            <w:gridSpan w:val="1"/>
            <w:noWrap/>
          </w:tcPr>
          <w:p>
            <w:pPr/>
            <w:r>
              <w:rPr>
                <w:b w:val="1"/>
                <w:bCs w:val="1"/>
              </w:rPr>
              <w:t xml:space="preserve">Description of Indicator</w:t>
            </w:r>
          </w:p>
        </w:tc>
        <w:tc>
          <w:tcPr>
            <w:tcW w:w="2000" w:type="dxa"/>
            <w:gridSpan w:val="1"/>
            <w:noWrap/>
          </w:tcPr>
          <w:p>
            <w:pPr/>
            <w:r>
              <w:rPr>
                <w:b w:val="1"/>
                <w:bCs w:val="1"/>
              </w:rPr>
              <w:t xml:space="preserve">Baseline Level</w:t>
            </w:r>
          </w:p>
        </w:tc>
        <w:tc>
          <w:tcPr>
            <w:tcW w:w="2000" w:type="dxa"/>
            <w:gridSpan w:val="1"/>
            <w:noWrap/>
          </w:tcPr>
          <w:p>
            <w:pPr/>
            <w:r>
              <w:rPr>
                <w:b w:val="1"/>
                <w:bCs w:val="1"/>
              </w:rPr>
              <w:t xml:space="preserve">Midterm target level</w:t>
            </w:r>
          </w:p>
        </w:tc>
        <w:tc>
          <w:tcPr>
            <w:tcW w:w="2000" w:type="dxa"/>
            <w:gridSpan w:val="1"/>
            <w:noWrap/>
          </w:tcPr>
          <w:p>
            <w:pPr/>
            <w:r>
              <w:rPr>
                <w:b w:val="1"/>
                <w:bCs w:val="1"/>
              </w:rPr>
              <w:t xml:space="preserve">End of project target level</w:t>
            </w:r>
          </w:p>
        </w:tc>
        <w:tc>
          <w:tcPr>
            <w:tcW w:w="4000" w:type="dxa"/>
            <w:gridSpan w:val="1"/>
            <w:noWrap/>
          </w:tcPr>
          <w:p>
            <w:pPr/>
            <w:r>
              <w:rPr>
                <w:b w:val="1"/>
                <w:bCs w:val="1"/>
              </w:rPr>
              <w:t xml:space="preserve">Level at Jun 30, 2024</w:t>
            </w:r>
          </w:p>
        </w:tc>
        <w:tc>
          <w:tcPr>
            <w:tcW w:w="4000" w:type="dxa"/>
            <w:gridSpan w:val="1"/>
            <w:noWrap/>
          </w:tcPr>
          <w:p>
            <w:pPr/>
            <w:r>
              <w:rPr>
                <w:b w:val="1"/>
                <w:bCs w:val="1"/>
              </w:rPr>
              <w:t xml:space="preserve">Cumulative progress since project start as of Jun 30, 2025</w:t>
            </w:r>
          </w:p>
        </w:tc>
      </w:tr>
      <w:tr>
        <w:trPr/>
        <w:tc>
          <w:tcPr>
            <w:tcW w:w="4000" w:type="dxa"/>
            <w:gridSpan w:val="1"/>
            <w:noWrap/>
          </w:tcPr>
          <w:p>
            <w:pPr/>
            <w:r>
              <w:rPr/>
              <w:t xml:space="preserve">Indicator 16: Awareness raising programme implemented focusing on the contribution of global environmental values to socio-economic development</w:t>
            </w:r>
          </w:p>
        </w:tc>
        <w:tc>
          <w:tcPr>
            <w:tcW w:w="2000" w:type="dxa"/>
            <w:gridSpan w:val="1"/>
            <w:noWrap/>
          </w:tcPr>
          <w:p>
            <w:pPr/>
            <w:r>
              <w:rPr/>
              <w:t xml:space="preserve">•	Awareness of best practices for combating climate change limited, and stakeholders do not fully appreciate the value of conserving the global environment</w:t>
            </w:r>
          </w:p>
        </w:tc>
        <w:tc>
          <w:tcPr>
            <w:tcW w:w="2000" w:type="dxa"/>
            <w:gridSpan w:val="1"/>
            <w:noWrap/>
          </w:tcPr>
          <w:p>
            <w:pPr/>
            <w:r>
              <w:rPr>
                <w:i w:val="1"/>
                <w:iCs w:val="1"/>
              </w:rPr>
              <w:t xml:space="preserve">(not set or not applicable)</w:t>
            </w:r>
          </w:p>
        </w:tc>
        <w:tc>
          <w:tcPr>
            <w:tcW w:w="2000" w:type="dxa"/>
            <w:gridSpan w:val="1"/>
            <w:noWrap/>
          </w:tcPr>
          <w:p>
            <w:pPr/>
            <w:r>
              <w:rPr/>
              <w:t xml:space="preserve">•	Three sets of private sector and media sensitization panel discussions held, one each year by the end of months 12, 24, and 36.</w:t>
            </w:r>
          </w:p>
          <w:p>
            <w:pPr/>
            <w:r>
              <w:rPr/>
              <w:t xml:space="preserve">•	At least two (2) national and three (3) sub-national awareness workshops held, spread out in years 2, 3, and 4</w:t>
            </w:r>
          </w:p>
          <w:p>
            <w:pPr/>
            <w:r>
              <w:rPr/>
              <w:t xml:space="preserve"/>
            </w:r>
          </w:p>
        </w:tc>
        <w:tc>
          <w:tcPr>
            <w:tcW w:w="4000" w:type="dxa"/>
            <w:gridSpan w:val="1"/>
            <w:noWrap/>
          </w:tcPr>
          <w:p>
            <w:pPr/>
            <w:r>
              <w:rPr/>
              <w:t xml:space="preserve"/>
            </w:r>
          </w:p>
          <w:p>
            <w:pPr/>
            <w:r>
              <w:rPr/>
              <w:t xml:space="preserve">Progress update: 15 % completed.</w:t>
            </w:r>
          </w:p>
          <w:p>
            <w:pPr/>
            <w:r>
              <w:rPr/>
              <w:t xml:space="preserve"/>
            </w:r>
          </w:p>
          <w:p>
            <w:pPr/>
            <w:r>
              <w:rPr/>
              <w:t xml:space="preserve">CBIT Project organized specialized training sessions for specific groups and topics, through several national events and one international event, including:</w:t>
            </w:r>
          </w:p>
          <w:p>
            <w:pPr/>
            <w:r>
              <w:rPr/>
              <w:t xml:space="preserve">- "CBIT Training on Data and Information Collection for Reporting Using Different Sources &amp; Capacity Assessment for the Development of Indicators within the Framework of the Future MRV/MRE System."  21/7/2023, Podgorica</w:t>
            </w:r>
          </w:p>
          <w:p>
            <w:pPr/>
            <w:r>
              <w:rPr/>
              <w:t xml:space="preserve">This training event focused on building capacity for data and information collection, reporting, and the development of indicators within the MRV/MRE system framework. By providing this training, the organizers aimed to raise awareness among relevant stakeholders on the importance of robust data and information management for effective climate change reporting and transparency</w:t>
            </w:r>
          </w:p>
          <w:p>
            <w:pPr/>
            <w:r>
              <w:rPr/>
              <w:t xml:space="preserve">- "Transition to ETF: Issues and Challenges from the Perspective of Montenegro: "Unpacking the Enhanced Transparency Framework: Transition and Challenges for the Eurasian Countries." 14/12/2023 Online CBIT GSP</w:t>
            </w:r>
          </w:p>
          <w:p>
            <w:pPr/>
            <w:r>
              <w:rPr/>
              <w:t xml:space="preserve">This online event brought together stakeholders from Montenegro and other Eurasian countries to discuss the challenges and issues related to the transition to the Enhanced Transparency Framework (ETF) under the Paris Agreement. By facilitating this exchange of experiences and perspectives, the organizers aimed to raise awareness and engage stakeholders on the practical implications of the ETF implementation.</w:t>
            </w:r>
          </w:p>
          <w:p>
            <w:pPr/>
            <w:r>
              <w:rPr/>
              <w:t xml:space="preserve">- "New Enlargement Methodology (Accession Negotiations) and the Green Agenda for the Western Balkans (Focus on Decarbonization and Montenegro and Bosnia and Herzegovina)." 19/02/2024, Budva</w:t>
            </w:r>
          </w:p>
          <w:p>
            <w:pPr/>
            <w:r>
              <w:rPr/>
              <w:t xml:space="preserve">This event focused on the intersection of the EU's new enlargement methodology and the Green Agenda for the Western Balkans, with a specific emphasis on decarbonization efforts in Montenegro and Bosnia and Herzegovina. By bringing together stakeholders from these countries, the organizers sought to raise awareness and foster engagement on the policy and regulatory changes required for aligning with the EU's climate and energy goals.</w:t>
            </w:r>
          </w:p>
          <w:p>
            <w:pPr/>
            <w:r>
              <w:rPr/>
              <w:t xml:space="preserve">- "Exchange of Experiences between Montenegro and Bosnia and Herzegovina in Integrating Gender Components in Climate Transparency." 16/05/2024 Online  CBIT GSP</w:t>
            </w:r>
          </w:p>
          <w:p>
            <w:pPr/>
            <w:r>
              <w:rPr/>
              <w:t xml:space="preserve">This online event facilitated the exchange of experiences between Montenegro and Bosnia and Herzegovina on integrating gender considerations into climate transparency efforts. By highlighting the importance of gender-responsive climate action, the organizers aimed to raise awareness and promote stakeholder engagement on this critical aspect of climate change reporting and policymaking</w:t>
            </w:r>
          </w:p>
          <w:p>
            <w:pPr/>
            <w:r>
              <w:rPr/>
              <w:t xml:space="preserve">-"Financing for Sustainable Development."  Seminar for local municipalities 26-27/06/2024, Podgorica</w:t>
            </w:r>
          </w:p>
          <w:p>
            <w:pPr/>
            <w:r>
              <w:rPr/>
              <w:t xml:space="preserve">This seminar for local municipalities focused on the topic of financing for sustainable development, which is a key component of climate action and transparency. By engaging with local government stakeholders, the organizers sought to raise awareness and build capacity on accessing and utilizing financial resources for implementing climate-related policies and measures.</w:t>
            </w:r>
          </w:p>
          <w:p>
            <w:pPr/>
            <w:r>
              <w:rPr/>
              <w:t xml:space="preserve">The events targeted a diverse range of stakeholders, including national and local government representatives, the private sector, and civil society, to ensure a comprehensive and inclusive approach to strengthening the climate transparency framework in Montenegro and the broader region.</w:t>
            </w:r>
          </w:p>
          <w:p>
            <w:pPr/>
            <w:r>
              <w:rPr/>
              <w:t xml:space="preserve">The project achieved advanced cooperation with the CBIT-GSP platform, which is continuously maintained.</w:t>
            </w:r>
          </w:p>
          <w:p>
            <w:pPr/>
            <w:r>
              <w:rPr/>
              <w:t xml:space="preserve"/>
            </w:r>
          </w:p>
          <w:p>
            <w:pPr/>
            <w:r>
              <w:rPr/>
              <w:t xml:space="preserve">Materials from the event have been added to the library and can be followed through the dissemination table as well: https://docs.google.com/document/d/1QXH5XVXKm12zescwr69gYeBLPDm1fzg_fud27gThbhI/edit.</w:t>
            </w:r>
          </w:p>
          <w:p>
            <w:pPr/>
            <w:r>
              <w:rPr/>
              <w:t xml:space="preserve"/>
            </w:r>
          </w:p>
        </w:tc>
        <w:tc>
          <w:tcPr>
            <w:tcW w:w="4000" w:type="dxa"/>
            <w:gridSpan w:val="1"/>
            <w:noWrap/>
          </w:tcPr>
          <w:p>
            <w:pPr/>
            <w:r>
              <w:rPr/>
              <w:t xml:space="preserve">Project Progress: 65% Completed</w:t>
            </w:r>
          </w:p>
          <w:p>
            <w:pPr/>
            <w:r>
              <w:rPr/>
              <w:t xml:space="preserve">The project has continued to organize specialized training sessions tailored to specific groups and topics. Several national events and one international event were successfully conducted, including:</w:t>
            </w:r>
          </w:p>
          <w:p>
            <w:pPr/>
            <w:r>
              <w:rPr/>
              <w:t xml:space="preserve"/>
            </w:r>
          </w:p>
          <w:p>
            <w:pPr/>
            <w:r>
              <w:rPr/>
              <w:t xml:space="preserve">Climate Change in Montenegro – Challenges and Opportunities for Joint Action</w:t>
            </w:r>
          </w:p>
          <w:p>
            <w:pPr/>
            <w:r>
              <w:rPr/>
              <w:t xml:space="preserve"/>
            </w:r>
          </w:p>
          <w:p>
            <w:pPr/>
            <w:r>
              <w:rPr/>
              <w:t xml:space="preserve">Climate Action in Montenegro: Building Resilience through Joint Efforts</w:t>
            </w:r>
          </w:p>
          <w:p>
            <w:pPr/>
            <w:r>
              <w:rPr/>
              <w:t xml:space="preserve"/>
            </w:r>
          </w:p>
          <w:p>
            <w:pPr/>
            <w:r>
              <w:rPr/>
              <w:t xml:space="preserve">Major Challenges in the Negotiation Process</w:t>
            </w:r>
          </w:p>
          <w:p>
            <w:pPr/>
            <w:r>
              <w:rPr/>
              <w:t xml:space="preserve"/>
            </w:r>
          </w:p>
          <w:p>
            <w:pPr/>
            <w:r>
              <w:rPr/>
              <w:t xml:space="preserve">International Women’s Day: Gender-responsive Climate Transparency</w:t>
            </w:r>
          </w:p>
          <w:p>
            <w:pPr/>
            <w:r>
              <w:rPr/>
              <w:t xml:space="preserve"/>
            </w:r>
          </w:p>
          <w:p>
            <w:pPr/>
            <w:r>
              <w:rPr/>
              <w:t xml:space="preserve">In addition, the project provided significant support in preparing the national delegation for participation at COP29.</w:t>
            </w:r>
          </w:p>
          <w:p>
            <w:pPr/>
            <w:r>
              <w:rPr/>
              <w:t xml:space="preserve"/>
            </w:r>
          </w:p>
          <w:p>
            <w:pPr/>
            <w:r>
              <w:rPr/>
              <w:t xml:space="preserve">An abstract authored by a CBIT expert, titled Enhancing Climate Financing Transparency in the Budget of Montenegro, was accepted for presentation at the 2nd Montenegrin International Conference on Economics &amp; Business.</w:t>
            </w:r>
          </w:p>
          <w:p>
            <w:pPr/>
            <w:r>
              <w:rPr/>
              <w:t xml:space="preserve"/>
            </w:r>
          </w:p>
          <w:p>
            <w:pPr/>
            <w:r>
              <w:rPr/>
              <w:t xml:space="preserve">The project has also continued its successful collaboration with the CBIT-GSP platform, actively participating in all relevant events and activities, including:</w:t>
            </w:r>
          </w:p>
          <w:p>
            <w:pPr/>
            <w:r>
              <w:rPr/>
              <w:t xml:space="preserve"/>
            </w:r>
          </w:p>
          <w:p>
            <w:pPr/>
            <w:r>
              <w:rPr/>
              <w:t xml:space="preserve">Mid-Term Review for the Capacity Building Initiative for Transparency Global Support Programme Phase II (CBIT-GSPII)</w:t>
            </w:r>
          </w:p>
          <w:p>
            <w:pPr/>
            <w:r>
              <w:rPr/>
              <w:t xml:space="preserve"/>
            </w:r>
          </w:p>
          <w:p>
            <w:pPr/>
            <w:r>
              <w:rPr/>
              <w:t xml:space="preserve">2024 Questionnaire on the Effectiveness of CBIT-GSP Support</w:t>
            </w:r>
          </w:p>
          <w:p>
            <w:pPr/>
            <w:r>
              <w:rPr/>
              <w:t xml:space="preserve"/>
            </w:r>
          </w:p>
          <w:p>
            <w:pPr/>
            <w:r>
              <w:rPr/>
              <w:t xml:space="preserve">Materials from these events have been added to the CBIT-GSP library, and can also be tracked through the dissemination table available at the following link: https://docs.google.com/document/d/1QXH5XVXKm12zescwr69gYeBLPDm1fzg_fud27gThbhI/edit.</w:t>
            </w:r>
          </w:p>
        </w:tc>
      </w:tr>
      <w:tr>
        <w:trPr/>
        <w:tc>
          <w:tcPr>
            <w:tcW w:w="4000" w:type="dxa"/>
            <w:gridSpan w:val="1"/>
            <w:noWrap/>
          </w:tcPr>
          <w:p>
            <w:pPr/>
            <w:r>
              <w:rPr/>
              <w:t xml:space="preserve">Indicator 17: Technical roadmap for the cost-effective and efficient pursuit of a low carbon economy developed</w:t>
            </w:r>
          </w:p>
        </w:tc>
        <w:tc>
          <w:tcPr>
            <w:tcW w:w="2000" w:type="dxa"/>
            <w:gridSpan w:val="1"/>
            <w:noWrap/>
          </w:tcPr>
          <w:p>
            <w:pPr/>
            <w:r>
              <w:rPr/>
              <w:t xml:space="preserve">•	A number of strategies and action plans have been recently developed to address important policy directions to reduce greenhouse gas emissions and pursue green development.  However, many of these are sectoral, and there is a need to reconcile them as well as organize an over-arching cost-effective approach to realistically achieve them without compromising their individual legitimacy.</w:t>
            </w:r>
          </w:p>
        </w:tc>
        <w:tc>
          <w:tcPr>
            <w:tcW w:w="2000" w:type="dxa"/>
            <w:gridSpan w:val="1"/>
            <w:noWrap/>
          </w:tcPr>
          <w:p>
            <w:pPr/>
            <w:r>
              <w:rPr>
                <w:i w:val="1"/>
                <w:iCs w:val="1"/>
              </w:rPr>
              <w:t xml:space="preserve">(not set or not applicable)</w:t>
            </w:r>
          </w:p>
        </w:tc>
        <w:tc>
          <w:tcPr>
            <w:tcW w:w="2000" w:type="dxa"/>
            <w:gridSpan w:val="1"/>
            <w:noWrap/>
          </w:tcPr>
          <w:p>
            <w:pPr/>
            <w:r>
              <w:rPr/>
              <w:t xml:space="preserve">•	Technical roadmap developed by the end of the project</w:t>
            </w:r>
          </w:p>
        </w:tc>
        <w:tc>
          <w:tcPr>
            <w:tcW w:w="4000" w:type="dxa"/>
            <w:gridSpan w:val="1"/>
            <w:noWrap/>
          </w:tcPr>
          <w:p>
            <w:pPr/>
            <w:r>
              <w:rPr/>
              <w:t xml:space="preserve">Progress update: 5% completed.</w:t>
            </w:r>
          </w:p>
          <w:p>
            <w:pPr/>
            <w:r>
              <w:rPr/>
              <w:t xml:space="preserve">The project maintains ongoing communication with the responsible Ministry and closely monitors the progress of activities related to preparation and adoption of National Low-Carbon Development Strategy whose integral part is Technical Roadmap. Therefore, the project initiated a meeting (online) and coordination with the World Bank working on developing of the LCDS (minutes are provided in Indicator 1) with the aim of developing the synergy on this task.</w:t>
            </w:r>
          </w:p>
          <w:p>
            <w:pPr/>
            <w:r>
              <w:rPr/>
              <w:t xml:space="preserve"/>
            </w:r>
          </w:p>
          <w:p>
            <w:pPr/>
            <w:r>
              <w:rPr/>
              <w:t xml:space="preserve"/>
            </w:r>
          </w:p>
          <w:p>
            <w:pPr/>
            <w:r>
              <w:rPr/>
              <w:t xml:space="preserve"/>
            </w:r>
          </w:p>
        </w:tc>
        <w:tc>
          <w:tcPr>
            <w:tcW w:w="4000" w:type="dxa"/>
            <w:gridSpan w:val="1"/>
            <w:noWrap/>
          </w:tcPr>
          <w:p>
            <w:pPr/>
            <w:r>
              <w:rPr/>
              <w:t xml:space="preserve">Progress Update: 5% Completed</w:t>
            </w:r>
          </w:p>
          <w:p>
            <w:pPr/>
            <w:r>
              <w:rPr/>
              <w:t xml:space="preserve">In communication with the Ministry and the World Bank, it was confirmed that this activity has already been carried out through their project.</w:t>
            </w:r>
          </w:p>
          <w:p>
            <w:pPr/>
            <w:r>
              <w:rPr/>
              <w:t xml:space="preserve"/>
            </w:r>
          </w:p>
          <w:p>
            <w:pPr/>
            <w:r>
              <w:rPr/>
              <w:t xml:space="preserve">Therefore, the funds initially allocated for this component have been proposed for reallocation in the project extension request to support the development of a roadmap for integrating ETS reporting into the MRV portal.</w:t>
            </w:r>
          </w:p>
        </w:tc>
      </w:tr>
      <w:tr>
        <w:trPr/>
        <w:tc>
          <w:tcPr>
            <w:tcW w:w="4000" w:type="dxa"/>
            <w:gridSpan w:val="1"/>
            <w:noWrap/>
          </w:tcPr>
          <w:p>
            <w:pPr/>
            <w:r>
              <w:rPr>
                <w:b w:val="1"/>
                <w:bCs w:val="1"/>
              </w:rPr>
              <w:t xml:space="preserve">The progress of the objective/outcome can be described as:</w:t>
            </w:r>
          </w:p>
        </w:tc>
        <w:tc>
          <w:tcPr>
            <w:tcW w:w="12000" w:type="dxa"/>
            <w:gridSpan w:val="5"/>
            <w:noWrap/>
          </w:tcPr>
          <w:p>
            <w:pPr/>
            <w:r>
              <w:rPr>
                <w:b w:val="1"/>
                <w:bCs w:val="1"/>
              </w:rPr>
              <w:t xml:space="preserve">On track</w:t>
            </w:r>
          </w:p>
        </w:tc>
      </w:tr>
      <w:tr>
        <w:trPr/>
        <w:tc>
          <w:tcPr>
            <w:tcW w:w="4000" w:type="dxa"/>
            <w:gridSpan w:val="1"/>
            <w:noWrap/>
          </w:tcPr>
          <w:p>
            <w:pPr/>
            <w:r>
              <w:rPr>
                <w:b w:val="1"/>
                <w:bCs w:val="1"/>
              </w:rPr>
              <w:t xml:space="preserve">Evidence uploaded:</w:t>
            </w:r>
          </w:p>
        </w:tc>
        <w:tc>
          <w:tcPr>
            <w:tcW w:w="12000" w:type="dxa"/>
            <w:gridSpan w:val="5"/>
            <w:noWrap/>
          </w:tcPr>
          <w:p>
            <w:pPr/>
            <w:r>
              <w:rPr/>
              <w:t xml:space="preserve">YES</w:t>
            </w:r>
          </w:p>
        </w:tc>
      </w:tr>
    </w:tbl>
    <w:p>
      <w:pPr>
        <w:sectPr>
          <w:pgSz w:orient="landscape" w:w="16837.79527559055" w:h="11905.511811023622"/>
          <w:pgMar w:top="500" w:right="500" w:bottom="500" w:left="500" w:header="720" w:footer="720" w:gutter="0"/>
          <w:cols w:num="1" w:space="720"/>
        </w:sectPr>
      </w:pPr>
    </w:p>
    <w:p>
      <w:pPr>
        <w:pStyle w:val="Heading1"/>
      </w:pPr>
      <w:bookmarkStart w:id="4" w:name="_Toc4"/>
      <w:r>
        <w:t>Finance/Co-Finance</w:t>
      </w:r>
      <w:bookmarkEnd w:id="4"/>
    </w:p>
    <w:tbl>
      <w:tblGrid>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vAlign w:val="center"/>
            <w:noWrap/>
          </w:tcPr>
          <w:p>
            <w:pPr/>
            <w:r>
              <w:rPr/>
              <w:t xml:space="preserve">Cumulative disbursement as of Jun 30, 2025:</w:t>
            </w:r>
          </w:p>
          <w:p>
            <w:pPr/>
            <w:r>
              <w:rPr>
                <w:i w:val="1"/>
                <w:iCs w:val="1"/>
              </w:rPr>
              <w:t xml:space="preserve">
*Disbursement for the FY 2025 period is an estimate as books for UNDP Q2 2025 are not yet closed.</w:t>
            </w:r>
          </w:p>
        </w:tc>
        <w:tc>
          <w:tcPr>
            <w:tcW w:w="5000" w:type="dxa"/>
            <w:vAlign w:val="center"/>
            <w:gridSpan w:val="1"/>
            <w:noWrap/>
          </w:tcPr>
          <w:p>
            <w:pPr>
              <w:jc w:val="right"/>
            </w:pPr>
            <w:r>
              <w:rPr/>
              <w:t xml:space="preserve">401,308</w:t>
            </w:r>
          </w:p>
        </w:tc>
      </w:tr>
    </w:tbl>
    <w:p>
      <w:pPr>
        <w:pStyle w:val="Heading2"/>
      </w:pPr>
      <w:bookmarkStart w:id="5" w:name="_Toc5"/>
      <w:r>
        <w:t>Key Financing Amounts</w:t>
      </w:r>
      <w:bookmarkEnd w:id="5"/>
    </w:p>
    <w:tbl>
      <w:tblGrid>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noWrap/>
          </w:tcPr>
          <w:p>
            <w:pPr/>
            <w:r>
              <w:rPr/>
              <w:t xml:space="preserve">PPG Amount</w:t>
            </w:r>
          </w:p>
        </w:tc>
        <w:tc>
          <w:tcPr>
            <w:tcW w:w="5000" w:type="dxa"/>
            <w:vAlign w:val="center"/>
            <w:gridSpan w:val="1"/>
            <w:noWrap/>
          </w:tcPr>
          <w:p>
            <w:pPr>
              <w:jc w:val="right"/>
            </w:pPr>
            <w:r>
              <w:rPr>
                <w:i w:val="1"/>
                <w:iCs w:val="1"/>
              </w:rPr>
              <w:t xml:space="preserve">(not set or not applicable)</w:t>
            </w:r>
          </w:p>
        </w:tc>
      </w:tr>
      <w:tr>
        <w:trPr/>
        <w:tc>
          <w:tcPr>
            <w:tcW w:w="5000" w:type="dxa"/>
            <w:gridSpan w:val="1"/>
            <w:noWrap/>
          </w:tcPr>
          <w:p>
            <w:pPr/>
            <w:r>
              <w:rPr/>
              <w:t xml:space="preserve">GEF Grant Amount</w:t>
            </w:r>
          </w:p>
        </w:tc>
        <w:tc>
          <w:tcPr>
            <w:tcW w:w="5000" w:type="dxa"/>
            <w:vAlign w:val="center"/>
            <w:gridSpan w:val="1"/>
            <w:noWrap/>
          </w:tcPr>
          <w:p>
            <w:pPr>
              <w:jc w:val="right"/>
            </w:pPr>
            <w:r>
              <w:rPr/>
              <w:t xml:space="preserve">1,100,000</w:t>
            </w:r>
          </w:p>
        </w:tc>
      </w:tr>
      <w:tr>
        <w:trPr/>
        <w:tc>
          <w:tcPr>
            <w:tcW w:w="5000" w:type="dxa"/>
            <w:gridSpan w:val="1"/>
            <w:noWrap/>
          </w:tcPr>
          <w:p>
            <w:pPr/>
            <w:r>
              <w:rPr/>
              <w:t xml:space="preserve">Co-financing</w:t>
            </w:r>
          </w:p>
        </w:tc>
        <w:tc>
          <w:tcPr>
            <w:tcW w:w="5000" w:type="dxa"/>
            <w:vAlign w:val="center"/>
            <w:gridSpan w:val="1"/>
            <w:noWrap/>
          </w:tcPr>
          <w:p>
            <w:pPr>
              <w:jc w:val="right"/>
            </w:pPr>
            <w:r>
              <w:rPr/>
              <w:t xml:space="preserve">290,000</w:t>
            </w:r>
          </w:p>
        </w:tc>
      </w:tr>
    </w:tbl>
    <w:p>
      <w:pPr>
        <w:sectPr>
          <w:pgSz w:orient="portrait" w:w="11905.511811023622" w:h="16837.79527559055"/>
          <w:pgMar w:top="1440" w:right="1440" w:bottom="1440" w:left="1440" w:header="720" w:footer="720" w:gutter="0"/>
          <w:cols w:num="1" w:space="720"/>
        </w:sectPr>
      </w:pPr>
    </w:p>
    <w:p>
      <w:pPr>
        <w:pStyle w:val="Heading1"/>
      </w:pPr>
      <w:bookmarkStart w:id="6" w:name="_Toc6"/>
      <w:r>
        <w:t>Implementation Progress</w:t>
      </w:r>
      <w:bookmarkEnd w:id="6"/>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Project Manager: Please provide comments on delays with outputs/activities during the period 1 July 2024 through 30 June 2025.  If there were no delays, please indicate 'not applicable'.</w:t>
            </w:r>
          </w:p>
        </w:tc>
      </w:tr>
      <w:tr>
        <w:trPr/>
        <w:tc>
          <w:tcPr>
            <w:tcW w:w="10000" w:type="dxa"/>
            <w:gridSpan w:val="1"/>
            <w:noWrap/>
          </w:tcPr>
          <w:p>
            <w:pPr/>
            <w:r>
              <w:rPr/>
              <w:t xml:space="preserve">Main delays in project implementation are related to the following challenges:</w:t>
            </w:r>
          </w:p>
          <w:p>
            <w:pPr/>
            <w:r>
              <w:rPr/>
              <w:t xml:space="preserve"/>
            </w:r>
          </w:p>
          <w:p>
            <w:pPr/>
            <w:r>
              <w:rPr/>
              <w:t xml:space="preserve">1. Changes in Government, Ministry Structure and Project Governance</w:t>
            </w:r>
          </w:p>
          <w:p>
            <w:pPr/>
            <w:r>
              <w:rPr/>
              <w:t xml:space="preserve">Since the project began in February 2022, the Government of Montenegro has changed six times. During this reporting period alone, there were two government changes — on July 23, 2024, and April 14, 2025. Each change resulted in a reshuffling of ministries and institutional mandates, as well as frequent turnover at both managerial and technical levels.</w:t>
            </w:r>
          </w:p>
          <w:p>
            <w:pPr/>
            <w:r>
              <w:rPr/>
              <w:t xml:space="preserve">The current Ministry, which now oversees ecology, sustainable development, and north region development was created following the latest restructuring. Unlike its predecessor, this Ministry no longer includes tourism within its portfolio. A new Minister and management structure were appointed in July 2024, but the official internal systematization was only adopted in December 2024, nearly six months later. Until that point, the Directorate for Climate Change and Sustainable Development had not been formally established. The new Project Director was appointed in September 2024 and new The Project Board was appointed in April 2025.</w:t>
            </w:r>
          </w:p>
          <w:p>
            <w:pPr/>
            <w:r>
              <w:rPr/>
              <w:t xml:space="preserve"/>
            </w:r>
          </w:p>
          <w:p>
            <w:pPr/>
            <w:r>
              <w:rPr/>
              <w:t xml:space="preserve">The National Council for Sustainable Development, which had served as the key coordinating and validating body for project implementation—particularly through its working groups on climate change and sustainable finance—has also been affected. Following the ministry's internal reorganization in December 2024, a new Directorate for Sustainable Development was introduced. However, its functions and authority remain unclear, particularly regarding the National Council's role. To date: Council members have not been appointed and the Council has not  been  convened. As a result, institutional coordination has been reduced to individual-level engagement, and each project activity — such as trainings, workshops, public events, and stakeholder consultations — is strategically used to build synergies and strengthen inter-institutional collaboration, ensuring that project implementation remains on track despite systemic obstacles. Additionally, In August 2024, the Ministry relocated to a new building. Due to limited space, no dedicated office was initially provided for the project team. Until October 2024, the team operated from a borrowed office, after which they were relocated to a shared open-space area. The Ministry was formally notified of the need to ensure both adequate workspace for the project team and proper storage of project documentation. In response to the limited working conditions, most project activities were shifted to an online format, and a rotational duty schedule was introduced to ensure continuity in project implementation.</w:t>
            </w:r>
          </w:p>
          <w:p>
            <w:pPr/>
            <w:r>
              <w:rPr/>
              <w:t xml:space="preserve"/>
            </w:r>
          </w:p>
          <w:p>
            <w:pPr/>
            <w:r>
              <w:rPr/>
              <w:t xml:space="preserve">2. Payment Challenges</w:t>
            </w:r>
          </w:p>
          <w:p>
            <w:pPr/>
            <w:r>
              <w:rPr/>
              <w:t xml:space="preserve"/>
            </w:r>
          </w:p>
          <w:p>
            <w:pPr/>
            <w:r>
              <w:rPr/>
              <w:t xml:space="preserve">Due to changes in the Government, there were two complete payment suspensions during the reporting period:</w:t>
            </w:r>
          </w:p>
          <w:p>
            <w:pPr/>
            <w:r>
              <w:rPr/>
              <w:t xml:space="preserve">•	From July to October 2024,</w:t>
            </w:r>
          </w:p>
          <w:p>
            <w:pPr/>
            <w:r>
              <w:rPr/>
              <w:t xml:space="preserve">•	And again from October 2024 to March 2025.</w:t>
            </w:r>
          </w:p>
          <w:p>
            <w:pPr/>
            <w:r>
              <w:rPr/>
              <w:t xml:space="preserve">The first suspension was related to the operationalization of the budget, specifically the transfer of project responsibilities from one ministry to another. A formal issue arose around the transfer of the project mandate, which was resolved through the signature of an Agreement on the Handover of Project Responsibilities financed by the Global Environment Facility (GEF). This document has been uploaded to the PIR library. The second suspension resulted from a Ministry of Finance directive prohibiting payments of donor funds. This restriction applied to all donor-funded projects across the country. An official explanation from the Ministry of Finance has been submitted and uploaded to the PIR library as supporting documentation.</w:t>
            </w:r>
          </w:p>
          <w:p>
            <w:pPr/>
            <w:r>
              <w:rPr/>
              <w:t xml:space="preserve"/>
            </w:r>
          </w:p>
          <w:p>
            <w:pPr/>
            <w:r>
              <w:rPr/>
              <w:t xml:space="preserve">3. Delays in Contract Extension for the Project Team</w:t>
            </w:r>
          </w:p>
          <w:p>
            <w:pPr/>
            <w:r>
              <w:rPr/>
              <w:t xml:space="preserve">The CBIT project team experienced significant delays in contract renewals, with the Project Manager’s contract expiring on 15 February 2025 and the Project Assistant’s contract on 15 March 2025. Unfortunately, this issue reflects a recurring challenge that has been present throughout the project’s implementation. While similar situations in previous years were resolved relatively quickly and had minimal impact, the current delay had more substantial consequences. Despite multiple meetings held with the Ministry’s leadership, and official written communication sent to both the Ministry and UNDP, the contracts were only extended on 16 April 2025, resulting in a notable gap in staffing and disruption to project activities. During this period, the project team’s ability to act and make progress was significantly constrained (mail communication is uploaded to the PIR library). Nevertheless, the Project Manager continued to support implementation and prepared all requested documentation and reports, as required by the Ministry</w:t>
            </w:r>
          </w:p>
          <w:p>
            <w:pPr/>
            <w:r>
              <w:rPr/>
              <w:t xml:space="preserve">In order to support continuity, a summary document is being prepared, outlining the completed activities and all outstanding tasks necessary for successful project finalization. This document will serve as a practical reference for the remaining implementation period. The seriousness of this issue was also formally presented to the Project Board, and it was included as an official conclusion in the meeting minutes.</w:t>
            </w:r>
          </w:p>
          <w:p>
            <w:pPr/>
            <w:r>
              <w:rPr/>
              <w:t xml:space="preserve"/>
            </w:r>
          </w:p>
          <w:p>
            <w:pPr/>
            <w:r>
              <w:rPr/>
              <w:t xml:space="preserve">In close collaboration with the UNDP Country Office, the project team continued proactive efforts to address and minimize implementation delays. Particular focus was placed on establishing effective cooperation with the newly appointed Project Director and administrative representatives within the Ministry, while also ensuring the continuity of engagement with key stakeholders, including institutions represented in the Project Board and the Directorate for Climate Change and Sustainable Development.</w:t>
            </w:r>
          </w:p>
          <w:p>
            <w:pPr/>
            <w:r>
              <w:rPr/>
              <w:t xml:space="preserve">During the reporting period, a financial audit was successfully finalized in December 2024, and a formal request was submitted for a six-month project extension . The request is approved until February 2026, and this extension will result in an update of the Key Project Dates, ensuring proper alignment of the remaining implementation schedule.</w:t>
            </w:r>
          </w:p>
          <w:p>
            <w:pPr/>
            <w:r>
              <w:rPr/>
              <w:t xml:space="preserve"/>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CO Programme Officer: Please include specific measures to manage the project's implementation performance</w:t>
            </w:r>
          </w:p>
          <w:p>
            <w:pPr/>
            <w:r>
              <w:rPr>
                <w:b w:val="1"/>
                <w:bCs w:val="1"/>
              </w:rPr>
              <w:t xml:space="preserve"/>
            </w:r>
          </w:p>
          <w:p>
            <w:pPr/>
            <w:r>
              <w:rPr>
                <w:b w:val="1"/>
                <w:bCs w:val="1"/>
              </w:rPr>
              <w:t xml:space="preserve"/>
            </w:r>
          </w:p>
        </w:tc>
      </w:tr>
      <w:tr>
        <w:trPr/>
        <w:tc>
          <w:tcPr>
            <w:tcW w:w="10000" w:type="dxa"/>
            <w:gridSpan w:val="1"/>
            <w:noWrap/>
          </w:tcPr>
          <w:p>
            <w:pPr/>
            <w:r>
              <w:rPr/>
              <w:t xml:space="preserve">Implementation Progress for the reporting period is rated as Moderately Satisfactory (MS). The project has advanced on many planned outputs and activities, despite facing a highly unstable implementation environment that included two changes of government, prolonged payment suspensions, and repeated disruptions to project governance and staffing. Notable achievements during the period include the development of comprehensive National Methodologies, Procedures, and Guidelines (MPGs) for mitigation, adaptation, and climate finance; the preparation and submission of Montenegro’s Fourth National Communication and First Biennial Transparency Report; the design and rollout of a targeted capacity-building programme covering institutional MRV capacity, adaptation reporting, and climate finance management; and the initiation of the MRV portal design using a UNDP-supported digital solution. In addition, significant progress was made in integrating gender considerations across all project components, strengthening national capacities and laying the groundwork for long-term sustainability.</w:t>
            </w:r>
          </w:p>
          <w:p>
            <w:pPr/>
            <w:r>
              <w:rPr/>
              <w:t xml:space="preserve"/>
            </w:r>
          </w:p>
          <w:p>
            <w:pPr/>
            <w:r>
              <w:rPr/>
              <w:t xml:space="preserve">However, the project experienced significant delays in several critical areas. The MRV portal, a core component of the project, remains under development, with implementation of associated training and institutionalization activities postponed into the extension period. Similarly, the validation and formal adoption of the MPGs by relevant state institutions has been delayed, pending the adoption of the new Climate Change Law. Challenges in inter-agency coordination, largely driven by institutional restructuring and turnover at both managerial and technical levels, have further contributed to implementation delays and uncertainty. While the project team has demonstrated strong adaptive management—proactively reconstituting the Project Board, reallocating resources to priority activities, introducing remote working arrangements, and obtaining approval for project extension until February 2026 —some of these challenges remain unresolved as of the end of the reporting period.</w:t>
            </w:r>
          </w:p>
          <w:p>
            <w:pPr/>
            <w:r>
              <w:rPr/>
              <w:t xml:space="preserve"/>
            </w:r>
          </w:p>
          <w:p>
            <w:pPr/>
            <w:r>
              <w:rPr/>
              <w:t xml:space="preserve">Overall, most outputs and activities are progressing, and the project remains broadly on track to deliver its intended results, particularly in light of extension approval. Nevertheless, the combination of persistent delays, incomplete outputs, and external factors disrupting implementation justifies a rating of Moderately Satisfactory, indicating that progress is substantial but marked by material deviations from the planned timeline and the need for continued close management attention.</w:t>
            </w:r>
          </w:p>
          <w:p>
            <w:pPr/>
            <w:r>
              <w:rPr/>
              <w:t xml:space="preserve"/>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BPPS RTA: Please include specific measures to manage the project's implementation performance.</w:t>
            </w:r>
          </w:p>
        </w:tc>
      </w:tr>
      <w:tr>
        <w:trPr/>
        <w:tc>
          <w:tcPr>
            <w:tcW w:w="10000" w:type="dxa"/>
            <w:gridSpan w:val="1"/>
            <w:noWrap/>
          </w:tcPr>
          <w:p>
            <w:pPr/>
            <w:r>
              <w:rPr/>
              <w:t xml:space="preserve">The IP rating for the reporting period is assessed as Moderately Satisfactory. Despite operating in a highly challenging environment, characterized by political instability and limited institutional support (as detailed in the Risk Management section), the Project Manager succeeded in advancing several important milestones.</w:t>
            </w:r>
          </w:p>
          <w:p>
            <w:pPr/>
            <w:r>
              <w:rPr/>
              <w:t xml:space="preserve"/>
            </w:r>
          </w:p>
          <w:p>
            <w:pPr/>
            <w:r>
              <w:rPr/>
              <w:t xml:space="preserve">Key achievements during the reporting period included:</w:t>
            </w:r>
          </w:p>
          <w:p>
            <w:pPr/>
            <w:r>
              <w:rPr/>
              <w:t xml:space="preserve">•	Development of national Methodologies, Procedures, and Guidelines for the Enhanced Transparency Framework (ETF).</w:t>
            </w:r>
          </w:p>
          <w:p>
            <w:pPr/>
            <w:r>
              <w:rPr/>
              <w:t xml:space="preserve">•	Advancement of a comprehensive capacity development programme involving all relevant national stakeholders, with over 50 participants attending the kick-off meeting, and 148 participants trained till the end of July (out of which 100 were women, as reported in DO Progress).</w:t>
            </w:r>
          </w:p>
          <w:p>
            <w:pPr/>
            <w:r>
              <w:rPr/>
              <w:t xml:space="preserve">•	Integration of ETF requirements into the draft Climate Change Law, thus creating legal basis for sustainable climate change reporting.</w:t>
            </w:r>
          </w:p>
          <w:p>
            <w:pPr/>
            <w:r>
              <w:rPr/>
              <w:t xml:space="preserve">•	Digitalization of the national MRV and UNFCCC reporting system.</w:t>
            </w:r>
          </w:p>
          <w:p>
            <w:pPr/>
            <w:r>
              <w:rPr/>
              <w:t xml:space="preserve">All of the above is further elaborated in the Overall Assessment.</w:t>
            </w:r>
          </w:p>
          <w:p>
            <w:pPr/>
            <w:r>
              <w:rPr/>
              <w:t xml:space="preserve"/>
            </w:r>
          </w:p>
          <w:p>
            <w:pPr/>
            <w:r>
              <w:rPr/>
              <w:t xml:space="preserve">However, progress was hampered by several factors. Lack of the institutional support to the project team during the reporting period was quite a challenge. Unstable political environment caused frequent changes at the high-level positions within the Ministry, thus causing change in the positions of the National Project Director, Project Board members, GEF OFP, UNFCCC Focal Points. This was reflected in delays in signing contracts, nominating evaluation committees, endorsing various strategies, programmatic inputs to strategic documents etc. At some point, even the extension of the contracts for project manager and project assistant was delayed (related correspondence included as evidence). In addition, underperformance of the Department of Economic and Financial Affairs and Public Procurement within the IP caused delays in payments, which further led to low delivery (37% of the targeted budget).</w:t>
            </w:r>
          </w:p>
          <w:p>
            <w:pPr/>
            <w:r>
              <w:rPr/>
              <w:t xml:space="preserve">In response, the Project Management Board proposed a six-month extension to ensure completion of outstanding activities. Additional management resources were secured by the Implementing Partner, and the project was formally extended, with the new operational closure date set for February 2026.</w:t>
            </w:r>
          </w:p>
          <w:p>
            <w:pPr/>
            <w:r>
              <w:rPr/>
              <w:t xml:space="preserve">As outlined in the DO rating and supported by evidence, all outputs and activities remain on track, with identified challenges being actively addressed. These factors, when balanced against achieved results and mitigation measures, justify the current Moderately Satisfactory rating.</w:t>
            </w:r>
          </w:p>
          <w:p>
            <w:pPr/>
            <w:r>
              <w:rPr/>
              <w:t xml:space="preserve"/>
            </w:r>
          </w:p>
        </w:tc>
      </w:tr>
    </w:tbl>
    <w:p>
      <w:pPr>
        <w:sectPr>
          <w:pgSz w:orient="portrait" w:w="11905.511811023622" w:h="16837.79527559055"/>
          <w:pgMar w:top="1440" w:right="1440" w:bottom="1440" w:left="1440" w:header="720" w:footer="720" w:gutter="0"/>
          <w:cols w:num="1" w:space="720"/>
        </w:sectPr>
      </w:pPr>
    </w:p>
    <w:p>
      <w:pPr>
        <w:pStyle w:val="Heading1"/>
      </w:pPr>
      <w:bookmarkStart w:id="7" w:name="_Toc7"/>
      <w:r>
        <w:t>Project Governance</w:t>
      </w:r>
      <w:bookmarkEnd w:id="7"/>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1) Please enter the dates of Project Board meetings during the reporting period (1 July 2024 to 30 June 2025)</w:t>
            </w:r>
          </w:p>
        </w:tc>
      </w:tr>
      <w:tr>
        <w:trPr/>
        <w:tc>
          <w:tcPr>
            <w:tcW w:w="10000" w:type="dxa"/>
            <w:gridSpan w:val="1"/>
            <w:noWrap/>
          </w:tcPr>
          <w:p>
            <w:pPr/>
            <w:r>
              <w:rPr/>
              <w:t xml:space="preserve">2024-09-30</w:t>
            </w:r>
          </w:p>
        </w:tc>
      </w:tr>
      <w:tr>
        <w:trPr/>
        <w:tc>
          <w:tcPr>
            <w:tcW w:w="10000" w:type="dxa"/>
            <w:gridSpan w:val="1"/>
            <w:noWrap/>
          </w:tcPr>
          <w:p>
            <w:pPr/>
            <w:r>
              <w:rPr/>
              <w:t xml:space="preserve">2025-04-16</w:t>
            </w:r>
          </w:p>
        </w:tc>
      </w:tr>
    </w:tbl>
    <w:p>
      <w:pPr>
        <w:sectPr>
          <w:pgSz w:orient="portrait" w:w="11905.511811023622" w:h="16837.79527559055"/>
          <w:pgMar w:top="1440" w:right="1440" w:bottom="1440" w:left="1440" w:header="720" w:footer="720" w:gutter="0"/>
          <w:cols w:num="1" w:space="720"/>
        </w:sectPr>
      </w:pPr>
    </w:p>
    <w:p>
      <w:pPr>
        <w:pStyle w:val="Heading1"/>
      </w:pPr>
      <w:bookmarkStart w:id="8" w:name="_Toc8"/>
      <w:r>
        <w:t>Ratings and Overall Assessments</w:t>
      </w:r>
      <w:bookmarkEnd w:id="8"/>
    </w:p>
    <w:tbl>
      <w:tblGrid>
        <w:gridCol w:w="5000" w:type="dxa"/>
        <w:gridCol w:w="5000" w:type="dxa"/>
        <w:gridCol w:w="5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noWrap/>
          </w:tcPr>
          <w:p>
            <w:pPr/>
            <w:r>
              <w:rPr>
                <w:b w:val="1"/>
                <w:bCs w:val="1"/>
              </w:rPr>
              <w:t xml:space="preserve">Role</w:t>
            </w:r>
          </w:p>
        </w:tc>
        <w:tc>
          <w:tcPr>
            <w:tcW w:w="5000" w:type="dxa"/>
            <w:gridSpan w:val="1"/>
            <w:noWrap/>
          </w:tcPr>
          <w:p>
            <w:pPr/>
            <w:r>
              <w:rPr>
                <w:b w:val="1"/>
                <w:bCs w:val="1"/>
              </w:rPr>
              <w:t xml:space="preserve">2025 Development Objective Progress Rating</w:t>
            </w:r>
          </w:p>
        </w:tc>
        <w:tc>
          <w:tcPr>
            <w:tcW w:w="5000" w:type="dxa"/>
            <w:gridSpan w:val="1"/>
            <w:noWrap/>
          </w:tcPr>
          <w:p>
            <w:pPr/>
            <w:r>
              <w:rPr>
                <w:b w:val="1"/>
                <w:bCs w:val="1"/>
              </w:rPr>
              <w:t xml:space="preserve">2025 Implementation Progress Rating</w:t>
            </w:r>
          </w:p>
        </w:tc>
      </w:tr>
      <w:tr>
        <w:trPr/>
        <w:tc>
          <w:tcPr>
            <w:tcW w:w="5000" w:type="dxa"/>
            <w:gridSpan w:val="1"/>
            <w:noWrap/>
          </w:tcPr>
          <w:p>
            <w:pPr/>
            <w:r>
              <w:rPr>
                <w:b w:val="1"/>
                <w:bCs w:val="1"/>
              </w:rPr>
              <w:t xml:space="preserve">UNDP BPPS Technical Advisor</w:t>
            </w:r>
          </w:p>
        </w:tc>
        <w:tc>
          <w:tcPr>
            <w:tcW w:w="5000" w:type="dxa"/>
            <w:gridSpan w:val="1"/>
            <w:noWrap/>
          </w:tcPr>
          <w:p>
            <w:pPr/>
            <w:r>
              <w:rPr/>
              <w:t xml:space="preserve">Moderately Satisfactory</w:t>
            </w:r>
          </w:p>
        </w:tc>
        <w:tc>
          <w:tcPr>
            <w:tcW w:w="5000" w:type="dxa"/>
            <w:gridSpan w:val="1"/>
            <w:noWrap/>
          </w:tcPr>
          <w:p>
            <w:pPr/>
            <w:r>
              <w:rPr/>
              <w:t xml:space="preserve">Moderately Satisfactory</w:t>
            </w:r>
          </w:p>
        </w:tc>
      </w:tr>
    </w:tbl>
    <w:p>
      <w:pPr/>
      <w:r>
        <w:rPr/>
        <w:t xml:space="preserve"/>
      </w:r>
    </w:p>
    <w:tbl>
      <w:tblGrid>
        <w:gridCol w:w="5000" w:type="dxa"/>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noWrap/>
          </w:tcPr>
          <w:p>
            <w:pPr/>
            <w:r>
              <w:rPr>
                <w:b w:val="1"/>
                <w:bCs w:val="1"/>
              </w:rPr>
              <w:t xml:space="preserve">Role</w:t>
            </w:r>
          </w:p>
        </w:tc>
        <w:tc>
          <w:tcPr>
            <w:tcW w:w="10000" w:type="dxa"/>
            <w:gridSpan w:val="1"/>
            <w:noWrap/>
          </w:tcPr>
          <w:p>
            <w:pPr/>
            <w:r>
              <w:rPr>
                <w:b w:val="1"/>
                <w:bCs w:val="1"/>
              </w:rPr>
              <w:t xml:space="preserve">2025 Overall Assessment</w:t>
            </w:r>
          </w:p>
        </w:tc>
      </w:tr>
      <w:tr>
        <w:trPr/>
        <w:tc>
          <w:tcPr>
            <w:tcW w:w="5000" w:type="dxa"/>
            <w:gridSpan w:val="1"/>
            <w:noWrap/>
          </w:tcPr>
          <w:p>
            <w:pPr/>
            <w:r>
              <w:rPr>
                <w:b w:val="1"/>
                <w:bCs w:val="1"/>
              </w:rPr>
              <w:t xml:space="preserve">UNDP BPPS Technical Advisor</w:t>
            </w:r>
          </w:p>
        </w:tc>
        <w:tc>
          <w:tcPr>
            <w:tcW w:w="10000" w:type="dxa"/>
            <w:gridSpan w:val="1"/>
            <w:noWrap/>
          </w:tcPr>
          <w:p>
            <w:pPr/>
            <w:r>
              <w:rPr/>
              <w:t xml:space="preserve">During the reporting period, the project achieved notable results and received an overall rating of Moderately Satisfactory.</w:t>
            </w:r>
          </w:p>
          <w:p>
            <w:pPr/>
            <w:r>
              <w:rPr/>
              <w:t xml:space="preserve"/>
            </w:r>
          </w:p>
          <w:p>
            <w:pPr/>
            <w:r>
              <w:rPr/>
              <w:t xml:space="preserve">Despite operating in a challenging environment (details provided in the section below), the project overcame obstacles to deliver 65% and 70% achievement for the two mandatory Project Objective Indicators, with nearly half of the remaining indicators reaching between 65% and 100% implementation (details provided in DO Progress).</w:t>
            </w:r>
          </w:p>
          <w:p>
            <w:pPr/>
            <w:r>
              <w:rPr/>
              <w:t xml:space="preserve"/>
            </w:r>
          </w:p>
          <w:p>
            <w:pPr/>
            <w:r>
              <w:rPr/>
              <w:t xml:space="preserve">The Project Manager is to be commended for integrating sustainability considerations throughout implementation, ensuring that project results can continue to be used beyond the project’s completion.</w:t>
            </w:r>
          </w:p>
          <w:p>
            <w:pPr/>
            <w:r>
              <w:rPr/>
              <w:t xml:space="preserve"/>
            </w:r>
          </w:p>
          <w:p>
            <w:pPr/>
            <w:r>
              <w:rPr/>
              <w:t xml:space="preserve">Some of the key results achieved within this reporting period include:</w:t>
            </w:r>
          </w:p>
          <w:p>
            <w:pPr/>
            <w:r>
              <w:rPr/>
              <w:t xml:space="preserve">•	National Methodologies, Procedures and Guidelines (MPGs) for mitigation, adaptation, and climate finance were finalized. These MPGs are an essential prerequisite for continuous and timely reporting to the UNFCCC.</w:t>
            </w:r>
          </w:p>
          <w:p>
            <w:pPr/>
            <w:r>
              <w:rPr/>
              <w:t xml:space="preserve">•	Comprehensive Capacity Development Programme advanced, building on the detailed stakeholder assessment conducted in the previous reporting period. The programme covers all relevant topics—GHG inventory, projections, vulnerability and adaptation, loss and damage, MRV, climate finance, and data management—and is currently in its mid-implementation. The project team established valuable cooperation with the Ministry of Human Resource Administration (MHRA). A Memorandum signed with the MHRA enables the development of online training modules during the project’s lifetime, supporting continuous education of civil servants. This initiative is a notable step towards sustainability, creating a lasting platform for climate change education and awareness.</w:t>
            </w:r>
          </w:p>
          <w:p>
            <w:pPr/>
            <w:r>
              <w:rPr/>
              <w:t xml:space="preserve">•	NDC Transparency Portal, a national MRV and data collection system, is being customized based on UNDP’s Digital Public Good. Following localization, detailed capacity-building sessions will be held. With this system in place, Montenegro will meet one of its EU negotiation benchmarks within negotiations Chapter 27 – Environment and Climate Change. The digitalization process is expected to be completed by the end of 2025.</w:t>
            </w:r>
          </w:p>
          <w:p>
            <w:pPr/>
            <w:r>
              <w:rPr/>
              <w:t xml:space="preserve">•	Contribution to drafting the new Climate Change Law, establishing legal prerequisites for an enhanced transparency framework.</w:t>
            </w:r>
          </w:p>
          <w:p>
            <w:pPr/>
            <w:r>
              <w:rPr/>
              <w:t xml:space="preserve">Detailed information and supporting documentation for these, as well as other results achieved during the reporting period are elaborated in the DO Progress section.</w:t>
            </w:r>
          </w:p>
          <w:p>
            <w:pPr/>
            <w:r>
              <w:rPr/>
              <w:t xml:space="preserve"/>
            </w:r>
          </w:p>
          <w:p>
            <w:pPr/>
            <w:r>
              <w:rPr/>
              <w:t xml:space="preserve">In regard to gender equality and women’s empowerment, gender considerations were fully integrated across all project components. The MPGs, draft Climate Change Law, Capacity Building Programme, and Digital Tool all incorporate gender mainstreaming, accounting for the differentiated impacts of climate change on men and women. This included integrating gender-sensitive indicators and criteria into all MPGs, ensuring equal participation of women in capacity-building and consultation events, and engaging gender expertise in project planning and reporting. These measures actively promoted women’s voices in climate policy dialogue.</w:t>
            </w:r>
          </w:p>
          <w:p>
            <w:pPr/>
            <w:r>
              <w:rPr/>
              <w:t xml:space="preserve"/>
            </w:r>
          </w:p>
          <w:p>
            <w:pPr/>
            <w:r>
              <w:rPr/>
              <w:t xml:space="preserve">Regarding knowledge management and communication, the project team actively participated in national and international conferences, trainings, and webinars (32 events reported under Knowledge Management and Communications Section), sharing achievements and exchanging knowledge with other countries. Close collaboration was maintained with the CBIT Global Support Programme (GSP), with regular contributions to the GSP Transparency Platform. Project achievements were also presented at major international events, including COP29.</w:t>
            </w:r>
          </w:p>
          <w:p>
            <w:pPr/>
            <w:r>
              <w:rPr/>
              <w:t xml:space="preserve"/>
            </w:r>
          </w:p>
          <w:p>
            <w:pPr/>
            <w:r>
              <w:rPr/>
              <w:t xml:space="preserve">The Project Manager should especially be commended for establishing synergies with other national initiatives, including the development of the First Biennial Transparency Report and Fourth National Communication (submitted in February 2025), the enhanced NDC of Montenegro (submitted in February 2025), and the National Adaptation Plan (adopted in June 2025). This integrated approach ensured alignment of all national climate change policies, which would not be achieved without active engagement and close cooperation between Implementing Partner and UNDP.</w:t>
            </w:r>
          </w:p>
          <w:p>
            <w:pPr/>
            <w:r>
              <w:rPr/>
              <w:t xml:space="preserve"/>
            </w:r>
          </w:p>
          <w:p>
            <w:pPr/>
            <w:r>
              <w:rPr/>
              <w:t xml:space="preserve">In financial terms, overall delivery remined lower than expected (reasons elaborated under Risk Management and Challenges sections), while co-financing has been delivered with continuous progress and as planned. This includes both in-kind contributions from national partners, as well as UNDP co-financing (the remaining UNDP con-financing allocated for the Terminal Evaluation; ToRs has been developed, and the recruitment process is on-going).</w:t>
            </w:r>
          </w:p>
          <w:p>
            <w:pPr/>
            <w:r>
              <w:rPr/>
              <w:t xml:space="preserve"/>
            </w:r>
          </w:p>
          <w:p>
            <w:pPr/>
            <w:r>
              <w:rPr/>
              <w:t xml:space="preserve">Based solely on achieved results, the project could merit a higher rating. However, due to lower-than-expected delivery rates and delays in completing several key deliverables—which led to a six-month extension—the rating remains Moderately Satisfactory. It is expected that the project will meet its end-of-project targets within the extended period (operational closure planned for February 2025), with remaining gaps addressed through adaptive management measures.</w:t>
            </w:r>
          </w:p>
          <w:p>
            <w:pPr/>
            <w:r>
              <w:rPr/>
              <w:t xml:space="preserve"/>
            </w:r>
          </w:p>
          <w:p>
            <w:pPr/>
            <w:r>
              <w:rPr/>
              <w:t xml:space="preserve">Going forward, during the extended period, the project will finalize digitalisation of the national MRV-E system, conduct remaining part of the capacity development programme, and will further work on communicating project results and achievements.</w:t>
            </w:r>
          </w:p>
          <w:p>
            <w:pPr/>
            <w:r>
              <w:rPr/>
              <w:t xml:space="preserve">All results and the process of project implementation will be captured through the Terminal Evaluation process, which will be conducted by the end of November 2025.</w:t>
            </w:r>
          </w:p>
          <w:p>
            <w:pPr/>
            <w:r>
              <w:rPr/>
              <w:t xml:space="preserve"/>
            </w:r>
          </w:p>
          <w:p>
            <w:pPr/>
            <w:r>
              <w:rPr/>
              <w:t xml:space="preserve">----</w:t>
            </w:r>
          </w:p>
          <w:p>
            <w:pPr/>
            <w:r>
              <w:rPr/>
              <w:t xml:space="preserve">During the reporting period, the project continued to face significant challenges which, despite the strong capacity of the project team, resulted in notable delays in implementation.</w:t>
            </w:r>
          </w:p>
          <w:p>
            <w:pPr/>
            <w:r>
              <w:rPr/>
              <w:t xml:space="preserve"/>
            </w:r>
          </w:p>
          <w:p>
            <w:pPr/>
            <w:r>
              <w:rPr/>
              <w:t xml:space="preserve">The most persistent challenges were:</w:t>
            </w:r>
          </w:p>
          <w:p>
            <w:pPr/>
            <w:r>
              <w:rPr/>
              <w:t xml:space="preserve">i. Political instability – Two government changes occurred during the reporting period (July 2024 and April 2025). These led to structural changes within the Ministry, including turnover in high-level positions, the National Project Director, the GEF Operational Focal Point, and Project Board members. Such changes disrupted regular project activities, including the signing of contracts, approval of evaluation minutes, and processing of payment requests. At one point, this even caused delays in extending the contracts of the Project Manager and Project Assistant.</w:t>
            </w:r>
          </w:p>
          <w:p>
            <w:pPr/>
            <w:r>
              <w:rPr/>
              <w:t xml:space="preserve">ii. Limited capacity in the Department of Economic and Financial Affairs and Public Procurement of the Implementing Partner (IP) – This has been a persistent challenge throughout the project, causing significant delays, particularly in payments, which in turn resulted in low financial delivery despite progress in achieving milestones.</w:t>
            </w:r>
          </w:p>
          <w:p>
            <w:pPr/>
            <w:r>
              <w:rPr/>
              <w:t xml:space="preserve">iii. Insufficient national technical expertise – Gaps in specialized expertise led to repeated extensions of tendering procedures and subsequent delays in implementation.</w:t>
            </w:r>
          </w:p>
          <w:p>
            <w:pPr/>
            <w:r>
              <w:rPr/>
              <w:t xml:space="preserve"/>
            </w:r>
          </w:p>
          <w:p>
            <w:pPr/>
            <w:r>
              <w:rPr/>
              <w:t xml:space="preserve">Mitigation measures</w:t>
            </w:r>
          </w:p>
          <w:p>
            <w:pPr/>
            <w:r>
              <w:rPr/>
              <w:t xml:space="preserve">To address these challenges and keep the project on track, the following actions were undertaken:</w:t>
            </w:r>
          </w:p>
          <w:p>
            <w:pPr/>
            <w:r>
              <w:rPr/>
              <w:t xml:space="preserve">i. Engagement with new leadership – Regular and timely meetings were organized with newly appointed high-level officials within the Ministry, involving the project team, current Project Board members, and both high-level and technical UNDP CO staff. These meetings led to the nomination of new Project Board members, faster signing of pending documents, and agreement on the schedule for regular technical and high-level meetings between the IP and UNDP CO to track progress and apply timely corrective measures when needed.</w:t>
            </w:r>
          </w:p>
          <w:p>
            <w:pPr/>
            <w:r>
              <w:rPr/>
              <w:t xml:space="preserve">ii. Strengthening operational support – With project support, the IP engaged additional junior staff to provide operational and logistical assistance, particularly in preparing financial documentation to accelerate payments. Following the government and IP restructuring in April 2025, UNDP CO organized a series of procurement and recruitment trainings for new staff.</w:t>
            </w:r>
          </w:p>
          <w:p>
            <w:pPr/>
            <w:r>
              <w:rPr/>
              <w:t xml:space="preserve">iii. To address technical capacity gaps, the project engaged international consultants, often working in tandem with junior national consultants.</w:t>
            </w:r>
          </w:p>
          <w:p>
            <w:pPr/>
            <w:r>
              <w:rPr/>
              <w:t xml:space="preserve"/>
            </w:r>
          </w:p>
          <w:p>
            <w:pPr/>
            <w:r>
              <w:rPr/>
              <w:t xml:space="preserve">Project extension</w:t>
            </w:r>
          </w:p>
          <w:p>
            <w:pPr/>
            <w:r>
              <w:rPr/>
              <w:t xml:space="preserve">Despite these mitigation measures, the project extension proved necessary. Based on the IP’s reported implementation progress and the remaining activities, a six-month extension has been granted. The project is now expected to reach its objectives by February 2026, the planned date for its Operational Closure.</w:t>
            </w:r>
          </w:p>
          <w:p>
            <w:pPr/>
            <w:r>
              <w:rPr/>
              <w:t xml:space="preserve"/>
            </w:r>
          </w:p>
          <w:p>
            <w:pPr/>
            <w:r>
              <w:rPr/>
              <w:t xml:space="preserve">The RTA/PA and UNDP CO team will continue to closely monitor implementation and apply adaptive measures if further delays are anticipated.</w:t>
            </w:r>
          </w:p>
        </w:tc>
      </w:tr>
      <w:tr>
        <w:trPr/>
        <w:tc>
          <w:tcPr>
            <w:tcW w:w="5000" w:type="dxa"/>
            <w:gridSpan w:val="1"/>
            <w:noWrap/>
          </w:tcPr>
          <w:p>
            <w:pPr/>
            <w:r>
              <w:rPr>
                <w:b w:val="1"/>
                <w:bCs w:val="1"/>
              </w:rPr>
              <w:t xml:space="preserve">UNDP Country Office Programme Officer</w:t>
            </w:r>
          </w:p>
        </w:tc>
        <w:tc>
          <w:tcPr>
            <w:tcW w:w="10000" w:type="dxa"/>
            <w:gridSpan w:val="1"/>
            <w:noWrap/>
          </w:tcPr>
          <w:p>
            <w:pPr/>
            <w:r>
              <w:rPr/>
              <w:t xml:space="preserve">Progress</w:t>
            </w:r>
          </w:p>
          <w:p>
            <w:pPr/>
            <w:r>
              <w:rPr/>
              <w:t xml:space="preserve">During the reporting period, the project worked in achieving its Development Objective of strengthening Montenegro’s national capacities for transparency under Article 13 of the Paris Agreement. Notably, the project contributed significantly to the process of developing and submitting the Fourth National Communication (NC4) and the First Biennial Transparency Report (BTR1), evidencing national progress on mitigation and adaptation reporting. The project also advanced the development of National Methodologies, Procedures, and Guidelines (MPGs) for mitigation, adaptation, and climate finance, integrating gender-sensitive approaches throughout. A comprehensive capacity-building programme was designed and launched, including tailored training modules and online resources to ensure sustainability of institutional knowledge. The localization of the UNDP-supported NDC Transparency Portal is underway, positioning Montenegro to improve data management and reporting systems.</w:t>
            </w:r>
          </w:p>
          <w:p>
            <w:pPr/>
            <w:r>
              <w:rPr/>
              <w:t xml:space="preserve"/>
            </w:r>
          </w:p>
          <w:p>
            <w:pPr/>
            <w:r>
              <w:rPr/>
              <w:t xml:space="preserve">The Project Management Unit, led by a capable Project Manager, went beyond the regular scope of work to maintain project implementation despite the challenges faced. However, this additional effort was not fully supported by the Ministry, which, if provided, could have resulted in higher delivery rates and more tangible results.</w:t>
            </w:r>
          </w:p>
          <w:p>
            <w:pPr/>
            <w:r>
              <w:rPr/>
              <w:t xml:space="preserve"/>
            </w:r>
          </w:p>
          <w:p>
            <w:pPr/>
            <w:r>
              <w:rPr/>
              <w:t xml:space="preserve">The evidence uploaded—including draft MPGs, training materials, legal analyses, and reporting documents—corroborates reported progress and supports the conclusion that most outputs are substantially complete or well advanced. Cumulative co-financing remained stable and is contributing meaningfully to results, notably through in-kind support from national institutions and parallel financing streams from UNDP’s Climate Promise and other initiatives. Compared to the previous PIR, the project has maintained a broadly consistent trajectory of output delivery, although progress on critical activities—especially the MRV portal and institutional adoption of MPGs—has been slower than planned. Overall, this justifies a Development Objective Progress Rating of “Moderately Satisfactory,” reflecting achievements alongside pending deliverables that are expected to be completed during the extension period.</w:t>
            </w:r>
          </w:p>
          <w:p>
            <w:pPr/>
            <w:r>
              <w:rPr/>
              <w:t xml:space="preserve"/>
            </w:r>
          </w:p>
          <w:p>
            <w:pPr/>
            <w:r>
              <w:rPr/>
              <w:t xml:space="preserve">Challenges</w:t>
            </w:r>
          </w:p>
          <w:p>
            <w:pPr/>
            <w:r>
              <w:rPr/>
              <w:t xml:space="preserve">The project continued to face severe implementation challenges throughout the reporting period, primarily from persistent external factors. Two changes in government within one year, the reorganization of ministerial portfolios, prolonged payment suspensions, and delays in reconstituting the Project Board disrupted project governance, delayed contracting, and interrupted implementation continuity. Notably, payment suspensions lasted several months and created gaps in staffing and delays in procurement, including repeated failures to recruit technical experts. While the project team adapted effectively through online delivery, rotational duty schedules, and proactive engagement with the Ministry, these measures could not fully mitigate delays in validating and institutionalizing MPGs or in launching the MRV portal operationalization and training activities.</w:t>
            </w:r>
          </w:p>
          <w:p>
            <w:pPr/>
            <w:r>
              <w:rPr/>
              <w:t xml:space="preserve"/>
            </w:r>
          </w:p>
          <w:p>
            <w:pPr/>
            <w:r>
              <w:rPr/>
              <w:t xml:space="preserve">These challenges have slowed the project’s trajectory compared to prior years, when delivery was more consistent despite political turnover. The resulting deviation from the implementation schedule, combined with partial progress in some key outputs, underpins the Implementation Progress Rating of “Moderately Satisfactory.” This rating reflects the fact that while most outputs remain on track to be delivered with the requested extension, material delays have yet to be fully resolved, and some risks—particularly those linked to political instability and staffing continuity—remain active. The trend over time shows that while technical output quality has remained strong, the pace of delivery has declined compared to earlier reporting periods, warranting close monitoring and continued adaptive management.</w:t>
            </w:r>
          </w:p>
        </w:tc>
      </w:tr>
      <w:tr>
        <w:trPr/>
        <w:tc>
          <w:tcPr>
            <w:tcW w:w="5000" w:type="dxa"/>
            <w:gridSpan w:val="1"/>
            <w:noWrap/>
          </w:tcPr>
          <w:p>
            <w:pPr/>
            <w:r>
              <w:rPr>
                <w:b w:val="1"/>
                <w:bCs w:val="1"/>
              </w:rPr>
              <w:t xml:space="preserve">Project Manager/Coordinator</w:t>
            </w:r>
          </w:p>
        </w:tc>
        <w:tc>
          <w:tcPr>
            <w:tcW w:w="10000" w:type="dxa"/>
            <w:gridSpan w:val="1"/>
            <w:noWrap/>
          </w:tcPr>
          <w:p>
            <w:pPr/>
            <w:r>
              <w:rPr/>
              <w:t xml:space="preserve">The reporting period was marked by significant external and internal challenges, most notably the change of government, restructuring of the Ministry responsible for the project, delays in contract extensions for project staff, and interruptions in financial disbursements. These developments created an unstable institutional environment, requiring additional effort to maintain project momentum.</w:t>
            </w:r>
          </w:p>
          <w:p>
            <w:pPr/>
            <w:r>
              <w:rPr/>
              <w:t xml:space="preserve"/>
            </w:r>
          </w:p>
          <w:p>
            <w:pPr/>
            <w:r>
              <w:rPr/>
              <w:t xml:space="preserve">Since the start of implementation in February 2022, the Government of Montenegro has changed six times—two of those changes occurred within this reporting period alone (on 23 July 2024 and 14 April 2025). Each transition resulted in shifts in ministerial structure and mandates, affecting project oversight, budget management, and staffing. As a result, a new Project Director was only appointed in September 2024, and the Project Board was re-established in April 2025. Additionally, project staff contracts expired in February and March 2025 and were only renewed in mid-April, leading to a gap in implementation capacity. This issue has been formally acknowledged in Project Board discussions and included in the official meeting minutes.</w:t>
            </w:r>
          </w:p>
          <w:p>
            <w:pPr/>
            <w:r>
              <w:rPr/>
              <w:t xml:space="preserve"/>
            </w:r>
          </w:p>
          <w:p>
            <w:pPr/>
            <w:r>
              <w:rPr/>
              <w:t xml:space="preserve">Despite this difficult context, the project made substantial progress toward achieving its outcomes, with strong collaboration between the CBIT expert team, RTA, the UNDP Country Office, and representatives of the Ministry. A significant focus of the period was the preparation of Montenegro’s Fourth National Communication (4NC) and First Biennial Transparency Report (1BTR). The project team (same for CBIT and FNC/1BTR) led the development of both reports, which were submitted to the Ministry in early December 2024, and then officially submitted to the UNFCCC Secretariat in February 2025. This process was prioritized and managed alongside CBIT implementation, and it allowed for greater synergy between projects, including NAP and Climate Promise, to strengthen national capacities in advance of full MRV-E system implementation.</w:t>
            </w:r>
          </w:p>
          <w:p>
            <w:pPr/>
            <w:r>
              <w:rPr/>
              <w:t xml:space="preserve"/>
            </w:r>
          </w:p>
          <w:p>
            <w:pPr/>
            <w:r>
              <w:rPr/>
              <w:t xml:space="preserve">At the same time, the Project Board emphasized the strategic need to institutionalize the MRV-E system by the end of 2025, aligning with Montenegro’s Reform Agenda and commitments under EU Chapter 27 (Environment and Climate Change).</w:t>
            </w:r>
          </w:p>
          <w:p>
            <w:pPr/>
            <w:r>
              <w:rPr/>
              <w:t xml:space="preserve"/>
            </w:r>
          </w:p>
          <w:p>
            <w:pPr/>
            <w:r>
              <w:rPr/>
              <w:t xml:space="preserve">Key technical and strategic achievements in this reporting period include:</w:t>
            </w:r>
          </w:p>
          <w:p>
            <w:pPr/>
            <w:r>
              <w:rPr/>
              <w:t xml:space="preserve"/>
            </w:r>
          </w:p>
          <w:p>
            <w:pPr/>
            <w:r>
              <w:rPr/>
              <w:t xml:space="preserve">1. National Methodologies, Procedures, and Guidelines (MPGs) for mitigation, adaptation, and climate finance were developed. These tools were designed as practical instructions for institutional implementation and fully reflect a gender-sensitive approach, enabling equitable engagement and benefit-sharing across sectors and stakeholder groups.</w:t>
            </w:r>
          </w:p>
          <w:p>
            <w:pPr/>
            <w:r>
              <w:rPr/>
              <w:t xml:space="preserve"/>
            </w:r>
          </w:p>
          <w:p>
            <w:pPr/>
            <w:r>
              <w:rPr/>
              <w:t xml:space="preserve">2. A comprehensive Capacity Building Program was created, including training modules, learning materials, and stakeholder engagement tools. The program is currently being rolled out with strong participation from institutions, technical staff, and local-level representatives.</w:t>
            </w:r>
          </w:p>
          <w:p>
            <w:pPr/>
            <w:r>
              <w:rPr/>
              <w:t xml:space="preserve"/>
            </w:r>
          </w:p>
          <w:p>
            <w:pPr/>
            <w:r>
              <w:rPr/>
              <w:t xml:space="preserve">3. The localization of the UNDP Digital Solution for the NDC Transparency Portal is currently underway. This process involves adapting the platform’s architecture and content to the national institutional and data context and will serve as a cornerstone for future climate transparency and reporting in Montenegro.</w:t>
            </w:r>
          </w:p>
          <w:p>
            <w:pPr/>
            <w:r>
              <w:rPr/>
              <w:t xml:space="preserve"/>
            </w:r>
          </w:p>
          <w:p>
            <w:pPr/>
            <w:r>
              <w:rPr/>
              <w:t xml:space="preserve">4. The Glossary of English Climate Terms was revised and improved, supporting consistency in terminology across institutions and contributing to long-term institutional memory and knowledge management.</w:t>
            </w:r>
          </w:p>
          <w:p>
            <w:pPr/>
            <w:r>
              <w:rPr/>
              <w:t xml:space="preserve"/>
            </w:r>
          </w:p>
          <w:p>
            <w:pPr/>
            <w:r>
              <w:rPr/>
              <w:t xml:space="preserve">5. Initiation of a long-term online training programme.</w:t>
            </w:r>
          </w:p>
          <w:p>
            <w:pPr/>
            <w:r>
              <w:rPr/>
              <w:t xml:space="preserve"/>
            </w:r>
          </w:p>
          <w:p>
            <w:pPr/>
            <w:r>
              <w:rPr/>
              <w:t xml:space="preserve">6. The project has fully mainstreamed gender equality and women’s empowerment in its activities. Specific efforts include: integration of gender-sensitive indicators and criteria in all MPGs; equal participation of women in all capacity-building and consultation events; inclusion of gender expertise in project planning and reporting; active promotion of women’s voices in climate policy dialogue.</w:t>
            </w:r>
          </w:p>
          <w:p>
            <w:pPr/>
            <w:r>
              <w:rPr/>
              <w:t xml:space="preserve"/>
            </w:r>
          </w:p>
          <w:p>
            <w:pPr/>
            <w:r>
              <w:rPr/>
              <w:t xml:space="preserve">7. The project will support the development of the Project Document (Prodoc) for the Fifth National Communication, 2BTR, and 3BTR</w:t>
            </w:r>
          </w:p>
          <w:p>
            <w:pPr/>
            <w:r>
              <w:rPr/>
              <w:t xml:space="preserve"/>
            </w:r>
          </w:p>
          <w:p>
            <w:pPr/>
            <w:r>
              <w:rPr/>
              <w:t xml:space="preserve">The project team also delivered the following analytical and policy outputs:</w:t>
            </w:r>
          </w:p>
          <w:p>
            <w:pPr/>
            <w:r>
              <w:rPr/>
              <w:t xml:space="preserve"/>
            </w:r>
          </w:p>
          <w:p>
            <w:pPr/>
            <w:r>
              <w:rPr/>
              <w:t xml:space="preserve">-A draft Climate Change Law, along with comprehensive alignment tables for integration with EU and international climate frameworks;</w:t>
            </w:r>
          </w:p>
          <w:p>
            <w:pPr/>
            <w:r>
              <w:rPr/>
              <w:t xml:space="preserve">-A study on Climate Finance in Montenegro, including a detailed analysis of climate-related budget expenditures for the period 2020–2023;</w:t>
            </w:r>
          </w:p>
          <w:p>
            <w:pPr/>
            <w:r>
              <w:rPr/>
              <w:t xml:space="preserve">-Contributions to the National Communication Strategy for Decarbonization (2024–2027);</w:t>
            </w:r>
          </w:p>
          <w:p>
            <w:pPr/>
            <w:r>
              <w:rPr/>
              <w:t xml:space="preserve">-Technical support for reporting under the Action Plan for Closing Benchmarks in Chapter 27.</w:t>
            </w:r>
          </w:p>
          <w:p>
            <w:pPr/>
            <w:r>
              <w:rPr/>
              <w:t xml:space="preserve"/>
            </w:r>
          </w:p>
          <w:p>
            <w:pPr/>
            <w:r>
              <w:rPr/>
              <w:t xml:space="preserve">To reinforce national capacity and support long-term sustainability, the project team was expanded to include a sub-team of young professionals with specialization in adaptation, mitigation, and legal frameworks. This structure was introduced to ensure the transfer of knowledge from national experts to the next generation and contribute to systemic institutional development.</w:t>
            </w:r>
          </w:p>
          <w:p>
            <w:pPr/>
            <w:r>
              <w:rPr/>
              <w:t xml:space="preserve"/>
            </w:r>
          </w:p>
          <w:p>
            <w:pPr/>
            <w:r>
              <w:rPr/>
              <w:t xml:space="preserve">The project has actively engaged with the public and professional community through participation in 32 national and regional events, using these opportunities to raise awareness of the transparency framework, promote best practices, and strengthen inter-institutional cooperation.</w:t>
            </w:r>
          </w:p>
          <w:p>
            <w:pPr/>
            <w:r>
              <w:rPr/>
              <w:t xml:space="preserve"/>
            </w:r>
          </w:p>
          <w:p>
            <w:pPr/>
            <w:r>
              <w:rPr/>
              <w:t xml:space="preserve">A financial audit was successfully completed in December 2024, confirming sound financial management practices.</w:t>
            </w:r>
          </w:p>
          <w:p>
            <w:pPr/>
            <w:r>
              <w:rPr/>
              <w:t xml:space="preserve"/>
            </w:r>
          </w:p>
          <w:p>
            <w:pPr/>
            <w:r>
              <w:rPr/>
              <w:t xml:space="preserve">Risk monitoring of the project was carried out continuously during the reporting period.</w:t>
            </w:r>
          </w:p>
          <w:p>
            <w:pPr/>
            <w:r>
              <w:rPr/>
              <w:t xml:space="preserve"/>
            </w:r>
          </w:p>
          <w:p>
            <w:pPr/>
            <w:r>
              <w:rPr/>
              <w:t xml:space="preserve">A formal request for a six-month extension of the project has been submitted to allow for the finalization of critical components.  The extension is approved until February 2026.</w:t>
            </w:r>
          </w:p>
          <w:p>
            <w:pPr/>
            <w:r>
              <w:rPr/>
              <w:t xml:space="preserve"/>
            </w:r>
          </w:p>
          <w:p>
            <w:pPr/>
            <w:r>
              <w:rPr/>
              <w:t xml:space="preserve">As of this reporting period, 67% of the project budget has been contracted.</w:t>
            </w:r>
          </w:p>
          <w:p>
            <w:pPr/>
            <w:r>
              <w:rPr/>
              <w:t xml:space="preserve"/>
            </w:r>
          </w:p>
          <w:p>
            <w:pPr/>
            <w:r>
              <w:rPr/>
              <w:t xml:space="preserve">Despite an exceptionally challenging environment, the project is on track and demonstrates a Moderately Satisfactory (MS) level of performance. Key outcomes have been achieved, and strategic direction is clearly defined. The project continues to benefit from strong collaboration with stakeholders and is expected to deliver its intended results, particularly with the approved extension and further strengthening of institutional coordination.</w:t>
            </w:r>
          </w:p>
          <w:p>
            <w:pPr/>
            <w:r>
              <w:rPr/>
              <w:t xml:space="preserve"/>
            </w:r>
          </w:p>
          <w:p>
            <w:pPr/>
            <w:r>
              <w:rPr/>
              <w:t xml:space="preserve">A detailed breakdown of achievements by indicator is provided in the DO Progress section of this report.</w:t>
            </w:r>
          </w:p>
        </w:tc>
      </w:tr>
      <w:tr>
        <w:trPr/>
        <w:tc>
          <w:tcPr>
            <w:tcW w:w="5000" w:type="dxa"/>
            <w:gridSpan w:val="1"/>
            <w:noWrap/>
          </w:tcPr>
          <w:p>
            <w:pPr/>
            <w:r>
              <w:rPr>
                <w:b w:val="1"/>
                <w:bCs w:val="1"/>
              </w:rPr>
              <w:t xml:space="preserve">GEF Operational Focal point</w:t>
            </w:r>
          </w:p>
        </w:tc>
        <w:tc>
          <w:tcPr>
            <w:tcW w:w="10000" w:type="dxa"/>
            <w:gridSpan w:val="1"/>
            <w:noWrap/>
          </w:tcPr>
          <w:p>
            <w:pPr/>
            <w:r>
              <w:rPr>
                <w:i w:val="1"/>
                <w:iCs w:val="1"/>
              </w:rPr>
              <w:t xml:space="preserve">(not set or not applicable)</w:t>
            </w:r>
          </w:p>
        </w:tc>
      </w:tr>
      <w:tr>
        <w:trPr/>
        <w:tc>
          <w:tcPr>
            <w:tcW w:w="5000" w:type="dxa"/>
            <w:gridSpan w:val="1"/>
            <w:noWrap/>
          </w:tcPr>
          <w:p>
            <w:pPr/>
            <w:r>
              <w:rPr>
                <w:b w:val="1"/>
                <w:bCs w:val="1"/>
              </w:rPr>
              <w:t xml:space="preserve">Project Implementing Partner</w:t>
            </w:r>
          </w:p>
        </w:tc>
        <w:tc>
          <w:tcPr>
            <w:tcW w:w="10000" w:type="dxa"/>
            <w:gridSpan w:val="1"/>
            <w:noWrap/>
          </w:tcPr>
          <w:p>
            <w:pPr/>
            <w:r>
              <w:rPr>
                <w:i w:val="1"/>
                <w:iCs w:val="1"/>
              </w:rPr>
              <w:t xml:space="preserve">(not set or not applicable)</w:t>
            </w:r>
          </w:p>
        </w:tc>
      </w:tr>
      <w:tr>
        <w:trPr/>
        <w:tc>
          <w:tcPr>
            <w:tcW w:w="5000" w:type="dxa"/>
            <w:gridSpan w:val="1"/>
            <w:noWrap/>
          </w:tcPr>
          <w:p>
            <w:pPr/>
            <w:r>
              <w:rPr>
                <w:b w:val="1"/>
                <w:bCs w:val="1"/>
              </w:rPr>
              <w:t xml:space="preserve">Other Partners</w:t>
            </w:r>
          </w:p>
        </w:tc>
        <w:tc>
          <w:tcPr>
            <w:tcW w:w="10000" w:type="dxa"/>
            <w:gridSpan w:val="1"/>
            <w:noWrap/>
          </w:tcPr>
          <w:p>
            <w:pPr/>
            <w:r>
              <w:rPr>
                <w:i w:val="1"/>
                <w:iCs w:val="1"/>
              </w:rPr>
              <w:t xml:space="preserve">(not set or not applicable)</w:t>
            </w:r>
          </w:p>
        </w:tc>
      </w:tr>
    </w:tbl>
    <w:p>
      <w:pPr>
        <w:sectPr>
          <w:pgSz w:orient="portrait" w:w="11905.511811023622" w:h="16837.79527559055"/>
          <w:pgMar w:top="500" w:right="500" w:bottom="500" w:left="500" w:header="720" w:footer="720" w:gutter="0"/>
          <w:cols w:num="1" w:space="720"/>
        </w:sectPr>
      </w:pPr>
    </w:p>
    <w:p>
      <w:pPr>
        <w:pStyle w:val="Heading1"/>
      </w:pPr>
      <w:bookmarkStart w:id="9" w:name="_Toc9"/>
      <w:r>
        <w:t>Minor Amendments</w:t>
      </w:r>
      <w:bookmarkEnd w:id="9"/>
    </w:p>
    <w:p>
      <w:pPr>
        <w:spacing w:before="0" w:after="0"/>
      </w:pPr>
      <w:r>
        <w:rPr/>
        <w:t xml:space="preserve"/>
      </w:r>
    </w:p>
    <w:p>
      <w:pPr/>
      <w:r>
        <w:rPr/>
        <w:t xml:space="preserve">Minor amendments are changes to the project design or implementation that do not have significant impact on the project objectives or scope, or an increase of the GEF project financing up to 5% as described in Annex 9 of the </w:t>
      </w:r>
      <w:hyperlink r:id="rId9" w:history="1">
        <w:r>
          <w:rPr/>
          <w:t xml:space="preserve">GEF Project and Program Cycle Policy Guidelines</w:t>
        </w:r>
      </w:hyperlink>
      <w:r>
        <w:rPr/>
        <w:t xml:space="preserve">.</w:t>
      </w:r>
    </w:p>
    <w:p>
      <w:pPr/>
      <w:r>
        <w:rPr>
          <w:b w:val="1"/>
          <w:bCs w:val="1"/>
        </w:rPr>
        <w:t xml:space="preserve">CO Programme Officer:</w:t>
      </w:r>
      <w:r>
        <w:rPr/>
        <w:t xml:space="preserve"> Please mark each category for which a minor amendment occurred during this reporting period (1 July 2024- 30 June 2025). </w:t>
      </w:r>
    </w:p>
    <w:p>
      <w:pPr/>
      <w:r>
        <w:rPr/>
        <w:t xml:space="preserve">For each category that is marked, please provide a brief description of the change that occurred in the associated text box. You may attach supporting documentation, as appropriate.</w:t>
      </w:r>
    </w:p>
    <w:p>
      <w:pPr/>
      <w:r>
        <w:rPr/>
        <w:t xml:space="preserve">The purpose of this section is to capture adaptive management and measure project proactiveness, an indicator outlined in paragraph 70 of the GEF-8 Policy Directions available </w:t>
      </w:r>
      <w:hyperlink r:id="rId10" w:history="1">
        <w:r>
          <w:rPr/>
          <w:t xml:space="preserve">here.</w:t>
        </w:r>
      </w:hyperlink>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A) Results Framework</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the 'Results framework'</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B) Components and cost</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'Components and cost'</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C) Institutional and implementation arrangements</w:t>
            </w:r>
          </w:p>
        </w:tc>
      </w:tr>
      <w:tr>
        <w:trPr/>
        <w:tc>
          <w:tcPr>
            <w:tcW w:w="10000" w:type="dxa"/>
            <w:gridSpan w:val="1"/>
            <w:noWrap/>
          </w:tcPr>
          <w:p>
            <w:pPr/>
            <w:r>
              <w:rPr/>
              <w:t xml:space="preserve">Yes</w:t>
            </w:r>
          </w:p>
        </w:tc>
      </w:tr>
      <w:tr>
        <w:trPr/>
        <w:tc>
          <w:tcPr>
            <w:tcW w:w="10000" w:type="dxa"/>
            <w:shd w:val="clear" w:fill="#D9D9D9"/>
            <w:noWrap/>
          </w:tcPr>
          <w:p>
            <w:pPr/>
            <w:r>
              <w:rPr>
                <w:b w:val="1"/>
                <w:bCs w:val="1"/>
              </w:rPr>
              <w:t xml:space="preserve">Provide a description of the change(s) to 'Institutional and implementation arrangements'</w:t>
            </w:r>
          </w:p>
        </w:tc>
      </w:tr>
      <w:tr>
        <w:trPr/>
        <w:tc>
          <w:tcPr>
            <w:tcW w:w="10000" w:type="dxa"/>
            <w:gridSpan w:val="1"/>
            <w:noWrap/>
          </w:tcPr>
          <w:p>
            <w:pPr/>
            <w:r>
              <w:rPr/>
              <w:t xml:space="preserve">During the reporting period, the Government changed twice. The first change led to the replacement of the Minister and the leadership team, including the National Project Director, with the third appointed in September 2024. Furthermore, changes in the Project Management Board (PMB) members took place in April 2025. Both official decisions are available in the PIR library.</w:t>
            </w:r>
          </w:p>
          <w:p>
            <w:pPr/>
            <w:r>
              <w:rPr/>
              <w:t xml:space="preserve"/>
            </w:r>
          </w:p>
          <w:p>
            <w:pPr/>
            <w:r>
              <w:rPr/>
              <w:t xml:space="preserve">Each change of ministry or its management essentially required re-introducing the project, familiarization with administrative and procurement procedures, as well as recognition of and cooperation with new stakeholders. This significantly slowed down the overall project implementation.</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D) Financial management</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'Financial Management'</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E) Implementation schedule</w:t>
            </w:r>
          </w:p>
        </w:tc>
      </w:tr>
      <w:tr>
        <w:trPr/>
        <w:tc>
          <w:tcPr>
            <w:tcW w:w="10000" w:type="dxa"/>
            <w:gridSpan w:val="1"/>
            <w:noWrap/>
          </w:tcPr>
          <w:p>
            <w:pPr/>
            <w:r>
              <w:rPr/>
              <w:t xml:space="preserve">Yes</w:t>
            </w:r>
          </w:p>
        </w:tc>
      </w:tr>
      <w:tr>
        <w:trPr/>
        <w:tc>
          <w:tcPr>
            <w:tcW w:w="10000" w:type="dxa"/>
            <w:shd w:val="clear" w:fill="#D9D9D9"/>
            <w:noWrap/>
          </w:tcPr>
          <w:p>
            <w:pPr/>
            <w:r>
              <w:rPr>
                <w:b w:val="1"/>
                <w:bCs w:val="1"/>
              </w:rPr>
              <w:t xml:space="preserve">Provide a description of the change(s) to 'Implementation schedule'</w:t>
            </w:r>
          </w:p>
        </w:tc>
      </w:tr>
      <w:tr>
        <w:trPr/>
        <w:tc>
          <w:tcPr>
            <w:tcW w:w="10000" w:type="dxa"/>
            <w:gridSpan w:val="1"/>
            <w:noWrap/>
          </w:tcPr>
          <w:p>
            <w:pPr/>
            <w:r>
              <w:rPr/>
              <w:t xml:space="preserve">The project received a six-month no-cost extension due to unforeseen challenges, including delays in establishing the Project Management Unit, frequent political changes (six governments since inception), ministry mandate shifts, high staff turnover, and a 2022 cyber-attack that disabled government IT systems for months, halting procurement and administration.</w:t>
            </w:r>
          </w:p>
          <w:p>
            <w:pPr/>
            <w:r>
              <w:rPr/>
              <w:t xml:space="preserve"/>
            </w:r>
          </w:p>
          <w:p>
            <w:pPr/>
            <w:r>
              <w:rPr/>
              <w:t xml:space="preserve">Despite setbacks, major outputs were delivered: SWOT and gap analysis, finalized MPGs, a comprehensive capacity-building programme, and procurement initiation for the MRV portal. Outstanding tasks include full institutionalization and deployment of the MRV-E system—a national reform and EU integration priority—remaining trainings, final reporting, and the Terminal Evaluation.</w:t>
            </w:r>
          </w:p>
          <w:p>
            <w:pPr/>
            <w:r>
              <w:rPr/>
              <w:t xml:space="preserve"/>
            </w:r>
          </w:p>
          <w:p>
            <w:pPr/>
            <w:r>
              <w:rPr/>
              <w:t xml:space="preserve">Under the extension, the project will follow an acceleration plan with clear milestones, rapid staffing and procurement, regular coordination with stakeholders, and risk-mitigation measures such as alternative vendor sourcing and remote support. The Implementing Partner will cover any additional management costs from non-GEF sources, ensuring uninterrupted delivery.</w:t>
            </w:r>
          </w:p>
          <w:p>
            <w:pPr/>
            <w:r>
              <w:rPr/>
              <w:t xml:space="preserve"/>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F) Executing Entity</w:t>
            </w:r>
          </w:p>
        </w:tc>
      </w:tr>
      <w:tr>
        <w:trPr/>
        <w:tc>
          <w:tcPr>
            <w:tcW w:w="10000" w:type="dxa"/>
            <w:gridSpan w:val="1"/>
            <w:noWrap/>
          </w:tcPr>
          <w:p>
            <w:pPr/>
            <w:r>
              <w:rPr/>
              <w:t xml:space="preserve">Yes</w:t>
            </w:r>
          </w:p>
        </w:tc>
      </w:tr>
      <w:tr>
        <w:trPr/>
        <w:tc>
          <w:tcPr>
            <w:tcW w:w="10000" w:type="dxa"/>
            <w:shd w:val="clear" w:fill="#D9D9D9"/>
            <w:noWrap/>
          </w:tcPr>
          <w:p>
            <w:pPr/>
            <w:r>
              <w:rPr>
                <w:b w:val="1"/>
                <w:bCs w:val="1"/>
              </w:rPr>
              <w:t xml:space="preserve">Provide a description of the change(s) to 'Executing Entity'</w:t>
            </w:r>
          </w:p>
        </w:tc>
      </w:tr>
      <w:tr>
        <w:trPr/>
        <w:tc>
          <w:tcPr>
            <w:tcW w:w="10000" w:type="dxa"/>
            <w:gridSpan w:val="1"/>
            <w:noWrap/>
          </w:tcPr>
          <w:p>
            <w:pPr/>
            <w:r>
              <w:rPr/>
              <w:t xml:space="preserve">As the Government of Montenegro was restructured, the structure and a mandate of the Ministry changed in manner of: Ministry of Ecology, Spatial Planning and Urbanism – MESPU evolved into Ministry of Ecology, sustainable development and northern region development.</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G) Executing Entity Category</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'Executing Entity Category'</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H) Minor project objective change</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'minor project objective change'</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I) Safeguards</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'Safeguards'</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J) Risk Analysis</w:t>
            </w:r>
          </w:p>
        </w:tc>
      </w:tr>
      <w:tr>
        <w:trPr/>
        <w:tc>
          <w:tcPr>
            <w:tcW w:w="10000" w:type="dxa"/>
            <w:gridSpan w:val="1"/>
            <w:noWrap/>
          </w:tcPr>
          <w:p>
            <w:pPr/>
            <w:r>
              <w:rPr/>
              <w:t xml:space="preserve">Yes</w:t>
            </w:r>
          </w:p>
        </w:tc>
      </w:tr>
      <w:tr>
        <w:trPr/>
        <w:tc>
          <w:tcPr>
            <w:tcW w:w="10000" w:type="dxa"/>
            <w:shd w:val="clear" w:fill="#D9D9D9"/>
            <w:noWrap/>
          </w:tcPr>
          <w:p>
            <w:pPr/>
            <w:r>
              <w:rPr>
                <w:b w:val="1"/>
                <w:bCs w:val="1"/>
              </w:rPr>
              <w:t xml:space="preserve">Provide a description of the change(s) to 'Risk Analysis'</w:t>
            </w:r>
          </w:p>
        </w:tc>
      </w:tr>
      <w:tr>
        <w:trPr/>
        <w:tc>
          <w:tcPr>
            <w:tcW w:w="10000" w:type="dxa"/>
            <w:gridSpan w:val="1"/>
            <w:noWrap/>
          </w:tcPr>
          <w:p>
            <w:pPr/>
            <w:r>
              <w:rPr/>
              <w:t xml:space="preserve">During the reporting period, two new risks were identified, and appropriate mitigation measures were put in place. Detailed information is provided in Section Risk Management, A) Overall Risk Management. In addition, the project has adopted further measures to mitigate the risk of delays. These include contingency plans to secure alternative vendors or remote support in case of new disruptions, as well as a dedicated strategy to ensure national institutions’ ownership of the MRV-E system.</w:t>
            </w:r>
          </w:p>
          <w:p>
            <w:pPr/>
            <w:r>
              <w:rPr/>
              <w:t xml:space="preserve"/>
            </w:r>
          </w:p>
          <w:p>
            <w:pPr/>
            <w:r>
              <w:rPr/>
              <w:t xml:space="preserve">The Implementing Partner has also confirmed that any additional project management costs incurred during the extension period will be covered from non-GEF sources, thereby ensuring that no budgetary shortfall will affect the implementation of project activities.</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K) Increase of GEF project financing up to 5%</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 to GEF project financing up to 5%</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L) Co-financing</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'Co-financing'</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M) Location of project activity</w:t>
            </w:r>
          </w:p>
        </w:tc>
      </w:tr>
      <w:tr>
        <w:trPr/>
        <w:tc>
          <w:tcPr>
            <w:tcW w:w="10000" w:type="dxa"/>
            <w:gridSpan w:val="1"/>
            <w:noWrap/>
          </w:tcPr>
          <w:p>
            <w:pPr/>
            <w:r>
              <w:rPr/>
              <w:t xml:space="preserve">No</w:t>
            </w:r>
          </w:p>
        </w:tc>
      </w:tr>
      <w:tr>
        <w:trPr/>
        <w:tc>
          <w:tcPr>
            <w:tcW w:w="10000" w:type="dxa"/>
            <w:shd w:val="clear" w:fill="#D9D9D9"/>
            <w:noWrap/>
          </w:tcPr>
          <w:p>
            <w:pPr/>
            <w:r>
              <w:rPr>
                <w:b w:val="1"/>
                <w:bCs w:val="1"/>
              </w:rPr>
              <w:t xml:space="preserve">Provide a description of the change(s) to project location activity</w:t>
            </w:r>
          </w:p>
        </w:tc>
      </w:tr>
      <w:tr>
        <w:trPr/>
        <w:tc>
          <w:tcPr>
            <w:tcW w:w="10000" w:type="dxa"/>
            <w:gridSpan w:val="1"/>
            <w:noWrap/>
          </w:tcPr>
          <w:p>
            <w:pPr/>
            <w:r>
              <w:rPr>
                <w:i w:val="1"/>
                <w:iCs w:val="1"/>
              </w:rPr>
              <w:t xml:space="preserve">(not set or not applicable)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Please provide a description of other types of minor amendments that do not fall under any of the above categories. For example, minor changes to the project's Gender Action Plan and/or gender activities can be captured here.</w:t>
            </w:r>
          </w:p>
        </w:tc>
      </w:tr>
      <w:tr>
        <w:trPr/>
        <w:tc>
          <w:tcPr>
            <w:tcW w:w="10000" w:type="dxa"/>
            <w:gridSpan w:val="1"/>
            <w:noWrap/>
          </w:tcPr>
          <w:p>
            <w:pPr/>
            <w:r>
              <w:rPr/>
              <w:t xml:space="preserve">The project is requesting 6 months no cost extension. The request for an extension of six months is based on a combination of unforeseen circumstances and complex implementation challenges that have significantly affected the project timeline. From the outset, the project experienced delays in establishing the Project Management Unit and recruiting key staff. These initial setbacks were compounded by frequent political changes in Montenegro, with six changes of government since project inception. Each transition led to shifts in priorities, high turnover of technical staff, and changes in ministry mandates, all of which disrupted coordination and decision-making processes. Additionally, the project faced the impact of a severe cyber-attack in August 2022, which disabled government IT systems for several months, blocked procurement procedures, and interrupted essential administrative functions during a critical period of implementation.</w:t>
            </w:r>
          </w:p>
          <w:p>
            <w:pPr/>
            <w:r>
              <w:rPr/>
              <w:t xml:space="preserve"/>
            </w:r>
          </w:p>
          <w:p>
            <w:pPr/>
            <w:r>
              <w:rPr/>
              <w:t xml:space="preserve">Despite these challenges, the project has made notable progress in delivering important outputs. It has completed the SWOT and gap analysis, finalized the Modalities, Procedures, and Guidelines (MPGs), developed a comprehensive capacity building programme, and initiated procurement for the MRV portal and related activities. However, several key components remain outstanding, including the full institutionalization and operational deployment of the MRV-E system. This system is a strategic priority, closely aligned with Montenegro’s national reform agenda and commitments under the EU integration process. In addition, further capacity-building activities, final administrative and financial reporting, and the preparation of the Terminal Evaluation still need to be completed to ensure the project’s results are sustainable and properly documented.</w:t>
            </w:r>
          </w:p>
          <w:p>
            <w:pPr/>
            <w:r>
              <w:rPr/>
              <w:t xml:space="preserve"/>
            </w:r>
          </w:p>
          <w:p>
            <w:pPr/>
            <w:r>
              <w:rPr/>
              <w:t xml:space="preserve">To address these pending activities within the proposed extension period, the project will adopt a clear acceleration plan. This will include the implementation of a detailed workplan outlining milestones for completing the MRV-E system, delivering all remaining trainings, and finalizing reporting requirements. The project team will ensure that all staffing gaps are promptly filled and that any outstanding procurement processes are prioritized and completed under accelerated procedures. Regular coordination meetings with government partners, UNDP, and other stakeholders will be scheduled to facilitate timely decision-making and problem-solving.</w:t>
            </w:r>
          </w:p>
          <w:p>
            <w:pPr/>
            <w:r>
              <w:rPr/>
              <w:t xml:space="preserve"/>
            </w:r>
          </w:p>
          <w:p>
            <w:pPr/>
            <w:r>
              <w:rPr/>
              <w:t xml:space="preserve"/>
            </w:r>
          </w:p>
        </w:tc>
      </w:tr>
    </w:tbl>
    <w:p>
      <w:pPr>
        <w:sectPr>
          <w:pgSz w:orient="portrait" w:w="11905.511811023622" w:h="16837.79527559055"/>
          <w:pgMar w:top="1440" w:right="1440" w:bottom="1440" w:left="1440" w:header="720" w:footer="720" w:gutter="0"/>
          <w:cols w:num="1" w:space="720"/>
        </w:sectPr>
      </w:pPr>
    </w:p>
    <w:p>
      <w:pPr>
        <w:pStyle w:val="Heading1"/>
      </w:pPr>
      <w:bookmarkStart w:id="10" w:name="_Toc10"/>
      <w:r>
        <w:t>Gender</w:t>
      </w:r>
      <w:bookmarkEnd w:id="10"/>
    </w:p>
    <w:p>
      <w:pPr>
        <w:pStyle w:val="Heading2"/>
      </w:pPr>
      <w:bookmarkStart w:id="11" w:name="_Toc11"/>
      <w:r>
        <w:t>Progress in Advancing Gender Equality and Women's Empowerment</w:t>
      </w:r>
      <w:bookmarkEnd w:id="11"/>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1) Please review the project's Gender Analysis and Action Plan.  If the document is not attached or an updated Gender Analysis and/or Gender Action Plan is available please upload the document below or send to the Regional Programme Associate to upload in PIMS+. Please note that all projects approved since 1 July 2014 are required to carry out a gender analysis and all projects approved since 1 July 2018 are required to have a gender analysis and action plan.</w:t>
            </w:r>
          </w:p>
        </w:tc>
      </w:tr>
      <w:tr>
        <w:trPr/>
        <w:tc>
          <w:tcPr>
            <w:tcW w:w="10000" w:type="dxa"/>
            <w:noWrap/>
          </w:tcPr>
          <w:p>
            <w:pPr>
              <w:spacing w:before="0" w:after="0"/>
            </w:pPr>
            <w:r>
              <w:rPr/>
              <w:t xml:space="preserve">Indicator_11 Updated Gender Action Plan CBIT.pdf</w:t>
            </w:r>
          </w:p>
          <w:p>
            <w:pP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noWrap/>
          </w:tcPr>
          <w:p>
            <w:pPr/>
            <w:r>
              <w:rPr>
                <w:b w:val="1"/>
                <w:bCs w:val="1"/>
              </w:rPr>
              <w:t xml:space="preserve">Quantum Gender Marker Rating</w:t>
            </w:r>
          </w:p>
        </w:tc>
      </w:tr>
      <w:tr>
        <w:trPr/>
        <w:tc>
          <w:tcPr>
            <w:tcW w:w="10000" w:type="dxa"/>
            <w:noWrap/>
          </w:tcPr>
          <w:p>
            <w:pPr/>
            <w:r>
              <w:rPr>
                <w:b w:val="1"/>
                <w:bCs w:val="1"/>
              </w:rPr>
              <w:t xml:space="preserve">GEN2: </w:t>
            </w:r>
            <w:r>
              <w:rPr/>
              <w:t xml:space="preserve">Gender equality as significant objective</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2) Please indicate in which results areas the project is contributing to gender equality (you may select more than one results area, or select not applicable):</w:t>
            </w:r>
          </w:p>
        </w:tc>
      </w:tr>
      <w:tr>
        <w:trPr/>
        <w:tc>
          <w:tcPr>
            <w:tcW w:w="10000" w:type="dxa"/>
            <w:gridSpan w:val="1"/>
            <w:noWrap/>
          </w:tcPr>
          <w:p>
            <w:pPr/>
            <w:r>
              <w:rPr/>
              <w:t xml:space="preserve">Contributing to closing gender gaps in access to and control over resources: Yes</w:t>
            </w:r>
          </w:p>
        </w:tc>
      </w:tr>
      <w:tr>
        <w:trPr/>
        <w:tc>
          <w:tcPr>
            <w:tcW w:w="10000" w:type="dxa"/>
            <w:gridSpan w:val="1"/>
            <w:noWrap/>
          </w:tcPr>
          <w:p>
            <w:pPr/>
            <w:r>
              <w:rPr/>
              <w:t xml:space="preserve">Improving the participation and decision-making of women in natural resource governance: Yes</w:t>
            </w:r>
          </w:p>
        </w:tc>
      </w:tr>
      <w:tr>
        <w:trPr/>
        <w:tc>
          <w:tcPr>
            <w:tcW w:w="10000" w:type="dxa"/>
            <w:gridSpan w:val="1"/>
            <w:noWrap/>
          </w:tcPr>
          <w:p>
            <w:pPr/>
            <w:r>
              <w:rPr/>
              <w:t xml:space="preserve">Targeting socio-economic benefits and services for women: No</w:t>
            </w:r>
          </w:p>
        </w:tc>
      </w:tr>
      <w:tr>
        <w:trPr/>
        <w:tc>
          <w:tcPr>
            <w:tcW w:w="10000" w:type="dxa"/>
            <w:gridSpan w:val="1"/>
            <w:noWrap/>
          </w:tcPr>
          <w:p>
            <w:pPr/>
            <w:r>
              <w:rPr/>
              <w:t xml:space="preserve">Not applicable: No</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3) Please specify results achieved this reporting period that focus on increasing gender equality and the empowerment of women.</w:t>
            </w:r>
          </w:p>
          <w:p>
            <w:pPr/>
            <w:r>
              <w:rPr>
                <w:b w:val="1"/>
                <w:bCs w:val="1"/>
              </w:rPr>
              <w:t xml:space="preserve"/>
            </w:r>
          </w:p>
          <w:p>
            <w:pPr/>
            <w:r>
              <w:rPr>
                <w:b w:val="1"/>
                <w:bCs w:val="1"/>
              </w:rPr>
              <w:t xml:space="preserve">Please explain how the results reported addressed the different needs of men or women, changed norms, values, and power structures, and/or contributed to transforming or challenging gender inequalities and discrimination.</w:t>
            </w:r>
          </w:p>
        </w:tc>
      </w:tr>
      <w:tr>
        <w:trPr/>
        <w:tc>
          <w:tcPr>
            <w:tcW w:w="10000" w:type="dxa"/>
            <w:gridSpan w:val="1"/>
            <w:noWrap/>
          </w:tcPr>
          <w:p>
            <w:pPr/>
            <w:r>
              <w:rPr/>
              <w:t xml:space="preserve">During this reporting period, the project achieved tangible results related to gender equality and the empowerment of women, particularly in the context of climate transparency and data systems.</w:t>
            </w:r>
          </w:p>
          <w:p>
            <w:pPr/>
            <w:r>
              <w:rPr/>
              <w:t xml:space="preserve"/>
            </w:r>
          </w:p>
          <w:p>
            <w:pPr/>
            <w:r>
              <w:rPr/>
              <w:t xml:space="preserve">A Review of Existing and Missing Gender-Disaggregated Data and Indicators for Climate Transparency was developed, within the Forth National Communication and First Biennial Transparent Report, with the aim of aligning national practices with international obligations, such as the UNFCCC, the Paris Agreement, the Enhanced Transparency Framework, the EU Gender Equality Strategy, and CEDAW recommendations . The analysis identified 69 necessary gender-disaggregated indicators (52 for adaptation and 17 for mitigation), while only 14 are currently tracked, revealing significant data gaps. Importantly, the process highlighted that some relevant data exist but are not systematically collected or are not gender-disaggregated. These efforts directly support the transformation of norms and institutional practices by:</w:t>
            </w:r>
          </w:p>
          <w:p>
            <w:pPr/>
            <w:r>
              <w:rPr/>
              <w:t xml:space="preserve"/>
            </w:r>
          </w:p>
          <w:p>
            <w:pPr/>
            <w:r>
              <w:rPr/>
              <w:t xml:space="preserve">- Raising awareness on the importance of gender-sensitive data for effective and fair climate policy.</w:t>
            </w:r>
          </w:p>
          <w:p>
            <w:pPr/>
            <w:r>
              <w:rPr/>
              <w:t xml:space="preserve">-Promoting the integration of gender perspectives into national climate policies, strategies, and reporting mechanisms.</w:t>
            </w:r>
          </w:p>
          <w:p>
            <w:pPr/>
            <w:r>
              <w:rPr/>
              <w:t xml:space="preserve">-Initiating collaboration with the Statistical Office of Montenegro to improve methodology and reporting practices.</w:t>
            </w:r>
          </w:p>
          <w:p>
            <w:pPr/>
            <w:r>
              <w:rPr/>
              <w:t xml:space="preserve">-Emphasizing the need to institutionalize gender equality measures through memoranda of cooperation and capacity-building activities.</w:t>
            </w:r>
          </w:p>
          <w:p>
            <w:pPr/>
            <w:r>
              <w:rPr/>
              <w:t xml:space="preserve">Planning targeted trainings for institutions to improve collection, processing, and use of gender-disaggregated data.</w:t>
            </w:r>
          </w:p>
          <w:p>
            <w:pPr/>
            <w:r>
              <w:rPr/>
              <w:t xml:space="preserve">The review also recognized structural barriers to gender equality, such as women’s limited access to decision-making roles and unequal participation in climate-related programs. By identifying these gaps, the project laid the groundwork for addressing gendered power imbalances and systemic discrimination through future action. Key achievement is that National reporting guides and guidelines (MPGs) have been developed with integrated a gender component.</w:t>
            </w:r>
          </w:p>
          <w:p>
            <w:pPr/>
            <w:r>
              <w:rPr/>
              <w:t xml:space="preserve"/>
            </w:r>
          </w:p>
          <w:p>
            <w:pPr/>
            <w:r>
              <w:rPr/>
              <w:t xml:space="preserve">Additionally, the project’s  Gender plan is updated for 2025.  In addition, the CBIT gender expert contributed to the development of the Gender Responsive Transparency Reporting Toolkit, including the Good Practice Example: Assessment of capacity and recommendations for improving institutional mechanisms for gender-responsive climate finance transparency in Montenegro. She also provided comments on the Action Plan for the Gender Equality Strategy, specifically in Priority Area 5, and participated in the event: International Women’s Day Webinar – Gender-responsive Climate Transparency: Fostering Gender Data for Better Climate Reporting and Policies. All evidence materials are uploaded to the PIR library.</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4) Please describe how work to advance gender equality and women's empowerment enhanced the project's environmental and/or resilience outcomes.</w:t>
            </w:r>
          </w:p>
        </w:tc>
      </w:tr>
      <w:tr>
        <w:trPr/>
        <w:tc>
          <w:tcPr>
            <w:tcW w:w="10000" w:type="dxa"/>
            <w:gridSpan w:val="1"/>
            <w:noWrap/>
          </w:tcPr>
          <w:p>
            <w:pPr/>
            <w:r>
              <w:rPr/>
              <w:t xml:space="preserve">Efforts to advance gender equality and women’s empowerment have directly contributed to strengthening the project’s environmental and resilience outcomes by promoting more inclusive, transparent, and data-driven climate policies. Through the development of the Review of Gender-Disaggregated Data and Indicators for Climate Transparency, the project identified critical gaps in how climate-related impacts and benefits are tracked across different social groups. By integrating a gender perspective into data collection and analysis, the project has:</w:t>
            </w:r>
          </w:p>
          <w:p>
            <w:pPr/>
            <w:r>
              <w:rPr/>
              <w:t xml:space="preserve">- Enhanced the understanding of how climate change affects women and men differently, enabling more equitable and effective planning of adaptation and mitigation policies;</w:t>
            </w:r>
          </w:p>
          <w:p>
            <w:pPr/>
            <w:r>
              <w:rPr/>
              <w:t xml:space="preserve">-Supported the inclusion of gender-responsive indicators in national climate frameworks, contributing to more targeted and impactful environmental interventions;</w:t>
            </w:r>
          </w:p>
          <w:p>
            <w:pPr/>
            <w:r>
              <w:rPr/>
              <w:t xml:space="preserve">-Laid the groundwork for improving institutional resilience by encouraging cooperation between the Statistical Office and other government institutions on gender-sensitive monitoring and reporting;</w:t>
            </w:r>
          </w:p>
          <w:p>
            <w:pPr/>
            <w:r>
              <w:rPr/>
              <w:t xml:space="preserve">-Reinforced commitments under the Law on Gender Equality, the draft Climate Change Law (2025), and international frameworks such as the UNFCCC, Paris Agreement, and EU Gender and Climate Strategies;</w:t>
            </w:r>
          </w:p>
          <w:p>
            <w:pPr/>
            <w:r>
              <w:rPr/>
              <w:t xml:space="preserve">-Highlighted the importance of women’s participation in renewable energy programs, decision-making processes, and access to environmental resources, thus helping to address structural inequalities that can undermine resilience.</w:t>
            </w:r>
          </w:p>
          <w:p>
            <w:pPr/>
            <w:r>
              <w:rPr/>
              <w:t xml:space="preserve"/>
            </w:r>
          </w:p>
          <w:p>
            <w:pPr/>
            <w:r>
              <w:rPr/>
              <w:t xml:space="preserve">By ensuring that data and indicators account for gender-specific vulnerabilities and capacities, the project supports climate actions that are not only more inclusive, but also more sustainable and resilient in the long term.</w:t>
            </w:r>
          </w:p>
        </w:tc>
      </w:tr>
    </w:tbl>
    <w:p>
      <w:pPr>
        <w:sectPr>
          <w:pgSz w:orient="portrait" w:w="11905.511811023622" w:h="16837.79527559055"/>
          <w:pgMar w:top="1440" w:right="1440" w:bottom="1440" w:left="1440" w:header="720" w:footer="720" w:gutter="0"/>
          <w:cols w:num="1" w:space="720"/>
        </w:sectPr>
      </w:pPr>
    </w:p>
    <w:p>
      <w:pPr>
        <w:pStyle w:val="Heading1"/>
      </w:pPr>
      <w:bookmarkStart w:id="12" w:name="_Toc12"/>
      <w:r>
        <w:t>Risk Management</w:t>
      </w:r>
      <w:bookmarkEnd w:id="12"/>
    </w:p>
    <w:p>
      <w:pPr>
        <w:pStyle w:val="Heading2"/>
      </w:pPr>
      <w:bookmarkStart w:id="13" w:name="_Toc13"/>
      <w:r>
        <w:t>A) Overall Risk Management</w:t>
      </w:r>
      <w:bookmarkEnd w:id="13"/>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BPPS RTA: Please discuss the risks flagged in the Quantum project Risk Register and the VF Risk Dashboard in PIMS+ with the CO and then provide an assessment of project risk management undertaken during the  reporting period. Document actions, agreed with the CO, to address all project risks in the coming year.</w:t>
            </w:r>
          </w:p>
          <w:p>
            <w:pPr/>
            <w:r>
              <w:rPr>
                <w:b w:val="1"/>
                <w:bCs w:val="1"/>
              </w:rPr>
              <w:t xml:space="preserve"/>
            </w:r>
          </w:p>
        </w:tc>
      </w:tr>
      <w:tr>
        <w:trPr/>
        <w:tc>
          <w:tcPr>
            <w:tcW w:w="10000" w:type="dxa"/>
            <w:gridSpan w:val="1"/>
            <w:noWrap/>
          </w:tcPr>
          <w:p>
            <w:pPr/>
            <w:r>
              <w:rPr/>
              <w:t xml:space="preserve">Out of initially 12 registered risks, five of them remain valid in the UNDP Risk Log. All were regularly monitored and jointly reviewed by the UNDP Country Office (CO) and the Project Team, with management responses updated accordingly. None of the registered risks escalated to a higher risk category during the reporting period.</w:t>
            </w:r>
          </w:p>
          <w:p>
            <w:pPr/>
            <w:r>
              <w:rPr/>
              <w:t xml:space="preserve"/>
            </w:r>
          </w:p>
          <w:p>
            <w:pPr/>
            <w:r>
              <w:rPr/>
              <w:t xml:space="preserve">Two new risks were identified and added to the Risk Log, reflecting challenges arising from frequent political changes and delays in procurement processes. Those are:</w:t>
            </w:r>
          </w:p>
          <w:p>
            <w:pPr/>
            <w:r>
              <w:rPr/>
              <w:t xml:space="preserve">1.	Limited institutional support to the Project Team – Frequent political changes resulted in insufficient engagement from the National Project Director (NPD) and relevant Ministry departments, creating bottlenecks in project-related decision-making and procurement, and consequently delaying implementation.</w:t>
            </w:r>
          </w:p>
          <w:p>
            <w:pPr/>
            <w:r>
              <w:rPr/>
              <w:t xml:space="preserve">2.	Operational capacity constraints – Insufficient capacity and suboptimal performance of the Implementing Partner’s (IP) Department of Economic and Financial Affairs and Public Procurement slowed payment processing, leading to delays in project delivery and fund disbursement.</w:t>
            </w:r>
          </w:p>
          <w:p>
            <w:pPr/>
            <w:r>
              <w:rPr/>
              <w:t xml:space="preserve"/>
            </w:r>
          </w:p>
          <w:p>
            <w:pPr/>
            <w:r>
              <w:rPr/>
              <w:t xml:space="preserve">Mitigation measures implemented during the reporting period included:</w:t>
            </w:r>
          </w:p>
          <w:p>
            <w:pPr/>
            <w:r>
              <w:rPr/>
              <w:t xml:space="preserve">•	High-level engagement: Regular meetings between the Project Team, UNDP CO, and newly appointed senior IP officials to ensure a clear understanding of project objectives, expected results, and remaining activities.</w:t>
            </w:r>
          </w:p>
          <w:p>
            <w:pPr/>
            <w:r>
              <w:rPr/>
              <w:t xml:space="preserve">•	Targeted capacity building: Mentoring and on-the-job training for the new NPD and other key IP staff (e.g. newly appointed Director of the Climate Change Directorate), focusing on project management and UNDP/GEF rules and procedures.</w:t>
            </w:r>
          </w:p>
          <w:p>
            <w:pPr/>
            <w:r>
              <w:rPr/>
              <w:t xml:space="preserve">•	Operational skills enhancement: new procurement and recruitment trainings for the IP’s Department of Economic and Financial Affairs and Public Procurement to accelerate expenditure processing.</w:t>
            </w:r>
          </w:p>
          <w:p>
            <w:pPr/>
            <w:r>
              <w:rPr/>
              <w:t xml:space="preserve">•	Enhanced delivery monitoring: Strict quarterly delivery tracking coordinated through the PMU in partnership with the Ministry of Finance.</w:t>
            </w:r>
          </w:p>
          <w:p>
            <w:pPr/>
            <w:r>
              <w:rPr/>
              <w:t xml:space="preserve">•	Consistent update: Regular coordination meetings between UNDP CO and PMU to align budget execution with project implementation schedules.</w:t>
            </w:r>
          </w:p>
          <w:p>
            <w:pPr/>
            <w:r>
              <w:rPr/>
              <w:t xml:space="preserve"/>
            </w:r>
          </w:p>
          <w:p>
            <w:pPr/>
            <w:r>
              <w:rPr/>
              <w:t xml:space="preserve">As agreed with the UNDP CO, these risks and corresponding mitigation measures will remain in place during the project’s extension period. While further escalation is not anticipated, UNDP will continue close monitoring and stand ready to introduce additional adaptive measures if required.</w:t>
            </w:r>
          </w:p>
          <w:p>
            <w:pPr/>
            <w:r>
              <w:rPr/>
              <w:t xml:space="preserve"/>
            </w:r>
          </w:p>
          <w:p>
            <w:pPr/>
            <w:r>
              <w:rPr/>
              <w:t xml:space="preserve">Furthermore, recommendations from the Mid-Term Review (MTR) (finalized in April 2024 and reported in the previous PIR) were implemented. Key achievements included the full establishment of the PMU (position of project assistant was vacant for some time), approval of the project extension, scheduling of regular coordination meetings at both high and technical levels between UNDP CO and the IP, and comprehensive capacity-building programme advanced.</w:t>
            </w:r>
          </w:p>
          <w:p>
            <w:pPr/>
            <w:r>
              <w:rPr/>
              <w:t xml:space="preserve"/>
            </w:r>
          </w:p>
        </w:tc>
      </w:tr>
    </w:tbl>
    <w:p>
      <w:pPr>
        <w:pStyle w:val="Heading2"/>
      </w:pPr>
      <w:bookmarkStart w:id="14" w:name="_Toc14"/>
      <w:r>
        <w:t>B) SES Implementation</w:t>
      </w:r>
      <w:bookmarkEnd w:id="14"/>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2b) Provide an update on progress, challenges and outcomes related to stakeholder engagement based on the description in the Stakeholder Engagement Plan or equivalent documentation submitted at CEO Endorsement/Approval.</w:t>
            </w:r>
          </w:p>
        </w:tc>
      </w:tr>
      <w:tr>
        <w:trPr/>
        <w:tc>
          <w:tcPr>
            <w:tcW w:w="10000" w:type="dxa"/>
            <w:gridSpan w:val="1"/>
            <w:noWrap/>
          </w:tcPr>
          <w:p>
            <w:pPr/>
            <w:r>
              <w:rPr/>
              <w:t xml:space="preserve">Since the beginning of project implementation in February 2022, the Government of Montenegro has changed six times. During this reporting period alone, it changed twice — on July 23rd, 2024, and April 14th, 2025. Attached is the revised Stakeholder Plan, updated to reflect the latest government changes.</w:t>
            </w:r>
          </w:p>
          <w:p>
            <w:pPr/>
            <w:r>
              <w:rPr/>
              <w:t xml:space="preserve"/>
            </w:r>
          </w:p>
          <w:p>
            <w:pPr/>
            <w:r>
              <w:rPr/>
              <w:t xml:space="preserve">Each change of Government has affected not only the leadership structure of the Ministry but also resulted in shifts in institutional mandates, the creation of new institutions, and changes at both management and technical levels within institutions.</w:t>
            </w:r>
          </w:p>
          <w:p>
            <w:pPr/>
            <w:r>
              <w:rPr/>
              <w:t xml:space="preserve"/>
            </w:r>
          </w:p>
          <w:p>
            <w:pPr/>
            <w:r>
              <w:rPr/>
              <w:t xml:space="preserve">The National Council for Sustainable Development, along with its working groups on climate change and sustainable finance, has served as the primary body for validating project activities and guiding implementation. However, since December 2024, a new internal reorganization of the Ministry has been adopted, introducing a Directorate for Sustainable Development with unclear functions and authority, particularly regarding the role of the National Council. As of now, members of the Council have not been appointed, and the Council has not convened.</w:t>
            </w:r>
          </w:p>
          <w:p>
            <w:pPr/>
            <w:r>
              <w:rPr/>
              <w:t xml:space="preserve"/>
            </w:r>
          </w:p>
          <w:p>
            <w:pPr/>
            <w:r>
              <w:rPr/>
              <w:t xml:space="preserve">In this context, stakeholder engagement is largely limited to the individual level, and every project activity — including trainings, workshops, public events, and consultations — is used as an opportunity to strengthen inter-institutional synergies and networking, with the aim of ensuring successful project implementation. In this environment of institutional uncertainty and frequent change, the Project Board has proven to be the only stable and official platform capable of supporting the PMU, sustaining stakeholder engagement, and providing continuity in decision-making and oversight.</w:t>
            </w:r>
          </w:p>
        </w:tc>
      </w:tr>
    </w:tbl>
    <w:p>
      <w:pPr>
        <w:sectPr>
          <w:pgSz w:orient="portrait" w:w="11905.511811023622" w:h="16837.79527559055"/>
          <w:pgMar w:top="1440" w:right="1440" w:bottom="1440" w:left="1440" w:header="720" w:footer="720" w:gutter="0"/>
          <w:cols w:num="1" w:space="720"/>
        </w:sectPr>
      </w:pPr>
    </w:p>
    <w:p>
      <w:pPr>
        <w:pStyle w:val="Heading1"/>
      </w:pPr>
      <w:bookmarkStart w:id="15" w:name="_Toc15"/>
      <w:r>
        <w:t>Knowledge Management &amp; Communications</w:t>
      </w:r>
      <w:bookmarkEnd w:id="15"/>
    </w:p>
    <w:p>
      <w:pPr>
        <w:spacing w:before="0" w:after="0"/>
      </w:pPr>
      <w:r>
        <w:rPr/>
        <w:t xml:space="preserve"/>
      </w:r>
    </w:p>
    <w:p>
      <w:pPr/>
      <w:r>
        <w:rPr/>
        <w:t xml:space="preserve"> </w:t>
      </w:r>
    </w:p>
    <w:p>
      <w:pPr/>
      <w:r>
        <w:rPr/>
        <w:t xml:space="preserve">The </w:t>
      </w:r>
      <w:r>
        <w:rPr>
          <w:b w:val="1"/>
          <w:bCs w:val="1"/>
        </w:rPr>
        <w:t xml:space="preserve">Project Manager</w:t>
      </w:r>
      <w:r>
        <w:rPr/>
        <w:t xml:space="preserve"> must complete the three questions below.</w:t>
      </w:r>
    </w:p>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1) Please provide progress on the implementation of the project's Knowledge Management approach approved at CEO Endorsement/Approval.  If there is no KM approach/strategy, please comment on how the project is capturing and disseminating best practices and lessons learned.</w:t>
            </w:r>
          </w:p>
          <w:p>
            <w:pPr/>
            <w:r>
              <w:rPr>
                <w:b w:val="1"/>
                <w:bCs w:val="1"/>
              </w:rPr>
              <w:t xml:space="preserve"/>
            </w:r>
          </w:p>
        </w:tc>
      </w:tr>
      <w:tr>
        <w:trPr/>
        <w:tc>
          <w:tcPr>
            <w:tcW w:w="10000" w:type="dxa"/>
            <w:gridSpan w:val="1"/>
            <w:noWrap/>
          </w:tcPr>
          <w:p>
            <w:pPr/>
            <w:r>
              <w:rPr/>
              <w:t xml:space="preserve">A key focus of the project is to strengthen climate change transparency mechanisms in Montenegro. This includes not only establishing a comprehensive MRV-E (Monitoring, Reporting, Verification, and Evaluation) system, but also ensuring clear and open communication within institutions and towards the public. In line with the Knowledge Management strategy defined at the CEO Endorsement/Approval stage, the project promotes stakeholder engagement through two principal mechanisms: the Working Group on Mitigation and Adaptation (WGMA) and the dedicated transparency platform. Beyond these structured channels, the project maximizes the visibility and understanding of the transparency agenda by actively using public events as outreach opportunities. Notably, Montenegro’s achievements were featured in a dedicated article on the CBIT GSP website, and the project was showcased at several high-level international forums, including COP29.</w:t>
            </w:r>
          </w:p>
          <w:p>
            <w:pPr/>
            <w:r>
              <w:rPr/>
              <w:t xml:space="preserve">Although the official transparency portal will be operational  by the end of 2025, the project is already investing in strategic communication. It uses social media platforms and the website of the implementing partner to disseminate information and engage with the public. Furthermore, an online dynamic tracking tool has been developed, offering real-time updates on project activities. This tool documents events, communication channels used, dates, media coverage, relevant links, and supporting materials, ensuring timely and accessible information. Additionally, the project extension proposal includes a new activity aimed at enhancing visibility and knowledge management.</w:t>
            </w:r>
          </w:p>
          <w:p>
            <w:pPr/>
            <w:r>
              <w:rPr/>
              <w:t xml:space="preserve"/>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2) Please provide URLs specific to this project in the relevant field below.  Please categorize the URLs appropriately (for example: project websites, social media sites, media coverage, etc.)</w:t>
            </w:r>
          </w:p>
        </w:tc>
      </w:tr>
      <w:tr>
        <w:trPr/>
        <w:tc>
          <w:tcPr>
            <w:tcW w:w="10000" w:type="dxa"/>
            <w:gridSpan w:val="1"/>
            <w:noWrap/>
          </w:tcPr>
          <w:p>
            <w:pPr/>
            <w:r>
              <w:rPr/>
              <w:t xml:space="preserve">As is mentioned in the previous section, the online tool for tracking and dissemination information is developed. It is accessible through the following link:</w:t>
            </w:r>
          </w:p>
          <w:p>
            <w:pPr/>
            <w:r>
              <w:rPr/>
              <w:t xml:space="preserve"/>
            </w:r>
          </w:p>
          <w:p>
            <w:pPr/>
            <w:r>
              <w:rPr/>
              <w:t xml:space="preserve">https://docs.google.com/document/d/1QXH5XVXKm12zescwr69gYeBLPDm1fzg_fud27gThbhI/edit?tab=t.0.</w:t>
            </w:r>
          </w:p>
        </w:tc>
      </w:tr>
    </w:tbl>
    <w:tbl>
      <w:tblGrid>
        <w:gridCol w:w="10000" w:type="dxa"/>
      </w:tblGrid>
      <w:tblPr>
        <w:tblW w:w="0" w:type="auto"/>
        <w:tblLayout w:type="autofit"/>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noWrap/>
          </w:tcPr>
          <w:p>
            <w:pPr/>
            <w:r>
              <w:rPr>
                <w:b w:val="1"/>
                <w:bCs w:val="1"/>
              </w:rPr>
              <w:t xml:space="preserve">3) In the PIR platform, please upload any supporting files, including the project's Communications Strategy, photos, videos, stories and other communication/knowledge materials.</w:t>
            </w:r>
          </w:p>
        </w:tc>
      </w:tr>
      <w:tr>
        <w:trPr/>
        <w:tc>
          <w:tcPr>
            <w:tcW w:w="10000" w:type="dxa"/>
            <w:noWrap/>
          </w:tcPr>
          <w:p>
            <w:pPr>
              <w:spacing w:before="0" w:after="0"/>
            </w:pPr>
            <w:r>
              <w:rPr/>
              <w:t xml:space="preserve">Indicator_16 Event list .pdf</w:t>
            </w:r>
          </w:p>
          <w:p>
            <w:pPr/>
          </w:p>
        </w:tc>
      </w:tr>
    </w:tbl>
    <w:p>
      <w:pPr>
        <w:sectPr>
          <w:pgSz w:orient="portrait" w:w="11905.511811023622" w:h="16837.79527559055"/>
          <w:pgMar w:top="1440" w:right="1440" w:bottom="1440" w:left="1440" w:header="720" w:footer="720" w:gutter="0"/>
          <w:cols w:num="1" w:space="720"/>
        </w:sectPr>
      </w:pPr>
    </w:p>
    <w:p>
      <w:pPr>
        <w:pStyle w:val="Heading1"/>
      </w:pPr>
      <w:bookmarkStart w:id="16" w:name="_Toc16"/>
      <w:r>
        <w:t>Annex - Ratings Definitions</w:t>
      </w:r>
      <w:bookmarkEnd w:id="16"/>
    </w:p>
    <w:p>
      <w:pPr/>
      <w:r>
        <w:rPr>
          <w:b w:val="1"/>
          <w:bCs w:val="1"/>
        </w:rPr>
        <w:t xml:space="preserve">Development Objective Progress Ratings Definitions</w:t>
      </w:r>
    </w:p>
    <w:p>
      <w:pPr/>
      <w:r>
        <w:rPr/>
        <w:t xml:space="preserve">(HS) Highly Satisfactory: Project is on track to exceed its end-of-project targets by project closure. The project can be presented as 'outstanding practice'.</w:t>
      </w:r>
    </w:p>
    <w:p>
      <w:pPr/>
      <w:r>
        <w:rPr/>
        <w:t xml:space="preserve">(S) Satisfactory: Project is on track to achieve its end-of-project targets by project closure and any minor challenges are being addressed through an adaptive management plan. The project can be presented as 'good practice'.</w:t>
      </w:r>
    </w:p>
    <w:p>
      <w:pPr/>
      <w:r>
        <w:rPr/>
        <w:t xml:space="preserve">(MS) Moderately Satisfactory: Project is on track to achieve its end-of-project targets by project closure and minor challenges can be addressed if an adaptive management plan is promptly put in place.</w:t>
      </w:r>
    </w:p>
    <w:p>
      <w:pPr/>
      <w:r>
        <w:rPr/>
        <w:t xml:space="preserve">(MU) Moderately Unsatisfactory: Project is off track and is expected to only partially achieve its end-of-project targets by project closure. Project results might still be achieved by project closure if adaptive management is undertaken immediately.</w:t>
      </w:r>
    </w:p>
    <w:p>
      <w:pPr/>
      <w:r>
        <w:rPr/>
        <w:t xml:space="preserve">(U) Unsatisfactory: Project is off track and is expected to only partially achieve its end-of-project targets by project closure. Project results might be partially achieved by project closure if major adaptive management is undertaken immediately.</w:t>
      </w:r>
    </w:p>
    <w:p>
      <w:pPr/>
      <w:r>
        <w:rPr/>
        <w:t xml:space="preserve">(HU) Highly Unsatisfactory: Project is off track and is not expected to achieve its end-of-project targets by project closure and adaptive management is not expected to materialize.</w:t>
      </w:r>
    </w:p>
    <w:p/>
    <w:p>
      <w:pPr/>
      <w:r>
        <w:rPr>
          <w:b w:val="1"/>
          <w:bCs w:val="1"/>
        </w:rPr>
        <w:t xml:space="preserve">Implementation Progress Ratings Definitions</w:t>
      </w:r>
    </w:p>
    <w:p>
      <w:pPr/>
      <w:r>
        <w:rPr/>
        <w:t xml:space="preserve">(HS) Highly Satisfactory: Implementation is exceeding expectations. Implementation of all outputs/activities is fully on track, proceeding as planned, The implementation of the project can be presented as 'outstanding practice'.</w:t>
      </w:r>
    </w:p>
    <w:p>
      <w:pPr/>
      <w:r>
        <w:rPr/>
        <w:t xml:space="preserve">(S) Satisfactory: Implementation is proceeding as planned with minor challenges that are being addressed. Implementation of all outputs/activities is on track with minor deviations The implementation of the project can be presented as 'good practice'. </w:t>
      </w:r>
    </w:p>
    <w:p>
      <w:pPr/>
      <w:r>
        <w:rPr/>
        <w:t xml:space="preserve">(MS) Moderately Satisfactory: Implementation is proceeding as planned with minor challenges that have not yet been addressed. Implementation of most outputs/activities is on track with minor deviations.</w:t>
      </w:r>
    </w:p>
    <w:p>
      <w:pPr/>
      <w:r>
        <w:rPr/>
        <w:t xml:space="preserve">(MU) Moderately Unsatisfactory: Implementation is not proceeding as planned and faces implementation challenges. Implementation of many outputs/activities is off track Implementation progress could be improved if adaptive management is undertaken immediately.</w:t>
      </w:r>
    </w:p>
    <w:p>
      <w:pPr/>
      <w:r>
        <w:rPr/>
        <w:t xml:space="preserve">(U) Unsatisfactory: Implementation is not proceeding as planned and faces major implementation challenges. Implementation of most outputs/activities is off track.</w:t>
      </w:r>
    </w:p>
    <w:p>
      <w:pPr/>
      <w:r>
        <w:rPr/>
        <w:t xml:space="preserve">(HU) Highly Unsatisfactory: Implementation is seriously under-performing. Implementation of all outputs/activities is severely off track.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t xml:space="preserve">Page </w:t>
    </w:r>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t xml:space="preserve">2025 Project Implementation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814B0"/>
    <w:multiLevelType w:val="multilevel"/>
    <w:lvl w:ilvl="0">
      <w:start w:val="1"/>
      <w:numFmt w:val="upperLetter"/>
      <w:pStyle w:val="Heading1"/>
      <w:suff w:val="tab"/>
      <w:lvlText w:val="%1."/>
      <w:pPr>
        <w:tabs>
          <w:tab w:val="num"/>
        </w:tabs>
        <w:ind/>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numPr>
        <w:numId w:val="1"/>
        <w:ilvl w:val="0"/>
      </w:numPr>
      <w:outlineLvl w:val="0"/>
    </w:pPr>
    <w:rPr>
      <w:sz w:val="28"/>
      <w:szCs w:val="28"/>
      <w:b w:val="1"/>
      <w:bCs w:val="1"/>
    </w:rPr>
  </w:style>
  <w:style w:type="paragraph" w:styleId="Heading2">
    <w:link w:val="Heading2Char"/>
    <w:name w:val="heading 2"/>
    <w:basedOn w:val="Normal"/>
    <w:pPr>
      <w:spacing w:before="40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section_image2.jp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section_image1.gif"/><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thegef.org/sites/default/files/documents/2022-04/GEF_R.08_31_GEF-8_Policy_Directions.pdf" TargetMode="External"/><Relationship Id="rId4" Type="http://schemas.openxmlformats.org/officeDocument/2006/relationships/theme" Target="theme/theme1.xml"/><Relationship Id="rId9" Type="http://schemas.openxmlformats.org/officeDocument/2006/relationships/hyperlink" Target="https://www.thegef.org/council-meeting-documents/guidelines-project-and-program-cycle-policy-2020-updat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Country xmlns="d9cf0e28-81d2-4dc7-8b10-820d80ed680d">B0587 - Montenegro - Podjorica</OfficeCountry>
    <DocumentStatus xmlns="d9cf0e28-81d2-4dc7-8b10-820d80ed680d">Final</DocumentStatus>
    <DocCoverageEndDate xmlns="d9cf0e28-81d2-4dc7-8b10-820d80ed680d">2025-12-31T05:00:00+00:00</DocCoverageEndDate>
    <TaxCatchAll xmlns="e91d5986-7c29-4ed1-8a54-b8fb378ed474" xsi:nil="true"/>
    <EventDate xmlns="d9cf0e28-81d2-4dc7-8b10-820d80ed680d" xsi:nil="true"/>
    <ProjectDocumentTypes xmlns="d9cf0e28-81d2-4dc7-8b10-820d80ed680d" xsi:nil="true"/>
    <FunctionalArea xmlns="d9cf0e28-81d2-4dc7-8b10-820d80ed680d" xsi:nil="true"/>
    <FileNameDescription xmlns="d9cf0e28-81d2-4dc7-8b10-820d80ed680d">Project Implementation Report (PIR)_2025</FileNameDescription>
    <ProjectNumber xmlns="d9cf0e28-81d2-4dc7-8b10-820d80ed680d">00102063</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UNDP-MNE</OperatingUnit>
    <lcf76f155ced4ddcb4097134ff3c332f xmlns="d9cf0e28-81d2-4dc7-8b10-820d80ed680d">
      <Terms xmlns="http://schemas.microsoft.com/office/infopath/2007/PartnerControls"/>
    </lcf76f155ced4ddcb4097134ff3c332f>
    <FocusArea xmlns="d9cf0e28-81d2-4dc7-8b10-820d80ed680d" xsi:nil="true"/>
    <DocCoverageStartDate xmlns="d9cf0e28-81d2-4dc7-8b10-820d80ed680d">2025-01-01T05:00:00+00:00</DocCoverageStartDate>
    <FileClassificationMode xmlns="d9cf0e28-81d2-4dc7-8b10-820d80ed680d">Public</FileClassificationMode>
    <OutputNumber xmlns="d9cf0e28-81d2-4dc7-8b10-820d80ed680d">00104253</OutputNumber>
  </documentManagement>
</p:properties>
</file>

<file path=customXml/itemProps1.xml><?xml version="1.0" encoding="utf-8"?>
<ds:datastoreItem xmlns:ds="http://schemas.openxmlformats.org/officeDocument/2006/customXml" ds:itemID="{2E2831D8-5CB4-4588-AEAB-B039E6FAF12F}"/>
</file>

<file path=customXml/itemProps2.xml><?xml version="1.0" encoding="utf-8"?>
<ds:datastoreItem xmlns:ds="http://schemas.openxmlformats.org/officeDocument/2006/customXml" ds:itemID="{970FCB61-D28B-45F0-BB9D-AE7CACD0DABB}"/>
</file>

<file path=customXml/itemProps3.xml><?xml version="1.0" encoding="utf-8"?>
<ds:datastoreItem xmlns:ds="http://schemas.openxmlformats.org/officeDocument/2006/customXml" ds:itemID="{F03FAA77-BD85-4AF6-994A-2E5252C883B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Implementation Report (PIR)_2025</dc:title>
  <dc:subject/>
  <dc:creator/>
  <cp:keywords/>
  <dc:description/>
  <cp:lastModifiedBy/>
  <dcterms:created xsi:type="dcterms:W3CDTF">2025-09-09T05:09:41Z</dcterms:created>
  <dcterms:modified xsi:type="dcterms:W3CDTF">2025-09-09T05:09:41Z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ies>
</file>