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83.149606299213pt; height:91.086614173228pt; margin-left:0pt; margin-top:0pt; position:absolute; mso-position-horizontal:left; mso-position-vertical:top; mso-position-horizontal-relative:margin; mso-position-vertical-relative:line;">
            <w10:wrap type="square" anchorx="page" anchory="page"/>
            <v:imagedata r:id="rId7" o:title=""/>
          </v:shape>
        </w:pict>
      </w:r>
      <w:r>
        <w:pict>
          <v:shape type="#_x0000_t75" stroked="f" style="width:67.275590551181pt; height:120.18897637795pt; margin-left:0pt; margin-top:0pt; position:absolute; mso-position-horizontal:right; mso-position-vertical:top; mso-position-horizontal-relative:margin; mso-position-vertical-relative:line;">
            <w10:wrap type="square" anchorx="page" anchory="page"/>
            <v:imagedata r:id="rId8" o:title=""/>
          </v:shape>
        </w:pict>
      </w:r>
    </w:p>
    <w:p>
      <w:pPr>
        <w:jc w:val="center"/>
      </w:pPr>
      <w:r>
        <w:rPr>
          <w:sz w:val="28"/>
          <w:szCs w:val="28"/>
        </w:rPr>
        <w:t xml:space="preserve">2025</w:t>
      </w:r>
    </w:p>
    <w:p>
      <w:pPr>
        <w:jc w:val="center"/>
      </w:pPr>
      <w:r>
        <w:rPr>
          <w:sz w:val="28"/>
          <w:szCs w:val="28"/>
        </w:rPr>
        <w:t xml:space="preserve">Project Implementation Report (PIR)</w:t>
      </w:r>
    </w:p>
    <w:p>
      <w:pPr/>
      <w:r>
        <w:rPr/>
        <w:t xml:space="preserve"/>
      </w:r>
    </w:p>
    <w:p>
      <w:pPr/>
      <w:r>
        <w:rPr/>
        <w:t xml:space="preserve"/>
      </w:r>
    </w:p>
    <w:p>
      <w:pPr/>
      <w:r>
        <w:rPr/>
        <w:t xml:space="preserve"/>
      </w:r>
    </w:p>
    <w:p>
      <w:pPr>
        <w:jc w:val="center"/>
      </w:pPr>
      <w:r>
        <w:rPr>
          <w:sz w:val="28"/>
          <w:szCs w:val="28"/>
          <w:b w:val="1"/>
          <w:bCs w:val="1"/>
        </w:rPr>
        <w:t xml:space="preserve">Promoting Outer Island Development through the Integrated Energy Roadmap</w:t>
      </w:r>
    </w:p>
    <w:p>
      <w:pPr>
        <w:tabs>
          <w:tab w:val="right" w:leader="dot" w:pos="9062"/>
        </w:tabs>
      </w:pPr>
      <w:r>
        <w:fldChar w:fldCharType="begin"/>
      </w:r>
      <w:r>
        <w:instrText xml:space="preserve">TOC \o 1-1 \h \z \u</w:instrText>
      </w:r>
      <w:r>
        <w:fldChar w:fldCharType="separate"/>
      </w:r>
      <w:hyperlink w:anchor="_Toc0" w:history="1">
        <w:r>
          <w:t>Basic Data</w:t>
        </w:r>
        <w:r>
          <w:tab/>
        </w:r>
        <w:r>
          <w:fldChar w:fldCharType="begin"/>
        </w:r>
        <w:r>
          <w:instrText xml:space="preserve">PAGEREF 0 \h</w:instrText>
        </w:r>
        <w:r>
          <w:fldChar w:fldCharType="end"/>
        </w:r>
      </w:hyperlink>
    </w:p>
    <w:p>
      <w:pPr>
        <w:tabs>
          <w:tab w:val="right" w:leader="dot" w:pos="9062"/>
        </w:tabs>
      </w:pPr>
      <w:hyperlink w:anchor="_Toc1" w:history="1">
        <w:r>
          <w:t>Key project dates</w:t>
        </w:r>
        <w:r>
          <w:tab/>
        </w:r>
        <w:r>
          <w:fldChar w:fldCharType="begin"/>
        </w:r>
        <w:r>
          <w:instrText xml:space="preserve">PAGEREF 1 \h</w:instrText>
        </w:r>
        <w:r>
          <w:fldChar w:fldCharType="end"/>
        </w:r>
      </w:hyperlink>
    </w:p>
    <w:p>
      <w:pPr>
        <w:tabs>
          <w:tab w:val="right" w:leader="dot" w:pos="9062"/>
        </w:tabs>
      </w:pPr>
      <w:hyperlink w:anchor="_Toc2" w:history="1">
        <w:r>
          <w:t>Overall ratings</w:t>
        </w:r>
        <w:r>
          <w:tab/>
        </w:r>
        <w:r>
          <w:fldChar w:fldCharType="begin"/>
        </w:r>
        <w:r>
          <w:instrText xml:space="preserve">PAGEREF 2 \h</w:instrText>
        </w:r>
        <w:r>
          <w:fldChar w:fldCharType="end"/>
        </w:r>
      </w:hyperlink>
    </w:p>
    <w:p>
      <w:pPr>
        <w:tabs>
          <w:tab w:val="right" w:leader="dot" w:pos="9062"/>
        </w:tabs>
      </w:pPr>
      <w:hyperlink w:anchor="_Toc3" w:history="1">
        <w:r>
          <w:t>Development Objective Progress</w:t>
        </w:r>
        <w:r>
          <w:tab/>
        </w:r>
        <w:r>
          <w:fldChar w:fldCharType="begin"/>
        </w:r>
        <w:r>
          <w:instrText xml:space="preserve">PAGEREF 3 \h</w:instrText>
        </w:r>
        <w:r>
          <w:fldChar w:fldCharType="end"/>
        </w:r>
      </w:hyperlink>
    </w:p>
    <w:p>
      <w:pPr>
        <w:tabs>
          <w:tab w:val="right" w:leader="dot" w:pos="9062"/>
        </w:tabs>
      </w:pPr>
      <w:hyperlink w:anchor="_Toc5" w:history="1">
        <w:r>
          <w:t>Finance/Co-Finance</w:t>
        </w:r>
        <w:r>
          <w:tab/>
        </w:r>
        <w:r>
          <w:fldChar w:fldCharType="begin"/>
        </w:r>
        <w:r>
          <w:instrText xml:space="preserve">PAGEREF 5 \h</w:instrText>
        </w:r>
        <w:r>
          <w:fldChar w:fldCharType="end"/>
        </w:r>
      </w:hyperlink>
    </w:p>
    <w:p>
      <w:pPr>
        <w:tabs>
          <w:tab w:val="right" w:leader="dot" w:pos="9062"/>
        </w:tabs>
      </w:pPr>
      <w:hyperlink w:anchor="_Toc7" w:history="1">
        <w:r>
          <w:t>Implementation Progress</w:t>
        </w:r>
        <w:r>
          <w:tab/>
        </w:r>
        <w:r>
          <w:fldChar w:fldCharType="begin"/>
        </w:r>
        <w:r>
          <w:instrText xml:space="preserve">PAGEREF 7 \h</w:instrText>
        </w:r>
        <w:r>
          <w:fldChar w:fldCharType="end"/>
        </w:r>
      </w:hyperlink>
    </w:p>
    <w:p>
      <w:pPr>
        <w:tabs>
          <w:tab w:val="right" w:leader="dot" w:pos="9062"/>
        </w:tabs>
      </w:pPr>
      <w:hyperlink w:anchor="_Toc8" w:history="1">
        <w:r>
          <w:t>Project Governance</w:t>
        </w:r>
        <w:r>
          <w:tab/>
        </w:r>
        <w:r>
          <w:fldChar w:fldCharType="begin"/>
        </w:r>
        <w:r>
          <w:instrText xml:space="preserve">PAGEREF 8 \h</w:instrText>
        </w:r>
        <w:r>
          <w:fldChar w:fldCharType="end"/>
        </w:r>
      </w:hyperlink>
    </w:p>
    <w:p>
      <w:pPr>
        <w:tabs>
          <w:tab w:val="right" w:leader="dot" w:pos="9062"/>
        </w:tabs>
      </w:pPr>
      <w:hyperlink w:anchor="_Toc9" w:history="1">
        <w:r>
          <w:t>Ratings and Overall Assessments</w:t>
        </w:r>
        <w:r>
          <w:tab/>
        </w:r>
        <w:r>
          <w:fldChar w:fldCharType="begin"/>
        </w:r>
        <w:r>
          <w:instrText xml:space="preserve">PAGEREF 9 \h</w:instrText>
        </w:r>
        <w:r>
          <w:fldChar w:fldCharType="end"/>
        </w:r>
      </w:hyperlink>
    </w:p>
    <w:p>
      <w:pPr>
        <w:tabs>
          <w:tab w:val="right" w:leader="dot" w:pos="9062"/>
        </w:tabs>
      </w:pPr>
      <w:hyperlink w:anchor="_Toc10" w:history="1">
        <w:r>
          <w:t>Minor Amendments</w:t>
        </w:r>
        <w:r>
          <w:tab/>
        </w:r>
        <w:r>
          <w:fldChar w:fldCharType="begin"/>
        </w:r>
        <w:r>
          <w:instrText xml:space="preserve">PAGEREF 10 \h</w:instrText>
        </w:r>
        <w:r>
          <w:fldChar w:fldCharType="end"/>
        </w:r>
      </w:hyperlink>
    </w:p>
    <w:p>
      <w:pPr>
        <w:tabs>
          <w:tab w:val="right" w:leader="dot" w:pos="9062"/>
        </w:tabs>
      </w:pPr>
      <w:hyperlink w:anchor="_Toc11" w:history="1">
        <w:r>
          <w:t>Gender</w:t>
        </w:r>
        <w:r>
          <w:tab/>
        </w:r>
        <w:r>
          <w:fldChar w:fldCharType="begin"/>
        </w:r>
        <w:r>
          <w:instrText xml:space="preserve">PAGEREF 11 \h</w:instrText>
        </w:r>
        <w:r>
          <w:fldChar w:fldCharType="end"/>
        </w:r>
      </w:hyperlink>
    </w:p>
    <w:p>
      <w:pPr>
        <w:tabs>
          <w:tab w:val="right" w:leader="dot" w:pos="9062"/>
        </w:tabs>
      </w:pPr>
      <w:hyperlink w:anchor="_Toc13" w:history="1">
        <w:r>
          <w:t>Risk Management</w:t>
        </w:r>
        <w:r>
          <w:tab/>
        </w:r>
        <w:r>
          <w:fldChar w:fldCharType="begin"/>
        </w:r>
        <w:r>
          <w:instrText xml:space="preserve">PAGEREF 13 \h</w:instrText>
        </w:r>
        <w:r>
          <w:fldChar w:fldCharType="end"/>
        </w:r>
      </w:hyperlink>
    </w:p>
    <w:p>
      <w:pPr>
        <w:tabs>
          <w:tab w:val="right" w:leader="dot" w:pos="9062"/>
        </w:tabs>
      </w:pPr>
      <w:hyperlink w:anchor="_Toc16" w:history="1">
        <w:r>
          <w:t>Knowledge Management &amp; Communications</w:t>
        </w:r>
        <w:r>
          <w:tab/>
        </w:r>
        <w:r>
          <w:fldChar w:fldCharType="begin"/>
        </w:r>
        <w:r>
          <w:instrText xml:space="preserve">PAGEREF 16 \h</w:instrText>
        </w:r>
        <w:r>
          <w:fldChar w:fldCharType="end"/>
        </w:r>
      </w:hyperlink>
    </w:p>
    <w:p>
      <w:pPr>
        <w:tabs>
          <w:tab w:val="right" w:leader="dot" w:pos="9062"/>
        </w:tabs>
      </w:pPr>
      <w:hyperlink w:anchor="_Toc17" w:history="1">
        <w:r>
          <w:t>Annex - Ratings Definitions</w:t>
        </w:r>
        <w:r>
          <w:tab/>
        </w:r>
        <w:r>
          <w:fldChar w:fldCharType="begin"/>
        </w:r>
        <w:r>
          <w:instrText xml:space="preserve">PAGEREF 17 \h</w:instrText>
        </w:r>
        <w:r>
          <w:fldChar w:fldCharType="end"/>
        </w:r>
      </w:hyperlink>
    </w:p>
    <w:p>
      <w:r>
        <w:fldChar w:fldCharType="end"/>
      </w:r>
    </w:p>
    <w:p>
      <w:pPr>
        <w:sectPr>
          <w:headerReference w:type="default" r:id="rId11"/>
          <w:footerReference w:type="default" r:id="rId12"/>
          <w:pgSz w:orient="portrait" w:w="11905.511811023622" w:h="16837.79527559055"/>
          <w:pgMar w:top="1440" w:right="1440" w:bottom="1440" w:left="1440" w:header="720" w:footer="720" w:gutter="0"/>
          <w:cols w:num="1" w:space="720"/>
        </w:sectPr>
      </w:pPr>
    </w:p>
    <w:p>
      <w:pPr>
        <w:pStyle w:val="Heading1"/>
      </w:pPr>
      <w:bookmarkStart w:id="0" w:name="_Toc0"/>
      <w:r>
        <w:t>Basic Data</w:t>
      </w:r>
      <w:bookmarkEnd w:id="0"/>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noWrap/>
          </w:tcPr>
          <w:p>
            <w:pPr/>
            <w:r>
              <w:rPr>
                <w:b w:val="1"/>
                <w:bCs w:val="1"/>
              </w:rPr>
              <w:t xml:space="preserve">Project Information</w:t>
            </w:r>
          </w:p>
        </w:tc>
      </w:tr>
      <w:tr>
        <w:trPr/>
        <w:tc>
          <w:tcPr>
            <w:tcW w:w="5000" w:type="dxa"/>
            <w:gridSpan w:val="1"/>
            <w:noWrap/>
          </w:tcPr>
          <w:p>
            <w:pPr/>
            <w:r>
              <w:rPr/>
              <w:t xml:space="preserve">UNDP PIMS ID</w:t>
            </w:r>
          </w:p>
        </w:tc>
        <w:tc>
          <w:tcPr>
            <w:tcW w:w="5000" w:type="dxa"/>
            <w:gridSpan w:val="1"/>
            <w:noWrap/>
          </w:tcPr>
          <w:p>
            <w:pPr/>
            <w:r>
              <w:rPr/>
              <w:t xml:space="preserve">6159</w:t>
            </w:r>
          </w:p>
        </w:tc>
      </w:tr>
      <w:tr>
        <w:trPr/>
        <w:tc>
          <w:tcPr>
            <w:tcW w:w="5000" w:type="dxa"/>
            <w:gridSpan w:val="1"/>
            <w:noWrap/>
          </w:tcPr>
          <w:p>
            <w:pPr/>
            <w:r>
              <w:rPr/>
              <w:t xml:space="preserve">GEF ID</w:t>
            </w:r>
          </w:p>
        </w:tc>
        <w:tc>
          <w:tcPr>
            <w:tcW w:w="5000" w:type="dxa"/>
            <w:gridSpan w:val="1"/>
            <w:noWrap/>
          </w:tcPr>
          <w:p>
            <w:pPr/>
            <w:r>
              <w:rPr/>
              <w:t xml:space="preserve">9905</w:t>
            </w:r>
          </w:p>
        </w:tc>
      </w:tr>
      <w:tr>
        <w:trPr/>
        <w:tc>
          <w:tcPr>
            <w:tcW w:w="5000" w:type="dxa"/>
            <w:gridSpan w:val="1"/>
            <w:noWrap/>
          </w:tcPr>
          <w:p>
            <w:pPr/>
            <w:r>
              <w:rPr/>
              <w:t xml:space="preserve">Title</w:t>
            </w:r>
          </w:p>
        </w:tc>
        <w:tc>
          <w:tcPr>
            <w:tcW w:w="5000" w:type="dxa"/>
            <w:gridSpan w:val="1"/>
            <w:noWrap/>
          </w:tcPr>
          <w:p>
            <w:pPr/>
            <w:r>
              <w:rPr/>
              <w:t xml:space="preserve">POIDIER</w:t>
            </w:r>
          </w:p>
        </w:tc>
      </w:tr>
      <w:tr>
        <w:trPr/>
        <w:tc>
          <w:tcPr>
            <w:tcW w:w="5000" w:type="dxa"/>
            <w:gridSpan w:val="1"/>
            <w:noWrap/>
          </w:tcPr>
          <w:p>
            <w:pPr/>
            <w:r>
              <w:rPr/>
              <w:t xml:space="preserve">Country(ies)</w:t>
            </w:r>
          </w:p>
        </w:tc>
        <w:tc>
          <w:tcPr>
            <w:tcW w:w="5000" w:type="dxa"/>
            <w:gridSpan w:val="1"/>
            <w:noWrap/>
          </w:tcPr>
          <w:p>
            <w:pPr/>
            <w:r>
              <w:rPr/>
              <w:t xml:space="preserve">Kiribati, Kiribati</w:t>
            </w:r>
          </w:p>
        </w:tc>
      </w:tr>
      <w:tr>
        <w:trPr/>
        <w:tc>
          <w:tcPr>
            <w:tcW w:w="5000" w:type="dxa"/>
            <w:gridSpan w:val="1"/>
            <w:noWrap/>
          </w:tcPr>
          <w:p>
            <w:pPr/>
            <w:r>
              <w:rPr/>
              <w:t xml:space="preserve">UNDP Technical Team</w:t>
            </w:r>
          </w:p>
        </w:tc>
        <w:tc>
          <w:tcPr>
            <w:tcW w:w="5000" w:type="dxa"/>
            <w:gridSpan w:val="1"/>
            <w:noWrap/>
          </w:tcPr>
          <w:p>
            <w:pPr/>
            <w:r>
              <w:rPr/>
              <w:t xml:space="preserve">Climate Change Mitigation</w:t>
            </w:r>
          </w:p>
        </w:tc>
      </w:tr>
      <w:tr>
        <w:trPr/>
        <w:tc>
          <w:tcPr>
            <w:tcW w:w="5000" w:type="dxa"/>
            <w:gridSpan w:val="1"/>
            <w:noWrap/>
          </w:tcPr>
          <w:p>
            <w:pPr/>
            <w:r>
              <w:rPr/>
              <w:t xml:space="preserve">Management Arrangements</w:t>
            </w:r>
          </w:p>
        </w:tc>
        <w:tc>
          <w:tcPr>
            <w:tcW w:w="5000" w:type="dxa"/>
            <w:gridSpan w:val="1"/>
            <w:noWrap/>
          </w:tcPr>
          <w:p>
            <w:pPr/>
            <w:r>
              <w:rPr/>
              <w:t xml:space="preserve">NIM</w:t>
            </w:r>
          </w:p>
        </w:tc>
      </w:tr>
      <w:tr>
        <w:trPr/>
        <w:tc>
          <w:tcPr>
            <w:tcW w:w="5000" w:type="dxa"/>
            <w:gridSpan w:val="1"/>
            <w:noWrap/>
          </w:tcPr>
          <w:p>
            <w:pPr/>
            <w:r>
              <w:rPr/>
              <w:t xml:space="preserve">Project Implementing Partner</w:t>
            </w:r>
          </w:p>
        </w:tc>
        <w:tc>
          <w:tcPr>
            <w:tcW w:w="5000" w:type="dxa"/>
            <w:gridSpan w:val="1"/>
            <w:noWrap/>
          </w:tcPr>
          <w:p>
            <w:pPr/>
            <w:r>
              <w:rPr/>
              <w:t xml:space="preserve">Ministry of Infrastructure and Sustainable Energy (MISE)</w:t>
            </w:r>
          </w:p>
        </w:tc>
      </w:tr>
      <w:tr>
        <w:trPr/>
        <w:tc>
          <w:tcPr>
            <w:tcW w:w="5000" w:type="dxa"/>
            <w:gridSpan w:val="1"/>
            <w:noWrap/>
          </w:tcPr>
          <w:p>
            <w:pPr/>
            <w:r>
              <w:rPr/>
              <w:t xml:space="preserve">Joint Agencies</w:t>
            </w:r>
          </w:p>
        </w:tc>
        <w:tc>
          <w:tcPr>
            <w:tcW w:w="5000" w:type="dxa"/>
            <w:gridSpan w:val="1"/>
            <w:noWrap/>
          </w:tcPr>
          <w:p>
            <w:pPr/>
            <w:r>
              <w:rPr>
                <w:i w:val="1"/>
                <w:iCs w:val="1"/>
              </w:rPr>
              <w:t xml:space="preserve">(not set or not applicable)</w:t>
            </w:r>
          </w:p>
        </w:tc>
      </w:tr>
      <w:tr>
        <w:trPr/>
        <w:tc>
          <w:tcPr>
            <w:tcW w:w="5000" w:type="dxa"/>
            <w:gridSpan w:val="1"/>
            <w:noWrap/>
          </w:tcPr>
          <w:p>
            <w:pPr/>
            <w:r>
              <w:rPr/>
              <w:t xml:space="preserve">Project Type</w:t>
            </w:r>
          </w:p>
        </w:tc>
        <w:tc>
          <w:tcPr>
            <w:tcW w:w="5000" w:type="dxa"/>
            <w:gridSpan w:val="1"/>
            <w:noWrap/>
          </w:tcPr>
          <w:p>
            <w:pPr/>
            <w:r>
              <w:rPr/>
              <w:t xml:space="preserve">Full Size</w:t>
            </w:r>
          </w:p>
        </w:tc>
      </w:tr>
      <w:tr>
        <w:trPr/>
        <w:tc>
          <w:tcPr>
            <w:tcW w:w="5000" w:type="dxa"/>
            <w:gridSpan w:val="1"/>
            <w:noWrap/>
          </w:tcPr>
          <w:p>
            <w:pPr/>
            <w:r>
              <w:rPr/>
              <w:t xml:space="preserve">Implementation Status</w:t>
            </w:r>
          </w:p>
        </w:tc>
        <w:tc>
          <w:tcPr>
            <w:tcW w:w="5000" w:type="dxa"/>
            <w:gridSpan w:val="1"/>
            <w:noWrap/>
          </w:tcPr>
          <w:p>
            <w:pPr/>
            <w:r>
              <w:rPr/>
              <w:t xml:space="preserve">5th PIR</w:t>
            </w:r>
          </w:p>
        </w:tc>
      </w:tr>
      <w:tr>
        <w:trPr/>
        <w:tc>
          <w:tcPr>
            <w:tcW w:w="5000" w:type="dxa"/>
            <w:gridSpan w:val="1"/>
            <w:noWrap/>
          </w:tcPr>
          <w:p>
            <w:pPr/>
            <w:r>
              <w:rPr/>
              <w:t xml:space="preserve">GEF Fiscal Year</w:t>
            </w:r>
          </w:p>
        </w:tc>
        <w:tc>
          <w:tcPr>
            <w:tcW w:w="5000" w:type="dxa"/>
            <w:gridSpan w:val="1"/>
            <w:noWrap/>
          </w:tcPr>
          <w:p>
            <w:pPr/>
            <w:r>
              <w:rPr/>
              <w:t xml:space="preserve">FY25</w:t>
            </w:r>
          </w:p>
        </w:tc>
      </w:tr>
      <w:tr>
        <w:trPr/>
        <w:tc>
          <w:tcPr>
            <w:tcW w:w="5000" w:type="dxa"/>
            <w:gridSpan w:val="1"/>
            <w:noWrap/>
          </w:tcPr>
          <w:p>
            <w:pPr/>
            <w:r>
              <w:rPr/>
              <w:t xml:space="preserve">Trust Fund</w:t>
            </w:r>
          </w:p>
        </w:tc>
        <w:tc>
          <w:tcPr>
            <w:tcW w:w="5000" w:type="dxa"/>
            <w:gridSpan w:val="1"/>
            <w:noWrap/>
          </w:tcPr>
          <w:p>
            <w:pPr/>
            <w:r>
              <w:rPr/>
              <w:t xml:space="preserve">GEF Trust Fund</w:t>
            </w:r>
          </w:p>
        </w:tc>
      </w:tr>
    </w:tbl>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noWrap/>
          </w:tcPr>
          <w:p>
            <w:pPr/>
            <w:r>
              <w:rPr>
                <w:b w:val="1"/>
                <w:bCs w:val="1"/>
              </w:rPr>
              <w:t xml:space="preserve">Project Description</w:t>
            </w:r>
          </w:p>
        </w:tc>
      </w:tr>
      <w:tr>
        <w:trPr/>
        <w:tc>
          <w:tcPr>
            <w:tcW w:w="10000" w:type="dxa"/>
            <w:gridSpan w:val="1"/>
            <w:noWrap/>
          </w:tcPr>
          <w:p>
            <w:pPr/>
            <w:r>
              <w:rPr/>
              <w:t xml:space="preserve">Project Objective: Facilitation of outer island development through the achievement of the renewable energy and energy efficiency targets of Kiribati.</w:t>
            </w:r>
          </w:p>
        </w:tc>
      </w:tr>
    </w:tbl>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noWrap/>
          </w:tcPr>
          <w:p>
            <w:pPr/>
            <w:r>
              <w:rPr>
                <w:b w:val="1"/>
                <w:bCs w:val="1"/>
              </w:rPr>
              <w:t xml:space="preserve">Project Contacts</w:t>
            </w:r>
          </w:p>
        </w:tc>
      </w:tr>
      <w:tr>
        <w:trPr/>
        <w:tc>
          <w:tcPr>
            <w:tcW w:w="5000" w:type="dxa"/>
            <w:gridSpan w:val="1"/>
            <w:noWrap/>
          </w:tcPr>
          <w:p>
            <w:pPr/>
            <w:r>
              <w:rPr/>
              <w:t xml:space="preserve">UNDP BPPS Technical Advisor</w:t>
            </w:r>
          </w:p>
        </w:tc>
        <w:tc>
          <w:tcPr>
            <w:tcW w:w="5000" w:type="dxa"/>
            <w:gridSpan w:val="1"/>
            <w:noWrap/>
          </w:tcPr>
          <w:p>
            <w:pPr/>
            <w:r>
              <w:rPr/>
              <w:t xml:space="preserve">Mr. Sergio Quiros.navas (sergio.quiros.navas@undp.org)</w:t>
            </w:r>
          </w:p>
        </w:tc>
      </w:tr>
      <w:tr>
        <w:trPr/>
        <w:tc>
          <w:tcPr>
            <w:tcW w:w="5000" w:type="dxa"/>
            <w:gridSpan w:val="1"/>
            <w:noWrap/>
          </w:tcPr>
          <w:p>
            <w:pPr/>
            <w:r>
              <w:rPr/>
              <w:t xml:space="preserve">UNDP BPPS Programme Associate</w:t>
            </w:r>
          </w:p>
        </w:tc>
        <w:tc>
          <w:tcPr>
            <w:tcW w:w="5000" w:type="dxa"/>
            <w:gridSpan w:val="1"/>
            <w:noWrap/>
          </w:tcPr>
          <w:p>
            <w:pPr/>
            <w:r>
              <w:rPr/>
              <w:t xml:space="preserve">Mr. Krit Manator (krit.manator@undp.org)</w:t>
            </w:r>
          </w:p>
        </w:tc>
      </w:tr>
      <w:tr>
        <w:trPr/>
        <w:tc>
          <w:tcPr>
            <w:tcW w:w="5000" w:type="dxa"/>
            <w:gridSpan w:val="1"/>
            <w:noWrap/>
          </w:tcPr>
          <w:p>
            <w:pPr/>
            <w:r>
              <w:rPr/>
              <w:t xml:space="preserve">UNDP BPPS SES Technical Advisor</w:t>
            </w:r>
          </w:p>
        </w:tc>
        <w:tc>
          <w:tcPr>
            <w:tcW w:w="5000" w:type="dxa"/>
            <w:gridSpan w:val="1"/>
            <w:noWrap/>
          </w:tcPr>
          <w:p>
            <w:pPr/>
            <w:r>
              <w:rPr/>
              <w:t xml:space="preserve">Ms. Kate Walker (kate.walker@undp.org)</w:t>
            </w:r>
          </w:p>
        </w:tc>
      </w:tr>
      <w:tr>
        <w:trPr/>
        <w:tc>
          <w:tcPr>
            <w:tcW w:w="5000" w:type="dxa"/>
            <w:gridSpan w:val="1"/>
            <w:noWrap/>
          </w:tcPr>
          <w:p>
            <w:pPr/>
            <w:r>
              <w:rPr/>
              <w:t xml:space="preserve">Project Manager/Coordinator</w:t>
            </w:r>
          </w:p>
        </w:tc>
        <w:tc>
          <w:tcPr>
            <w:tcW w:w="5000" w:type="dxa"/>
            <w:gridSpan w:val="1"/>
            <w:noWrap/>
          </w:tcPr>
          <w:p>
            <w:pPr/>
            <w:r>
              <w:rPr/>
              <w:t xml:space="preserve">Mr. roman korimara (romankorimara@gmail.com)</w:t>
            </w:r>
          </w:p>
        </w:tc>
      </w:tr>
      <w:tr>
        <w:trPr/>
        <w:tc>
          <w:tcPr>
            <w:tcW w:w="5000" w:type="dxa"/>
            <w:gridSpan w:val="1"/>
            <w:noWrap/>
          </w:tcPr>
          <w:p>
            <w:pPr/>
            <w:r>
              <w:rPr/>
              <w:t xml:space="preserve">UNDP Country Office Programme Officer</w:t>
            </w:r>
          </w:p>
        </w:tc>
        <w:tc>
          <w:tcPr>
            <w:tcW w:w="5000" w:type="dxa"/>
            <w:gridSpan w:val="1"/>
            <w:noWrap/>
          </w:tcPr>
          <w:p>
            <w:pPr/>
            <w:r>
              <w:rPr/>
              <w:t xml:space="preserve">Ms. Wanyi Wang (wanyi.wang@undp.org)</w:t>
            </w:r>
          </w:p>
        </w:tc>
      </w:tr>
      <w:tr>
        <w:trPr/>
        <w:tc>
          <w:tcPr>
            <w:tcW w:w="5000" w:type="dxa"/>
            <w:gridSpan w:val="1"/>
            <w:noWrap/>
          </w:tcPr>
          <w:p>
            <w:pPr/>
            <w:r>
              <w:rPr/>
              <w:t xml:space="preserve">UNDP Country Office Deputy Resident Representative</w:t>
            </w:r>
          </w:p>
        </w:tc>
        <w:tc>
          <w:tcPr>
            <w:tcW w:w="5000" w:type="dxa"/>
            <w:gridSpan w:val="1"/>
            <w:noWrap/>
          </w:tcPr>
          <w:p>
            <w:pPr/>
            <w:r>
              <w:rPr/>
              <w:t xml:space="preserve">Gulbahor Nematova (gulbahor.nematova@undp.org)</w:t>
            </w:r>
          </w:p>
        </w:tc>
      </w:tr>
      <w:tr>
        <w:trPr/>
        <w:tc>
          <w:tcPr>
            <w:tcW w:w="5000" w:type="dxa"/>
            <w:gridSpan w:val="1"/>
            <w:noWrap/>
          </w:tcPr>
          <w:p>
            <w:pPr/>
            <w:r>
              <w:rPr/>
              <w:t xml:space="preserve">UNDP Regional Bureau Desk Officer</w:t>
            </w:r>
          </w:p>
        </w:tc>
        <w:tc>
          <w:tcPr>
            <w:tcW w:w="5000" w:type="dxa"/>
            <w:gridSpan w:val="1"/>
            <w:noWrap/>
          </w:tcPr>
          <w:p>
            <w:pPr/>
            <w:r>
              <w:rPr/>
              <w:t xml:space="preserve">Ms. Rany Pen (rany.pen@undp.org)</w:t>
            </w:r>
          </w:p>
        </w:tc>
      </w:tr>
      <w:tr>
        <w:trPr/>
        <w:tc>
          <w:tcPr>
            <w:tcW w:w="5000" w:type="dxa"/>
            <w:gridSpan w:val="1"/>
            <w:noWrap/>
          </w:tcPr>
          <w:p>
            <w:pPr/>
            <w:r>
              <w:rPr/>
              <w:t xml:space="preserve">GEF Operational Focal Point</w:t>
            </w:r>
          </w:p>
        </w:tc>
        <w:tc>
          <w:tcPr>
            <w:tcW w:w="5000" w:type="dxa"/>
            <w:gridSpan w:val="1"/>
            <w:noWrap/>
          </w:tcPr>
          <w:p>
            <w:pPr/>
            <w:r>
              <w:rPr/>
              <w:t xml:space="preserve">Ms. Nenenteiti Teariki Ruatu (nteariki@gmail.com)</w:t>
            </w:r>
          </w:p>
        </w:tc>
      </w:tr>
      <w:tr>
        <w:trPr/>
        <w:tc>
          <w:tcPr>
            <w:tcW w:w="5000" w:type="dxa"/>
            <w:gridSpan w:val="1"/>
            <w:noWrap/>
          </w:tcPr>
          <w:p>
            <w:pPr/>
            <w:r>
              <w:rPr/>
              <w:t xml:space="preserve">Project Implementing Partner</w:t>
            </w:r>
          </w:p>
        </w:tc>
        <w:tc>
          <w:tcPr>
            <w:tcW w:w="5000" w:type="dxa"/>
            <w:gridSpan w:val="1"/>
            <w:noWrap/>
          </w:tcPr>
          <w:p>
            <w:pPr/>
            <w:r>
              <w:rPr/>
              <w:t xml:space="preserve">Mr. Farran Redfern (secretary@mise.gov.ki)</w:t>
            </w:r>
          </w:p>
        </w:tc>
      </w:tr>
      <w:tr>
        <w:trPr/>
        <w:tc>
          <w:tcPr>
            <w:tcW w:w="5000" w:type="dxa"/>
            <w:gridSpan w:val="1"/>
            <w:noWrap/>
          </w:tcPr>
          <w:p>
            <w:pPr/>
            <w:r>
              <w:rPr/>
              <w:t xml:space="preserve">Other Partners</w:t>
            </w:r>
          </w:p>
        </w:tc>
        <w:tc>
          <w:tcPr>
            <w:tcW w:w="5000" w:type="dxa"/>
            <w:gridSpan w:val="1"/>
            <w:noWrap/>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1" w:name="_Toc1"/>
      <w:r>
        <w:t>Key project dates</w:t>
      </w:r>
      <w:bookmarkEnd w:id="1"/>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noWrap/>
          </w:tcPr>
          <w:p>
            <w:pPr/>
            <w:r>
              <w:rPr/>
              <w:t xml:space="preserve">Project duration</w:t>
            </w:r>
          </w:p>
        </w:tc>
        <w:tc>
          <w:tcPr>
            <w:tcW w:w="5000" w:type="dxa"/>
            <w:vAlign w:val="center"/>
            <w:gridSpan w:val="1"/>
            <w:noWrap/>
          </w:tcPr>
          <w:p>
            <w:pPr>
              <w:jc w:val="right"/>
            </w:pPr>
            <w:r>
              <w:rPr/>
              <w:t xml:space="preserve">48 months</w:t>
            </w:r>
          </w:p>
        </w:tc>
      </w:tr>
      <w:tr>
        <w:trPr/>
        <w:tc>
          <w:tcPr>
            <w:tcW w:w="5000" w:type="dxa"/>
            <w:gridSpan w:val="1"/>
            <w:noWrap/>
          </w:tcPr>
          <w:p>
            <w:pPr/>
            <w:r>
              <w:rPr/>
              <w:t xml:space="preserve">PIF Approval Date</w:t>
            </w:r>
          </w:p>
        </w:tc>
        <w:tc>
          <w:tcPr>
            <w:tcW w:w="5000" w:type="dxa"/>
            <w:vAlign w:val="center"/>
            <w:gridSpan w:val="1"/>
            <w:noWrap/>
          </w:tcPr>
          <w:p>
            <w:pPr>
              <w:jc w:val="right"/>
            </w:pPr>
            <w:r>
              <w:rPr/>
              <w:t xml:space="preserve">Nov 29, 2017</w:t>
            </w:r>
          </w:p>
        </w:tc>
      </w:tr>
      <w:tr>
        <w:trPr/>
        <w:tc>
          <w:tcPr>
            <w:tcW w:w="5000" w:type="dxa"/>
            <w:gridSpan w:val="1"/>
            <w:noWrap/>
          </w:tcPr>
          <w:p>
            <w:pPr/>
            <w:r>
              <w:rPr/>
              <w:t xml:space="preserve">CEO Endorsement Date</w:t>
            </w:r>
          </w:p>
        </w:tc>
        <w:tc>
          <w:tcPr>
            <w:tcW w:w="5000" w:type="dxa"/>
            <w:vAlign w:val="center"/>
            <w:gridSpan w:val="1"/>
            <w:noWrap/>
          </w:tcPr>
          <w:p>
            <w:pPr>
              <w:jc w:val="right"/>
            </w:pPr>
            <w:r>
              <w:rPr/>
              <w:t xml:space="preserve">Jul 21, 2020</w:t>
            </w:r>
          </w:p>
        </w:tc>
      </w:tr>
      <w:tr>
        <w:trPr/>
        <w:tc>
          <w:tcPr>
            <w:tcW w:w="5000" w:type="dxa"/>
            <w:gridSpan w:val="1"/>
            <w:noWrap/>
          </w:tcPr>
          <w:p>
            <w:pPr/>
            <w:r>
              <w:rPr/>
              <w:t xml:space="preserve">Project Document Signature Date (project start date):</w:t>
            </w:r>
          </w:p>
        </w:tc>
        <w:tc>
          <w:tcPr>
            <w:tcW w:w="5000" w:type="dxa"/>
            <w:vAlign w:val="center"/>
            <w:gridSpan w:val="1"/>
            <w:noWrap/>
          </w:tcPr>
          <w:p>
            <w:pPr>
              <w:jc w:val="right"/>
            </w:pPr>
            <w:r>
              <w:rPr/>
              <w:t xml:space="preserve">Sep 29, 2020</w:t>
            </w:r>
          </w:p>
        </w:tc>
      </w:tr>
      <w:tr>
        <w:trPr/>
        <w:tc>
          <w:tcPr>
            <w:tcW w:w="5000" w:type="dxa"/>
            <w:gridSpan w:val="1"/>
            <w:noWrap/>
          </w:tcPr>
          <w:p>
            <w:pPr/>
            <w:r>
              <w:rPr/>
              <w:t xml:space="preserve">Date of Inception Workshop</w:t>
            </w:r>
          </w:p>
        </w:tc>
        <w:tc>
          <w:tcPr>
            <w:tcW w:w="5000" w:type="dxa"/>
            <w:vAlign w:val="center"/>
            <w:gridSpan w:val="1"/>
            <w:noWrap/>
          </w:tcPr>
          <w:p>
            <w:pPr>
              <w:jc w:val="right"/>
            </w:pPr>
            <w:r>
              <w:rPr/>
              <w:t xml:space="preserve">Jan 28, 2021</w:t>
            </w:r>
          </w:p>
        </w:tc>
      </w:tr>
      <w:tr>
        <w:trPr/>
        <w:tc>
          <w:tcPr>
            <w:tcW w:w="5000" w:type="dxa"/>
            <w:gridSpan w:val="1"/>
            <w:noWrap/>
          </w:tcPr>
          <w:p>
            <w:pPr/>
            <w:r>
              <w:rPr/>
              <w:t xml:space="preserve">First Disbursement Date</w:t>
            </w:r>
          </w:p>
        </w:tc>
        <w:tc>
          <w:tcPr>
            <w:tcW w:w="5000" w:type="dxa"/>
            <w:vAlign w:val="center"/>
            <w:gridSpan w:val="1"/>
            <w:noWrap/>
          </w:tcPr>
          <w:p>
            <w:pPr>
              <w:jc w:val="right"/>
            </w:pPr>
            <w:r>
              <w:rPr/>
              <w:t xml:space="preserve">Nov 19, 2020</w:t>
            </w:r>
          </w:p>
        </w:tc>
      </w:tr>
      <w:tr>
        <w:trPr/>
        <w:tc>
          <w:tcPr>
            <w:tcW w:w="5000" w:type="dxa"/>
            <w:gridSpan w:val="1"/>
            <w:noWrap/>
          </w:tcPr>
          <w:p>
            <w:pPr/>
            <w:r>
              <w:rPr/>
              <w:t xml:space="preserve">Expected Date of Mid-term Review</w:t>
            </w:r>
          </w:p>
        </w:tc>
        <w:tc>
          <w:tcPr>
            <w:tcW w:w="5000" w:type="dxa"/>
            <w:vAlign w:val="center"/>
            <w:gridSpan w:val="1"/>
            <w:noWrap/>
          </w:tcPr>
          <w:p>
            <w:pPr>
              <w:jc w:val="right"/>
            </w:pPr>
            <w:r>
              <w:rPr/>
              <w:t xml:space="preserve">Sep 29, 2026</w:t>
            </w:r>
          </w:p>
        </w:tc>
      </w:tr>
      <w:tr>
        <w:trPr/>
        <w:tc>
          <w:tcPr>
            <w:tcW w:w="5000" w:type="dxa"/>
            <w:gridSpan w:val="1"/>
            <w:noWrap/>
          </w:tcPr>
          <w:p>
            <w:pPr/>
            <w:r>
              <w:rPr/>
              <w:t xml:space="preserve">Actual Date of Mid-term Review</w:t>
            </w:r>
          </w:p>
        </w:tc>
        <w:tc>
          <w:tcPr>
            <w:tcW w:w="5000" w:type="dxa"/>
            <w:vAlign w:val="center"/>
            <w:gridSpan w:val="1"/>
            <w:noWrap/>
          </w:tcPr>
          <w:p>
            <w:pPr>
              <w:jc w:val="right"/>
            </w:pPr>
            <w:r>
              <w:rPr>
                <w:i w:val="1"/>
                <w:iCs w:val="1"/>
              </w:rPr>
              <w:t xml:space="preserve">(not set or not applicable)</w:t>
            </w:r>
          </w:p>
        </w:tc>
      </w:tr>
      <w:tr>
        <w:trPr/>
        <w:tc>
          <w:tcPr>
            <w:tcW w:w="5000" w:type="dxa"/>
            <w:gridSpan w:val="1"/>
            <w:noWrap/>
          </w:tcPr>
          <w:p>
            <w:pPr/>
            <w:r>
              <w:rPr/>
              <w:t xml:space="preserve">Expected Date of Terminal Evaluation</w:t>
            </w:r>
          </w:p>
        </w:tc>
        <w:tc>
          <w:tcPr>
            <w:tcW w:w="5000" w:type="dxa"/>
            <w:vAlign w:val="center"/>
            <w:gridSpan w:val="1"/>
            <w:noWrap/>
          </w:tcPr>
          <w:p>
            <w:pPr>
              <w:jc w:val="right"/>
            </w:pPr>
            <w:r>
              <w:rPr/>
              <w:t xml:space="preserve">Jun 29, 2028</w:t>
            </w:r>
          </w:p>
        </w:tc>
      </w:tr>
      <w:tr>
        <w:trPr/>
        <w:tc>
          <w:tcPr>
            <w:tcW w:w="5000" w:type="dxa"/>
            <w:gridSpan w:val="1"/>
            <w:noWrap/>
          </w:tcPr>
          <w:p>
            <w:pPr/>
            <w:r>
              <w:rPr/>
              <w:t xml:space="preserve">Original Planned Closing Date</w:t>
            </w:r>
          </w:p>
        </w:tc>
        <w:tc>
          <w:tcPr>
            <w:tcW w:w="5000" w:type="dxa"/>
            <w:vAlign w:val="center"/>
            <w:gridSpan w:val="1"/>
            <w:noWrap/>
          </w:tcPr>
          <w:p>
            <w:pPr>
              <w:jc w:val="right"/>
            </w:pPr>
            <w:r>
              <w:rPr/>
              <w:t xml:space="preserve">Sep 29, 2024</w:t>
            </w:r>
          </w:p>
        </w:tc>
      </w:tr>
      <w:tr>
        <w:trPr/>
        <w:tc>
          <w:tcPr>
            <w:tcW w:w="5000" w:type="dxa"/>
            <w:gridSpan w:val="1"/>
            <w:noWrap/>
          </w:tcPr>
          <w:p>
            <w:pPr/>
            <w:r>
              <w:rPr/>
              <w:t xml:space="preserve">Revised Planned Closing Date</w:t>
            </w:r>
          </w:p>
        </w:tc>
        <w:tc>
          <w:tcPr>
            <w:tcW w:w="5000" w:type="dxa"/>
            <w:vAlign w:val="center"/>
            <w:gridSpan w:val="1"/>
            <w:noWrap/>
          </w:tcPr>
          <w:p>
            <w:pPr>
              <w:jc w:val="right"/>
            </w:pPr>
            <w:r>
              <w:rPr/>
              <w:t xml:space="preserve">Sep 29, 2028</w:t>
            </w:r>
          </w:p>
        </w:tc>
      </w:tr>
    </w:tbl>
    <w:p>
      <w:pPr>
        <w:sectPr>
          <w:pgSz w:orient="portrait" w:w="11905.511811023622" w:h="16837.79527559055"/>
          <w:pgMar w:top="1440" w:right="1440" w:bottom="1440" w:left="1440" w:header="720" w:footer="720" w:gutter="0"/>
          <w:cols w:num="1" w:space="720"/>
        </w:sectPr>
      </w:pPr>
    </w:p>
    <w:p>
      <w:pPr>
        <w:pStyle w:val="Heading1"/>
      </w:pPr>
      <w:bookmarkStart w:id="2" w:name="_Toc2"/>
      <w:r>
        <w:t>Overall ratings</w:t>
      </w:r>
      <w:bookmarkEnd w:id="2"/>
    </w:p>
    <w:tbl>
      <w:tblGrid>
        <w:gridCol w:w="8000" w:type="dxa"/>
        <w:gridCol w:w="8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8000" w:type="dxa"/>
            <w:gridSpan w:val="1"/>
            <w:noWrap/>
          </w:tcPr>
          <w:p>
            <w:pPr/>
            <w:r>
              <w:rPr/>
              <w:t xml:space="preserve">Overall DO Rating</w:t>
            </w:r>
          </w:p>
        </w:tc>
        <w:tc>
          <w:tcPr>
            <w:tcW w:w="8000" w:type="dxa"/>
            <w:gridSpan w:val="1"/>
            <w:noWrap/>
          </w:tcPr>
          <w:p>
            <w:pPr/>
            <w:r>
              <w:rPr/>
              <w:t xml:space="preserve">Moderately Unsatisfactory</w:t>
            </w:r>
          </w:p>
        </w:tc>
      </w:tr>
      <w:tr>
        <w:trPr/>
        <w:tc>
          <w:tcPr>
            <w:tcW w:w="8000" w:type="dxa"/>
            <w:gridSpan w:val="1"/>
            <w:noWrap/>
          </w:tcPr>
          <w:p>
            <w:pPr/>
            <w:r>
              <w:rPr/>
              <w:t xml:space="preserve">Overall IP Rating</w:t>
            </w:r>
          </w:p>
        </w:tc>
        <w:tc>
          <w:tcPr>
            <w:tcW w:w="8000" w:type="dxa"/>
            <w:gridSpan w:val="1"/>
            <w:noWrap/>
          </w:tcPr>
          <w:p>
            <w:pPr/>
            <w:r>
              <w:rPr/>
              <w:t xml:space="preserve">Moderately Unsatisfactory</w:t>
            </w:r>
          </w:p>
        </w:tc>
      </w:tr>
      <w:tr>
        <w:trPr/>
        <w:tc>
          <w:tcPr>
            <w:tcW w:w="8000" w:type="dxa"/>
            <w:gridSpan w:val="1"/>
            <w:noWrap/>
          </w:tcPr>
          <w:p>
            <w:pPr/>
            <w:r>
              <w:rPr/>
              <w:t xml:space="preserve">Overall Risk Rating</w:t>
            </w:r>
          </w:p>
        </w:tc>
        <w:tc>
          <w:tcPr>
            <w:tcW w:w="8000" w:type="dxa"/>
            <w:gridSpan w:val="1"/>
            <w:noWrap/>
          </w:tcPr>
          <w:p>
            <w:pPr/>
            <w:r>
              <w:rPr/>
              <w:t xml:space="preserve">substantial</w:t>
            </w:r>
          </w:p>
        </w:tc>
      </w:tr>
    </w:tbl>
    <w:p>
      <w:pPr>
        <w:sectPr>
          <w:pgSz w:orient="portrait" w:w="11905.511811023622" w:h="16837.79527559055"/>
          <w:pgMar w:top="1440" w:right="1440" w:bottom="1440" w:left="1440" w:header="720" w:footer="720" w:gutter="0"/>
          <w:cols w:num="1" w:space="720"/>
        </w:sectPr>
      </w:pPr>
    </w:p>
    <w:p>
      <w:pPr>
        <w:pStyle w:val="Heading1"/>
      </w:pPr>
      <w:bookmarkStart w:id="3" w:name="_Toc3"/>
      <w:r>
        <w:t>Development Objective Progress</w:t>
      </w:r>
      <w:bookmarkEnd w:id="3"/>
    </w:p>
    <w:p>
      <w:pPr/>
      <w:r>
        <w:rPr/>
        <w:t xml:space="preserve">It is mandatory for all reported progress to be substantiated by evidence. Please upload evidence files for each objective/outcome via the DO PROGRESS section in the online PIR platform.  If there is no evidence to upload, the Project Manager is required to provide an explanation. </w:t>
      </w:r>
    </w:p>
    <w:tbl>
      <w:tblGrid>
        <w:gridCol w:w="4000" w:type="dxa"/>
        <w:gridCol w:w="2000" w:type="dxa"/>
        <w:gridCol w:w="2000" w:type="dxa"/>
        <w:gridCol w:w="2000" w:type="dxa"/>
        <w:gridCol w:w="4000" w:type="dxa"/>
        <w:gridCol w:w="4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6000" w:type="dxa"/>
            <w:gridSpan w:val="7"/>
            <w:noWrap/>
          </w:tcPr>
          <w:p>
            <w:pPr/>
            <w:r>
              <w:rPr>
                <w:b w:val="1"/>
                <w:bCs w:val="1"/>
              </w:rPr>
              <w:t xml:space="preserve">Description</w:t>
            </w:r>
          </w:p>
        </w:tc>
      </w:tr>
      <w:tr>
        <w:trPr/>
        <w:tc>
          <w:tcPr>
            <w:tcW w:w="16000" w:type="dxa"/>
            <w:shd w:val="clear" w:fill="#D9D9D9"/>
            <w:gridSpan w:val="7"/>
            <w:noWrap/>
          </w:tcPr>
          <w:p>
            <w:pPr/>
            <w:r>
              <w:rPr>
                <w:b w:val="1"/>
                <w:bCs w:val="1"/>
              </w:rPr>
              <w:t xml:space="preserve">Objective</w:t>
            </w:r>
          </w:p>
          <w:p>
            <w:pPr/>
            <w:r>
              <w:rPr>
                <w:b w:val="1"/>
                <w:bCs w:val="1"/>
              </w:rPr>
              <w:t xml:space="preserve">Project Goal: Reduced annual growth rate of GHG emissions in the energy sector of the country.</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Cumulative tons of incremental GHG emission reductions from business as usual (tons CO2)</w:t>
            </w:r>
          </w:p>
        </w:tc>
        <w:tc>
          <w:tcPr>
            <w:tcW w:w="2000" w:type="dxa"/>
            <w:gridSpan w:val="1"/>
            <w:noWrap/>
          </w:tcPr>
          <w:p>
            <w:pPr/>
            <w:r>
              <w:rPr/>
              <w:t xml:space="preserve">0</w:t>
            </w:r>
          </w:p>
        </w:tc>
        <w:tc>
          <w:tcPr>
            <w:tcW w:w="2000" w:type="dxa"/>
            <w:gridSpan w:val="1"/>
            <w:noWrap/>
          </w:tcPr>
          <w:p>
            <w:pPr/>
            <w:r>
              <w:rPr/>
              <w:t xml:space="preserve">9,618</w:t>
            </w:r>
          </w:p>
        </w:tc>
        <w:tc>
          <w:tcPr>
            <w:tcW w:w="2000" w:type="dxa"/>
            <w:gridSpan w:val="1"/>
            <w:noWrap/>
          </w:tcPr>
          <w:p>
            <w:pPr/>
            <w:r>
              <w:rPr/>
              <w:t xml:space="preserve">58,049</w:t>
            </w:r>
          </w:p>
        </w:tc>
        <w:tc>
          <w:tcPr>
            <w:tcW w:w="4000" w:type="dxa"/>
            <w:gridSpan w:val="1"/>
            <w:noWrap/>
          </w:tcPr>
          <w:p>
            <w:pPr/>
            <w:r>
              <w:rPr/>
              <w:t xml:space="preserve">0</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 As a next step, a project board meeting is scheduled in August, and the implementation will start once based on the validation results.</w:t>
            </w:r>
          </w:p>
          <w:p>
            <w:pPr/>
            <w:r>
              <w:rPr/>
              <w:t xml:space="preserve"/>
            </w:r>
          </w:p>
          <w:p>
            <w:pPr/>
            <w:r>
              <w:rPr/>
              <w:t xml:space="preserve"/>
            </w:r>
          </w:p>
          <w:p>
            <w:pPr/>
            <w:r>
              <w:rPr/>
              <w:t xml:space="preserve"/>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Off track</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r>
        <w:trPr/>
        <w:tc>
          <w:tcPr>
            <w:tcW w:w="16000" w:type="dxa"/>
            <w:shd w:val="clear" w:fill="#D9D9D9"/>
            <w:gridSpan w:val="7"/>
            <w:noWrap/>
          </w:tcPr>
          <w:p>
            <w:pPr/>
            <w:r>
              <w:rPr>
                <w:b w:val="1"/>
                <w:bCs w:val="1"/>
              </w:rPr>
              <w:t xml:space="preserve">Objective</w:t>
            </w:r>
          </w:p>
          <w:p>
            <w:pPr/>
            <w:r>
              <w:rPr>
                <w:b w:val="1"/>
                <w:bCs w:val="1"/>
              </w:rPr>
              <w:t xml:space="preserve">Project Objective: Enabling enhanced outer island development through the achievement of the renewable energy and energy efficiency targets of Kiribati.</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Incremental number of outer island households with increased level of energy access by at least 50% more kWh/day electricity or improved cooking conditions</w:t>
            </w:r>
          </w:p>
        </w:tc>
        <w:tc>
          <w:tcPr>
            <w:tcW w:w="2000" w:type="dxa"/>
            <w:gridSpan w:val="1"/>
            <w:noWrap/>
          </w:tcPr>
          <w:p>
            <w:pPr/>
            <w:r>
              <w:rPr/>
              <w:t xml:space="preserve">0</w:t>
            </w:r>
          </w:p>
        </w:tc>
        <w:tc>
          <w:tcPr>
            <w:tcW w:w="2000" w:type="dxa"/>
            <w:gridSpan w:val="1"/>
            <w:noWrap/>
          </w:tcPr>
          <w:p>
            <w:pPr/>
            <w:r>
              <w:rPr/>
              <w:t xml:space="preserve">8,183 (with at least 20% woman-headed households)</w:t>
            </w:r>
          </w:p>
        </w:tc>
        <w:tc>
          <w:tcPr>
            <w:tcW w:w="2000" w:type="dxa"/>
            <w:gridSpan w:val="1"/>
            <w:noWrap/>
          </w:tcPr>
          <w:p>
            <w:pPr/>
            <w:r>
              <w:rPr/>
              <w:t xml:space="preserve">12,274 (with at least 20% women headed households)</w:t>
            </w:r>
          </w:p>
        </w:tc>
        <w:tc>
          <w:tcPr>
            <w:tcW w:w="4000" w:type="dxa"/>
            <w:gridSpan w:val="1"/>
            <w:noWrap/>
          </w:tcPr>
          <w:p>
            <w:pPr/>
            <w:r>
              <w:rPr/>
              <w:t xml:space="preserve">0</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 As a next step, a project board meeting is scheduled in August, and the implementation will start once based on the validation results.</w:t>
            </w:r>
          </w:p>
          <w:p>
            <w:pPr/>
            <w:r>
              <w:rPr/>
              <w:t xml:space="preserve"/>
            </w:r>
          </w:p>
        </w:tc>
      </w:tr>
      <w:tr>
        <w:trPr/>
        <w:tc>
          <w:tcPr>
            <w:tcW w:w="4000" w:type="dxa"/>
            <w:gridSpan w:val="1"/>
            <w:noWrap/>
          </w:tcPr>
          <w:p>
            <w:pPr/>
            <w:r>
              <w:rPr/>
              <w:t xml:space="preserve">Cumulative fossil fuel savings due to SE and LC technology projects implemented as influenced by the project interventions, toe</w:t>
            </w:r>
          </w:p>
        </w:tc>
        <w:tc>
          <w:tcPr>
            <w:tcW w:w="2000" w:type="dxa"/>
            <w:gridSpan w:val="1"/>
            <w:noWrap/>
          </w:tcPr>
          <w:p>
            <w:pPr/>
            <w:r>
              <w:rPr/>
              <w:t xml:space="preserve">0</w:t>
            </w:r>
          </w:p>
        </w:tc>
        <w:tc>
          <w:tcPr>
            <w:tcW w:w="2000" w:type="dxa"/>
            <w:gridSpan w:val="1"/>
            <w:noWrap/>
          </w:tcPr>
          <w:p>
            <w:pPr/>
            <w:r>
              <w:rPr/>
              <w:t xml:space="preserve">1,924</w:t>
            </w:r>
          </w:p>
        </w:tc>
        <w:tc>
          <w:tcPr>
            <w:tcW w:w="2000" w:type="dxa"/>
            <w:gridSpan w:val="1"/>
            <w:noWrap/>
          </w:tcPr>
          <w:p>
            <w:pPr/>
            <w:r>
              <w:rPr/>
              <w:t xml:space="preserve">11,667</w:t>
            </w:r>
          </w:p>
        </w:tc>
        <w:tc>
          <w:tcPr>
            <w:tcW w:w="4000" w:type="dxa"/>
            <w:gridSpan w:val="1"/>
            <w:noWrap/>
          </w:tcPr>
          <w:p>
            <w:pPr/>
            <w:r>
              <w:rPr/>
              <w:t xml:space="preserve">0</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 As a next step, a project board meeting is scheduled in August, and the implementation will start once based on the validation results.</w:t>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Off track</w:t>
            </w:r>
          </w:p>
        </w:tc>
      </w:tr>
      <w:tr>
        <w:trPr/>
        <w:tc>
          <w:tcPr>
            <w:tcW w:w="4000" w:type="dxa"/>
            <w:gridSpan w:val="1"/>
            <w:noWrap/>
          </w:tcPr>
          <w:p>
            <w:pPr/>
            <w:r>
              <w:rPr>
                <w:b w:val="1"/>
                <w:bCs w:val="1"/>
              </w:rPr>
              <w:t xml:space="preserve">Evidence uploaded:</w:t>
            </w:r>
          </w:p>
        </w:tc>
        <w:tc>
          <w:tcPr>
            <w:tcW w:w="12000" w:type="dxa"/>
            <w:gridSpan w:val="5"/>
            <w:noWrap/>
          </w:tcPr>
          <w:p>
            <w:pPr/>
            <w:r>
              <w:rPr/>
              <w:t xml:space="preserve">NO</w:t>
            </w:r>
          </w:p>
        </w:tc>
      </w:tr>
      <w:tr>
        <w:trPr/>
        <w:tc>
          <w:tcPr>
            <w:tcW w:w="16000" w:type="dxa"/>
            <w:shd w:val="clear" w:fill="#D9D9D9"/>
            <w:gridSpan w:val="7"/>
            <w:noWrap/>
          </w:tcPr>
          <w:p>
            <w:pPr/>
            <w:r>
              <w:rPr>
                <w:b w:val="1"/>
                <w:bCs w:val="1"/>
              </w:rPr>
              <w:t xml:space="preserve">Outcome 1</w:t>
            </w:r>
          </w:p>
          <w:p>
            <w:pPr/>
            <w:r>
              <w:rPr>
                <w:b w:val="1"/>
                <w:bCs w:val="1"/>
              </w:rPr>
              <w:t xml:space="preserve">Outcome 1: Improved capacity of the residents, technical personnel, and local government officials on low carbon development in the outer islands</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Number of individuals in Kiribati that become gainfully engaged in RE and EE technology-related activities and businesses.</w:t>
            </w:r>
          </w:p>
        </w:tc>
        <w:tc>
          <w:tcPr>
            <w:tcW w:w="2000" w:type="dxa"/>
            <w:gridSpan w:val="1"/>
            <w:noWrap/>
          </w:tcPr>
          <w:p>
            <w:pPr/>
            <w:r>
              <w:rPr/>
              <w:t xml:space="preserve">0</w:t>
            </w:r>
          </w:p>
        </w:tc>
        <w:tc>
          <w:tcPr>
            <w:tcW w:w="2000" w:type="dxa"/>
            <w:gridSpan w:val="1"/>
            <w:noWrap/>
          </w:tcPr>
          <w:p>
            <w:pPr/>
            <w:r>
              <w:rPr/>
              <w:t xml:space="preserve">20 (with at least 50% being women)</w:t>
            </w:r>
          </w:p>
        </w:tc>
        <w:tc>
          <w:tcPr>
            <w:tcW w:w="2000" w:type="dxa"/>
            <w:gridSpan w:val="1"/>
            <w:noWrap/>
          </w:tcPr>
          <w:p>
            <w:pPr/>
            <w:r>
              <w:rPr/>
              <w:t xml:space="preserve">60 (with at least 50% being women)</w:t>
            </w:r>
          </w:p>
        </w:tc>
        <w:tc>
          <w:tcPr>
            <w:tcW w:w="4000" w:type="dxa"/>
            <w:gridSpan w:val="1"/>
            <w:noWrap/>
          </w:tcPr>
          <w:p>
            <w:pPr/>
            <w:r>
              <w:rPr/>
              <w:t xml:space="preserve">0</w:t>
            </w:r>
          </w:p>
          <w:p>
            <w:pPr/>
            <w:r>
              <w:rPr/>
              <w:t xml:space="preserve"/>
            </w:r>
          </w:p>
          <w:p>
            <w:pPr/>
            <w:r>
              <w:rPr/>
              <w:t xml:space="preserve">No progress made due to the project implementation being put on hold during the reporting period by UNDP’s Regional Bureau for Asia and the Pacific. UNDP Regional Bureau, Pacific MCO, and the IP worked together and identified pathways for resuming the project in line with FRR and POPP, while applying for a 48-month extension. An AWP has been drafted and is in review and approval for the IP continue implement the project while UNDP provides capacity development to the government of Kiribati in parallel on topics including project management, finance, procurement, and asset management.</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 As a next step, a project board meeting is scheduled in August, and the implementation will start once based on the validation results.</w:t>
            </w:r>
          </w:p>
          <w:p>
            <w:pPr/>
            <w:r>
              <w:rPr/>
              <w:t xml:space="preserve"/>
            </w:r>
          </w:p>
        </w:tc>
      </w:tr>
      <w:tr>
        <w:trPr/>
        <w:tc>
          <w:tcPr>
            <w:tcW w:w="4000" w:type="dxa"/>
            <w:gridSpan w:val="1"/>
            <w:noWrap/>
          </w:tcPr>
          <w:p>
            <w:pPr/>
            <w:r>
              <w:rPr/>
              <w:t xml:space="preserve">Percent of island population in demo outer islands that understand principles and benefits of LC development</w:t>
            </w:r>
          </w:p>
        </w:tc>
        <w:tc>
          <w:tcPr>
            <w:tcW w:w="2000" w:type="dxa"/>
            <w:gridSpan w:val="1"/>
            <w:noWrap/>
          </w:tcPr>
          <w:p>
            <w:pPr/>
            <w:r>
              <w:rPr/>
              <w:t xml:space="preserve">0</w:t>
            </w:r>
          </w:p>
        </w:tc>
        <w:tc>
          <w:tcPr>
            <w:tcW w:w="2000" w:type="dxa"/>
            <w:gridSpan w:val="1"/>
            <w:noWrap/>
          </w:tcPr>
          <w:p>
            <w:pPr/>
            <w:r>
              <w:rPr/>
              <w:t xml:space="preserve">20%</w:t>
            </w:r>
          </w:p>
        </w:tc>
        <w:tc>
          <w:tcPr>
            <w:tcW w:w="2000" w:type="dxa"/>
            <w:gridSpan w:val="1"/>
            <w:noWrap/>
          </w:tcPr>
          <w:p>
            <w:pPr/>
            <w:r>
              <w:rPr/>
              <w:t xml:space="preserve">80%</w:t>
            </w:r>
          </w:p>
        </w:tc>
        <w:tc>
          <w:tcPr>
            <w:tcW w:w="4000" w:type="dxa"/>
            <w:gridSpan w:val="1"/>
            <w:noWrap/>
          </w:tcPr>
          <w:p>
            <w:pPr/>
            <w:r>
              <w:rPr/>
              <w:t xml:space="preserve">0</w:t>
            </w:r>
          </w:p>
          <w:p>
            <w:pPr/>
            <w:r>
              <w:rPr/>
              <w:t xml:space="preserve"/>
            </w:r>
          </w:p>
          <w:p>
            <w:pPr/>
            <w:r>
              <w:rPr/>
              <w:t xml:space="preserve">Same for above.</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 As a next step, a project board meeting is scheduled in August, and the implementation will start once based on the validation results.</w:t>
            </w:r>
          </w:p>
          <w:p>
            <w:pPr/>
            <w:r>
              <w:rPr/>
              <w:t xml:space="preserve"/>
            </w:r>
          </w:p>
        </w:tc>
      </w:tr>
      <w:tr>
        <w:trPr/>
        <w:tc>
          <w:tcPr>
            <w:tcW w:w="4000" w:type="dxa"/>
            <w:gridSpan w:val="1"/>
            <w:noWrap/>
          </w:tcPr>
          <w:p>
            <w:pPr/>
            <w:r>
              <w:rPr/>
              <w:t xml:space="preserve">No. of local private sector firms that can capably provide technical, engineering, maintenance, and billing services for SE and LC technology application projects</w:t>
            </w:r>
          </w:p>
        </w:tc>
        <w:tc>
          <w:tcPr>
            <w:tcW w:w="2000" w:type="dxa"/>
            <w:gridSpan w:val="1"/>
            <w:noWrap/>
          </w:tcPr>
          <w:p>
            <w:pPr/>
            <w:r>
              <w:rPr/>
              <w:t xml:space="preserve">0</w:t>
            </w:r>
          </w:p>
        </w:tc>
        <w:tc>
          <w:tcPr>
            <w:tcW w:w="2000" w:type="dxa"/>
            <w:gridSpan w:val="1"/>
            <w:noWrap/>
          </w:tcPr>
          <w:p>
            <w:pPr/>
            <w:r>
              <w:rPr/>
              <w:t xml:space="preserve">2 (revised from 3 at Inception phase)</w:t>
            </w:r>
          </w:p>
        </w:tc>
        <w:tc>
          <w:tcPr>
            <w:tcW w:w="2000" w:type="dxa"/>
            <w:gridSpan w:val="1"/>
            <w:noWrap/>
          </w:tcPr>
          <w:p>
            <w:pPr/>
            <w:r>
              <w:rPr/>
              <w:t xml:space="preserve">6 (revised from 8 at Inception phase)</w:t>
            </w:r>
          </w:p>
        </w:tc>
        <w:tc>
          <w:tcPr>
            <w:tcW w:w="4000" w:type="dxa"/>
            <w:gridSpan w:val="1"/>
            <w:noWrap/>
          </w:tcPr>
          <w:p>
            <w:pPr/>
            <w:r>
              <w:rPr/>
              <w:t xml:space="preserve">0</w:t>
            </w:r>
          </w:p>
          <w:p>
            <w:pPr/>
            <w:r>
              <w:rPr/>
              <w:t xml:space="preserve"/>
            </w:r>
          </w:p>
          <w:p>
            <w:pPr/>
            <w:r>
              <w:rPr/>
              <w:t xml:space="preserve">Same as above.</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 As a next step, a project board meeting is scheduled in August, and the implementation will start once based on the validation results.</w:t>
            </w:r>
          </w:p>
          <w:p>
            <w:pPr/>
            <w:r>
              <w:rPr/>
              <w:t xml:space="preserve"/>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Off track</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r>
        <w:trPr/>
        <w:tc>
          <w:tcPr>
            <w:tcW w:w="16000" w:type="dxa"/>
            <w:shd w:val="clear" w:fill="#D9D9D9"/>
            <w:gridSpan w:val="7"/>
            <w:noWrap/>
          </w:tcPr>
          <w:p>
            <w:pPr/>
            <w:r>
              <w:rPr>
                <w:b w:val="1"/>
                <w:bCs w:val="1"/>
              </w:rPr>
              <w:t xml:space="preserve">Outcome 2</w:t>
            </w:r>
          </w:p>
          <w:p>
            <w:pPr/>
            <w:r>
              <w:rPr>
                <w:b w:val="1"/>
                <w:bCs w:val="1"/>
              </w:rPr>
              <w:t xml:space="preserve">Outcome 2: Effective enforcement of energy policies, regulations and implementation of improved institutional framework, programs, and projects on low carbon technology applications</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Number of adopted and enforced policies and regulations that facilitate increased LC technology applications</w:t>
            </w:r>
          </w:p>
        </w:tc>
        <w:tc>
          <w:tcPr>
            <w:tcW w:w="2000" w:type="dxa"/>
            <w:gridSpan w:val="1"/>
            <w:noWrap/>
          </w:tcPr>
          <w:p>
            <w:pPr/>
            <w:r>
              <w:rPr/>
              <w:t xml:space="preserve">0</w:t>
            </w:r>
          </w:p>
        </w:tc>
        <w:tc>
          <w:tcPr>
            <w:tcW w:w="2000" w:type="dxa"/>
            <w:gridSpan w:val="1"/>
            <w:noWrap/>
          </w:tcPr>
          <w:p>
            <w:pPr/>
            <w:r>
              <w:rPr/>
              <w:t xml:space="preserve">4</w:t>
            </w:r>
          </w:p>
        </w:tc>
        <w:tc>
          <w:tcPr>
            <w:tcW w:w="2000" w:type="dxa"/>
            <w:gridSpan w:val="1"/>
            <w:noWrap/>
          </w:tcPr>
          <w:p>
            <w:pPr/>
            <w:r>
              <w:rPr/>
              <w:t xml:space="preserve">10 (revised from 13 at Inception phase)</w:t>
            </w:r>
          </w:p>
        </w:tc>
        <w:tc>
          <w:tcPr>
            <w:tcW w:w="4000" w:type="dxa"/>
            <w:gridSpan w:val="1"/>
            <w:noWrap/>
          </w:tcPr>
          <w:p>
            <w:pPr/>
            <w:r>
              <w:rPr/>
              <w:t xml:space="preserve">0</w:t>
            </w:r>
          </w:p>
          <w:p>
            <w:pPr/>
            <w:r>
              <w:rPr/>
              <w:t xml:space="preserve"/>
            </w:r>
          </w:p>
          <w:p>
            <w:pPr/>
            <w:r>
              <w:rPr/>
              <w:t xml:space="preserve">Same as above.</w:t>
            </w:r>
          </w:p>
        </w:tc>
        <w:tc>
          <w:tcPr>
            <w:tcW w:w="4000" w:type="dxa"/>
            <w:gridSpan w:val="1"/>
            <w:noWrap/>
          </w:tcPr>
          <w:p>
            <w:pPr/>
            <w:r>
              <w:rPr/>
              <w:t xml:space="preserve">RE covers 3 policies as follows:</w:t>
            </w:r>
          </w:p>
          <w:p>
            <w:pPr/>
            <w:r>
              <w:rPr/>
              <w:t xml:space="preserve">1. Mini Grid Standard Policy</w:t>
            </w:r>
          </w:p>
          <w:p>
            <w:pPr/>
            <w:r>
              <w:rPr/>
              <w:t xml:space="preserve">2. Incentive policy</w:t>
            </w:r>
          </w:p>
          <w:p>
            <w:pPr/>
            <w:r>
              <w:rPr/>
              <w:t xml:space="preserve">3. Project ownership licensing policy</w:t>
            </w:r>
          </w:p>
          <w:p>
            <w:pPr/>
            <w:r>
              <w:rPr/>
              <w:t xml:space="preserve"/>
            </w:r>
          </w:p>
          <w:p>
            <w:pPr/>
            <w:r>
              <w:rPr/>
              <w:t xml:space="preserve">This has been drafted and in finalization stage for endorsement</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w:t>
            </w:r>
          </w:p>
          <w:p>
            <w:pPr/>
            <w:r>
              <w:rPr/>
              <w:t xml:space="preserve"/>
            </w:r>
          </w:p>
          <w:p>
            <w:pPr/>
            <w:r>
              <w:rPr/>
              <w:t xml:space="preserve">As a next step, a project board meeting is scheduled in August, and the implementation will start once based on the validation results. The government has also requested UNDP to provide support services to accelerate project implementation, thus, the UNDP CO will work with government to explore a major amendment with GEF for all support services required for UNDP over the entire project duration.</w:t>
            </w:r>
          </w:p>
          <w:p>
            <w:pPr/>
            <w:r>
              <w:rPr/>
              <w:t xml:space="preserve"/>
            </w:r>
          </w:p>
        </w:tc>
      </w:tr>
      <w:tr>
        <w:trPr/>
        <w:tc>
          <w:tcPr>
            <w:tcW w:w="4000" w:type="dxa"/>
            <w:gridSpan w:val="1"/>
            <w:noWrap/>
          </w:tcPr>
          <w:p>
            <w:pPr/>
            <w:r>
              <w:rPr/>
              <w:t xml:space="preserve">Number of government departments and/or companies that develop and implement bilateral agreements with EPU on well-coordinated low carbon technology programs/projects for power and non-power applications</w:t>
            </w:r>
          </w:p>
        </w:tc>
        <w:tc>
          <w:tcPr>
            <w:tcW w:w="2000" w:type="dxa"/>
            <w:gridSpan w:val="1"/>
            <w:noWrap/>
          </w:tcPr>
          <w:p>
            <w:pPr/>
            <w:r>
              <w:rPr/>
              <w:t xml:space="preserve">0</w:t>
            </w:r>
          </w:p>
        </w:tc>
        <w:tc>
          <w:tcPr>
            <w:tcW w:w="2000" w:type="dxa"/>
            <w:gridSpan w:val="1"/>
            <w:noWrap/>
          </w:tcPr>
          <w:p>
            <w:pPr/>
            <w:r>
              <w:rPr/>
              <w:t xml:space="preserve">2</w:t>
            </w:r>
          </w:p>
        </w:tc>
        <w:tc>
          <w:tcPr>
            <w:tcW w:w="2000" w:type="dxa"/>
            <w:gridSpan w:val="1"/>
            <w:noWrap/>
          </w:tcPr>
          <w:p>
            <w:pPr/>
            <w:r>
              <w:rPr/>
              <w:t xml:space="preserve">4</w:t>
            </w:r>
          </w:p>
        </w:tc>
        <w:tc>
          <w:tcPr>
            <w:tcW w:w="4000" w:type="dxa"/>
            <w:gridSpan w:val="1"/>
            <w:noWrap/>
          </w:tcPr>
          <w:p>
            <w:pPr/>
            <w:r>
              <w:rPr/>
              <w:t xml:space="preserve">0</w:t>
            </w:r>
          </w:p>
          <w:p>
            <w:pPr/>
            <w:r>
              <w:rPr/>
              <w:t xml:space="preserve"/>
            </w:r>
          </w:p>
          <w:p>
            <w:pPr/>
            <w:r>
              <w:rPr/>
              <w:t xml:space="preserve">Same as above.</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w:t>
            </w:r>
          </w:p>
          <w:p>
            <w:pPr/>
            <w:r>
              <w:rPr/>
              <w:t xml:space="preserve"/>
            </w:r>
          </w:p>
          <w:p>
            <w:pPr/>
            <w:r>
              <w:rPr/>
              <w:t xml:space="preserve">As a next step, a project board meeting is scheduled in August, and the implementation will start once based on the validation results. The government has also requested UNDP to provide support services to accelerate project implementation, thus, the UNDP CO will work with government to explore a major amendment with GEF for all support services required for UNDP over the entire project duration.</w:t>
            </w:r>
          </w:p>
        </w:tc>
      </w:tr>
      <w:tr>
        <w:trPr/>
        <w:tc>
          <w:tcPr>
            <w:tcW w:w="4000" w:type="dxa"/>
            <w:gridSpan w:val="1"/>
            <w:noWrap/>
          </w:tcPr>
          <w:p>
            <w:pPr/>
            <w:r>
              <w:rPr/>
              <w:t xml:space="preserve">Number of outer islands that officially adopt and begin to implement whole-island RE and EE plans</w:t>
            </w:r>
          </w:p>
        </w:tc>
        <w:tc>
          <w:tcPr>
            <w:tcW w:w="2000" w:type="dxa"/>
            <w:gridSpan w:val="1"/>
            <w:noWrap/>
          </w:tcPr>
          <w:p>
            <w:pPr/>
            <w:r>
              <w:rPr/>
              <w:t xml:space="preserve">0</w:t>
            </w:r>
          </w:p>
        </w:tc>
        <w:tc>
          <w:tcPr>
            <w:tcW w:w="2000" w:type="dxa"/>
            <w:gridSpan w:val="1"/>
            <w:noWrap/>
          </w:tcPr>
          <w:p>
            <w:pPr/>
            <w:r>
              <w:rPr/>
              <w:t xml:space="preserve">9 (revised from 10 at Inception phase)</w:t>
            </w:r>
          </w:p>
        </w:tc>
        <w:tc>
          <w:tcPr>
            <w:tcW w:w="2000" w:type="dxa"/>
            <w:gridSpan w:val="1"/>
            <w:noWrap/>
          </w:tcPr>
          <w:p>
            <w:pPr/>
            <w:r>
              <w:rPr/>
              <w:t xml:space="preserve">18 (revised from 20 at Inception phase)</w:t>
            </w:r>
          </w:p>
        </w:tc>
        <w:tc>
          <w:tcPr>
            <w:tcW w:w="4000" w:type="dxa"/>
            <w:gridSpan w:val="1"/>
            <w:noWrap/>
          </w:tcPr>
          <w:p>
            <w:pPr/>
            <w:r>
              <w:rPr/>
              <w:t xml:space="preserve">0</w:t>
            </w:r>
          </w:p>
          <w:p>
            <w:pPr/>
            <w:r>
              <w:rPr/>
              <w:t xml:space="preserve"/>
            </w:r>
          </w:p>
          <w:p>
            <w:pPr/>
            <w:r>
              <w:rPr/>
              <w:t xml:space="preserve">Same as above.</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w:t>
            </w:r>
          </w:p>
          <w:p>
            <w:pPr/>
            <w:r>
              <w:rPr/>
              <w:t xml:space="preserve"/>
            </w:r>
          </w:p>
          <w:p>
            <w:pPr/>
            <w:r>
              <w:rPr/>
              <w:t xml:space="preserve">As a next step, a project board meeting is scheduled in August, and the implementation will start once based on the validation results. The government has also requested UNDP to provide support services to accelerate project implementation, thus, the UNDP CO will work with government to explore a major amendment with GEF for all support services required for UNDP over the entire project duration.</w:t>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Off track</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r>
        <w:trPr/>
        <w:tc>
          <w:tcPr>
            <w:tcW w:w="16000" w:type="dxa"/>
            <w:shd w:val="clear" w:fill="#D9D9D9"/>
            <w:gridSpan w:val="7"/>
            <w:noWrap/>
          </w:tcPr>
          <w:p>
            <w:pPr/>
            <w:r>
              <w:rPr>
                <w:b w:val="1"/>
                <w:bCs w:val="1"/>
              </w:rPr>
              <w:t xml:space="preserve">Outcome 3</w:t>
            </w:r>
          </w:p>
          <w:p>
            <w:pPr/>
            <w:r>
              <w:rPr>
                <w:b w:val="1"/>
                <w:bCs w:val="1"/>
              </w:rPr>
              <w:t xml:space="preserve">Outcome 3: Enhanced availability of, and access to, financing (including financial closure) and long-term financial sustainability for low carbon (RE and EE) projects in the energy supply and demand sectors</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No. of financing schemes/mechanisms adopted by financial institutions for supporting climate resilient and low carbon development initiatives in the country</w:t>
            </w:r>
          </w:p>
        </w:tc>
        <w:tc>
          <w:tcPr>
            <w:tcW w:w="2000" w:type="dxa"/>
            <w:gridSpan w:val="1"/>
            <w:noWrap/>
          </w:tcPr>
          <w:p>
            <w:pPr/>
            <w:r>
              <w:rPr/>
              <w:t xml:space="preserve">0</w:t>
            </w:r>
          </w:p>
        </w:tc>
        <w:tc>
          <w:tcPr>
            <w:tcW w:w="2000" w:type="dxa"/>
            <w:gridSpan w:val="1"/>
            <w:noWrap/>
          </w:tcPr>
          <w:p>
            <w:pPr/>
            <w:r>
              <w:rPr/>
              <w:t xml:space="preserve">1</w:t>
            </w:r>
          </w:p>
        </w:tc>
        <w:tc>
          <w:tcPr>
            <w:tcW w:w="2000" w:type="dxa"/>
            <w:gridSpan w:val="1"/>
            <w:noWrap/>
          </w:tcPr>
          <w:p>
            <w:pPr/>
            <w:r>
              <w:rPr/>
              <w:t xml:space="preserve">1</w:t>
            </w:r>
          </w:p>
        </w:tc>
        <w:tc>
          <w:tcPr>
            <w:tcW w:w="4000" w:type="dxa"/>
            <w:gridSpan w:val="1"/>
            <w:noWrap/>
          </w:tcPr>
          <w:p>
            <w:pPr/>
            <w:r>
              <w:rPr/>
              <w:t xml:space="preserve">0</w:t>
            </w:r>
          </w:p>
          <w:p>
            <w:pPr/>
            <w:r>
              <w:rPr/>
              <w:t xml:space="preserve"/>
            </w:r>
          </w:p>
          <w:p>
            <w:pPr/>
            <w:r>
              <w:rPr/>
              <w:t xml:space="preserve">Same as above.</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w:t>
            </w:r>
          </w:p>
          <w:p>
            <w:pPr/>
            <w:r>
              <w:rPr/>
              <w:t xml:space="preserve"/>
            </w:r>
          </w:p>
          <w:p>
            <w:pPr/>
            <w:r>
              <w:rPr/>
              <w:t xml:space="preserve">As a next step, a project board meeting is scheduled in August, and the implementation will start once based on the validation results. The government has also requested UNDP to provide support services to accelerate project implementation, thus, the UNDP CO will work with government to explore a major amendment with GEF for all support services required for UNDP over the entire project duration.</w:t>
            </w:r>
          </w:p>
        </w:tc>
      </w:tr>
      <w:tr>
        <w:trPr/>
        <w:tc>
          <w:tcPr>
            <w:tcW w:w="4000" w:type="dxa"/>
            <w:gridSpan w:val="1"/>
            <w:noWrap/>
          </w:tcPr>
          <w:p>
            <w:pPr/>
            <w:r>
              <w:rPr/>
              <w:t xml:space="preserve">Number of outer island businesses that receive grants made from RE/ EE specific financing mechanism for productive use equipment</w:t>
            </w:r>
          </w:p>
        </w:tc>
        <w:tc>
          <w:tcPr>
            <w:tcW w:w="2000" w:type="dxa"/>
            <w:gridSpan w:val="1"/>
            <w:noWrap/>
          </w:tcPr>
          <w:p>
            <w:pPr/>
            <w:r>
              <w:rPr/>
              <w:t xml:space="preserve">0</w:t>
            </w:r>
          </w:p>
        </w:tc>
        <w:tc>
          <w:tcPr>
            <w:tcW w:w="2000" w:type="dxa"/>
            <w:gridSpan w:val="1"/>
            <w:noWrap/>
          </w:tcPr>
          <w:p>
            <w:pPr/>
            <w:r>
              <w:rPr/>
              <w:t xml:space="preserve">20 (of which at least 50% are women-led businesses)</w:t>
            </w:r>
          </w:p>
        </w:tc>
        <w:tc>
          <w:tcPr>
            <w:tcW w:w="2000" w:type="dxa"/>
            <w:gridSpan w:val="1"/>
            <w:noWrap/>
          </w:tcPr>
          <w:p>
            <w:pPr/>
            <w:r>
              <w:rPr/>
              <w:t xml:space="preserve">60 (of which at least 50% are women-led businesses)</w:t>
            </w:r>
          </w:p>
        </w:tc>
        <w:tc>
          <w:tcPr>
            <w:tcW w:w="4000" w:type="dxa"/>
            <w:gridSpan w:val="1"/>
            <w:noWrap/>
          </w:tcPr>
          <w:p>
            <w:pPr/>
            <w:r>
              <w:rPr/>
              <w:t xml:space="preserve">0</w:t>
            </w:r>
          </w:p>
          <w:p>
            <w:pPr/>
            <w:r>
              <w:rPr/>
              <w:t xml:space="preserve"/>
            </w:r>
          </w:p>
          <w:p>
            <w:pPr/>
            <w:r>
              <w:rPr/>
              <w:t xml:space="preserve">Same as above.</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w:t>
            </w:r>
          </w:p>
          <w:p>
            <w:pPr/>
            <w:r>
              <w:rPr/>
              <w:t xml:space="preserve"/>
            </w:r>
          </w:p>
          <w:p>
            <w:pPr/>
            <w:r>
              <w:rPr/>
              <w:t xml:space="preserve">As a next step, a project board meeting is scheduled in August, and the implementation will start once based on the validation results. The government has also requested UNDP to provide support services to accelerate project implementation, thus, the UNDP CO will work with government to explore a major amendment with GEF for all support services required for UNDP over the entire project duration.</w:t>
            </w:r>
          </w:p>
        </w:tc>
      </w:tr>
      <w:tr>
        <w:trPr/>
        <w:tc>
          <w:tcPr>
            <w:tcW w:w="4000" w:type="dxa"/>
            <w:gridSpan w:val="1"/>
            <w:noWrap/>
          </w:tcPr>
          <w:p>
            <w:pPr/>
            <w:r>
              <w:rPr/>
              <w:t xml:space="preserve">Number of concessionaire-operated OI RE mini-grids successfully collecting revenues from all users (for at least 85% of power used)</w:t>
            </w:r>
          </w:p>
        </w:tc>
        <w:tc>
          <w:tcPr>
            <w:tcW w:w="2000" w:type="dxa"/>
            <w:gridSpan w:val="1"/>
            <w:noWrap/>
          </w:tcPr>
          <w:p>
            <w:pPr/>
            <w:r>
              <w:rPr/>
              <w:t xml:space="preserve">0</w:t>
            </w:r>
          </w:p>
        </w:tc>
        <w:tc>
          <w:tcPr>
            <w:tcW w:w="2000" w:type="dxa"/>
            <w:gridSpan w:val="1"/>
            <w:noWrap/>
          </w:tcPr>
          <w:p>
            <w:pPr/>
            <w:r>
              <w:rPr/>
              <w:t xml:space="preserve">7</w:t>
            </w:r>
          </w:p>
        </w:tc>
        <w:tc>
          <w:tcPr>
            <w:tcW w:w="2000" w:type="dxa"/>
            <w:gridSpan w:val="1"/>
            <w:noWrap/>
          </w:tcPr>
          <w:p>
            <w:pPr/>
            <w:r>
              <w:rPr/>
              <w:t xml:space="preserve">15</w:t>
            </w:r>
          </w:p>
        </w:tc>
        <w:tc>
          <w:tcPr>
            <w:tcW w:w="4000" w:type="dxa"/>
            <w:gridSpan w:val="1"/>
            <w:noWrap/>
          </w:tcPr>
          <w:p>
            <w:pPr/>
            <w:r>
              <w:rPr/>
              <w:t xml:space="preserve">0</w:t>
            </w:r>
          </w:p>
          <w:p>
            <w:pPr/>
            <w:r>
              <w:rPr/>
              <w:t xml:space="preserve"/>
            </w:r>
          </w:p>
          <w:p>
            <w:pPr/>
            <w:r>
              <w:rPr/>
              <w:t xml:space="preserve">Same as above.</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w:t>
            </w:r>
          </w:p>
          <w:p>
            <w:pPr/>
            <w:r>
              <w:rPr/>
              <w:t xml:space="preserve"/>
            </w:r>
          </w:p>
          <w:p>
            <w:pPr/>
            <w:r>
              <w:rPr/>
              <w:t xml:space="preserve">As a next step, a project board meeting is scheduled in August, and the implementation will start once based on the validation results. The government has also requested UNDP to provide support services to accelerate project implementation, thus, the UNDP CO will work with government to explore a major amendment with GEF for all support services required for UNDP over the entire project duration.</w:t>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Off track</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r>
        <w:trPr/>
        <w:tc>
          <w:tcPr>
            <w:tcW w:w="16000" w:type="dxa"/>
            <w:shd w:val="clear" w:fill="#D9D9D9"/>
            <w:gridSpan w:val="7"/>
            <w:noWrap/>
          </w:tcPr>
          <w:p>
            <w:pPr/>
            <w:r>
              <w:rPr>
                <w:b w:val="1"/>
                <w:bCs w:val="1"/>
              </w:rPr>
              <w:t xml:space="preserve">Outcome 4</w:t>
            </w:r>
          </w:p>
          <w:p>
            <w:pPr/>
            <w:r>
              <w:rPr>
                <w:b w:val="1"/>
                <w:bCs w:val="1"/>
              </w:rPr>
              <w:t xml:space="preserve">Increased adoption and implementation of low carbon (RE and EE) technologies, techniques and practices in the energy supply and demand sectors via improved technical and cost viability</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Percentage increase from pre-project levels in capacity of RE mini-grids that are installed with a given amount of donor funds</w:t>
            </w:r>
          </w:p>
        </w:tc>
        <w:tc>
          <w:tcPr>
            <w:tcW w:w="2000" w:type="dxa"/>
            <w:gridSpan w:val="1"/>
            <w:noWrap/>
          </w:tcPr>
          <w:p>
            <w:pPr/>
            <w:r>
              <w:rPr/>
              <w:t xml:space="preserve">0</w:t>
            </w:r>
          </w:p>
        </w:tc>
        <w:tc>
          <w:tcPr>
            <w:tcW w:w="2000" w:type="dxa"/>
            <w:gridSpan w:val="1"/>
            <w:noWrap/>
          </w:tcPr>
          <w:p>
            <w:pPr/>
            <w:r>
              <w:rPr/>
              <w:t xml:space="preserve">100%</w:t>
            </w:r>
          </w:p>
        </w:tc>
        <w:tc>
          <w:tcPr>
            <w:tcW w:w="2000" w:type="dxa"/>
            <w:gridSpan w:val="1"/>
            <w:noWrap/>
          </w:tcPr>
          <w:p>
            <w:pPr/>
            <w:r>
              <w:rPr/>
              <w:t xml:space="preserve">100%</w:t>
            </w:r>
          </w:p>
        </w:tc>
        <w:tc>
          <w:tcPr>
            <w:tcW w:w="4000" w:type="dxa"/>
            <w:gridSpan w:val="1"/>
            <w:noWrap/>
          </w:tcPr>
          <w:p>
            <w:pPr/>
            <w:r>
              <w:rPr/>
              <w:t xml:space="preserve">0</w:t>
            </w:r>
          </w:p>
          <w:p>
            <w:pPr/>
            <w:r>
              <w:rPr/>
              <w:t xml:space="preserve"/>
            </w:r>
          </w:p>
          <w:p>
            <w:pPr/>
            <w:r>
              <w:rPr/>
              <w:t xml:space="preserve">Same as above.</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w:t>
            </w:r>
          </w:p>
          <w:p>
            <w:pPr/>
            <w:r>
              <w:rPr/>
              <w:t xml:space="preserve"/>
            </w:r>
          </w:p>
          <w:p>
            <w:pPr/>
            <w:r>
              <w:rPr/>
              <w:t xml:space="preserve">As a next step, a project board meeting is scheduled in August, and the implementation will start once based on the validation results. The government has also requested UNDP to provide support services to accelerate project implementation, thus, the UNDP CO will work with government to explore a major amendment with GEF for all support services required for UNDP over the entire project duration.</w:t>
            </w:r>
          </w:p>
        </w:tc>
      </w:tr>
      <w:tr>
        <w:trPr/>
        <w:tc>
          <w:tcPr>
            <w:tcW w:w="4000" w:type="dxa"/>
            <w:gridSpan w:val="1"/>
            <w:noWrap/>
          </w:tcPr>
          <w:p>
            <w:pPr/>
            <w:r>
              <w:rPr/>
              <w:t xml:space="preserve">Reduction in unsustainable fuel wood use consistently achieved by new models of EE cook stoves fabricated in Kiribati as compared to open hearth fire (%)</w:t>
            </w:r>
          </w:p>
        </w:tc>
        <w:tc>
          <w:tcPr>
            <w:tcW w:w="2000" w:type="dxa"/>
            <w:gridSpan w:val="1"/>
            <w:noWrap/>
          </w:tcPr>
          <w:p>
            <w:pPr/>
            <w:r>
              <w:rPr/>
              <w:t xml:space="preserve">0</w:t>
            </w:r>
          </w:p>
        </w:tc>
        <w:tc>
          <w:tcPr>
            <w:tcW w:w="2000" w:type="dxa"/>
            <w:gridSpan w:val="1"/>
            <w:noWrap/>
          </w:tcPr>
          <w:p>
            <w:pPr/>
            <w:r>
              <w:rPr/>
              <w:t xml:space="preserve">50%</w:t>
            </w:r>
          </w:p>
        </w:tc>
        <w:tc>
          <w:tcPr>
            <w:tcW w:w="2000" w:type="dxa"/>
            <w:gridSpan w:val="1"/>
            <w:noWrap/>
          </w:tcPr>
          <w:p>
            <w:pPr/>
            <w:r>
              <w:rPr/>
              <w:t xml:space="preserve">60%</w:t>
            </w:r>
          </w:p>
        </w:tc>
        <w:tc>
          <w:tcPr>
            <w:tcW w:w="4000" w:type="dxa"/>
            <w:gridSpan w:val="1"/>
            <w:noWrap/>
          </w:tcPr>
          <w:p>
            <w:pPr/>
            <w:r>
              <w:rPr/>
              <w:t xml:space="preserve">0</w:t>
            </w:r>
          </w:p>
          <w:p>
            <w:pPr/>
            <w:r>
              <w:rPr/>
              <w:t xml:space="preserve"/>
            </w:r>
          </w:p>
          <w:p>
            <w:pPr/>
            <w:r>
              <w:rPr/>
              <w:t xml:space="preserve">Same as above.</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Manager in October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w:t>
            </w:r>
          </w:p>
          <w:p>
            <w:pPr/>
            <w:r>
              <w:rPr/>
              <w:t xml:space="preserve"/>
            </w:r>
          </w:p>
          <w:p>
            <w:pPr/>
            <w:r>
              <w:rPr/>
              <w:t xml:space="preserve">As a next step, a project board meeting is scheduled in August, and the implementation will start once based on the validation results. The government has also requested UNDP to provide support services to accelerate project implementation, thus, the UNDP CO will work with government to explore a major amendment with GEF for all support services required for UNDP over the entire project duration.</w:t>
            </w:r>
          </w:p>
        </w:tc>
      </w:tr>
      <w:tr>
        <w:trPr/>
        <w:tc>
          <w:tcPr>
            <w:tcW w:w="4000" w:type="dxa"/>
            <w:gridSpan w:val="1"/>
            <w:noWrap/>
          </w:tcPr>
          <w:p>
            <w:pPr/>
            <w:r>
              <w:rPr/>
              <w:t xml:space="preserve">Number of OI replication projects for priority sites for which both detailed design and financial analysis have been conducted</w:t>
            </w:r>
          </w:p>
        </w:tc>
        <w:tc>
          <w:tcPr>
            <w:tcW w:w="2000" w:type="dxa"/>
            <w:gridSpan w:val="1"/>
            <w:noWrap/>
          </w:tcPr>
          <w:p>
            <w:pPr/>
            <w:r>
              <w:rPr/>
              <w:t xml:space="preserve">0</w:t>
            </w:r>
          </w:p>
        </w:tc>
        <w:tc>
          <w:tcPr>
            <w:tcW w:w="2000" w:type="dxa"/>
            <w:gridSpan w:val="1"/>
            <w:noWrap/>
          </w:tcPr>
          <w:p>
            <w:pPr/>
            <w:r>
              <w:rPr/>
              <w:t xml:space="preserve">5</w:t>
            </w:r>
          </w:p>
        </w:tc>
        <w:tc>
          <w:tcPr>
            <w:tcW w:w="2000" w:type="dxa"/>
            <w:gridSpan w:val="1"/>
            <w:noWrap/>
          </w:tcPr>
          <w:p>
            <w:pPr/>
            <w:r>
              <w:rPr/>
              <w:t xml:space="preserve">30</w:t>
            </w:r>
          </w:p>
        </w:tc>
        <w:tc>
          <w:tcPr>
            <w:tcW w:w="4000" w:type="dxa"/>
            <w:gridSpan w:val="1"/>
            <w:noWrap/>
          </w:tcPr>
          <w:p>
            <w:pPr/>
            <w:r>
              <w:rPr/>
              <w:t xml:space="preserve">0</w:t>
            </w:r>
          </w:p>
          <w:p>
            <w:pPr/>
            <w:r>
              <w:rPr/>
              <w:t xml:space="preserve"/>
            </w:r>
          </w:p>
          <w:p>
            <w:pPr/>
            <w:r>
              <w:rPr/>
              <w:t xml:space="preserve">Same as above.</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 in December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w:t>
            </w:r>
          </w:p>
          <w:p>
            <w:pPr/>
            <w:r>
              <w:rPr/>
              <w:t xml:space="preserve"/>
            </w:r>
          </w:p>
          <w:p>
            <w:pPr/>
            <w:r>
              <w:rPr/>
              <w:t xml:space="preserve">As a next step, a project board meeting is scheduled in August, and the implementation will start once based on the validation results. The government has also requested UNDP to provide support services to accelerate project implementation, thus, the UNDP CO will work with government to explore a major amendment with GEF for all support services required for UNDP over the entire project duration.</w:t>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Off track</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r>
        <w:trPr/>
        <w:tc>
          <w:tcPr>
            <w:tcW w:w="16000" w:type="dxa"/>
            <w:shd w:val="clear" w:fill="#D9D9D9"/>
            <w:gridSpan w:val="7"/>
            <w:noWrap/>
          </w:tcPr>
          <w:p>
            <w:pPr/>
            <w:r>
              <w:rPr>
                <w:b w:val="1"/>
                <w:bCs w:val="1"/>
              </w:rPr>
              <w:t xml:space="preserve">Outcome 5</w:t>
            </w:r>
          </w:p>
          <w:p>
            <w:pPr/>
            <w:r>
              <w:rPr>
                <w:b w:val="1"/>
                <w:bCs w:val="1"/>
              </w:rPr>
              <w:t xml:space="preserve">Outcome 4.2: Enhanced confidence in the viability of sustainable energy and low carbon technology projects</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Cumulative kWh produced by commercially-operated OI RE mini-grids</w:t>
            </w:r>
          </w:p>
        </w:tc>
        <w:tc>
          <w:tcPr>
            <w:tcW w:w="2000" w:type="dxa"/>
            <w:gridSpan w:val="1"/>
            <w:noWrap/>
          </w:tcPr>
          <w:p>
            <w:pPr/>
            <w:r>
              <w:rPr/>
              <w:t xml:space="preserve">0</w:t>
            </w:r>
          </w:p>
        </w:tc>
        <w:tc>
          <w:tcPr>
            <w:tcW w:w="2000" w:type="dxa"/>
            <w:gridSpan w:val="1"/>
            <w:noWrap/>
          </w:tcPr>
          <w:p>
            <w:pPr/>
            <w:r>
              <w:rPr/>
              <w:t xml:space="preserve">576,700</w:t>
            </w:r>
          </w:p>
        </w:tc>
        <w:tc>
          <w:tcPr>
            <w:tcW w:w="2000" w:type="dxa"/>
            <w:gridSpan w:val="1"/>
            <w:noWrap/>
          </w:tcPr>
          <w:p>
            <w:pPr/>
            <w:r>
              <w:rPr/>
              <w:t xml:space="preserve">3,460,200</w:t>
            </w:r>
          </w:p>
        </w:tc>
        <w:tc>
          <w:tcPr>
            <w:tcW w:w="4000" w:type="dxa"/>
            <w:gridSpan w:val="1"/>
            <w:noWrap/>
          </w:tcPr>
          <w:p>
            <w:pPr/>
            <w:r>
              <w:rPr/>
              <w:t xml:space="preserve">0</w:t>
            </w:r>
          </w:p>
          <w:p>
            <w:pPr/>
            <w:r>
              <w:rPr/>
              <w:t xml:space="preserve"/>
            </w:r>
          </w:p>
          <w:p>
            <w:pPr/>
            <w:r>
              <w:rPr/>
              <w:t xml:space="preserve">Same as above.</w:t>
            </w:r>
          </w:p>
        </w:tc>
        <w:tc>
          <w:tcPr>
            <w:tcW w:w="4000" w:type="dxa"/>
            <w:gridSpan w:val="1"/>
            <w:noWrap/>
          </w:tcPr>
          <w:p>
            <w:pPr/>
            <w:r>
              <w:rPr/>
              <w:t xml:space="preserve">0</w:t>
            </w:r>
          </w:p>
          <w:p>
            <w:pPr/>
            <w:r>
              <w:rPr/>
              <w:t xml:space="preserve"/>
            </w:r>
          </w:p>
          <w:p>
            <w:pPr/>
            <w:r>
              <w:rPr/>
              <w:t xml:space="preserve">No progress made towards the indicator as the project only re-started in 2024. The unsuspension was immediately followed by a government transition. An extension has been granted for this project until 29 September 2028. The IP re-engaged a Project Manage in December 2024 and a procurement and finance officer in May 2025. Following this, the PMU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w:t>
            </w:r>
          </w:p>
          <w:p>
            <w:pPr/>
            <w:r>
              <w:rPr/>
              <w:t xml:space="preserve"/>
            </w:r>
          </w:p>
          <w:p>
            <w:pPr/>
            <w:r>
              <w:rPr/>
              <w:t xml:space="preserve">As a next step, a project board meeting is scheduled in August, and the implementation will start once based on the validation results. The government has also requested UNDP to provide support services to accelerate project implementation, thus, the UNDP CO will work with government to explore a major amendment with GEF for all support services required for UNDP over the entire project duration.</w:t>
            </w:r>
          </w:p>
        </w:tc>
      </w:tr>
      <w:tr>
        <w:trPr/>
        <w:tc>
          <w:tcPr>
            <w:tcW w:w="4000" w:type="dxa"/>
            <w:gridSpan w:val="1"/>
            <w:noWrap/>
          </w:tcPr>
          <w:p>
            <w:pPr/>
            <w:r>
              <w:rPr/>
              <w:t xml:space="preserve">Cumulative volume of water used in agricultural activities produced by RE-based water production and supply systems, kL</w:t>
            </w:r>
          </w:p>
        </w:tc>
        <w:tc>
          <w:tcPr>
            <w:tcW w:w="2000" w:type="dxa"/>
            <w:gridSpan w:val="1"/>
            <w:noWrap/>
          </w:tcPr>
          <w:p>
            <w:pPr/>
            <w:r>
              <w:rPr/>
              <w:t xml:space="preserve">0</w:t>
            </w:r>
          </w:p>
        </w:tc>
        <w:tc>
          <w:tcPr>
            <w:tcW w:w="2000" w:type="dxa"/>
            <w:gridSpan w:val="1"/>
            <w:noWrap/>
          </w:tcPr>
          <w:p>
            <w:pPr/>
            <w:r>
              <w:rPr/>
              <w:t xml:space="preserve">0</w:t>
            </w:r>
          </w:p>
        </w:tc>
        <w:tc>
          <w:tcPr>
            <w:tcW w:w="2000" w:type="dxa"/>
            <w:gridSpan w:val="1"/>
            <w:noWrap/>
          </w:tcPr>
          <w:p>
            <w:pPr/>
            <w:r>
              <w:rPr/>
              <w:t xml:space="preserve">109,325</w:t>
            </w:r>
          </w:p>
        </w:tc>
        <w:tc>
          <w:tcPr>
            <w:tcW w:w="4000" w:type="dxa"/>
            <w:gridSpan w:val="1"/>
            <w:noWrap/>
          </w:tcPr>
          <w:p>
            <w:pPr/>
            <w:r>
              <w:rPr/>
              <w:t xml:space="preserve">0</w:t>
            </w:r>
          </w:p>
          <w:p>
            <w:pPr/>
            <w:r>
              <w:rPr/>
              <w:t xml:space="preserve"/>
            </w:r>
          </w:p>
          <w:p>
            <w:pPr/>
            <w:r>
              <w:rPr/>
              <w:t xml:space="preserve">Same as above.</w:t>
            </w:r>
          </w:p>
        </w:tc>
        <w:tc>
          <w:tcPr>
            <w:tcW w:w="4000" w:type="dxa"/>
            <w:gridSpan w:val="1"/>
            <w:noWrap/>
          </w:tcPr>
          <w:p>
            <w:pPr/>
            <w:r>
              <w:rPr/>
              <w:t xml:space="preserve">0</w:t>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Off track</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bl>
    <w:p>
      <w:pPr>
        <w:pStyle w:val="Heading2"/>
      </w:pPr>
      <w:bookmarkStart w:id="4" w:name="_Toc4"/>
      <w:r>
        <w:t>Action plan</w:t>
      </w:r>
      <w:bookmarkEnd w:id="4"/>
    </w:p>
    <w:tbl>
      <w:tblGrid>
        <w:gridCol w:w="3000" w:type="dxa"/>
        <w:gridCol w:w="5000" w:type="dxa"/>
        <w:gridCol w:w="5000" w:type="dxa"/>
        <w:gridCol w:w="3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3000" w:type="dxa"/>
            <w:gridSpan w:val="1"/>
            <w:noWrap/>
          </w:tcPr>
          <w:p>
            <w:pPr/>
            <w:r>
              <w:rPr>
                <w:b w:val="1"/>
                <w:bCs w:val="1"/>
              </w:rPr>
              <w:t xml:space="preserve">Off-track objective/outcome</w:t>
            </w:r>
          </w:p>
        </w:tc>
        <w:tc>
          <w:tcPr>
            <w:tcW w:w="5000" w:type="dxa"/>
            <w:gridSpan w:val="1"/>
            <w:noWrap/>
          </w:tcPr>
          <w:p>
            <w:pPr/>
            <w:r>
              <w:rPr>
                <w:b w:val="1"/>
                <w:bCs w:val="1"/>
              </w:rPr>
              <w:t xml:space="preserve">Action(s) to be taken</w:t>
            </w:r>
          </w:p>
        </w:tc>
        <w:tc>
          <w:tcPr>
            <w:tcW w:w="5000" w:type="dxa"/>
            <w:gridSpan w:val="1"/>
            <w:noWrap/>
          </w:tcPr>
          <w:p>
            <w:pPr/>
            <w:r>
              <w:rPr>
                <w:b w:val="1"/>
                <w:bCs w:val="1"/>
              </w:rPr>
              <w:t xml:space="preserve">Responsible party/ies</w:t>
            </w:r>
          </w:p>
        </w:tc>
        <w:tc>
          <w:tcPr>
            <w:tcW w:w="3000" w:type="dxa"/>
            <w:gridSpan w:val="1"/>
            <w:noWrap/>
          </w:tcPr>
          <w:p>
            <w:pPr/>
            <w:r>
              <w:rPr>
                <w:b w:val="1"/>
                <w:bCs w:val="1"/>
              </w:rPr>
              <w:t xml:space="preserve">Due Date</w:t>
            </w:r>
          </w:p>
        </w:tc>
      </w:tr>
      <w:tr>
        <w:trPr/>
        <w:tc>
          <w:tcPr>
            <w:tcW w:w="3000" w:type="dxa"/>
            <w:gridSpan w:val="1"/>
            <w:noWrap/>
          </w:tcPr>
          <w:p>
            <w:pPr/>
            <w:r>
              <w:rPr/>
              <w:t xml:space="preserve">Objective</w:t>
            </w:r>
          </w:p>
        </w:tc>
        <w:tc>
          <w:tcPr>
            <w:tcW w:w="5000" w:type="dxa"/>
            <w:gridSpan w:val="1"/>
            <w:noWrap/>
          </w:tcPr>
          <w:p>
            <w:pPr/>
            <w:r>
              <w:rPr/>
              <w:t xml:space="preserve">1. Convene a Project Board meeting in August to review and endorse the validation results, revised budget, and updated work plan.</w:t>
            </w:r>
          </w:p>
          <w:p>
            <w:pPr/>
            <w:r>
              <w:rPr/>
              <w:t xml:space="preserve"/>
            </w:r>
          </w:p>
          <w:p>
            <w:pPr/>
            <w:r>
              <w:rPr/>
              <w:t xml:space="preserve">2. The validation allocated budget for a Chief Technical Advisor to support the Project Manager in implementation, including TOR development, supplier selection, and assessment of deliverables.</w:t>
            </w:r>
          </w:p>
          <w:p>
            <w:pPr/>
            <w:r>
              <w:rPr/>
              <w:t xml:space="preserve"/>
            </w:r>
          </w:p>
          <w:p>
            <w:pPr/>
            <w:r>
              <w:rPr/>
              <w:t xml:space="preserve">3. Raise the direct cash transfer (DCT) cap. The project is operating under full NIM modality, with a DCT ceiling of USD 150,000 per partner per year, shared with another project. UNDP has been strengthening the Government of Kiribati’s capacity, with positive results demonstrated through successful liquidation of NIM advances. The Country Office has submitted a request to increase the DCT ceiling to USD 500,000 to enable the Implementing Partner to deliver more effectively. Once the scheduled audit is completed by March 2026, the CO will submit a further request to lift the DCT cap entirely.</w:t>
            </w:r>
          </w:p>
          <w:p>
            <w:pPr/>
            <w:r>
              <w:rPr/>
              <w:t xml:space="preserve"/>
            </w:r>
          </w:p>
          <w:p>
            <w:pPr/>
            <w:r>
              <w:rPr/>
              <w:t xml:space="preserve">4. Collaborate with the Government to explore a major amendment with the GEF covering all UNDP support services required throughout the project’s duration.</w:t>
            </w:r>
          </w:p>
          <w:p>
            <w:pPr/>
            <w:r>
              <w:rPr/>
              <w:t xml:space="preserve"/>
            </w:r>
          </w:p>
          <w:p>
            <w:pPr/>
            <w:r>
              <w:rPr/>
              <w:t xml:space="preserve">UNDP will continue to provide capacity building to the government of Kiribati and PMU to support project implementation and HACT compliance.</w:t>
            </w:r>
          </w:p>
        </w:tc>
        <w:tc>
          <w:tcPr>
            <w:tcW w:w="5000" w:type="dxa"/>
            <w:gridSpan w:val="1"/>
            <w:noWrap/>
          </w:tcPr>
          <w:p>
            <w:pPr/>
            <w:r>
              <w:rPr/>
              <w:t xml:space="preserve">UNDP CO programme team in collaboration with IP and PMU</w:t>
            </w:r>
          </w:p>
        </w:tc>
        <w:tc>
          <w:tcPr>
            <w:tcW w:w="3000" w:type="dxa"/>
            <w:gridSpan w:val="1"/>
            <w:noWrap/>
          </w:tcPr>
          <w:p>
            <w:pPr/>
            <w:r>
              <w:rPr/>
              <w:t xml:space="preserve">Jun 30, 2026</w:t>
            </w:r>
          </w:p>
        </w:tc>
      </w:tr>
      <w:tr>
        <w:trPr/>
        <w:tc>
          <w:tcPr>
            <w:tcW w:w="3000" w:type="dxa"/>
            <w:gridSpan w:val="1"/>
            <w:noWrap/>
          </w:tcPr>
          <w:p>
            <w:pPr/>
            <w:r>
              <w:rPr/>
              <w:t xml:space="preserve">Objective</w:t>
            </w:r>
          </w:p>
        </w:tc>
        <w:tc>
          <w:tcPr>
            <w:tcW w:w="5000" w:type="dxa"/>
            <w:gridSpan w:val="1"/>
            <w:noWrap/>
          </w:tcPr>
          <w:p>
            <w:pPr/>
            <w:r>
              <w:rPr/>
              <w:t xml:space="preserve">1. Convene a Project Board meeting in August to review and endorse the validation results, revised budget, and updated work plan.</w:t>
            </w:r>
          </w:p>
          <w:p>
            <w:pPr/>
            <w:r>
              <w:rPr/>
              <w:t xml:space="preserve"/>
            </w:r>
          </w:p>
          <w:p>
            <w:pPr/>
            <w:r>
              <w:rPr/>
              <w:t xml:space="preserve">2. The validation allocated budget for a Chief Technical Advisor to support the Project Manager in implementation, including TOR development, supplier selection, and assessment of deliverables.</w:t>
            </w:r>
          </w:p>
          <w:p>
            <w:pPr/>
            <w:r>
              <w:rPr/>
              <w:t xml:space="preserve"/>
            </w:r>
          </w:p>
          <w:p>
            <w:pPr/>
            <w:r>
              <w:rPr/>
              <w:t xml:space="preserve">3. Raise the direct cash transfer (DCT) cap. The project is operating under full NIM modality, with a DCT ceiling of USD 150,000 per partner per year, shared with another project. UNDP has been strengthening the Government of Kiribati’s capacity, with positive results demonstrated through successful liquidation of NIM advances. The Country Office has submitted a request to increase the DCT ceiling to USD 500,000 to enable the Implementing Partner to deliver more effectively. Once the scheduled audit is completed by March 2026, the CO will submit a further request to lift the DCT cap entirely.</w:t>
            </w:r>
          </w:p>
          <w:p>
            <w:pPr/>
            <w:r>
              <w:rPr/>
              <w:t xml:space="preserve"/>
            </w:r>
          </w:p>
          <w:p>
            <w:pPr/>
            <w:r>
              <w:rPr/>
              <w:t xml:space="preserve">4. Collaborate with the Government to explore a major amendment with the GEF covering all UNDP support services required throughout the project’s duration.</w:t>
            </w:r>
          </w:p>
          <w:p>
            <w:pPr/>
            <w:r>
              <w:rPr/>
              <w:t xml:space="preserve"/>
            </w:r>
          </w:p>
          <w:p>
            <w:pPr/>
            <w:r>
              <w:rPr/>
              <w:t xml:space="preserve">UNDP will continue to provide capacity building to the government of Kiribati and PMU to support project implementation and HACT compliance.</w:t>
            </w:r>
          </w:p>
        </w:tc>
        <w:tc>
          <w:tcPr>
            <w:tcW w:w="5000" w:type="dxa"/>
            <w:gridSpan w:val="1"/>
            <w:noWrap/>
          </w:tcPr>
          <w:p>
            <w:pPr/>
            <w:r>
              <w:rPr/>
              <w:t xml:space="preserve">UNDP CO programme team in collaboration with IP and PMU</w:t>
            </w:r>
          </w:p>
        </w:tc>
        <w:tc>
          <w:tcPr>
            <w:tcW w:w="3000" w:type="dxa"/>
            <w:gridSpan w:val="1"/>
            <w:noWrap/>
          </w:tcPr>
          <w:p>
            <w:pPr/>
            <w:r>
              <w:rPr/>
              <w:t xml:space="preserve">Jun 30, 2026</w:t>
            </w:r>
          </w:p>
        </w:tc>
      </w:tr>
      <w:tr>
        <w:trPr/>
        <w:tc>
          <w:tcPr>
            <w:tcW w:w="3000" w:type="dxa"/>
            <w:gridSpan w:val="1"/>
            <w:noWrap/>
          </w:tcPr>
          <w:p>
            <w:pPr/>
            <w:r>
              <w:rPr/>
              <w:t xml:space="preserve">Outcome 1</w:t>
            </w:r>
          </w:p>
        </w:tc>
        <w:tc>
          <w:tcPr>
            <w:tcW w:w="5000" w:type="dxa"/>
            <w:gridSpan w:val="1"/>
            <w:noWrap/>
          </w:tcPr>
          <w:p>
            <w:pPr/>
            <w:r>
              <w:rPr/>
              <w:t xml:space="preserve">1. Convene a Project Board meeting in August to review and endorse the validation results, revised budget, and updated work plan.</w:t>
            </w:r>
          </w:p>
          <w:p>
            <w:pPr/>
            <w:r>
              <w:rPr/>
              <w:t xml:space="preserve"/>
            </w:r>
          </w:p>
          <w:p>
            <w:pPr/>
            <w:r>
              <w:rPr/>
              <w:t xml:space="preserve">2. The validation allocated budget for a Chief Technical Advisor to support the Project Manager in implementation, including TOR development, supplier selection, and assessment of deliverables.</w:t>
            </w:r>
          </w:p>
          <w:p>
            <w:pPr/>
            <w:r>
              <w:rPr/>
              <w:t xml:space="preserve"/>
            </w:r>
          </w:p>
          <w:p>
            <w:pPr/>
            <w:r>
              <w:rPr/>
              <w:t xml:space="preserve">3. Raise the direct cash transfer (DCT) cap. The project is operating under full NIM modality, with a DCT ceiling of USD 150,000 per partner per year, shared with another project. UNDP has been strengthening the Government of Kiribati’s capacity, with positive results demonstrated through successful liquidation of NIM advances. The Country Office has submitted a request to increase the DCT ceiling to USD 500,000 to enable the Implementing Partner to deliver more effectively. Once the scheduled audit is completed by March 2026, the CO will submit a further request to lift the DCT cap entirely.</w:t>
            </w:r>
          </w:p>
          <w:p>
            <w:pPr/>
            <w:r>
              <w:rPr/>
              <w:t xml:space="preserve"/>
            </w:r>
          </w:p>
          <w:p>
            <w:pPr/>
            <w:r>
              <w:rPr/>
              <w:t xml:space="preserve">4. Collaborate with the Government to explore a major amendment with the GEF covering all UNDP support services required throughout the project’s duration.</w:t>
            </w:r>
          </w:p>
        </w:tc>
        <w:tc>
          <w:tcPr>
            <w:tcW w:w="5000" w:type="dxa"/>
            <w:gridSpan w:val="1"/>
            <w:noWrap/>
          </w:tcPr>
          <w:p>
            <w:pPr/>
            <w:r>
              <w:rPr/>
              <w:t xml:space="preserve">UNDP CO programme team in collaboration with IP and PMU</w:t>
            </w:r>
          </w:p>
        </w:tc>
        <w:tc>
          <w:tcPr>
            <w:tcW w:w="3000" w:type="dxa"/>
            <w:gridSpan w:val="1"/>
            <w:noWrap/>
          </w:tcPr>
          <w:p>
            <w:pPr/>
            <w:r>
              <w:rPr/>
              <w:t xml:space="preserve">Jun 30, 2026</w:t>
            </w:r>
          </w:p>
        </w:tc>
      </w:tr>
      <w:tr>
        <w:trPr/>
        <w:tc>
          <w:tcPr>
            <w:tcW w:w="3000" w:type="dxa"/>
            <w:gridSpan w:val="1"/>
            <w:noWrap/>
          </w:tcPr>
          <w:p>
            <w:pPr/>
            <w:r>
              <w:rPr/>
              <w:t xml:space="preserve">Outcome 2</w:t>
            </w:r>
          </w:p>
        </w:tc>
        <w:tc>
          <w:tcPr>
            <w:tcW w:w="5000" w:type="dxa"/>
            <w:gridSpan w:val="1"/>
            <w:noWrap/>
          </w:tcPr>
          <w:p>
            <w:pPr/>
            <w:r>
              <w:rPr/>
              <w:t xml:space="preserve">1. Convene a Project Board meeting in August to review and endorse the validation results, revised budget, and updated work plan.</w:t>
            </w:r>
          </w:p>
          <w:p>
            <w:pPr/>
            <w:r>
              <w:rPr/>
              <w:t xml:space="preserve"/>
            </w:r>
          </w:p>
          <w:p>
            <w:pPr/>
            <w:r>
              <w:rPr/>
              <w:t xml:space="preserve">2. The validation allocated budget for a Chief Technical Advisor to support the Project Manager in implementation, including TOR development, supplier selection, and assessment of deliverables.</w:t>
            </w:r>
          </w:p>
          <w:p>
            <w:pPr/>
            <w:r>
              <w:rPr/>
              <w:t xml:space="preserve"/>
            </w:r>
          </w:p>
          <w:p>
            <w:pPr/>
            <w:r>
              <w:rPr/>
              <w:t xml:space="preserve">3. Raise the direct cash transfer (DCT) cap. The project is operating under full NIM modality, with a DCT ceiling of USD 150,000 per partner per year, shared with another project. UNDP has been strengthening the Government of Kiribati’s capacity, with positive results demonstrated through successful liquidation of NIM advances. The Country Office has submitted a request to increase the DCT ceiling to USD 500,000 to enable the Implementing Partner to deliver more effectively. Once the scheduled audit is completed by March 2026, the CO will submit a further request to lift the DCT cap entirely.</w:t>
            </w:r>
          </w:p>
          <w:p>
            <w:pPr/>
            <w:r>
              <w:rPr/>
              <w:t xml:space="preserve"/>
            </w:r>
          </w:p>
          <w:p>
            <w:pPr/>
            <w:r>
              <w:rPr/>
              <w:t xml:space="preserve">4. Collaborate with the Government to explore a major amendment with the GEF covering all UNDP support services required throughout the project’s duration.</w:t>
            </w:r>
          </w:p>
          <w:p>
            <w:pPr/>
            <w:r>
              <w:rPr/>
              <w:t xml:space="preserve"/>
            </w:r>
          </w:p>
          <w:p>
            <w:pPr/>
            <w:r>
              <w:rPr/>
              <w:t xml:space="preserve">UNDP will continue to provide capacity building to the government of Kiribati and PMU to support project implementation and HACT compliance.</w:t>
            </w:r>
          </w:p>
        </w:tc>
        <w:tc>
          <w:tcPr>
            <w:tcW w:w="5000" w:type="dxa"/>
            <w:gridSpan w:val="1"/>
            <w:noWrap/>
          </w:tcPr>
          <w:p>
            <w:pPr/>
            <w:r>
              <w:rPr/>
              <w:t xml:space="preserve">UNDP CO programme team in collaboration with IP and PMU</w:t>
            </w:r>
          </w:p>
        </w:tc>
        <w:tc>
          <w:tcPr>
            <w:tcW w:w="3000" w:type="dxa"/>
            <w:gridSpan w:val="1"/>
            <w:noWrap/>
          </w:tcPr>
          <w:p>
            <w:pPr/>
            <w:r>
              <w:rPr/>
              <w:t xml:space="preserve">Jun 30, 2026</w:t>
            </w:r>
          </w:p>
        </w:tc>
      </w:tr>
      <w:tr>
        <w:trPr/>
        <w:tc>
          <w:tcPr>
            <w:tcW w:w="3000" w:type="dxa"/>
            <w:gridSpan w:val="1"/>
            <w:noWrap/>
          </w:tcPr>
          <w:p>
            <w:pPr/>
            <w:r>
              <w:rPr/>
              <w:t xml:space="preserve">Outcome 3</w:t>
            </w:r>
          </w:p>
        </w:tc>
        <w:tc>
          <w:tcPr>
            <w:tcW w:w="5000" w:type="dxa"/>
            <w:gridSpan w:val="1"/>
            <w:noWrap/>
          </w:tcPr>
          <w:p>
            <w:pPr/>
            <w:r>
              <w:rPr/>
              <w:t xml:space="preserve">1. Convene a Project Board meeting in August to review and endorse the validation results, revised budget, and updated work plan.</w:t>
            </w:r>
          </w:p>
          <w:p>
            <w:pPr/>
            <w:r>
              <w:rPr/>
              <w:t xml:space="preserve"/>
            </w:r>
          </w:p>
          <w:p>
            <w:pPr/>
            <w:r>
              <w:rPr/>
              <w:t xml:space="preserve">2. The validation allocated budget for a Chief Technical Advisor to support the Project Manager in implementation, including TOR development, supplier selection, and assessment of deliverables.</w:t>
            </w:r>
          </w:p>
          <w:p>
            <w:pPr/>
            <w:r>
              <w:rPr/>
              <w:t xml:space="preserve"/>
            </w:r>
          </w:p>
          <w:p>
            <w:pPr/>
            <w:r>
              <w:rPr/>
              <w:t xml:space="preserve">3. Raise the direct cash transfer (DCT) cap. The project is operating under full NIM modality, with a DCT ceiling of USD 150,000 per partner per year, shared with another project. UNDP has been strengthening the Government of Kiribati’s capacity, with positive results demonstrated through successful liquidation of NIM advances. The Country Office has submitted a request to increase the DCT ceiling to USD 500,000 to enable the Implementing Partner to deliver more effectively. Once the scheduled audit is completed by March 2026, the CO will submit a further request to lift the DCT cap entirely.</w:t>
            </w:r>
          </w:p>
          <w:p>
            <w:pPr/>
            <w:r>
              <w:rPr/>
              <w:t xml:space="preserve"/>
            </w:r>
          </w:p>
          <w:p>
            <w:pPr/>
            <w:r>
              <w:rPr/>
              <w:t xml:space="preserve">4. Collaborate with the Government to explore a major amendment with the GEF covering all UNDP support services required throughout the project’s duration.</w:t>
            </w:r>
          </w:p>
          <w:p>
            <w:pPr/>
            <w:r>
              <w:rPr/>
              <w:t xml:space="preserve"/>
            </w:r>
          </w:p>
          <w:p>
            <w:pPr/>
            <w:r>
              <w:rPr/>
              <w:t xml:space="preserve">UNDP will continue to provide capacity building to the government of Kiribati and PMU to support project implementation and HACT compliance.</w:t>
            </w:r>
          </w:p>
        </w:tc>
        <w:tc>
          <w:tcPr>
            <w:tcW w:w="5000" w:type="dxa"/>
            <w:gridSpan w:val="1"/>
            <w:noWrap/>
          </w:tcPr>
          <w:p>
            <w:pPr/>
            <w:r>
              <w:rPr/>
              <w:t xml:space="preserve">UNDP CO programme team in collaboration with IP and PMU</w:t>
            </w:r>
          </w:p>
        </w:tc>
        <w:tc>
          <w:tcPr>
            <w:tcW w:w="3000" w:type="dxa"/>
            <w:gridSpan w:val="1"/>
            <w:noWrap/>
          </w:tcPr>
          <w:p>
            <w:pPr/>
            <w:r>
              <w:rPr/>
              <w:t xml:space="preserve">Jun 30, 2026</w:t>
            </w:r>
          </w:p>
        </w:tc>
      </w:tr>
      <w:tr>
        <w:trPr/>
        <w:tc>
          <w:tcPr>
            <w:tcW w:w="3000" w:type="dxa"/>
            <w:gridSpan w:val="1"/>
            <w:noWrap/>
          </w:tcPr>
          <w:p>
            <w:pPr/>
            <w:r>
              <w:rPr/>
              <w:t xml:space="preserve">Outcome 4</w:t>
            </w:r>
          </w:p>
        </w:tc>
        <w:tc>
          <w:tcPr>
            <w:tcW w:w="5000" w:type="dxa"/>
            <w:gridSpan w:val="1"/>
            <w:noWrap/>
          </w:tcPr>
          <w:p>
            <w:pPr/>
            <w:r>
              <w:rPr/>
              <w:t xml:space="preserve">1. Convene a Project Board meeting in August to review and endorse the validation results, revised budget, and updated work plan.</w:t>
            </w:r>
          </w:p>
          <w:p>
            <w:pPr/>
            <w:r>
              <w:rPr/>
              <w:t xml:space="preserve"/>
            </w:r>
          </w:p>
          <w:p>
            <w:pPr/>
            <w:r>
              <w:rPr/>
              <w:t xml:space="preserve">2. The validation allocated budget for a Chief Technical Advisor to support the Project Manager in implementation, including TOR development, supplier selection, and assessment of deliverables.</w:t>
            </w:r>
          </w:p>
          <w:p>
            <w:pPr/>
            <w:r>
              <w:rPr/>
              <w:t xml:space="preserve"/>
            </w:r>
          </w:p>
          <w:p>
            <w:pPr/>
            <w:r>
              <w:rPr/>
              <w:t xml:space="preserve">3. Raise the direct cash transfer (DCT) cap. The project is operating under full NIM modality, with a DCT ceiling of USD 150,000 per partner per year, shared with another project. UNDP has been strengthening the Government of Kiribati’s capacity, with positive results demonstrated through successful liquidation of NIM advances. The Country Office has submitted a request to increase the DCT ceiling to USD 500,000 to enable the Implementing Partner to deliver more effectively. Once the scheduled audit is completed by March 2026, the CO will submit a further request to lift the DCT cap entirely.</w:t>
            </w:r>
          </w:p>
          <w:p>
            <w:pPr/>
            <w:r>
              <w:rPr/>
              <w:t xml:space="preserve"/>
            </w:r>
          </w:p>
          <w:p>
            <w:pPr/>
            <w:r>
              <w:rPr/>
              <w:t xml:space="preserve">4. Collaborate with the Government to explore a major amendment with the GEF covering all UNDP support services required throughout the project’s duration.</w:t>
            </w:r>
          </w:p>
          <w:p>
            <w:pPr/>
            <w:r>
              <w:rPr/>
              <w:t xml:space="preserve"/>
            </w:r>
          </w:p>
          <w:p>
            <w:pPr/>
            <w:r>
              <w:rPr/>
              <w:t xml:space="preserve">UNDP will continue to provide capacity building to the government of Kiribati and PMU to support project implementation and HACT compliance.</w:t>
            </w:r>
          </w:p>
        </w:tc>
        <w:tc>
          <w:tcPr>
            <w:tcW w:w="5000" w:type="dxa"/>
            <w:gridSpan w:val="1"/>
            <w:noWrap/>
          </w:tcPr>
          <w:p>
            <w:pPr/>
            <w:r>
              <w:rPr/>
              <w:t xml:space="preserve">UNDP CO programme team in collaboration with IP and PMU</w:t>
            </w:r>
          </w:p>
        </w:tc>
        <w:tc>
          <w:tcPr>
            <w:tcW w:w="3000" w:type="dxa"/>
            <w:gridSpan w:val="1"/>
            <w:noWrap/>
          </w:tcPr>
          <w:p>
            <w:pPr/>
            <w:r>
              <w:rPr/>
              <w:t xml:space="preserve">Jun 30, 2026</w:t>
            </w:r>
          </w:p>
        </w:tc>
      </w:tr>
      <w:tr>
        <w:trPr/>
        <w:tc>
          <w:tcPr>
            <w:tcW w:w="3000" w:type="dxa"/>
            <w:gridSpan w:val="1"/>
            <w:noWrap/>
          </w:tcPr>
          <w:p>
            <w:pPr/>
            <w:r>
              <w:rPr/>
              <w:t xml:space="preserve">Outcome 5</w:t>
            </w:r>
          </w:p>
        </w:tc>
        <w:tc>
          <w:tcPr>
            <w:tcW w:w="5000" w:type="dxa"/>
            <w:gridSpan w:val="1"/>
            <w:noWrap/>
          </w:tcPr>
          <w:p>
            <w:pPr/>
            <w:r>
              <w:rPr/>
              <w:t xml:space="preserve">1. Convene a Project Board meeting in August to review and endorse the validation results, revised budget, and updated work plan.</w:t>
            </w:r>
          </w:p>
          <w:p>
            <w:pPr/>
            <w:r>
              <w:rPr/>
              <w:t xml:space="preserve"/>
            </w:r>
          </w:p>
          <w:p>
            <w:pPr/>
            <w:r>
              <w:rPr/>
              <w:t xml:space="preserve">2. The validation allocated budget for a Chief Technical Advisor to support the Project Manager in implementation, including TOR development, supplier selection, and assessment of deliverables.</w:t>
            </w:r>
          </w:p>
          <w:p>
            <w:pPr/>
            <w:r>
              <w:rPr/>
              <w:t xml:space="preserve"/>
            </w:r>
          </w:p>
          <w:p>
            <w:pPr/>
            <w:r>
              <w:rPr/>
              <w:t xml:space="preserve">3. Raise the direct cash transfer (DCT) cap. The project is operating under full NIM modality, with a DCT ceiling of USD 150,000 per partner per year, shared with another project. UNDP has been strengthening the Government of Kiribati’s capacity, with positive results demonstrated through successful liquidation of NIM advances. The Country Office has submitted a request to increase the DCT ceiling to USD 500,000 to enable the Implementing Partner to deliver more effectively. Once the scheduled audit is completed by March 2026, the CO will submit a further request to lift the DCT cap entirely.</w:t>
            </w:r>
          </w:p>
          <w:p>
            <w:pPr/>
            <w:r>
              <w:rPr/>
              <w:t xml:space="preserve"/>
            </w:r>
          </w:p>
          <w:p>
            <w:pPr/>
            <w:r>
              <w:rPr/>
              <w:t xml:space="preserve">4. Collaborate with the Government to explore a major amendment with the GEF covering all UNDP support services required throughout the project’s duration.</w:t>
            </w:r>
          </w:p>
          <w:p>
            <w:pPr/>
            <w:r>
              <w:rPr/>
              <w:t xml:space="preserve"/>
            </w:r>
          </w:p>
          <w:p>
            <w:pPr/>
            <w:r>
              <w:rPr/>
              <w:t xml:space="preserve">UNDP will continue to provide capacity building to the government of Kiribati and PMU to support project implementation and HACT compliance.</w:t>
            </w:r>
          </w:p>
        </w:tc>
        <w:tc>
          <w:tcPr>
            <w:tcW w:w="5000" w:type="dxa"/>
            <w:gridSpan w:val="1"/>
            <w:noWrap/>
          </w:tcPr>
          <w:p>
            <w:pPr/>
            <w:r>
              <w:rPr/>
              <w:t xml:space="preserve">UNDP CO programme team in collaboration with IP and PMU</w:t>
            </w:r>
          </w:p>
        </w:tc>
        <w:tc>
          <w:tcPr>
            <w:tcW w:w="3000" w:type="dxa"/>
            <w:gridSpan w:val="1"/>
            <w:noWrap/>
          </w:tcPr>
          <w:p>
            <w:pPr/>
            <w:r>
              <w:rPr/>
              <w:t xml:space="preserve">Jun 30, 2026</w:t>
            </w:r>
          </w:p>
        </w:tc>
      </w:tr>
    </w:tbl>
    <w:p>
      <w:pPr>
        <w:sectPr>
          <w:pgSz w:orient="landscape" w:w="16837.79527559055" w:h="11905.511811023622"/>
          <w:pgMar w:top="500" w:right="500" w:bottom="500" w:left="500" w:header="720" w:footer="720" w:gutter="0"/>
          <w:cols w:num="1" w:space="720"/>
        </w:sectPr>
      </w:pPr>
    </w:p>
    <w:p>
      <w:pPr>
        <w:pStyle w:val="Heading1"/>
      </w:pPr>
      <w:bookmarkStart w:id="5" w:name="_Toc5"/>
      <w:r>
        <w:t>Finance/Co-Finance</w:t>
      </w:r>
      <w:bookmarkEnd w:id="5"/>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vAlign w:val="center"/>
            <w:noWrap/>
          </w:tcPr>
          <w:p>
            <w:pPr/>
            <w:r>
              <w:rPr/>
              <w:t xml:space="preserve">Cumulative disbursement as of Jun 30, 2025:</w:t>
            </w:r>
          </w:p>
          <w:p>
            <w:pPr/>
            <w:r>
              <w:rPr>
                <w:i w:val="1"/>
                <w:iCs w:val="1"/>
              </w:rPr>
              <w:t xml:space="preserve">
*Disbursement for the FY 2025 period is an estimate as books for UNDP Q2 2025 are not yet closed.</w:t>
            </w:r>
          </w:p>
        </w:tc>
        <w:tc>
          <w:tcPr>
            <w:tcW w:w="5000" w:type="dxa"/>
            <w:vAlign w:val="center"/>
            <w:gridSpan w:val="1"/>
            <w:noWrap/>
          </w:tcPr>
          <w:p>
            <w:pPr>
              <w:jc w:val="right"/>
            </w:pPr>
            <w:r>
              <w:rPr/>
              <w:t xml:space="preserve">267,259</w:t>
            </w:r>
          </w:p>
        </w:tc>
      </w:tr>
    </w:tbl>
    <w:p>
      <w:pPr>
        <w:pStyle w:val="Heading2"/>
      </w:pPr>
      <w:bookmarkStart w:id="6" w:name="_Toc6"/>
      <w:r>
        <w:t>Key Financing Amounts</w:t>
      </w:r>
      <w:bookmarkEnd w:id="6"/>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noWrap/>
          </w:tcPr>
          <w:p>
            <w:pPr/>
            <w:r>
              <w:rPr/>
              <w:t xml:space="preserve">PPG Amount</w:t>
            </w:r>
          </w:p>
        </w:tc>
        <w:tc>
          <w:tcPr>
            <w:tcW w:w="5000" w:type="dxa"/>
            <w:vAlign w:val="center"/>
            <w:gridSpan w:val="1"/>
            <w:noWrap/>
          </w:tcPr>
          <w:p>
            <w:pPr>
              <w:jc w:val="right"/>
            </w:pPr>
            <w:r>
              <w:rPr/>
              <w:t xml:space="preserve">100,000</w:t>
            </w:r>
          </w:p>
        </w:tc>
      </w:tr>
      <w:tr>
        <w:trPr/>
        <w:tc>
          <w:tcPr>
            <w:tcW w:w="5000" w:type="dxa"/>
            <w:gridSpan w:val="1"/>
            <w:noWrap/>
          </w:tcPr>
          <w:p>
            <w:pPr/>
            <w:r>
              <w:rPr/>
              <w:t xml:space="preserve">GEF Grant Amount</w:t>
            </w:r>
          </w:p>
        </w:tc>
        <w:tc>
          <w:tcPr>
            <w:tcW w:w="5000" w:type="dxa"/>
            <w:vAlign w:val="center"/>
            <w:gridSpan w:val="1"/>
            <w:noWrap/>
          </w:tcPr>
          <w:p>
            <w:pPr>
              <w:jc w:val="right"/>
            </w:pPr>
            <w:r>
              <w:rPr/>
              <w:t xml:space="preserve">5,379,452</w:t>
            </w:r>
          </w:p>
        </w:tc>
      </w:tr>
      <w:tr>
        <w:trPr/>
        <w:tc>
          <w:tcPr>
            <w:tcW w:w="5000" w:type="dxa"/>
            <w:gridSpan w:val="1"/>
            <w:noWrap/>
          </w:tcPr>
          <w:p>
            <w:pPr/>
            <w:r>
              <w:rPr/>
              <w:t xml:space="preserve">Co-financing</w:t>
            </w:r>
          </w:p>
        </w:tc>
        <w:tc>
          <w:tcPr>
            <w:tcW w:w="5000" w:type="dxa"/>
            <w:vAlign w:val="center"/>
            <w:gridSpan w:val="1"/>
            <w:noWrap/>
          </w:tcPr>
          <w:p>
            <w:pPr>
              <w:jc w:val="right"/>
            </w:pPr>
            <w:r>
              <w:rPr/>
              <w:t xml:space="preserve">26,923,300</w:t>
            </w:r>
          </w:p>
        </w:tc>
      </w:tr>
    </w:tbl>
    <w:p>
      <w:pPr>
        <w:sectPr>
          <w:pgSz w:orient="portrait" w:w="11905.511811023622" w:h="16837.79527559055"/>
          <w:pgMar w:top="1440" w:right="1440" w:bottom="1440" w:left="1440" w:header="720" w:footer="720" w:gutter="0"/>
          <w:cols w:num="1" w:space="720"/>
        </w:sectPr>
      </w:pPr>
    </w:p>
    <w:p>
      <w:pPr>
        <w:pStyle w:val="Heading1"/>
      </w:pPr>
      <w:bookmarkStart w:id="7" w:name="_Toc7"/>
      <w:r>
        <w:t>Implementation Progress</w:t>
      </w:r>
      <w:bookmarkEnd w:id="7"/>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Project Manager: Please provide comments on delays with outputs/activities during the period 1 July 2024 through 30 June 2025.  If there were no delays, please indicate 'not applicable'.</w:t>
            </w:r>
          </w:p>
        </w:tc>
      </w:tr>
      <w:tr>
        <w:trPr/>
        <w:tc>
          <w:tcPr>
            <w:tcW w:w="10000" w:type="dxa"/>
            <w:gridSpan w:val="1"/>
            <w:noWrap/>
          </w:tcPr>
          <w:p>
            <w:pPr/>
            <w:r>
              <w:rPr/>
              <w:t xml:space="preserve">The POIDIER Project was initially launched in 2021 but experienced a 17-month suspension between January 2023 and October 2024. The project officially resumed in October 2024 following clearance from the UNDP, which also granted a four-year extension.</w:t>
            </w:r>
          </w:p>
          <w:p>
            <w:pPr/>
            <w:r>
              <w:rPr/>
              <w:t xml:space="preserve"/>
            </w:r>
          </w:p>
          <w:p>
            <w:pPr/>
            <w:r>
              <w:rPr/>
              <w:t xml:space="preserve">Although the project was originally expected to restart in June 2024, it experienced a five-month delay. Upon resumption, the project was constrained by a temporary UNDP budget cap of AUD 110,000. This cap was put in place pending the successful upskilling of the Ministry of Infrastructure and Sustainable Energy (MISE) to reduce the project's risk level. As a result, implementation of major components was delayed.</w:t>
            </w:r>
          </w:p>
          <w:p>
            <w:pPr/>
            <w:r>
              <w:rPr/>
              <w:t xml:space="preserve"/>
            </w:r>
          </w:p>
          <w:p>
            <w:pPr/>
            <w:r>
              <w:rPr/>
              <w:t xml:space="preserve">During this period, the Project Management Unit (PMU) prioritized validation of all project activities. This was essential to ensure that any changes or potential overlaps with other donor-funded mini-grid initiatives during the suspension period would not compromise the project's objectives or its Global Environment Facility (GEF) implementation targets.</w:t>
            </w:r>
          </w:p>
          <w:p>
            <w:pPr/>
            <w:r>
              <w:rPr/>
              <w:t xml:space="preserve"/>
            </w:r>
          </w:p>
          <w:p>
            <w:pPr/>
            <w:r>
              <w:rPr/>
              <w:t xml:space="preserve">In parallel with the validation process, the PMU also collaborated with the Energy Planning Unit (EPU) to develop new renewable energy (RE) regulations. While the regulatory work faced some delays due to a slow approval process within the Ministry, it is now in its final stage and awaiting Cabinet approval.</w:t>
            </w:r>
          </w:p>
          <w:p>
            <w:pPr/>
            <w:r>
              <w:rPr/>
              <w:t xml:space="preserve"/>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CO Programme Officer: Please include specific measures to manage the project's implementation performance</w:t>
            </w:r>
          </w:p>
          <w:p>
            <w:pPr/>
            <w:r>
              <w:rPr>
                <w:b w:val="1"/>
                <w:bCs w:val="1"/>
              </w:rPr>
              <w:t xml:space="preserve"/>
            </w:r>
          </w:p>
          <w:p>
            <w:pPr/>
            <w:r>
              <w:rPr>
                <w:b w:val="1"/>
                <w:bCs w:val="1"/>
              </w:rPr>
              <w:t xml:space="preserve"/>
            </w:r>
          </w:p>
        </w:tc>
      </w:tr>
      <w:tr>
        <w:trPr/>
        <w:tc>
          <w:tcPr>
            <w:tcW w:w="10000" w:type="dxa"/>
            <w:gridSpan w:val="1"/>
            <w:noWrap/>
          </w:tcPr>
          <w:p>
            <w:pPr/>
            <w:r>
              <w:rPr/>
              <w:t xml:space="preserve">The project re-started in 2024. This was followed immediately by government transition. The IP re-engaged a Project Manager in October 2024 and a procurement and finance officer in May 2025. Following this, the project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w:t>
            </w:r>
          </w:p>
          <w:p>
            <w:pPr/>
            <w:r>
              <w:rPr/>
              <w:t xml:space="preserve"/>
            </w:r>
          </w:p>
          <w:p>
            <w:pPr/>
            <w:r>
              <w:rPr/>
              <w:t xml:space="preserve">As next steps, the project will:</w:t>
            </w:r>
          </w:p>
          <w:p>
            <w:pPr/>
            <w:r>
              <w:rPr/>
              <w:t xml:space="preserve"/>
            </w:r>
          </w:p>
          <w:p>
            <w:pPr/>
            <w:r>
              <w:rPr/>
              <w:t xml:space="preserve">1. Conduct a project board meeting in August to discuss and finalize the validation results and revised total budget and work plan.</w:t>
            </w:r>
          </w:p>
          <w:p>
            <w:pPr/>
            <w:r>
              <w:rPr/>
              <w:t xml:space="preserve">2. The project allocated budget for a Chief Technical Advisor to support the PM in project implementation incl. development of TORs, selecting competent suppliers, and assessing supplier deliverables.</w:t>
            </w:r>
          </w:p>
          <w:p>
            <w:pPr/>
            <w:r>
              <w:rPr/>
              <w:t xml:space="preserve">3. The project is currently operating under full NIM, with a cap of 150,000 USD per partner per year of direct cash transfer shared with another project. UNDP has been providing capacity building to the government of Kiribati and results have shown through successful liquidation of NIM advance. UNDP CO has submitted a request to raise the DCT limit to 500,000 to allow the IP to deliver more. The capacity building activities will help ensure financial compliance and once an audit is completed by March 2026, the CO will raise a further case to completely lift the DCT cap.</w:t>
            </w:r>
          </w:p>
          <w:p>
            <w:pPr/>
            <w:r>
              <w:rPr/>
              <w:t xml:space="preserve">4. Work with the government to explore a major amendment with GEF for all support services required for UNDP over the entire project duration.</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BPPS RTA: Please include specific measures to manage the project's implementation performance.</w:t>
            </w:r>
          </w:p>
        </w:tc>
      </w:tr>
      <w:tr>
        <w:trPr/>
        <w:tc>
          <w:tcPr>
            <w:tcW w:w="10000" w:type="dxa"/>
            <w:gridSpan w:val="1"/>
            <w:noWrap/>
          </w:tcPr>
          <w:p>
            <w:pPr/>
            <w:r>
              <w:rPr/>
              <w:t xml:space="preserve">Ongoing implementation reviews: Conduct biweekly check-ins with the CO and PMU to track deliverables, identify obstacles early, and adjust implementation steps as needed.</w:t>
            </w:r>
          </w:p>
          <w:p>
            <w:pPr/>
            <w:r>
              <w:rPr/>
              <w:t xml:space="preserve"/>
            </w:r>
          </w:p>
          <w:p>
            <w:pPr/>
            <w:r>
              <w:rPr/>
              <w:t xml:space="preserve">Active risk oversight: Continuously assess technical, financial, operational, SES, and institutional risks, with mitigation measures agreed upon with the CO, PMU, and other relevant stakeholders. This will require close coordination with the SES TA, especially for demonstration works in the 18 outer islands.</w:t>
            </w:r>
          </w:p>
          <w:p>
            <w:pPr/>
            <w:r>
              <w:rPr/>
              <w:t xml:space="preserve"/>
            </w:r>
          </w:p>
          <w:p>
            <w:pPr/>
            <w:r>
              <w:rPr/>
              <w:t xml:space="preserve">Streamline implementation arrangements: Work with the Country Office to continue improving the project’s direct cash transfer limit and explore additional options to strengthen implementation, in full compliance with GEF policies (i.e., major amendment).</w:t>
            </w:r>
          </w:p>
          <w:p>
            <w:pPr/>
            <w:r>
              <w:rPr/>
              <w:t xml:space="preserve"/>
            </w:r>
          </w:p>
          <w:p>
            <w:pPr/>
            <w:r>
              <w:rPr/>
              <w:t xml:space="preserve">Monitoring alignment with objectives: Ensure that project activities remain consistent with validated objectives and outcomes, and confirm that progress is on track to achieve agreed targets.</w:t>
            </w:r>
          </w:p>
        </w:tc>
      </w:tr>
    </w:tbl>
    <w:p>
      <w:pPr>
        <w:sectPr>
          <w:pgSz w:orient="portrait" w:w="11905.511811023622" w:h="16837.79527559055"/>
          <w:pgMar w:top="1440" w:right="1440" w:bottom="1440" w:left="1440" w:header="720" w:footer="720" w:gutter="0"/>
          <w:cols w:num="1" w:space="720"/>
        </w:sectPr>
      </w:pPr>
    </w:p>
    <w:p>
      <w:pPr>
        <w:pStyle w:val="Heading1"/>
      </w:pPr>
      <w:bookmarkStart w:id="8" w:name="_Toc8"/>
      <w:r>
        <w:t>Project Governance</w:t>
      </w:r>
      <w:bookmarkEnd w:id="8"/>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1) Please enter the dates of Project Board meetings during the reporting period (1 July 2024 to 30 June 2025)</w:t>
            </w:r>
          </w:p>
        </w:tc>
      </w:tr>
      <w:tr>
        <w:trPr/>
        <w:tc>
          <w:tcPr>
            <w:tcW w:w="10000" w:type="dxa"/>
            <w:gridSpan w:val="1"/>
            <w:noWrap/>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9" w:name="_Toc9"/>
      <w:r>
        <w:t>Ratings and Overall Assessments</w:t>
      </w:r>
      <w:bookmarkEnd w:id="9"/>
    </w:p>
    <w:tbl>
      <w:tblGrid>
        <w:gridCol w:w="5000" w:type="dxa"/>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noWrap/>
          </w:tcPr>
          <w:p>
            <w:pPr/>
            <w:r>
              <w:rPr>
                <w:b w:val="1"/>
                <w:bCs w:val="1"/>
              </w:rPr>
              <w:t xml:space="preserve">Role</w:t>
            </w:r>
          </w:p>
        </w:tc>
        <w:tc>
          <w:tcPr>
            <w:tcW w:w="5000" w:type="dxa"/>
            <w:gridSpan w:val="1"/>
            <w:noWrap/>
          </w:tcPr>
          <w:p>
            <w:pPr/>
            <w:r>
              <w:rPr>
                <w:b w:val="1"/>
                <w:bCs w:val="1"/>
              </w:rPr>
              <w:t xml:space="preserve">2025 Development Objective Progress Rating</w:t>
            </w:r>
          </w:p>
        </w:tc>
        <w:tc>
          <w:tcPr>
            <w:tcW w:w="5000" w:type="dxa"/>
            <w:gridSpan w:val="1"/>
            <w:noWrap/>
          </w:tcPr>
          <w:p>
            <w:pPr/>
            <w:r>
              <w:rPr>
                <w:b w:val="1"/>
                <w:bCs w:val="1"/>
              </w:rPr>
              <w:t xml:space="preserve">2025 Implementation Progress Rating</w:t>
            </w:r>
          </w:p>
        </w:tc>
      </w:tr>
      <w:tr>
        <w:trPr/>
        <w:tc>
          <w:tcPr>
            <w:tcW w:w="5000" w:type="dxa"/>
            <w:gridSpan w:val="1"/>
            <w:noWrap/>
          </w:tcPr>
          <w:p>
            <w:pPr/>
            <w:r>
              <w:rPr>
                <w:b w:val="1"/>
                <w:bCs w:val="1"/>
              </w:rPr>
              <w:t xml:space="preserve">UNDP BPPS Technical Advisor</w:t>
            </w:r>
          </w:p>
        </w:tc>
        <w:tc>
          <w:tcPr>
            <w:tcW w:w="5000" w:type="dxa"/>
            <w:gridSpan w:val="1"/>
            <w:noWrap/>
          </w:tcPr>
          <w:p>
            <w:pPr/>
            <w:r>
              <w:rPr/>
              <w:t xml:space="preserve">Moderately Unsatisfactory</w:t>
            </w:r>
          </w:p>
        </w:tc>
        <w:tc>
          <w:tcPr>
            <w:tcW w:w="5000" w:type="dxa"/>
            <w:gridSpan w:val="1"/>
            <w:noWrap/>
          </w:tcPr>
          <w:p>
            <w:pPr/>
            <w:r>
              <w:rPr/>
              <w:t xml:space="preserve">Moderately Unsatisfactory</w:t>
            </w:r>
          </w:p>
        </w:tc>
      </w:tr>
    </w:tbl>
    <w:p>
      <w:pPr/>
      <w:r>
        <w:rPr/>
        <w:t xml:space="preserve"/>
      </w:r>
    </w:p>
    <w:tbl>
      <w:tblGrid>
        <w:gridCol w:w="5000" w:type="dxa"/>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noWrap/>
          </w:tcPr>
          <w:p>
            <w:pPr/>
            <w:r>
              <w:rPr>
                <w:b w:val="1"/>
                <w:bCs w:val="1"/>
              </w:rPr>
              <w:t xml:space="preserve">Role</w:t>
            </w:r>
          </w:p>
        </w:tc>
        <w:tc>
          <w:tcPr>
            <w:tcW w:w="10000" w:type="dxa"/>
            <w:gridSpan w:val="1"/>
            <w:noWrap/>
          </w:tcPr>
          <w:p>
            <w:pPr/>
            <w:r>
              <w:rPr>
                <w:b w:val="1"/>
                <w:bCs w:val="1"/>
              </w:rPr>
              <w:t xml:space="preserve">2025 Overall Assessment</w:t>
            </w:r>
          </w:p>
        </w:tc>
      </w:tr>
      <w:tr>
        <w:trPr/>
        <w:tc>
          <w:tcPr>
            <w:tcW w:w="5000" w:type="dxa"/>
            <w:gridSpan w:val="1"/>
            <w:noWrap/>
          </w:tcPr>
          <w:p>
            <w:pPr/>
            <w:r>
              <w:rPr>
                <w:b w:val="1"/>
                <w:bCs w:val="1"/>
              </w:rPr>
              <w:t xml:space="preserve">UNDP BPPS Technical Advisor</w:t>
            </w:r>
          </w:p>
        </w:tc>
        <w:tc>
          <w:tcPr>
            <w:tcW w:w="10000" w:type="dxa"/>
            <w:gridSpan w:val="1"/>
            <w:noWrap/>
          </w:tcPr>
          <w:p>
            <w:pPr/>
            <w:r>
              <w:rPr/>
              <w:t xml:space="preserve">OVERVIEW</w:t>
            </w:r>
          </w:p>
          <w:p>
            <w:pPr/>
            <w:r>
              <w:rPr/>
              <w:t xml:space="preserve"/>
            </w:r>
          </w:p>
          <w:p>
            <w:pPr/>
            <w:r>
              <w:rPr/>
              <w:t xml:space="preserve">This third PIR covers the Promoting Outer Island Development through the Integrated Energy Roadmap (POIDIER), a full-size project with a budget of USD 5.3 million launched in September 2020. The project aims to support outer island development through renewable energy and energy efficiency, focusing on capacity building, enforcement of energy policies and regulations, access to financing, and the adoption of low-carbon technologies.</w:t>
            </w:r>
          </w:p>
          <w:p>
            <w:pPr/>
            <w:r>
              <w:rPr/>
              <w:t xml:space="preserve"/>
            </w:r>
          </w:p>
          <w:p>
            <w:pPr/>
            <w:r>
              <w:rPr/>
              <w:t xml:space="preserve">Implementation was suspended by UNDP in mid-2022 due to non-compliance by the executing entity, the Ministry of Infrastructure and Sustainable Energy (MISE), with UNDP rules and regulations. In September 2022, MISE agreed to conduct a new HACT Micro Assessment to reassess organizational management structures and procedures, informing the appropriate implementation modality. The project was unsuspended in June 2024 under a phased approach, with MISE initially limited to managing USD 150,000 annually while capacity strengthening—funded by the Bangkok Regional Hub and led by UNDP Pacific’s Management Performance and Oversight Team—was undertaken. An extension to September 2028 was granted in November 2024, with a Project Manager re-engaged in October 2024 and a procurement and finance officer hired in May 2025.</w:t>
            </w:r>
          </w:p>
          <w:p>
            <w:pPr/>
            <w:r>
              <w:rPr/>
              <w:t xml:space="preserve"/>
            </w:r>
          </w:p>
          <w:p>
            <w:pPr/>
            <w:r>
              <w:rPr/>
              <w:t xml:space="preserve">In June 2025, UNDP’s North Pacific Office requested removal of the USD 150,000 budget cap applied to MISE, which implements both POIDIER (full NIM) and the multi-donor Gov4Res project. While POIDIER was originally suspended due to fiduciary risks, updated assessments in 2023 and 2024 found MISE to be a Moderate overall risk and the Kiribati Fiduciary Services Unit (responsible for procurement) to be Low risk. With capacity improvements, risk mitigation measures, dedicated staff, and UNDP oversight, implementation has resumed steadily in 2025, although current budgetary limits continue to constrain delivery against the approved multi-year plan. To enable full implementation, MCO requested lifting the budgetary restriction, supported by third-party audits and spot checks to safeguard resources.</w:t>
            </w:r>
          </w:p>
          <w:p>
            <w:pPr/>
            <w:r>
              <w:rPr/>
              <w:t xml:space="preserve"/>
            </w:r>
          </w:p>
          <w:p>
            <w:pPr/>
            <w:r>
              <w:rPr/>
              <w:t xml:space="preserve">However, important gaps remain. In particular, the lack of documentation on past project implementation makes it difficult to assess and build on activities already initiated. A review of these results is necessary, and the guidance of a Chief Technical Adviser (CTA) within the PMU would provide valuable support to ensure proper follow-up and technical oversight. Given these challenges, both Development Objective progress and Implementation Progress have been rated as Moderately Unsatisfactory (MU).</w:t>
            </w:r>
          </w:p>
          <w:p>
            <w:pPr/>
            <w:r>
              <w:rPr/>
              <w:t xml:space="preserve"/>
            </w:r>
          </w:p>
          <w:p>
            <w:pPr/>
            <w:r>
              <w:rPr/>
              <w:t xml:space="preserve">PROJECT REVIEW AND VALIDATION REPORT</w:t>
            </w:r>
          </w:p>
          <w:p>
            <w:pPr/>
            <w:r>
              <w:rPr/>
              <w:t xml:space="preserve"/>
            </w:r>
          </w:p>
          <w:p>
            <w:pPr/>
            <w:r>
              <w:rPr/>
              <w:t xml:space="preserve">A validation and update of the POIDIER Project were conducted following a 17-month suspension and a subsequent four-year extension to ensure activities remained relevant and achievable. The review combined desk research, consultations, and field missions to Abaiang and North Tarawa, which underscored the need to replace outdated or completed baseline activities and adjust demonstration efforts to current needs. Key revisions included consolidating training, awareness, and monitoring activities; broadening the energy efficiency (EE) cookstove program into a wider EE cooking devices initiative; and piloting integrated outer island energy planning in two islands. Partnerships with government ministries, NGOs, and donor projects were also explored to strengthen synergies and supplement limited resources.</w:t>
            </w:r>
          </w:p>
          <w:p>
            <w:pPr/>
            <w:r>
              <w:rPr/>
              <w:t xml:space="preserve"/>
            </w:r>
          </w:p>
          <w:p>
            <w:pPr/>
            <w:r>
              <w:rPr/>
              <w:t xml:space="preserve">The revised activities continue to align with Kiribati’s renewable energy and energy efficiency targets under the national roadmap (KIER) and contribute to GEF climate goals. The project supports institutional coordination (including the role of KGES), develops financial mechanisms with the Development Bank of Kiribati, and maintains strong alignment with SDG 7 on sustainable energy access. Although immediate emission reductions have been scaled down, the combination of capacity building, policy reforms, and demonstration pilots is expected to catalyze replication, strengthen energy security, and enhance socio-economic resilience in the outer islands.</w:t>
            </w:r>
          </w:p>
          <w:p>
            <w:pPr/>
            <w:r>
              <w:rPr/>
              <w:t xml:space="preserve"/>
            </w:r>
          </w:p>
          <w:p>
            <w:pPr/>
            <w:r>
              <w:rPr/>
              <w:t xml:space="preserve">In terms of outputs, the project retained its original outcomes and results framework but revised indicators and targets to reflect reduced scope and budgets. Solar PV mini-grid (SPVMG) demonstrations were expanded from 11 to 18 islands, though installed capacity was reduced from 790 kW to 733 kW. To address budget gaps, integration with parallel projects (health centers, schools, NGOs) was considered, though limited mainly to MISE-managed initiatives. New pilot demonstrations were also introduced for solar-powered water desalination and EE cooking devices. However, significant challenges remain—particularly the expansion of SPVMG demos without additional funding, limited baselines for agricultural desalination, and declining community interest in improved cookstoves. UNDP emphasized that additional demos must rely on co-financing rather than the core GEF budget.</w:t>
            </w:r>
          </w:p>
          <w:p>
            <w:pPr/>
            <w:r>
              <w:rPr/>
              <w:t xml:space="preserve"/>
            </w:r>
          </w:p>
          <w:p>
            <w:pPr/>
            <w:r>
              <w:rPr/>
              <w:t xml:space="preserve">Overall, the project’s objectives and outcomes remain valid and aligned with national priorities and GEF goals on GHG reduction. Some outputs tied to outdated or completed baseline projects will need to be replaced or deleted, and indicator targets adjusted to reflect the reduced demonstration scale. The revised design focuses on realistic budgeting, strategic consolidation, and stronger partnerships to safeguard impact on energy access, efficiency, and climate outcomes.</w:t>
            </w:r>
          </w:p>
          <w:p>
            <w:pPr/>
            <w:r>
              <w:rPr/>
              <w:t xml:space="preserve"/>
            </w:r>
          </w:p>
          <w:p>
            <w:pPr/>
            <w:r>
              <w:rPr/>
              <w:t xml:space="preserve">RISK MANAGEMENT</w:t>
            </w:r>
          </w:p>
          <w:p>
            <w:pPr/>
            <w:r>
              <w:rPr/>
              <w:t xml:space="preserve"/>
            </w:r>
          </w:p>
          <w:p>
            <w:pPr/>
            <w:r>
              <w:rPr/>
              <w:t xml:space="preserve">Several risks were flagged in the project’s risk register prior to suspension.</w:t>
            </w:r>
          </w:p>
          <w:p>
            <w:pPr/>
            <w:r>
              <w:rPr/>
              <w:t xml:space="preserve"/>
            </w:r>
          </w:p>
          <w:p>
            <w:pPr/>
            <w:r>
              <w:rPr/>
              <w:t xml:space="preserve">- Operational risk: Rated substantial, due to findings from the 2023 micro-HACT assessment and limited support from outer island communities. To strengthen assurance, UNDP commissioned a supplementary 2024 assessment of the Kiribati Fiduciary Services Unit (KFSU), which is responsible for procurement under the project. This assessment concluded with a Low risk rating for KFSU’s procurement functions. Nonetheless, community engagement remains a concern, and the project team is working to improve participation from outer islands during the design of key activities.</w:t>
            </w:r>
          </w:p>
          <w:p>
            <w:pPr/>
            <w:r>
              <w:rPr/>
              <w:t xml:space="preserve"/>
            </w:r>
          </w:p>
          <w:p>
            <w:pPr/>
            <w:r>
              <w:rPr/>
              <w:t xml:space="preserve">- Organizational risk: Rated substantial, arising from inadequate local capacities to fill national roles, limited progress on institutional processes, and weak knowledge of fair pricing and sourcing for renewable energy systems. The recruitment of a Chief Technical Adviser (CTA) within the PMU, working closely with the Project Manager, will be critical to addressing these gaps.</w:t>
            </w:r>
          </w:p>
          <w:p>
            <w:pPr/>
            <w:r>
              <w:rPr/>
              <w:t xml:space="preserve"/>
            </w:r>
          </w:p>
          <w:p>
            <w:pPr/>
            <w:r>
              <w:rPr/>
              <w:t xml:space="preserve">- Social and environmental risk: Rated moderate, linked to the potential abandonment of PV system parts at end-of-life. These risks will be mitigated through an Environmental and Social Management Plan (ESMP), including site selection, design, and operational measures. While no progress was made on the Environmental and Social Management Framework (ESMF) during the suspension, ESMP reports for Makin and Marakei have been submitted to MELAD and are pending approval, to proceed once mini-grid implementation begins.</w:t>
            </w:r>
          </w:p>
          <w:p>
            <w:pPr/>
            <w:r>
              <w:rPr/>
              <w:t xml:space="preserve"/>
            </w:r>
          </w:p>
          <w:p>
            <w:pPr/>
            <w:r>
              <w:rPr/>
              <w:t xml:space="preserve">The overall risk rating in PIMS+ remains substantial, primarily due to low delivery against the ProDoc. To mitigate this, the following actions are underway:</w:t>
            </w:r>
          </w:p>
          <w:p>
            <w:pPr/>
            <w:r>
              <w:rPr/>
              <w:t xml:space="preserve"/>
            </w:r>
          </w:p>
          <w:p>
            <w:pPr/>
            <w:r>
              <w:rPr/>
              <w:t xml:space="preserve">- The PMU is finalizing validation of the project review report.</w:t>
            </w:r>
          </w:p>
          <w:p>
            <w:pPr/>
            <w:r>
              <w:rPr/>
              <w:t xml:space="preserve">- With stronger capacity expected and subject to verification through spot checks, MISE will be entrusted with greater financial responsibility under NIM, supported by UNDP oversight and the HACT framework.</w:t>
            </w:r>
          </w:p>
          <w:p>
            <w:pPr/>
            <w:r>
              <w:rPr/>
              <w:t xml:space="preserve">- Procurement will continue to be managed by KFSU, as outlined in the Project Document.</w:t>
            </w:r>
          </w:p>
          <w:p>
            <w:pPr/>
            <w:r>
              <w:rPr/>
              <w:t xml:space="preserve"/>
            </w:r>
          </w:p>
          <w:p>
            <w:pPr/>
            <w:r>
              <w:rPr/>
              <w:t xml:space="preserve">Once the project review is validated, the AWP cleared, and the CTA onboard, the risk register will be updated accordingly.</w:t>
            </w:r>
          </w:p>
          <w:p>
            <w:pPr/>
            <w:r>
              <w:rPr/>
              <w:t xml:space="preserve"/>
            </w:r>
          </w:p>
          <w:p>
            <w:pPr/>
            <w:r>
              <w:rPr/>
              <w:t xml:space="preserve">RECOMMENDATIONS AND NEXT STEPS:</w:t>
            </w:r>
          </w:p>
          <w:p>
            <w:pPr/>
            <w:r>
              <w:rPr/>
              <w:t xml:space="preserve"/>
            </w:r>
          </w:p>
          <w:p>
            <w:pPr/>
            <w:r>
              <w:rPr/>
              <w:t xml:space="preserve">To realign the POIDIER Project following its review and validation, several measures are recommended:</w:t>
            </w:r>
          </w:p>
          <w:p>
            <w:pPr/>
            <w:r>
              <w:rPr/>
              <w:t xml:space="preserve"/>
            </w:r>
          </w:p>
          <w:p>
            <w:pPr/>
            <w:r>
              <w:rPr/>
              <w:t xml:space="preserve">- Capacity building: Continue the deployment of the comprehensive institutional development plan, led by the UNDP Pacific Office’s Management Performance and Oversight Team, to improve transparency, efficiency, and accountability in service delivery and fund utilization. The plan should focus on strengthening national systems and aligning development aid with national priorities, rather than relying solely on targeted technical skills.</w:t>
            </w:r>
          </w:p>
          <w:p>
            <w:pPr/>
            <w:r>
              <w:rPr/>
              <w:t xml:space="preserve">- Review of past activities: The PMU should examine all reports from activities initiated before the suspension to determine appropriate follow-up actions, with guidance from a Chief Technical Adviser (CTA).</w:t>
            </w:r>
          </w:p>
          <w:p>
            <w:pPr/>
            <w:r>
              <w:rPr/>
              <w:t xml:space="preserve">- Strengthen technical capacity: Include the CTA as a core member of the PMU to provide technical oversight, particularly for Components 4.1 and 4.2.</w:t>
            </w:r>
          </w:p>
          <w:p>
            <w:pPr/>
            <w:r>
              <w:rPr/>
              <w:t xml:space="preserve">- Streamline activities: Merge similar or overlapping tasks—such as training, RE/EE campaigns, energy planning, and equipment sourcing—to reduce duplication, increase efficiency, and improve coordination.</w:t>
            </w:r>
          </w:p>
          <w:p>
            <w:pPr/>
            <w:r>
              <w:rPr/>
              <w:t xml:space="preserve">- Comprehensive energy planning: Replace individual island RE/EE planning with integrated energy planning in two pilot islands (Abaiang and Aranuka).</w:t>
            </w:r>
          </w:p>
          <w:p>
            <w:pPr/>
            <w:r>
              <w:rPr/>
              <w:t xml:space="preserve">- Collaboration: Reinforce MISE’s leadership role in sustainable energy by enhancing coordination with other ministries, agencies, NGOs, and the private sector.</w:t>
            </w:r>
          </w:p>
          <w:p>
            <w:pPr/>
            <w:r>
              <w:rPr/>
              <w:t xml:space="preserve">- Results framework adjustments: While objectives and outcomes remain valid, mid-term and end-of-project indicator targets should be revised to reflect the adjusted scope of outputs and activities.</w:t>
            </w:r>
          </w:p>
          <w:p>
            <w:pPr/>
            <w:r>
              <w:rPr/>
              <w:t xml:space="preserve"/>
            </w:r>
          </w:p>
          <w:p>
            <w:pPr/>
            <w:r>
              <w:rPr/>
              <w:t xml:space="preserve">----</w:t>
            </w:r>
          </w:p>
          <w:p>
            <w:pPr/>
            <w:r>
              <w:rPr/>
              <w:t xml:space="preserve">The POIDIER project has faced several significant challenges since its launch in 2020. A major disruption occurred in mid-2022 when implementation was suspended due to MISE’s non-compliance with UNDP rules, reflecting broader institutional and fiduciary weaknesses. Although the project was reinstated in 2024 under a phased approach, constraints such as the USD 150,000 annual budget cap limited delivery against the multi-year plan. While subsequent assessments rated procurement through the Kiribati Fiduciary Services Unit as low risk, organizational capacity gaps remain—particularly in project management, documentation, and technical oversight—leading to Unsatisfactory ratings for both Development Objective and Implementation Progress. A lack of reporting and follow-through on activities during 2025 field missions further compounded these concerns.</w:t>
            </w:r>
          </w:p>
          <w:p>
            <w:pPr/>
            <w:r>
              <w:rPr/>
              <w:t xml:space="preserve"/>
            </w:r>
          </w:p>
          <w:p>
            <w:pPr/>
            <w:r>
              <w:rPr/>
              <w:t xml:space="preserve">Beyond governance and fiduciary risks, the project struggles with technical and design challenges. The expansion of solar PV mini-grid demonstrations from 11 to 18 islands, without additional financing, overstretched resources and jeopardized delivery, while agricultural desalination pilots remain constrained by limited baselines and unclear implementing partners. Shifts in community preferences away from improved cookstoves (ICS) also undermined original energy efficiency targets, requiring a redesign toward a broader mix of EE cooking devices. Risk assessments flagged substantial operational and organizational risks, including low community engagement, limited local technical expertise, and inadequate systems for fair pricing and procurement. Environmental and social risks—such as improper disposal of PV components—were deemed moderate but require active mitigation through ESMPs. Overall, budget limitations, capacity constraints, and shifting priorities have forced the project to adjust activities and targets, with the addition of a Chief Technical Adviser and stronger coordination expected to help address these persistent challenges.</w:t>
            </w:r>
          </w:p>
        </w:tc>
      </w:tr>
      <w:tr>
        <w:trPr/>
        <w:tc>
          <w:tcPr>
            <w:tcW w:w="5000" w:type="dxa"/>
            <w:gridSpan w:val="1"/>
            <w:noWrap/>
          </w:tcPr>
          <w:p>
            <w:pPr/>
            <w:r>
              <w:rPr>
                <w:b w:val="1"/>
                <w:bCs w:val="1"/>
              </w:rPr>
              <w:t xml:space="preserve">UNDP Country Office Programme Officer</w:t>
            </w:r>
          </w:p>
        </w:tc>
        <w:tc>
          <w:tcPr>
            <w:tcW w:w="10000" w:type="dxa"/>
            <w:gridSpan w:val="1"/>
            <w:noWrap/>
          </w:tcPr>
          <w:p>
            <w:pPr/>
            <w:r>
              <w:rPr/>
              <w:t xml:space="preserve">The project re-started in 2024. This was followed immediately by government transition. The IP re-engaged a Project Manager in October 2024 and a procurement and finance officer in May 2025. Following this, the project focused on a validation process on the project RRF, assessing the relevance of project activities, baselines and targets, and completed the drafting of validation report within the reporting period. The RRF remained relevant, with activities and installation capacity allocations to islands adjusted per the updated needs.</w:t>
            </w:r>
          </w:p>
          <w:p>
            <w:pPr/>
            <w:r>
              <w:rPr/>
              <w:t xml:space="preserve"/>
            </w:r>
          </w:p>
          <w:p>
            <w:pPr/>
            <w:r>
              <w:rPr/>
              <w:t xml:space="preserve">As next steps, the project will:</w:t>
            </w:r>
          </w:p>
          <w:p>
            <w:pPr/>
            <w:r>
              <w:rPr/>
              <w:t xml:space="preserve"/>
            </w:r>
          </w:p>
          <w:p>
            <w:pPr/>
            <w:r>
              <w:rPr/>
              <w:t xml:space="preserve">1. Conduct a project board meeting in August to discuss and finalize the validation results and revised total budget and work plan.</w:t>
            </w:r>
          </w:p>
          <w:p>
            <w:pPr/>
            <w:r>
              <w:rPr/>
              <w:t xml:space="preserve">2. The project allocated budget for a Chief Technical Advisor to support the PM in project implementation incl. development of TORs, selecting competent suppliers, and assessing supplier deliverables.</w:t>
            </w:r>
          </w:p>
          <w:p>
            <w:pPr/>
            <w:r>
              <w:rPr/>
              <w:t xml:space="preserve">3. The project is currently operating under full NIM, with a cap of 150,000 USD per partner per year of direct cash transfer shared with another project. UNDP has been providing capacity building to the government of Kiribati and results have shown through successful liquidation of NIM advance. UNDP CO has submitted a request to raise the DCT limit to 500,000 to allow the IP to deliver more. The capacity building activities will help ensure financial compliance and once an audit is completed by March 2026, the CO will raise a further case to completely lift the DCT cap.</w:t>
            </w:r>
          </w:p>
          <w:p>
            <w:pPr/>
            <w:r>
              <w:rPr/>
              <w:t xml:space="preserve">4. Work with the government to explore a major amendment with GEF for all support services required for UNDP over the entire project duration.</w:t>
            </w:r>
          </w:p>
        </w:tc>
      </w:tr>
      <w:tr>
        <w:trPr/>
        <w:tc>
          <w:tcPr>
            <w:tcW w:w="5000" w:type="dxa"/>
            <w:gridSpan w:val="1"/>
            <w:noWrap/>
          </w:tcPr>
          <w:p>
            <w:pPr/>
            <w:r>
              <w:rPr>
                <w:b w:val="1"/>
                <w:bCs w:val="1"/>
              </w:rPr>
              <w:t xml:space="preserve">Project Manager/Coordinator</w:t>
            </w:r>
          </w:p>
        </w:tc>
        <w:tc>
          <w:tcPr>
            <w:tcW w:w="10000" w:type="dxa"/>
            <w:gridSpan w:val="1"/>
            <w:noWrap/>
          </w:tcPr>
          <w:p>
            <w:pPr/>
            <w:r>
              <w:rPr/>
              <w:t xml:space="preserve">POIDIER Project Update – July 2025</w:t>
            </w:r>
          </w:p>
          <w:p>
            <w:pPr/>
            <w:r>
              <w:rPr/>
              <w:t xml:space="preserve">The POIDIER project officially restarted in October 2024 after a 17-month suspension. During this interim, a capacity-building programme—led by UNDP and budgeted cap at USD 110,000—has been supporting the Ministry of Infrastructure and Sustainable Energy (MISE). This funding is shared between the POIDIER and Gov4Res projects and is designed to enhance institutional capacity in areas such as program management, financial oversight, and overall operational effectiveness. A key objective of this support is to elevate MISE’s capacity in preparation for future HACT (Harmonized Approach to Cash Transfers) assessments.</w:t>
            </w:r>
          </w:p>
          <w:p>
            <w:pPr/>
            <w:r>
              <w:rPr/>
              <w:t xml:space="preserve">Due to the current budget cap, the PMU has not yet been able to commence the outer island mini-grid installations. Nevertheless, two major milestones highlighted below but have to be achieved in Q4 of 2025:</w:t>
            </w:r>
          </w:p>
          <w:p>
            <w:pPr/>
            <w:r>
              <w:rPr/>
              <w:t xml:space="preserve">1.	Validation of POIDIER Project Activities</w:t>
            </w:r>
          </w:p>
          <w:p>
            <w:pPr/>
            <w:r>
              <w:rPr/>
              <w:t xml:space="preserve">An international consultant is currently validating all activities under the POIDIER project. This process—now 60% complete—ensures alignment with the original Project Document, including areas such as baseline assessments, partnerships (both local and international), and updates to the gender and safeguards sections. Once finalized, the validation report will provide a robust foundation for implementation and reporting, including the Project Implementation Report (PIR) and other donor requirements.</w:t>
            </w:r>
          </w:p>
          <w:p>
            <w:pPr/>
            <w:r>
              <w:rPr/>
              <w:t xml:space="preserve">2.	Development of Renewable Energy (RE) Regulations</w:t>
            </w:r>
          </w:p>
          <w:p>
            <w:pPr/>
            <w:r>
              <w:rPr/>
              <w:t xml:space="preserve">The work on developing national Renewable Energy Regulations is nearly complete (95%). The draft is being prepared for submission to Cabinet for approval. This regulation introduces several key components, including:</w:t>
            </w:r>
          </w:p>
          <w:p>
            <w:pPr/>
            <w:r>
              <w:rPr/>
              <w:t xml:space="preserve">o	Mini-grid standards for PV-based systems</w:t>
            </w:r>
          </w:p>
          <w:p>
            <w:pPr/>
            <w:r>
              <w:rPr/>
              <w:t xml:space="preserve">o	Incentive structures to promote renewable energy adoption</w:t>
            </w:r>
          </w:p>
          <w:p>
            <w:pPr/>
            <w:r>
              <w:rPr/>
              <w:t xml:space="preserve">o	Licensing frameworks and compliance mechanisms</w:t>
            </w:r>
          </w:p>
          <w:p>
            <w:pPr/>
            <w:r>
              <w:rPr/>
              <w:t xml:space="preserve">The regulation is expected to establish a more coordinated, low-carbon energy strategy for Kiribati and ensure adherence to quality and safety standards for RE equipment and systems.</w:t>
            </w:r>
          </w:p>
          <w:p>
            <w:pPr/>
            <w:r>
              <w:rPr/>
              <w:t xml:space="preserve">Upcoming Activities</w:t>
            </w:r>
          </w:p>
          <w:p>
            <w:pPr/>
            <w:r>
              <w:rPr/>
              <w:t xml:space="preserve">Several important activities—such as public outreach in outer islands, technical assessments, and the procurement and installation of mini-grid systems—have not yet commenced due to financial constraints. These activities are tentatively scheduled to begin in Q4 2025, contingent on the release of additional funds.</w:t>
            </w:r>
          </w:p>
          <w:p>
            <w:pPr/>
            <w:r>
              <w:rPr/>
              <w:t xml:space="preserve"/>
            </w:r>
          </w:p>
        </w:tc>
      </w:tr>
      <w:tr>
        <w:trPr/>
        <w:tc>
          <w:tcPr>
            <w:tcW w:w="5000" w:type="dxa"/>
            <w:gridSpan w:val="1"/>
            <w:noWrap/>
          </w:tcPr>
          <w:p>
            <w:pPr/>
            <w:r>
              <w:rPr>
                <w:b w:val="1"/>
                <w:bCs w:val="1"/>
              </w:rPr>
              <w:t xml:space="preserve">GEF Operational Focal point</w:t>
            </w:r>
          </w:p>
        </w:tc>
        <w:tc>
          <w:tcPr>
            <w:tcW w:w="10000" w:type="dxa"/>
            <w:gridSpan w:val="1"/>
            <w:noWrap/>
          </w:tcPr>
          <w:p>
            <w:pPr/>
            <w:r>
              <w:rPr>
                <w:i w:val="1"/>
                <w:iCs w:val="1"/>
              </w:rPr>
              <w:t xml:space="preserve">(not set or not applicable)</w:t>
            </w:r>
          </w:p>
        </w:tc>
      </w:tr>
      <w:tr>
        <w:trPr/>
        <w:tc>
          <w:tcPr>
            <w:tcW w:w="5000" w:type="dxa"/>
            <w:gridSpan w:val="1"/>
            <w:noWrap/>
          </w:tcPr>
          <w:p>
            <w:pPr/>
            <w:r>
              <w:rPr>
                <w:b w:val="1"/>
                <w:bCs w:val="1"/>
              </w:rPr>
              <w:t xml:space="preserve">Project Implementing Partner</w:t>
            </w:r>
          </w:p>
        </w:tc>
        <w:tc>
          <w:tcPr>
            <w:tcW w:w="10000" w:type="dxa"/>
            <w:gridSpan w:val="1"/>
            <w:noWrap/>
          </w:tcPr>
          <w:p>
            <w:pPr/>
            <w:r>
              <w:rPr>
                <w:i w:val="1"/>
                <w:iCs w:val="1"/>
              </w:rPr>
              <w:t xml:space="preserve">(not set or not applicable)</w:t>
            </w:r>
          </w:p>
        </w:tc>
      </w:tr>
      <w:tr>
        <w:trPr/>
        <w:tc>
          <w:tcPr>
            <w:tcW w:w="5000" w:type="dxa"/>
            <w:gridSpan w:val="1"/>
            <w:noWrap/>
          </w:tcPr>
          <w:p>
            <w:pPr/>
            <w:r>
              <w:rPr>
                <w:b w:val="1"/>
                <w:bCs w:val="1"/>
              </w:rPr>
              <w:t xml:space="preserve">Other Partners</w:t>
            </w:r>
          </w:p>
        </w:tc>
        <w:tc>
          <w:tcPr>
            <w:tcW w:w="10000" w:type="dxa"/>
            <w:gridSpan w:val="1"/>
            <w:noWrap/>
          </w:tcPr>
          <w:p>
            <w:pPr/>
            <w:r>
              <w:rPr>
                <w:i w:val="1"/>
                <w:iCs w:val="1"/>
              </w:rPr>
              <w:t xml:space="preserve">(not set or not applicable)</w:t>
            </w:r>
          </w:p>
        </w:tc>
      </w:tr>
    </w:tbl>
    <w:p>
      <w:pPr>
        <w:sectPr>
          <w:pgSz w:orient="portrait" w:w="11905.511811023622" w:h="16837.79527559055"/>
          <w:pgMar w:top="500" w:right="500" w:bottom="500" w:left="500" w:header="720" w:footer="720" w:gutter="0"/>
          <w:cols w:num="1" w:space="720"/>
        </w:sectPr>
      </w:pPr>
    </w:p>
    <w:p>
      <w:pPr>
        <w:pStyle w:val="Heading1"/>
      </w:pPr>
      <w:bookmarkStart w:id="10" w:name="_Toc10"/>
      <w:r>
        <w:t>Minor Amendments</w:t>
      </w:r>
      <w:bookmarkEnd w:id="10"/>
    </w:p>
    <w:p>
      <w:pPr>
        <w:spacing w:before="0" w:after="0"/>
      </w:pPr>
      <w:r>
        <w:rPr/>
        <w:t xml:space="preserve"/>
      </w:r>
    </w:p>
    <w:p>
      <w:pPr/>
      <w:r>
        <w:rPr/>
        <w:t xml:space="preserve">Minor amendments are changes to the project design or implementation that do not have significant impact on the project objectives or scope, or an increase of the GEF project financing up to 5% as described in Annex 9 of the </w:t>
      </w:r>
      <w:hyperlink r:id="rId9" w:history="1">
        <w:r>
          <w:rPr/>
          <w:t xml:space="preserve">GEF Project and Program Cycle Policy Guidelines</w:t>
        </w:r>
      </w:hyperlink>
      <w:r>
        <w:rPr/>
        <w:t xml:space="preserve">.</w:t>
      </w:r>
    </w:p>
    <w:p>
      <w:pPr/>
      <w:r>
        <w:rPr>
          <w:b w:val="1"/>
          <w:bCs w:val="1"/>
        </w:rPr>
        <w:t xml:space="preserve">CO Programme Officer:</w:t>
      </w:r>
      <w:r>
        <w:rPr/>
        <w:t xml:space="preserve"> Please mark each category for which a minor amendment occurred during this reporting period (1 July 2024- 30 June 2025). </w:t>
      </w:r>
    </w:p>
    <w:p>
      <w:pPr/>
      <w:r>
        <w:rPr/>
        <w:t xml:space="preserve">For each category that is marked, please provide a brief description of the change that occurred in the associated text box. You may attach supporting documentation, as appropriate.</w:t>
      </w:r>
    </w:p>
    <w:p>
      <w:pPr/>
      <w:r>
        <w:rPr/>
        <w:t xml:space="preserve">The purpose of this section is to capture adaptive management and measure project proactiveness, an indicator outlined in paragraph 70 of the GEF-8 Policy Directions available </w:t>
      </w:r>
      <w:hyperlink r:id="rId10" w:history="1">
        <w:r>
          <w:rPr/>
          <w:t xml:space="preserve">here.</w:t>
        </w:r>
      </w:hyperlink>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A) Results Framework</w:t>
            </w:r>
          </w:p>
        </w:tc>
      </w:tr>
      <w:tr>
        <w:trPr/>
        <w:tc>
          <w:tcPr>
            <w:tcW w:w="10000" w:type="dxa"/>
            <w:gridSpan w:val="1"/>
            <w:noWrap/>
          </w:tcPr>
          <w:p>
            <w:pPr/>
            <w:r>
              <w:rPr/>
              <w:t xml:space="preserve">Yes</w:t>
            </w:r>
          </w:p>
        </w:tc>
      </w:tr>
      <w:tr>
        <w:trPr/>
        <w:tc>
          <w:tcPr>
            <w:tcW w:w="10000" w:type="dxa"/>
            <w:shd w:val="clear" w:fill="#D9D9D9"/>
            <w:noWrap/>
          </w:tcPr>
          <w:p>
            <w:pPr/>
            <w:r>
              <w:rPr>
                <w:b w:val="1"/>
                <w:bCs w:val="1"/>
              </w:rPr>
              <w:t xml:space="preserve">Provide a description of the change(s) to the 'Results framework'</w:t>
            </w:r>
          </w:p>
        </w:tc>
      </w:tr>
      <w:tr>
        <w:trPr/>
        <w:tc>
          <w:tcPr>
            <w:tcW w:w="10000" w:type="dxa"/>
            <w:gridSpan w:val="1"/>
            <w:noWrap/>
          </w:tcPr>
          <w:p>
            <w:pPr/>
            <w:r>
              <w:rPr/>
              <w:t xml:space="preserve">The project resumed in June 2024 following a 17-month suspension. In December 2024, the Project Manager officially returned to duty and took the lead in revitalizing project operations, including the recruitment of a Finance and Administration Officer to oversee the project’s financial management. Given the extended pause, the Project Management Unit (PMU) initiated a comprehensive validation exercise to ensure alignment with GEF targets and to prevent duplication of efforts, thereby optimizing the use of resources. As a result, revisions to Result Framework to be identified. These changes if identified are expected to be finalized by the fourth quarter of 2025 and will be reported in the 2026 Project Implementation Report (PIR).</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B) Components and cost</w:t>
            </w:r>
          </w:p>
        </w:tc>
      </w:tr>
      <w:tr>
        <w:trPr/>
        <w:tc>
          <w:tcPr>
            <w:tcW w:w="10000" w:type="dxa"/>
            <w:gridSpan w:val="1"/>
            <w:noWrap/>
          </w:tcPr>
          <w:p>
            <w:pPr/>
            <w:r>
              <w:rPr/>
              <w:t xml:space="preserve">Yes</w:t>
            </w:r>
          </w:p>
        </w:tc>
      </w:tr>
      <w:tr>
        <w:trPr/>
        <w:tc>
          <w:tcPr>
            <w:tcW w:w="10000" w:type="dxa"/>
            <w:shd w:val="clear" w:fill="#D9D9D9"/>
            <w:noWrap/>
          </w:tcPr>
          <w:p>
            <w:pPr/>
            <w:r>
              <w:rPr>
                <w:b w:val="1"/>
                <w:bCs w:val="1"/>
              </w:rPr>
              <w:t xml:space="preserve">Provide a description of the change(s) to 'Components and cost'</w:t>
            </w:r>
          </w:p>
        </w:tc>
      </w:tr>
      <w:tr>
        <w:trPr/>
        <w:tc>
          <w:tcPr>
            <w:tcW w:w="10000" w:type="dxa"/>
            <w:gridSpan w:val="1"/>
            <w:noWrap/>
          </w:tcPr>
          <w:p>
            <w:pPr/>
            <w:r>
              <w:rPr/>
              <w:t xml:space="preserve">The project resumed in June 2024 following a 17-month suspension. In December 2024, the Project Manager officially returned to duty and took the lead in revitalizing project operations, including the recruitment of a Finance and Administration Officer to oversee the project’s financial management. Given the extended pause, the Project Management Unit (PMU) initiated a comprehensive validation exercise to ensure alignment with GEF targets and to prevent duplication of efforts, thereby optimizing the use of resources. As a result, revisions to project components and associated costs have been identified. These changes are attached and expected to be finalized by the fourth quarter of 2025 and will be reported in the 2026 Project Implementation Report (PIR).</w:t>
            </w:r>
          </w:p>
          <w:p>
            <w:pPr/>
            <w:r>
              <w:rPr/>
              <w:t xml:space="preserve"/>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C) Institutional and implementation arrangements</w:t>
            </w:r>
          </w:p>
        </w:tc>
      </w:tr>
      <w:tr>
        <w:trPr/>
        <w:tc>
          <w:tcPr>
            <w:tcW w:w="10000" w:type="dxa"/>
            <w:gridSpan w:val="1"/>
            <w:noWrap/>
          </w:tcPr>
          <w:p>
            <w:pPr/>
            <w:r>
              <w:rPr/>
              <w:t xml:space="preserve">Yes</w:t>
            </w:r>
          </w:p>
        </w:tc>
      </w:tr>
      <w:tr>
        <w:trPr/>
        <w:tc>
          <w:tcPr>
            <w:tcW w:w="10000" w:type="dxa"/>
            <w:shd w:val="clear" w:fill="#D9D9D9"/>
            <w:noWrap/>
          </w:tcPr>
          <w:p>
            <w:pPr/>
            <w:r>
              <w:rPr>
                <w:b w:val="1"/>
                <w:bCs w:val="1"/>
              </w:rPr>
              <w:t xml:space="preserve">Provide a description of the change(s) to 'Institutional and implementation arrangements'</w:t>
            </w:r>
          </w:p>
        </w:tc>
      </w:tr>
      <w:tr>
        <w:trPr/>
        <w:tc>
          <w:tcPr>
            <w:tcW w:w="10000" w:type="dxa"/>
            <w:gridSpan w:val="1"/>
            <w:noWrap/>
          </w:tcPr>
          <w:p>
            <w:pPr/>
            <w:r>
              <w:rPr/>
              <w:t xml:space="preserve">The validation assessment will also review two key areas: (1) the project’s governance structure, and (2)  KGES or International Contractor as a vendor for the implementation of the project—particularly the mini-grid components in the outer islands The process of the procurement will follow UNDP or Central Procurement Unit, Kiribati. This review aims to ensure coherence and reduce risks associated with engaging multiple contractors. The change to Institutional and implementation arrangement will be report in PIR 2026.</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D) Financial management</w:t>
            </w:r>
          </w:p>
        </w:tc>
      </w:tr>
      <w:tr>
        <w:trPr/>
        <w:tc>
          <w:tcPr>
            <w:tcW w:w="10000" w:type="dxa"/>
            <w:gridSpan w:val="1"/>
            <w:noWrap/>
          </w:tcPr>
          <w:p>
            <w:pPr/>
            <w:r>
              <w:rPr/>
              <w:t xml:space="preserve">Yes</w:t>
            </w:r>
          </w:p>
        </w:tc>
      </w:tr>
      <w:tr>
        <w:trPr/>
        <w:tc>
          <w:tcPr>
            <w:tcW w:w="10000" w:type="dxa"/>
            <w:shd w:val="clear" w:fill="#D9D9D9"/>
            <w:noWrap/>
          </w:tcPr>
          <w:p>
            <w:pPr/>
            <w:r>
              <w:rPr>
                <w:b w:val="1"/>
                <w:bCs w:val="1"/>
              </w:rPr>
              <w:t xml:space="preserve">Provide a description of the change(s) to 'Financial Management'</w:t>
            </w:r>
          </w:p>
        </w:tc>
      </w:tr>
      <w:tr>
        <w:trPr/>
        <w:tc>
          <w:tcPr>
            <w:tcW w:w="10000" w:type="dxa"/>
            <w:gridSpan w:val="1"/>
            <w:noWrap/>
          </w:tcPr>
          <w:p>
            <w:pPr/>
            <w:r>
              <w:rPr/>
              <w:t xml:space="preserve">The previous HACT Assessment evaluated the financial capacity of MISE rather than the Kiribati Fiduciary Services Unit (KFSU), despite the Project Document designating KFSU as the responsible entity for managing the POIDIER project’s finances. The current validation assignment must therefore clearly outline how financial management will be handled going forward, and identify the appropriate entity to be assessed in future HACT assessments. Any change in Financial Management will be report in PIR 2026.</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E) Implementation schedule</w:t>
            </w:r>
          </w:p>
        </w:tc>
      </w:tr>
      <w:tr>
        <w:trPr/>
        <w:tc>
          <w:tcPr>
            <w:tcW w:w="10000" w:type="dxa"/>
            <w:gridSpan w:val="1"/>
            <w:noWrap/>
          </w:tcPr>
          <w:p>
            <w:pPr/>
            <w:r>
              <w:rPr/>
              <w:t xml:space="preserve">Yes</w:t>
            </w:r>
          </w:p>
        </w:tc>
      </w:tr>
      <w:tr>
        <w:trPr/>
        <w:tc>
          <w:tcPr>
            <w:tcW w:w="10000" w:type="dxa"/>
            <w:shd w:val="clear" w:fill="#D9D9D9"/>
            <w:noWrap/>
          </w:tcPr>
          <w:p>
            <w:pPr/>
            <w:r>
              <w:rPr>
                <w:b w:val="1"/>
                <w:bCs w:val="1"/>
              </w:rPr>
              <w:t xml:space="preserve">Provide a description of the change(s) to 'Implementation schedule'</w:t>
            </w:r>
          </w:p>
        </w:tc>
      </w:tr>
      <w:tr>
        <w:trPr/>
        <w:tc>
          <w:tcPr>
            <w:tcW w:w="10000" w:type="dxa"/>
            <w:gridSpan w:val="1"/>
            <w:noWrap/>
          </w:tcPr>
          <w:p>
            <w:pPr/>
            <w:r>
              <w:rPr/>
              <w:t xml:space="preserve">The validation assignment will also include the development of a revised implementation schedule. Given that the POIDIER project initially commenced in 2021, experienced a 17-month suspension, and only resumed in October 2024, it is essential to establish a new, realistic timeline that reflects these disruptions and ensures effective execution moving forward. Following the project unsuspended the new implementation schedule is now extended to end date of 29 June 2028.</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F) Executing Entity</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'Executing Entity'</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G) Executing Entity Category</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'Executing Entity Category'</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H) Minor project objective change</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'minor project objective change'</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I) Safeguards</w:t>
            </w:r>
          </w:p>
        </w:tc>
      </w:tr>
      <w:tr>
        <w:trPr/>
        <w:tc>
          <w:tcPr>
            <w:tcW w:w="10000" w:type="dxa"/>
            <w:gridSpan w:val="1"/>
            <w:noWrap/>
          </w:tcPr>
          <w:p>
            <w:pPr/>
            <w:r>
              <w:rPr/>
              <w:t xml:space="preserve">Yes</w:t>
            </w:r>
          </w:p>
        </w:tc>
      </w:tr>
      <w:tr>
        <w:trPr/>
        <w:tc>
          <w:tcPr>
            <w:tcW w:w="10000" w:type="dxa"/>
            <w:shd w:val="clear" w:fill="#D9D9D9"/>
            <w:noWrap/>
          </w:tcPr>
          <w:p>
            <w:pPr/>
            <w:r>
              <w:rPr>
                <w:b w:val="1"/>
                <w:bCs w:val="1"/>
              </w:rPr>
              <w:t xml:space="preserve">Provide a description of the change(s) to 'Safeguards'</w:t>
            </w:r>
          </w:p>
        </w:tc>
      </w:tr>
      <w:tr>
        <w:trPr/>
        <w:tc>
          <w:tcPr>
            <w:tcW w:w="10000" w:type="dxa"/>
            <w:gridSpan w:val="1"/>
            <w:noWrap/>
          </w:tcPr>
          <w:p>
            <w:pPr/>
            <w:r>
              <w:rPr/>
              <w:t xml:space="preserve">The Project Management Unit (PMU) organized a validation assignment to reassess the installation capacity for the 18 outer islands, as outlined in the Inception Report. No significant changes to the existing safeguard measures have been identified at this stage. However, a Social and Environmental Screening Procedure (SESP) will be carried out, and relevant safeguard measures will be identified and incorporated during the finalization of the project revision.</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J) Risk Analysis</w:t>
            </w:r>
          </w:p>
        </w:tc>
      </w:tr>
      <w:tr>
        <w:trPr/>
        <w:tc>
          <w:tcPr>
            <w:tcW w:w="10000" w:type="dxa"/>
            <w:gridSpan w:val="1"/>
            <w:noWrap/>
          </w:tcPr>
          <w:p>
            <w:pPr/>
            <w:r>
              <w:rPr/>
              <w:t xml:space="preserve">Yes</w:t>
            </w:r>
          </w:p>
        </w:tc>
      </w:tr>
      <w:tr>
        <w:trPr/>
        <w:tc>
          <w:tcPr>
            <w:tcW w:w="10000" w:type="dxa"/>
            <w:shd w:val="clear" w:fill="#D9D9D9"/>
            <w:noWrap/>
          </w:tcPr>
          <w:p>
            <w:pPr/>
            <w:r>
              <w:rPr>
                <w:b w:val="1"/>
                <w:bCs w:val="1"/>
              </w:rPr>
              <w:t xml:space="preserve">Provide a description of the change(s) to 'Risk Analysis'</w:t>
            </w:r>
          </w:p>
        </w:tc>
      </w:tr>
      <w:tr>
        <w:trPr/>
        <w:tc>
          <w:tcPr>
            <w:tcW w:w="10000" w:type="dxa"/>
            <w:gridSpan w:val="1"/>
            <w:noWrap/>
          </w:tcPr>
          <w:p>
            <w:pPr/>
            <w:r>
              <w:rPr/>
              <w:t xml:space="preserve">The Project Management Unit (PMU) organized a validation assignment to reassess the installation capacity for the 18 outer islands, as outlined in the Inception Report. As a result of this assessment, minor updates have been made to the project’s risk log:</w:t>
            </w:r>
          </w:p>
          <w:p>
            <w:pPr/>
            <w:r>
              <w:rPr/>
              <w:t xml:space="preserve"/>
            </w:r>
          </w:p>
          <w:p>
            <w:pPr/>
            <w:r>
              <w:rPr/>
              <w:t xml:space="preserve">The risk related to COVID-19 is no longer considered relevant and will be removed or updated accordingly.</w:t>
            </w:r>
          </w:p>
          <w:p>
            <w:pPr/>
            <w:r>
              <w:rPr/>
              <w:t xml:space="preserve"/>
            </w:r>
          </w:p>
          <w:p>
            <w:pPr/>
            <w:r>
              <w:rPr/>
              <w:t xml:space="preserve">A new risk has been identified concerning baseline projects that fall outside the control of the Ministry of Infrastructure and Sustainable Energy (MISE). The POIDIER-funded interventions rely heavily on the timely progress of these baseline projects. If these projects experience delays or setbacks, there is a risk of not achieving the planned emission reductions. To mitigate this risk, the PMU will establish a mechanism for quarterly coordination and monitoring of the progress of these baseline initiatives.</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K) Increase of GEF project financing up to 5%</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 to GEF project financing up to 5%</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L) Co-financing</w:t>
            </w:r>
          </w:p>
        </w:tc>
      </w:tr>
      <w:tr>
        <w:trPr/>
        <w:tc>
          <w:tcPr>
            <w:tcW w:w="10000" w:type="dxa"/>
            <w:gridSpan w:val="1"/>
            <w:noWrap/>
          </w:tcPr>
          <w:p>
            <w:pPr/>
            <w:r>
              <w:rPr/>
              <w:t xml:space="preserve">Yes</w:t>
            </w:r>
          </w:p>
        </w:tc>
      </w:tr>
      <w:tr>
        <w:trPr/>
        <w:tc>
          <w:tcPr>
            <w:tcW w:w="10000" w:type="dxa"/>
            <w:shd w:val="clear" w:fill="#D9D9D9"/>
            <w:noWrap/>
          </w:tcPr>
          <w:p>
            <w:pPr/>
            <w:r>
              <w:rPr>
                <w:b w:val="1"/>
                <w:bCs w:val="1"/>
              </w:rPr>
              <w:t xml:space="preserve">Provide a description of the change(s) to 'Co-financing'</w:t>
            </w:r>
          </w:p>
        </w:tc>
      </w:tr>
      <w:tr>
        <w:trPr/>
        <w:tc>
          <w:tcPr>
            <w:tcW w:w="10000" w:type="dxa"/>
            <w:gridSpan w:val="1"/>
            <w:noWrap/>
          </w:tcPr>
          <w:p>
            <w:pPr/>
            <w:r>
              <w:rPr/>
              <w:t xml:space="preserve">The Project Management Unit (PMU) organized a validation assignment to reassess the validity of the baseline projects and associated co-financing contributions, and to provide recommendations accordingly. Changes to the baseline projects—particularly those intended to be integrated with the POIDIER-funded mini-grids—have been identified. These updates are expected to be finalized by the fourth quarter of 2025 and will be reported in the 2026 Project Implementation Report (PIR).</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M) Location of project activity</w:t>
            </w:r>
          </w:p>
        </w:tc>
      </w:tr>
      <w:tr>
        <w:trPr/>
        <w:tc>
          <w:tcPr>
            <w:tcW w:w="10000" w:type="dxa"/>
            <w:gridSpan w:val="1"/>
            <w:noWrap/>
          </w:tcPr>
          <w:p>
            <w:pPr/>
            <w:r>
              <w:rPr/>
              <w:t xml:space="preserve">Yes</w:t>
            </w:r>
          </w:p>
        </w:tc>
      </w:tr>
      <w:tr>
        <w:trPr/>
        <w:tc>
          <w:tcPr>
            <w:tcW w:w="10000" w:type="dxa"/>
            <w:shd w:val="clear" w:fill="#D9D9D9"/>
            <w:noWrap/>
          </w:tcPr>
          <w:p>
            <w:pPr/>
            <w:r>
              <w:rPr>
                <w:b w:val="1"/>
                <w:bCs w:val="1"/>
              </w:rPr>
              <w:t xml:space="preserve">Provide a description of the change(s) to project location activity</w:t>
            </w:r>
          </w:p>
        </w:tc>
      </w:tr>
      <w:tr>
        <w:trPr/>
        <w:tc>
          <w:tcPr>
            <w:tcW w:w="10000" w:type="dxa"/>
            <w:gridSpan w:val="1"/>
            <w:noWrap/>
          </w:tcPr>
          <w:p>
            <w:pPr/>
            <w:r>
              <w:rPr/>
              <w:t xml:space="preserve">The Project Management Unit (PMU) organized a validation assignment to reassess the PV mini-grid size for the 18 outer islands to align with the GEF emission target . Changes to the PV mini grid size—particularly those intended to be integrated with baseline project—have been identified. These updates are expected to be finalized by the fourth quarter of 2025 and will be reported in the 2026 Project Implementation Report (PIR).</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Please provide a description of other types of minor amendments that do not fall under any of the above categories. For example, minor changes to the project's Gender Action Plan and/or gender activities can be captured here.</w:t>
            </w:r>
          </w:p>
        </w:tc>
      </w:tr>
      <w:tr>
        <w:trPr/>
        <w:tc>
          <w:tcPr>
            <w:tcW w:w="10000" w:type="dxa"/>
            <w:gridSpan w:val="1"/>
            <w:noWrap/>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11" w:name="_Toc11"/>
      <w:r>
        <w:t>Gender</w:t>
      </w:r>
      <w:bookmarkEnd w:id="11"/>
    </w:p>
    <w:p>
      <w:pPr>
        <w:pStyle w:val="Heading2"/>
      </w:pPr>
      <w:bookmarkStart w:id="12" w:name="_Toc12"/>
      <w:r>
        <w:t>Progress in Advancing Gender Equality and Women's Empowerment</w:t>
      </w:r>
      <w:bookmarkEnd w:id="12"/>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1) Please review the project's Gender Analysis and Action Plan.  If the document is not attached or an updated Gender Analysis and/or Gender Action Plan is available please upload the document below or send to the Regional Programme Associate to upload in PIMS+. Please note that all projects approved since 1 July 2014 are required to carry out a gender analysis and all projects approved since 1 July 2018 are required to have a gender analysis and action plan.</w:t>
            </w:r>
          </w:p>
        </w:tc>
      </w:tr>
      <w:tr>
        <w:trPr/>
        <w:tc>
          <w:tcPr>
            <w:tcW w:w="10000" w:type="dxa"/>
            <w:noWrap/>
          </w:tcPr>
          <w:p>
            <w:pPr>
              <w:spacing w:before="0" w:after="0"/>
            </w:pPr>
            <w:r>
              <w:rPr/>
              <w:t xml:space="preserve">MSP retreat scan doc-2-10 _1_.pdf</w:t>
            </w:r>
          </w:p>
          <w:p>
            <w:pP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noWrap/>
          </w:tcPr>
          <w:p>
            <w:pPr/>
            <w:r>
              <w:rPr>
                <w:b w:val="1"/>
                <w:bCs w:val="1"/>
              </w:rPr>
              <w:t xml:space="preserve">Quantum Gender Marker Rating</w:t>
            </w:r>
          </w:p>
        </w:tc>
      </w:tr>
      <w:tr>
        <w:trPr/>
        <w:tc>
          <w:tcPr>
            <w:tcW w:w="10000" w:type="dxa"/>
            <w:noWrap/>
          </w:tcPr>
          <w:p>
            <w:pPr/>
            <w:r>
              <w:rPr>
                <w:b w:val="1"/>
                <w:bCs w:val="1"/>
              </w:rPr>
              <w:t xml:space="preserve">GEN2: </w:t>
            </w:r>
            <w:r>
              <w:rPr/>
              <w:t xml:space="preserve">Gender equality as significant objective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2) Please indicate in which results areas the project is contributing to gender equality (you may select more than one results area, or select not applicable):</w:t>
            </w:r>
          </w:p>
        </w:tc>
      </w:tr>
      <w:tr>
        <w:trPr/>
        <w:tc>
          <w:tcPr>
            <w:tcW w:w="10000" w:type="dxa"/>
            <w:gridSpan w:val="1"/>
            <w:noWrap/>
          </w:tcPr>
          <w:p>
            <w:pPr/>
            <w:r>
              <w:rPr/>
              <w:t xml:space="preserve">Contributing to closing gender gaps in access to and control over resources: No</w:t>
            </w:r>
          </w:p>
        </w:tc>
      </w:tr>
      <w:tr>
        <w:trPr/>
        <w:tc>
          <w:tcPr>
            <w:tcW w:w="10000" w:type="dxa"/>
            <w:gridSpan w:val="1"/>
            <w:noWrap/>
          </w:tcPr>
          <w:p>
            <w:pPr/>
            <w:r>
              <w:rPr/>
              <w:t xml:space="preserve">Improving the participation and decision-making of women in natural resource governance: Yes</w:t>
            </w:r>
          </w:p>
        </w:tc>
      </w:tr>
      <w:tr>
        <w:trPr/>
        <w:tc>
          <w:tcPr>
            <w:tcW w:w="10000" w:type="dxa"/>
            <w:gridSpan w:val="1"/>
            <w:noWrap/>
          </w:tcPr>
          <w:p>
            <w:pPr/>
            <w:r>
              <w:rPr/>
              <w:t xml:space="preserve">Targeting socio-economic benefits and services for women: Yes</w:t>
            </w:r>
          </w:p>
        </w:tc>
      </w:tr>
      <w:tr>
        <w:trPr/>
        <w:tc>
          <w:tcPr>
            <w:tcW w:w="10000" w:type="dxa"/>
            <w:gridSpan w:val="1"/>
            <w:noWrap/>
          </w:tcPr>
          <w:p>
            <w:pPr/>
            <w:r>
              <w:rPr/>
              <w:t xml:space="preserve">Not applicable: No</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3) Please specify results achieved this reporting period that focus on increasing gender equality and the empowerment of women.</w:t>
            </w:r>
          </w:p>
          <w:p>
            <w:pPr/>
            <w:r>
              <w:rPr>
                <w:b w:val="1"/>
                <w:bCs w:val="1"/>
              </w:rPr>
              <w:t xml:space="preserve"/>
            </w:r>
          </w:p>
          <w:p>
            <w:pPr/>
            <w:r>
              <w:rPr>
                <w:b w:val="1"/>
                <w:bCs w:val="1"/>
              </w:rPr>
              <w:t xml:space="preserve">Please explain how the results reported addressed the different needs of men or women, changed norms, values, and power structures, and/or contributed to transforming or challenging gender inequalities and discrimination.</w:t>
            </w:r>
          </w:p>
        </w:tc>
      </w:tr>
      <w:tr>
        <w:trPr/>
        <w:tc>
          <w:tcPr>
            <w:tcW w:w="10000" w:type="dxa"/>
            <w:gridSpan w:val="1"/>
            <w:noWrap/>
          </w:tcPr>
          <w:p>
            <w:pPr/>
            <w:r>
              <w:rPr/>
              <w:t xml:space="preserve">During the validation missions to the outer islands of Abaiang and North Tarawa, consultations were held with various communities, ensuring active participation from women to promote gender balance and equality. Similar efforts were made during stakeholder consultations on the main island, Tarawa. Several meetings with government ministries also included female representation—for example, at the Ministry of Internal Affairs, where Deputy Secretary Felicity Kaiuea served as the ministry’s representative.</w:t>
            </w:r>
          </w:p>
          <w:p>
            <w:pPr/>
            <w:r>
              <w:rPr/>
              <w:t xml:space="preserve"/>
            </w:r>
          </w:p>
          <w:p>
            <w:pPr/>
            <w:r>
              <w:rPr/>
              <w:t xml:space="preserve">In addition, women participated in stakeholder consultations on the Renewable Energy Regulation, representing their respective departments, companies, and ministries. This further reinforces the project's commitment to gender inclusivity. Another key consultation involving women took place in 2025 during discussions on the Ministry Strategic Plan (MSP), which aims to incorporate most PODIER project activities into the Ministry’s infrastructure roadmap.</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4) Please describe how work to advance gender equality and women's empowerment enhanced the project's environmental and/or resilience outcomes.</w:t>
            </w:r>
          </w:p>
        </w:tc>
      </w:tr>
      <w:tr>
        <w:trPr/>
        <w:tc>
          <w:tcPr>
            <w:tcW w:w="10000" w:type="dxa"/>
            <w:gridSpan w:val="1"/>
            <w:noWrap/>
          </w:tcPr>
          <w:p>
            <w:pPr/>
            <w:r>
              <w:rPr/>
              <w:t xml:space="preserve">The project has been designed with gender equality and women empowerment in mind. There are 4 project activities that include gender empowerment related sub-activities mainly in the technical training for outer island personnel that will be operating the SPVMG demos and RE for water for agriculture demos. There is a Solar Mama training program and outer island road shows to promote RE and EE that also includes special session on women empowerment. There is also an activity on technical assistance in business planning for productive uses of RE that includes special women’s empowerment sessions enabling women to leverage the business planning assistance of the project. These activities are important in contributing to the achievement of the increased level of energy access in the outer islands.</w:t>
            </w:r>
          </w:p>
        </w:tc>
      </w:tr>
    </w:tbl>
    <w:p>
      <w:pPr>
        <w:sectPr>
          <w:pgSz w:orient="portrait" w:w="11905.511811023622" w:h="16837.79527559055"/>
          <w:pgMar w:top="1440" w:right="1440" w:bottom="1440" w:left="1440" w:header="720" w:footer="720" w:gutter="0"/>
          <w:cols w:num="1" w:space="720"/>
        </w:sectPr>
      </w:pPr>
    </w:p>
    <w:p>
      <w:pPr>
        <w:pStyle w:val="Heading1"/>
      </w:pPr>
      <w:bookmarkStart w:id="13" w:name="_Toc13"/>
      <w:r>
        <w:t>Risk Management</w:t>
      </w:r>
      <w:bookmarkEnd w:id="13"/>
    </w:p>
    <w:p>
      <w:pPr>
        <w:pStyle w:val="Heading2"/>
      </w:pPr>
      <w:bookmarkStart w:id="14" w:name="_Toc14"/>
      <w:r>
        <w:t>A) Overall Risk Management</w:t>
      </w:r>
      <w:bookmarkEnd w:id="14"/>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BPPS RTA: Please discuss the risks flagged in the Quantum project Risk Register and the VF Risk Dashboard in PIMS+ with the CO and then provide an assessment of project risk management undertaken during the  reporting period. Document actions, agreed with the CO, to address all project risks in the coming year.</w:t>
            </w:r>
          </w:p>
          <w:p>
            <w:pPr/>
            <w:r>
              <w:rPr>
                <w:b w:val="1"/>
                <w:bCs w:val="1"/>
              </w:rPr>
              <w:t xml:space="preserve"/>
            </w:r>
          </w:p>
        </w:tc>
      </w:tr>
      <w:tr>
        <w:trPr/>
        <w:tc>
          <w:tcPr>
            <w:tcW w:w="10000" w:type="dxa"/>
            <w:gridSpan w:val="1"/>
            <w:noWrap/>
          </w:tcPr>
          <w:p>
            <w:pPr/>
            <w:r>
              <w:rPr/>
              <w:t xml:space="preserve">Several risks were flagged in the project’s risk register prior to suspension.</w:t>
            </w:r>
          </w:p>
          <w:p>
            <w:pPr/>
            <w:r>
              <w:rPr/>
              <w:t xml:space="preserve"/>
            </w:r>
          </w:p>
          <w:p>
            <w:pPr/>
            <w:r>
              <w:rPr/>
              <w:t xml:space="preserve">- Operational risk: Rated substantial, due to findings from the 2023 micro-HACT assessment and limited support from outer island communities. To strengthen assurance, UNDP commissioned a supplementary 2024 assessment of the Kiribati Fiduciary Services Unit (KFSU), which is responsible for procurement under the project. This assessment concluded with a Low risk rating for KFSU’s procurement functions. Nonetheless, community engagement remains a concern, and the project team is working to improve participation from outer islands during the design of key activities.</w:t>
            </w:r>
          </w:p>
          <w:p>
            <w:pPr/>
            <w:r>
              <w:rPr/>
              <w:t xml:space="preserve"/>
            </w:r>
          </w:p>
          <w:p>
            <w:pPr/>
            <w:r>
              <w:rPr/>
              <w:t xml:space="preserve">- Organizational risk: Rated substantial, arising from inadequate local capacities to fill national roles, limited progress on institutional processes, and weak knowledge of fair pricing and sourcing for renewable energy systems. The recruitment of a Chief Technical Adviser (CTA) within the PMU, working closely with the Project Manager, will be critical to addressing these gaps.</w:t>
            </w:r>
          </w:p>
          <w:p>
            <w:pPr/>
            <w:r>
              <w:rPr/>
              <w:t xml:space="preserve"/>
            </w:r>
          </w:p>
          <w:p>
            <w:pPr/>
            <w:r>
              <w:rPr/>
              <w:t xml:space="preserve">- Social and environmental risk: Rated moderate, linked to the potential abandonment of PV system parts at end-of-life. These risks will be mitigated through an Environmental and Social Management Plan (ESMP), including site selection, design, and operational measures. While no progress was made on the Environmental and Social Management Framework (ESMF) during the suspension, ESMP reports for Makin and Marakei have been submitted to MELAD and are pending approval, to proceed once mini-grid implementation begins.</w:t>
            </w:r>
          </w:p>
          <w:p>
            <w:pPr/>
            <w:r>
              <w:rPr/>
              <w:t xml:space="preserve"/>
            </w:r>
          </w:p>
          <w:p>
            <w:pPr/>
            <w:r>
              <w:rPr/>
              <w:t xml:space="preserve">The overall risk rating in PIMS+ remains substantial, primarily due to low delivery against the ProDoc. To mitigate this, the following actions are underway:</w:t>
            </w:r>
          </w:p>
          <w:p>
            <w:pPr/>
            <w:r>
              <w:rPr/>
              <w:t xml:space="preserve"/>
            </w:r>
          </w:p>
          <w:p>
            <w:pPr/>
            <w:r>
              <w:rPr/>
              <w:t xml:space="preserve">- The PMU is finalizing validation of the project review report.</w:t>
            </w:r>
          </w:p>
          <w:p>
            <w:pPr/>
            <w:r>
              <w:rPr/>
              <w:t xml:space="preserve">- With stronger capacity expected and subject to verification through spot checks, MISE will be entrusted with greater financial responsibility under NIM, supported by UNDP oversight and the HACT framework.</w:t>
            </w:r>
          </w:p>
          <w:p>
            <w:pPr/>
            <w:r>
              <w:rPr/>
              <w:t xml:space="preserve">- Procurement will continue to be managed by KFSU, as outlined in the Project Document.</w:t>
            </w:r>
          </w:p>
          <w:p>
            <w:pPr/>
            <w:r>
              <w:rPr/>
              <w:t xml:space="preserve"/>
            </w:r>
          </w:p>
          <w:p>
            <w:pPr/>
            <w:r>
              <w:rPr/>
              <w:t xml:space="preserve">Once the project review is validated, the AWP cleared, and the CTA onboard, the risk register will be updated accordingly.</w:t>
            </w:r>
          </w:p>
        </w:tc>
      </w:tr>
    </w:tbl>
    <w:p>
      <w:pPr>
        <w:pStyle w:val="Heading2"/>
      </w:pPr>
      <w:bookmarkStart w:id="15" w:name="_Toc15"/>
      <w:r>
        <w:t>B) SES Implementation</w:t>
      </w:r>
      <w:bookmarkEnd w:id="15"/>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2b) Provide an update on progress, challenges and outcomes related to stakeholder engagement based on the description in the Stakeholder Engagement Plan or equivalent documentation submitted at CEO Endorsement/Approval.</w:t>
            </w:r>
          </w:p>
        </w:tc>
      </w:tr>
      <w:tr>
        <w:trPr/>
        <w:tc>
          <w:tcPr>
            <w:tcW w:w="10000" w:type="dxa"/>
            <w:gridSpan w:val="1"/>
            <w:noWrap/>
          </w:tcPr>
          <w:p>
            <w:pPr/>
            <w:r>
              <w:rPr/>
              <w:t xml:space="preserve">The implementation of additional Solar PV Mini Grid demonstration projects in new outer islands will require coordinated efforts with key stakeholders, including local Island Development Committee (IDC) authorities, village and community leaders. In line with the original project plan, special emphasis will be placed on engaging local villagers through awareness-raising campaigns and outreach activities aimed at supporting income generation through the productive use of renewable energy.</w:t>
            </w:r>
          </w:p>
          <w:p>
            <w:pPr/>
            <w:r>
              <w:rPr/>
              <w:t xml:space="preserve"/>
            </w:r>
          </w:p>
          <w:p>
            <w:pPr/>
            <w:r>
              <w:rPr/>
              <w:t xml:space="preserve">There will be limited environmental and social assessments at each of the additional demo sites as part of the POIDIER Project ESMP, including in-depth consultation with local communities. The project will prioritise working with government-owned land, while in the event that private land is required, the project will seek Free Prior Informed Consent for indigenous peoples.</w:t>
            </w:r>
          </w:p>
          <w:p>
            <w:pPr/>
            <w:r>
              <w:rPr/>
              <w:t xml:space="preserve"/>
            </w:r>
          </w:p>
          <w:p>
            <w:pPr/>
            <w:r>
              <w:rPr/>
              <w:t xml:space="preserve">The ESMP reports for Makin and Marakei have been submitted to the Ministry of Environment, Lands and Agricultural Development (MELAD) and are currently awaiting follow-up for approval, which will proceed once implementation of the Solar PV Mini Grids begins.</w:t>
            </w:r>
          </w:p>
        </w:tc>
      </w:tr>
    </w:tbl>
    <w:p>
      <w:pPr>
        <w:sectPr>
          <w:pgSz w:orient="portrait" w:w="11905.511811023622" w:h="16837.79527559055"/>
          <w:pgMar w:top="1440" w:right="1440" w:bottom="1440" w:left="1440" w:header="720" w:footer="720" w:gutter="0"/>
          <w:cols w:num="1" w:space="720"/>
        </w:sectPr>
      </w:pPr>
    </w:p>
    <w:p>
      <w:pPr>
        <w:pStyle w:val="Heading1"/>
      </w:pPr>
      <w:bookmarkStart w:id="16" w:name="_Toc16"/>
      <w:r>
        <w:t>Knowledge Management &amp; Communications</w:t>
      </w:r>
      <w:bookmarkEnd w:id="16"/>
    </w:p>
    <w:p>
      <w:pPr>
        <w:spacing w:before="0" w:after="0"/>
      </w:pPr>
      <w:r>
        <w:rPr/>
        <w:t xml:space="preserve"/>
      </w:r>
    </w:p>
    <w:p>
      <w:pPr/>
      <w:r>
        <w:rPr/>
        <w:t xml:space="preserve"> </w:t>
      </w:r>
    </w:p>
    <w:p>
      <w:pPr/>
      <w:r>
        <w:rPr/>
        <w:t xml:space="preserve">The </w:t>
      </w:r>
      <w:r>
        <w:rPr>
          <w:b w:val="1"/>
          <w:bCs w:val="1"/>
        </w:rPr>
        <w:t xml:space="preserve">Project Manager</w:t>
      </w:r>
      <w:r>
        <w:rPr/>
        <w:t xml:space="preserve"> must complete the three questions below.</w:t>
      </w:r>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1) Please provide progress on the implementation of the project's Knowledge Management approach approved at CEO Endorsement/Approval.  If there is no KM approach/strategy, please comment on how the project is capturing and disseminating best practices and lessons learned.</w:t>
            </w:r>
          </w:p>
          <w:p>
            <w:pPr/>
            <w:r>
              <w:rPr>
                <w:b w:val="1"/>
                <w:bCs w:val="1"/>
              </w:rPr>
              <w:t xml:space="preserve"/>
            </w:r>
          </w:p>
        </w:tc>
      </w:tr>
      <w:tr>
        <w:trPr/>
        <w:tc>
          <w:tcPr>
            <w:tcW w:w="10000" w:type="dxa"/>
            <w:gridSpan w:val="1"/>
            <w:noWrap/>
          </w:tcPr>
          <w:p>
            <w:pPr/>
            <w:r>
              <w:rPr/>
              <w:t xml:space="preserve">The POIDIER communication strategy, attached for reference, will be reviewed on a monthly basis. In addition to emails and reporting, the communication tools currently used in the POIDIER project are outlined below in item 2).</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2) Please provide URLs specific to this project in the relevant field below.  Please categorize the URLs appropriately (for example: project websites, social media sites, media coverage, etc.)</w:t>
            </w:r>
          </w:p>
        </w:tc>
      </w:tr>
      <w:tr>
        <w:trPr/>
        <w:tc>
          <w:tcPr>
            <w:tcW w:w="10000" w:type="dxa"/>
            <w:gridSpan w:val="1"/>
            <w:noWrap/>
          </w:tcPr>
          <w:p>
            <w:pPr/>
            <w:r>
              <w:rPr/>
              <w:t xml:space="preserve">https://www.facebook.com/Poidier</w:t>
            </w:r>
          </w:p>
          <w:p>
            <w:pPr/>
            <w:r>
              <w:rPr/>
              <w:t xml:space="preserve">https://www.mise.gov.ki/index.php/about-us/newsroom/119-press-release-3</w:t>
            </w:r>
          </w:p>
          <w:p>
            <w:pPr/>
            <w:r>
              <w:rPr/>
              <w:t xml:space="preserve">https://www.facebook.com/kges.com.ki</w:t>
            </w:r>
          </w:p>
          <w:p>
            <w:pPr/>
            <w:r>
              <w:rPr/>
              <w:t xml:space="preserve"/>
            </w:r>
          </w:p>
          <w:p>
            <w:pPr/>
            <w:r>
              <w:rPr/>
              <w:t xml:space="preserve"/>
            </w:r>
          </w:p>
          <w:p>
            <w:pPr/>
            <w:r>
              <w:rPr/>
              <w:t xml:space="preserve"/>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3) In the PIR platform, please upload any supporting files, including the project's Communications Strategy, photos, videos, stories and other communication/knowledge materials.</w:t>
            </w:r>
          </w:p>
        </w:tc>
      </w:tr>
      <w:tr>
        <w:trPr/>
        <w:tc>
          <w:tcPr>
            <w:tcW w:w="10000" w:type="dxa"/>
            <w:noWrap/>
          </w:tcPr>
          <w:p>
            <w:pPr>
              <w:spacing w:before="0" w:after="0"/>
            </w:pPr>
            <w:r>
              <w:rPr/>
              <w:t xml:space="preserve">POIDIER Project Communication Strategy.docx</w:t>
            </w:r>
          </w:p>
          <w:p>
            <w:pPr/>
          </w:p>
        </w:tc>
      </w:tr>
    </w:tbl>
    <w:p>
      <w:pPr>
        <w:sectPr>
          <w:pgSz w:orient="portrait" w:w="11905.511811023622" w:h="16837.79527559055"/>
          <w:pgMar w:top="1440" w:right="1440" w:bottom="1440" w:left="1440" w:header="720" w:footer="720" w:gutter="0"/>
          <w:cols w:num="1" w:space="720"/>
        </w:sectPr>
      </w:pPr>
    </w:p>
    <w:p>
      <w:pPr>
        <w:pStyle w:val="Heading1"/>
      </w:pPr>
      <w:bookmarkStart w:id="17" w:name="_Toc17"/>
      <w:r>
        <w:t>Annex - Ratings Definitions</w:t>
      </w:r>
      <w:bookmarkEnd w:id="17"/>
    </w:p>
    <w:p>
      <w:pPr/>
      <w:r>
        <w:rPr>
          <w:b w:val="1"/>
          <w:bCs w:val="1"/>
        </w:rPr>
        <w:t xml:space="preserve">Development Objective Progress Ratings Definitions</w:t>
      </w:r>
    </w:p>
    <w:p>
      <w:pPr/>
      <w:r>
        <w:rPr/>
        <w:t xml:space="preserve">(HS) Highly Satisfactory: Project is on track to exceed its end-of-project targets by project closure. The project can be presented as 'outstanding practice'.</w:t>
      </w:r>
    </w:p>
    <w:p>
      <w:pPr/>
      <w:r>
        <w:rPr/>
        <w:t xml:space="preserve">(S) Satisfactory: Project is on track to achieve its end-of-project targets by project closure and any minor challenges are being addressed through an adaptive management plan. The project can be presented as 'good practice'.</w:t>
      </w:r>
    </w:p>
    <w:p>
      <w:pPr/>
      <w:r>
        <w:rPr/>
        <w:t xml:space="preserve">(MS) Moderately Satisfactory: Project is on track to achieve its end-of-project targets by project closure and minor challenges can be addressed if an adaptive management plan is promptly put in place.</w:t>
      </w:r>
    </w:p>
    <w:p>
      <w:pPr/>
      <w:r>
        <w:rPr/>
        <w:t xml:space="preserve">(MU) Moderately Unsatisfactory: Project is off track and is expected to only partially achieve its end-of-project targets by project closure. Project results might still be achieved by project closure if adaptive management is undertaken immediately.</w:t>
      </w:r>
    </w:p>
    <w:p>
      <w:pPr/>
      <w:r>
        <w:rPr/>
        <w:t xml:space="preserve">(U) Unsatisfactory: Project is off track and is expected to only partially achieve its end-of-project targets by project closure. Project results might be partially achieved by project closure if major adaptive management is undertaken immediately.</w:t>
      </w:r>
    </w:p>
    <w:p>
      <w:pPr/>
      <w:r>
        <w:rPr/>
        <w:t xml:space="preserve">(HU) Highly Unsatisfactory: Project is off track and is not expected to achieve its end-of-project targets by project closure and adaptive management is not expected to materialize.</w:t>
      </w:r>
    </w:p>
    <w:p/>
    <w:p>
      <w:pPr/>
      <w:r>
        <w:rPr>
          <w:b w:val="1"/>
          <w:bCs w:val="1"/>
        </w:rPr>
        <w:t xml:space="preserve">Implementation Progress Ratings Definitions</w:t>
      </w:r>
    </w:p>
    <w:p>
      <w:pPr/>
      <w:r>
        <w:rPr/>
        <w:t xml:space="preserve">(HS) Highly Satisfactory: Implementation is exceeding expectations. Implementation of all outputs/activities is fully on track, proceeding as planned, The implementation of the project can be presented as 'outstanding practice'.</w:t>
      </w:r>
    </w:p>
    <w:p>
      <w:pPr/>
      <w:r>
        <w:rPr/>
        <w:t xml:space="preserve">(S) Satisfactory: Implementation is proceeding as planned with minor challenges that are being addressed. Implementation of all outputs/activities is on track with minor deviations The implementation of the project can be presented as 'good practice'. </w:t>
      </w:r>
    </w:p>
    <w:p>
      <w:pPr/>
      <w:r>
        <w:rPr/>
        <w:t xml:space="preserve">(MS) Moderately Satisfactory: Implementation is proceeding as planned with minor challenges that have not yet been addressed. Implementation of most outputs/activities is on track with minor deviations.</w:t>
      </w:r>
    </w:p>
    <w:p>
      <w:pPr/>
      <w:r>
        <w:rPr/>
        <w:t xml:space="preserve">(MU) Moderately Unsatisfactory: Implementation is not proceeding as planned and faces implementation challenges. Implementation of many outputs/activities is off track Implementation progress could be improved if adaptive management is undertaken immediately.</w:t>
      </w:r>
    </w:p>
    <w:p>
      <w:pPr/>
      <w:r>
        <w:rPr/>
        <w:t xml:space="preserve">(U) Unsatisfactory: Implementation is not proceeding as planned and faces major implementation challenges. Implementation of most outputs/activities is off track.</w:t>
      </w:r>
    </w:p>
    <w:p>
      <w:pPr/>
      <w:r>
        <w:rPr/>
        <w:t xml:space="preserve">(HU) Highly Unsatisfactory: Implementation is seriously under-performing. Implementation of all outputs/activities is severely off track.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Page </w:t>
    </w:r>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2025 Project Implementation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3A73D"/>
    <w:multiLevelType w:val="multilevel"/>
    <w:lvl w:ilvl="0">
      <w:start w:val="1"/>
      <w:numFmt w:val="upperLetter"/>
      <w:pStyle w:val="Heading1"/>
      <w:suff w:val="tab"/>
      <w:lvlText w:val="%1."/>
      <w:pPr>
        <w:tabs>
          <w:tab w:val="num"/>
        </w:tabs>
        <w:ind/>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numPr>
        <w:numId w:val="1"/>
        <w:ilvl w:val="0"/>
      </w:numPr>
      <w:outlineLvl w:val="0"/>
    </w:pPr>
    <w:rPr>
      <w:sz w:val="28"/>
      <w:szCs w:val="28"/>
      <w:b w:val="1"/>
      <w:bCs w:val="1"/>
    </w:rPr>
  </w:style>
  <w:style w:type="paragraph" w:styleId="Heading2">
    <w:link w:val="Heading2Char"/>
    <w:name w:val="heading 2"/>
    <w:basedOn w:val="Normal"/>
    <w:pPr>
      <w:spacing w:before="40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section_image2.jp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section_image1.gif"/><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thegef.org/sites/default/files/documents/2022-04/GEF_R.08_31_GEF-8_Policy_Directions.pdf" TargetMode="External"/><Relationship Id="rId4" Type="http://schemas.openxmlformats.org/officeDocument/2006/relationships/theme" Target="theme/theme1.xml"/><Relationship Id="rId9" Type="http://schemas.openxmlformats.org/officeDocument/2006/relationships/hyperlink" Target="https://www.thegef.org/council-meeting-documents/guidelines-project-and-program-cycle-policy-2020-updat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Country xmlns="d9cf0e28-81d2-4dc7-8b10-820d80ed680d">B0413 - Kiribati - Cty Pgmm</OfficeCountry>
    <DocumentStatus xmlns="d9cf0e28-81d2-4dc7-8b10-820d80ed680d">Final</DocumentStatus>
    <DocCoverageEndDate xmlns="d9cf0e28-81d2-4dc7-8b10-820d80ed680d">2025-06-30T04:00:00+00:00</DocCoverageEndDate>
    <TaxCatchAll xmlns="e91d5986-7c29-4ed1-8a54-b8fb378ed474" xsi:nil="true"/>
    <EventDate xmlns="d9cf0e28-81d2-4dc7-8b10-820d80ed680d" xsi:nil="true"/>
    <ProjectDocumentTypes xmlns="d9cf0e28-81d2-4dc7-8b10-820d80ed680d" xsi:nil="true"/>
    <FunctionalArea xmlns="d9cf0e28-81d2-4dc7-8b10-820d80ed680d" xsi:nil="true"/>
    <FileNameDescription xmlns="d9cf0e28-81d2-4dc7-8b10-820d80ed680d" xsi:nil="true"/>
    <ProjectNumber xmlns="d9cf0e28-81d2-4dc7-8b10-820d80ed680d">00103226</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UNDP-FJI</OperatingUnit>
    <lcf76f155ced4ddcb4097134ff3c332f xmlns="d9cf0e28-81d2-4dc7-8b10-820d80ed680d">
      <Terms xmlns="http://schemas.microsoft.com/office/infopath/2007/PartnerControls"/>
    </lcf76f155ced4ddcb4097134ff3c332f>
    <FocusArea xmlns="d9cf0e28-81d2-4dc7-8b10-820d80ed680d" xsi:nil="true"/>
    <DocCoverageStartDate xmlns="d9cf0e28-81d2-4dc7-8b10-820d80ed680d">2024-07-01T04:00:00+00:00</DocCoverageStartDate>
    <FileClassificationMode xmlns="d9cf0e28-81d2-4dc7-8b10-820d80ed680d">Public</FileClassificationMode>
    <OutputNumber xmlns="d9cf0e28-81d2-4dc7-8b10-820d80ed680d">00105289</OutputNumber>
  </documentManagement>
</p:properties>
</file>

<file path=customXml/itemProps1.xml><?xml version="1.0" encoding="utf-8"?>
<ds:datastoreItem xmlns:ds="http://schemas.openxmlformats.org/officeDocument/2006/customXml" ds:itemID="{CCBB1EF6-287A-4606-9AB5-C60D5E9F9033}"/>
</file>

<file path=customXml/itemProps2.xml><?xml version="1.0" encoding="utf-8"?>
<ds:datastoreItem xmlns:ds="http://schemas.openxmlformats.org/officeDocument/2006/customXml" ds:itemID="{B0F9DF52-039C-4C71-BE85-24BA0CD2D23F}"/>
</file>

<file path=customXml/itemProps3.xml><?xml version="1.0" encoding="utf-8"?>
<ds:datastoreItem xmlns:ds="http://schemas.openxmlformats.org/officeDocument/2006/customXml" ds:itemID="{FE3D41B8-A4F5-44F5-B391-C2379E4C8BF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2025-09-09T05:09:54Z</dcterms:created>
  <dcterms:modified xsi:type="dcterms:W3CDTF">2025-09-09T05:09:54Z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