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2020</w:t>
      </w:r>
    </w:p>
    <w:p>
      <w:pPr>
        <w:jc w:val="center"/>
      </w:pPr>
      <w:r>
        <w:rPr>
          <w:sz w:val="28"/>
          <w:szCs w:val="28"/>
        </w:rPr>
        <w:t xml:space="preserve">Project Implementation Review (PIR)</w:t>
      </w:r>
    </w:p>
    <w:p>
      <w:pPr/>
      <w:r>
        <w:rPr/>
        <w:t xml:space="preserve"/>
      </w:r>
    </w:p>
    <w:p>
      <w:pPr/>
      <w:r>
        <w:rPr/>
        <w:t xml:space="preserve"/>
      </w:r>
    </w:p>
    <w:p>
      <w:pPr/>
      <w:r>
        <w:rPr/>
        <w:t xml:space="preserve"/>
      </w:r>
    </w:p>
    <w:p>
      <w:pPr>
        <w:jc w:val="center"/>
      </w:pPr>
      <w:r>
        <w:rPr>
          <w:sz w:val="28"/>
          <w:szCs w:val="28"/>
          <w:b w:val="1"/>
          <w:bCs w:val="1"/>
        </w:rPr>
        <w:t xml:space="preserve">BD safeguards and conservation  in Palau</w:t>
      </w:r>
    </w:p>
    <w:p>
      <w:pPr>
        <w:tabs>
          <w:tab w:val="right" w:leader="dot" w:pos="9062"/>
        </w:tabs>
      </w:pPr>
      <w:r>
        <w:fldChar w:fldCharType="begin"/>
      </w:r>
      <w:r>
        <w:instrText xml:space="preserve">TOC \o 1-1 \h \z \u</w:instrText>
      </w:r>
      <w:r>
        <w:fldChar w:fldCharType="separate"/>
      </w:r>
      <w:hyperlink w:anchor="_Toc1" w:history="1">
        <w:r>
          <w:t>Basic Data</w:t>
        </w:r>
        <w:r>
          <w:tab/>
        </w:r>
        <w:r>
          <w:fldChar w:fldCharType="begin"/>
        </w:r>
        <w:r>
          <w:instrText xml:space="preserve">PAGEREF _Toc1 \h</w:instrText>
        </w:r>
        <w:r>
          <w:fldChar w:fldCharType="end"/>
        </w:r>
      </w:hyperlink>
    </w:p>
    <w:p>
      <w:pPr>
        <w:tabs>
          <w:tab w:val="right" w:leader="dot" w:pos="9062"/>
        </w:tabs>
      </w:pPr>
      <w:hyperlink w:anchor="_Toc2" w:history="1">
        <w:r>
          <w:t>Overall Ratings</w:t>
        </w:r>
        <w:r>
          <w:tab/>
        </w:r>
        <w:r>
          <w:fldChar w:fldCharType="begin"/>
        </w:r>
        <w:r>
          <w:instrText xml:space="preserve">PAGEREF _Toc2 \h</w:instrText>
        </w:r>
        <w:r>
          <w:fldChar w:fldCharType="end"/>
        </w:r>
      </w:hyperlink>
    </w:p>
    <w:p>
      <w:pPr>
        <w:tabs>
          <w:tab w:val="right" w:leader="dot" w:pos="9062"/>
        </w:tabs>
      </w:pPr>
      <w:hyperlink w:anchor="_Toc3" w:history="1">
        <w:r>
          <w:t>Development Progress</w:t>
        </w:r>
        <w:r>
          <w:tab/>
        </w:r>
        <w:r>
          <w:fldChar w:fldCharType="begin"/>
        </w:r>
        <w:r>
          <w:instrText xml:space="preserve">PAGEREF _Toc3 \h</w:instrText>
        </w:r>
        <w:r>
          <w:fldChar w:fldCharType="end"/>
        </w:r>
      </w:hyperlink>
    </w:p>
    <w:p>
      <w:pPr>
        <w:tabs>
          <w:tab w:val="right" w:leader="dot" w:pos="9062"/>
        </w:tabs>
      </w:pPr>
      <w:hyperlink w:anchor="_Toc4" w:history="1">
        <w:r>
          <w:t>Implementation Progress</w:t>
        </w:r>
        <w:r>
          <w:tab/>
        </w:r>
        <w:r>
          <w:fldChar w:fldCharType="begin"/>
        </w:r>
        <w:r>
          <w:instrText xml:space="preserve">PAGEREF _Toc4 \h</w:instrText>
        </w:r>
        <w:r>
          <w:fldChar w:fldCharType="end"/>
        </w:r>
      </w:hyperlink>
    </w:p>
    <w:p>
      <w:pPr>
        <w:tabs>
          <w:tab w:val="right" w:leader="dot" w:pos="9062"/>
        </w:tabs>
      </w:pPr>
      <w:hyperlink w:anchor="_Toc5" w:history="1">
        <w:r>
          <w:t>Critical Risk Management</w:t>
        </w:r>
        <w:r>
          <w:tab/>
        </w:r>
        <w:r>
          <w:fldChar w:fldCharType="begin"/>
        </w:r>
        <w:r>
          <w:instrText xml:space="preserve">PAGEREF _Toc5 \h</w:instrText>
        </w:r>
        <w:r>
          <w:fldChar w:fldCharType="end"/>
        </w:r>
      </w:hyperlink>
    </w:p>
    <w:p>
      <w:pPr>
        <w:tabs>
          <w:tab w:val="right" w:leader="dot" w:pos="9062"/>
        </w:tabs>
      </w:pPr>
      <w:hyperlink w:anchor="_Toc6" w:history="1">
        <w:r>
          <w:t>Adjustments</w:t>
        </w:r>
        <w:r>
          <w:tab/>
        </w:r>
        <w:r>
          <w:fldChar w:fldCharType="begin"/>
        </w:r>
        <w:r>
          <w:instrText xml:space="preserve">PAGEREF _Toc6 \h</w:instrText>
        </w:r>
        <w:r>
          <w:fldChar w:fldCharType="end"/>
        </w:r>
      </w:hyperlink>
    </w:p>
    <w:p>
      <w:pPr>
        <w:tabs>
          <w:tab w:val="right" w:leader="dot" w:pos="9062"/>
        </w:tabs>
      </w:pPr>
      <w:hyperlink w:anchor="_Toc7" w:history="1">
        <w:r>
          <w:t>Ratings and Overall Assessments</w:t>
        </w:r>
        <w:r>
          <w:tab/>
        </w:r>
        <w:r>
          <w:fldChar w:fldCharType="begin"/>
        </w:r>
        <w:r>
          <w:instrText xml:space="preserve">PAGEREF _Toc7 \h</w:instrText>
        </w:r>
        <w:r>
          <w:fldChar w:fldCharType="end"/>
        </w:r>
      </w:hyperlink>
    </w:p>
    <w:p>
      <w:pPr>
        <w:tabs>
          <w:tab w:val="right" w:leader="dot" w:pos="9062"/>
        </w:tabs>
      </w:pPr>
      <w:hyperlink w:anchor="_Toc8" w:history="1">
        <w:r>
          <w:t>Gender</w:t>
        </w:r>
        <w:r>
          <w:tab/>
        </w:r>
        <w:r>
          <w:fldChar w:fldCharType="begin"/>
        </w:r>
        <w:r>
          <w:instrText xml:space="preserve">PAGEREF _Toc8 \h</w:instrText>
        </w:r>
        <w:r>
          <w:fldChar w:fldCharType="end"/>
        </w:r>
      </w:hyperlink>
    </w:p>
    <w:p>
      <w:pPr>
        <w:tabs>
          <w:tab w:val="right" w:leader="dot" w:pos="9062"/>
        </w:tabs>
      </w:pPr>
      <w:hyperlink w:anchor="_Toc9" w:history="1">
        <w:r>
          <w:t>Social and Environmental Standards</w:t>
        </w:r>
        <w:r>
          <w:tab/>
        </w:r>
        <w:r>
          <w:fldChar w:fldCharType="begin"/>
        </w:r>
        <w:r>
          <w:instrText xml:space="preserve">PAGEREF _Toc9 \h</w:instrText>
        </w:r>
        <w:r>
          <w:fldChar w:fldCharType="end"/>
        </w:r>
      </w:hyperlink>
    </w:p>
    <w:p>
      <w:pPr>
        <w:tabs>
          <w:tab w:val="right" w:leader="dot" w:pos="9062"/>
        </w:tabs>
      </w:pPr>
      <w:hyperlink w:anchor="_Toc10" w:history="1">
        <w:r>
          <w:t>Communicating Impact</w:t>
        </w:r>
        <w:r>
          <w:tab/>
        </w:r>
        <w:r>
          <w:fldChar w:fldCharType="begin"/>
        </w:r>
        <w:r>
          <w:instrText xml:space="preserve">PAGEREF _Toc10 \h</w:instrText>
        </w:r>
        <w:r>
          <w:fldChar w:fldCharType="end"/>
        </w:r>
      </w:hyperlink>
    </w:p>
    <w:p>
      <w:pPr>
        <w:tabs>
          <w:tab w:val="right" w:leader="dot" w:pos="9062"/>
        </w:tabs>
      </w:pPr>
      <w:hyperlink w:anchor="_Toc11" w:history="1">
        <w:r>
          <w:t>Partnerships</w:t>
        </w:r>
        <w:r>
          <w:tab/>
        </w:r>
        <w:r>
          <w:fldChar w:fldCharType="begin"/>
        </w:r>
        <w:r>
          <w:instrText xml:space="preserve">PAGEREF _Toc11 \h</w:instrText>
        </w:r>
        <w:r>
          <w:fldChar w:fldCharType="end"/>
        </w:r>
      </w:hyperlink>
    </w:p>
    <w:p>
      <w:pPr>
        <w:tabs>
          <w:tab w:val="right" w:leader="dot" w:pos="9062"/>
        </w:tabs>
      </w:pPr>
      <w:hyperlink w:anchor="_Toc12" w:history="1">
        <w:r>
          <w:t>Annex - Ratings Definitions</w:t>
        </w:r>
        <w:r>
          <w:tab/>
        </w:r>
        <w:r>
          <w:fldChar w:fldCharType="begin"/>
        </w:r>
        <w:r>
          <w:instrText xml:space="preserve">PAGEREF _Toc12 \h</w:instrText>
        </w:r>
        <w:r>
          <w:fldChar w:fldCharType="end"/>
        </w:r>
      </w:hyperlink>
    </w:p>
    <w:p>
      <w:r>
        <w:fldChar w:fldCharType="end"/>
      </w:r>
    </w:p>
    <w:p>
      <w:pPr>
        <w:sectPr>
          <w:headerReference w:type="default" r:id="rId14"/>
          <w:footerReference w:type="default" r:id="rId15"/>
          <w:pgSz w:orient="portrait" w:w="11905.511811023622" w:h="16837.79527559055"/>
          <w:pgMar w:top="1440" w:right="1440" w:bottom="1440" w:left="1440" w:header="720" w:footer="720" w:gutter="0"/>
          <w:cols w:num="1" w:space="720"/>
        </w:sectPr>
      </w:pPr>
    </w:p>
    <w:p>
      <w:pPr>
        <w:pStyle w:val="Heading1"/>
      </w:pPr>
      <w:bookmarkStart w:id="1" w:name="_Toc1"/>
      <w:r>
        <w:t>Basic Data</w:t>
      </w:r>
      <w:bookmarkEnd w:id="1"/>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Information</w:t>
            </w:r>
          </w:p>
        </w:tc>
      </w:tr>
      <w:tr>
        <w:trPr/>
        <w:tc>
          <w:tcPr>
            <w:tcW w:w="5000" w:type="dxa"/>
            <w:gridSpan w:val="1"/>
          </w:tcPr>
          <w:p>
            <w:pPr/>
            <w:r>
              <w:rPr/>
              <w:t xml:space="preserve">UNDP PIMS ID</w:t>
            </w:r>
          </w:p>
        </w:tc>
        <w:tc>
          <w:tcPr>
            <w:tcW w:w="5000" w:type="dxa"/>
            <w:gridSpan w:val="1"/>
          </w:tcPr>
          <w:p>
            <w:pPr/>
            <w:r>
              <w:rPr/>
              <w:t xml:space="preserve">5645</w:t>
            </w:r>
          </w:p>
        </w:tc>
      </w:tr>
      <w:tr>
        <w:trPr/>
        <w:tc>
          <w:tcPr>
            <w:tcW w:w="5000" w:type="dxa"/>
            <w:gridSpan w:val="1"/>
          </w:tcPr>
          <w:p>
            <w:pPr/>
            <w:r>
              <w:rPr/>
              <w:t xml:space="preserve">GEF ID</w:t>
            </w:r>
          </w:p>
        </w:tc>
        <w:tc>
          <w:tcPr>
            <w:tcW w:w="5000" w:type="dxa"/>
            <w:gridSpan w:val="1"/>
          </w:tcPr>
          <w:p>
            <w:pPr/>
            <w:r>
              <w:rPr/>
              <w:t xml:space="preserve">9208</w:t>
            </w:r>
          </w:p>
        </w:tc>
      </w:tr>
      <w:tr>
        <w:trPr/>
        <w:tc>
          <w:tcPr>
            <w:tcW w:w="5000" w:type="dxa"/>
            <w:gridSpan w:val="1"/>
          </w:tcPr>
          <w:p>
            <w:pPr/>
            <w:r>
              <w:rPr/>
              <w:t xml:space="preserve">Title</w:t>
            </w:r>
          </w:p>
        </w:tc>
        <w:tc>
          <w:tcPr>
            <w:tcW w:w="5000" w:type="dxa"/>
            <w:gridSpan w:val="1"/>
          </w:tcPr>
          <w:p>
            <w:pPr/>
            <w:r>
              <w:rPr/>
              <w:t xml:space="preserve">Integrating biodiversity safeguards and conservation into planning and development in Palau</w:t>
            </w:r>
          </w:p>
        </w:tc>
      </w:tr>
      <w:tr>
        <w:trPr/>
        <w:tc>
          <w:tcPr>
            <w:tcW w:w="5000" w:type="dxa"/>
            <w:gridSpan w:val="1"/>
          </w:tcPr>
          <w:p>
            <w:pPr/>
            <w:r>
              <w:rPr/>
              <w:t xml:space="preserve">Country(ies)</w:t>
            </w:r>
          </w:p>
        </w:tc>
        <w:tc>
          <w:tcPr>
            <w:tcW w:w="5000" w:type="dxa"/>
            <w:gridSpan w:val="1"/>
          </w:tcPr>
          <w:p>
            <w:pPr/>
            <w:r>
              <w:rPr/>
              <w:t xml:space="preserve">Palau, Palau</w:t>
            </w:r>
          </w:p>
        </w:tc>
      </w:tr>
      <w:tr>
        <w:trPr/>
        <w:tc>
          <w:tcPr>
            <w:tcW w:w="5000" w:type="dxa"/>
            <w:gridSpan w:val="1"/>
          </w:tcPr>
          <w:p>
            <w:pPr/>
            <w:r>
              <w:rPr/>
              <w:t xml:space="preserve">UNDP-GEF Technical Team</w:t>
            </w:r>
          </w:p>
        </w:tc>
        <w:tc>
          <w:tcPr>
            <w:tcW w:w="5000" w:type="dxa"/>
            <w:gridSpan w:val="1"/>
          </w:tcPr>
          <w:p>
            <w:pPr/>
            <w:r>
              <w:rPr/>
              <w:t xml:space="preserve">Ecosystems and Biodiversity</w:t>
            </w:r>
          </w:p>
        </w:tc>
      </w:tr>
      <w:tr>
        <w:trPr/>
        <w:tc>
          <w:tcPr>
            <w:tcW w:w="5000" w:type="dxa"/>
            <w:gridSpan w:val="1"/>
          </w:tcPr>
          <w:p>
            <w:pPr/>
            <w:r>
              <w:rPr/>
              <w:t xml:space="preserve">Project Implementing Partner</w:t>
            </w:r>
          </w:p>
        </w:tc>
        <w:tc>
          <w:tcPr>
            <w:tcW w:w="5000" w:type="dxa"/>
            <w:gridSpan w:val="1"/>
          </w:tcPr>
          <w:p>
            <w:pPr/>
            <w:r>
              <w:rPr/>
              <w:t xml:space="preserve">Government</w:t>
            </w:r>
          </w:p>
        </w:tc>
      </w:tr>
      <w:tr>
        <w:trPr/>
        <w:tc>
          <w:tcPr>
            <w:tcW w:w="5000" w:type="dxa"/>
            <w:gridSpan w:val="1"/>
          </w:tcPr>
          <w:p>
            <w:pPr/>
            <w:r>
              <w:rPr/>
              <w:t xml:space="preserve">Joint Agencies</w:t>
            </w:r>
          </w:p>
        </w:tc>
        <w:tc>
          <w:tcPr>
            <w:tcW w:w="5000" w:type="dxa"/>
            <w:gridSpan w:val="1"/>
          </w:tcPr>
          <w:p>
            <w:pPr/>
            <w:r>
              <w:rPr>
                <w:i w:val="1"/>
                <w:iCs w:val="1"/>
              </w:rPr>
              <w:t xml:space="preserve">(not set or not applicable)</w:t>
            </w:r>
          </w:p>
        </w:tc>
      </w:tr>
      <w:tr>
        <w:trPr/>
        <w:tc>
          <w:tcPr>
            <w:tcW w:w="5000" w:type="dxa"/>
            <w:gridSpan w:val="1"/>
          </w:tcPr>
          <w:p>
            <w:pPr/>
            <w:r>
              <w:rPr/>
              <w:t xml:space="preserve">Project Type</w:t>
            </w:r>
          </w:p>
        </w:tc>
        <w:tc>
          <w:tcPr>
            <w:tcW w:w="5000" w:type="dxa"/>
            <w:gridSpan w:val="1"/>
          </w:tcPr>
          <w:p>
            <w:pPr/>
            <w:r>
              <w:rPr/>
              <w:t xml:space="preserve">Full Size</w:t>
            </w:r>
          </w:p>
        </w:tc>
      </w:tr>
    </w:tbl>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Project Description</w:t>
            </w:r>
          </w:p>
        </w:tc>
      </w:tr>
      <w:tr>
        <w:trPr/>
        <w:tc>
          <w:tcPr>
            <w:tcW w:w="10000" w:type="dxa"/>
            <w:gridSpan w:val="1"/>
          </w:tcPr>
          <w:p>
            <w:pPr/>
            <w:r>
              <w:rPr/>
              <w:t xml:space="preserve">This project aims to address the negative impacts of unsustainable sector-led development practices on biodiversity-rich landscapes of Palau, including its productive coastal and marine ecosystems, while taking into account climate change adaptation needs and inclusive and equitable social and economic development for dependent communities, as well as safeguarding against threats to biodiversity and the introduction and spread of Invasive Alien Species through the tourism and related sectors. The objective of the project is to mainstream biodiversity conservation into integrated land and seascape governance, planning and management in Palau.
</w:t>
            </w:r>
          </w:p>
          <w:p>
            <w:pPr/>
            <w:r>
              <w:rPr/>
              <w:t xml:space="preserve">
</w:t>
            </w:r>
          </w:p>
          <w:p>
            <w:pPr/>
            <w:r>
              <w:rPr/>
              <w:t xml:space="preserve">The project recognizes the fact that these land and seascapes underpin the lives and livelihoods of a large number of local communities and that implementation of a coherent strategy to promote sustainable, biodiversity-friendly livelihood options is an integral part of the solution. The project objective is to be achieved through the implementation of four inter-related and mutually complementary Components (Project Outcomes) that are focussed on addressing existing barriers. The four Outcomes of the project are:
</w:t>
            </w:r>
          </w:p>
          <w:p>
            <w:pPr/>
            <w:r>
              <w:rPr/>
              <w:t xml:space="preserve">Outcome 1: Enhanced national institutional framework for integrated planning and management of land and seascapes;
</w:t>
            </w:r>
          </w:p>
          <w:p>
            <w:pPr/>
            <w:r>
              <w:rPr/>
              <w:t xml:space="preserve">Outcome 2: Integrated multi-sector land and seascape planning and management operational in Babeldaob states to reduce threats to biodiversity and improve ecosystem services to benefit communities and state economies;
</w:t>
            </w:r>
          </w:p>
          <w:p>
            <w:pPr/>
            <w:r>
              <w:rPr/>
              <w:t xml:space="preserve">Outcome 3: Integrated multi-sector planning and management operational in 264,686 ha of seascapes and coastal areas in the Southern Lagoon to reduce threats to biodiversity and improve ecosystem services to benefit communities and state economies; and 
</w:t>
            </w:r>
          </w:p>
          <w:p>
            <w:pPr/>
            <w:r>
              <w:rPr/>
              <w:t xml:space="preserve">Outcome 4: Knowledge management, monitoring and evaluation support, equitable gender benefits and biodiversity conservation in Palau.</w:t>
            </w:r>
          </w:p>
        </w:tc>
      </w:tr>
    </w:tbl>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Contacts</w:t>
            </w:r>
          </w:p>
        </w:tc>
      </w:tr>
      <w:tr>
        <w:trPr/>
        <w:tc>
          <w:tcPr>
            <w:tcW w:w="5000" w:type="dxa"/>
            <w:gridSpan w:val="1"/>
          </w:tcPr>
          <w:p>
            <w:pPr/>
            <w:r>
              <w:rPr/>
              <w:t xml:space="preserve">UNDP-GEF Regional Technical Adviser</w:t>
            </w:r>
          </w:p>
        </w:tc>
        <w:tc>
          <w:tcPr>
            <w:tcW w:w="5000" w:type="dxa"/>
            <w:gridSpan w:val="1"/>
          </w:tcPr>
          <w:p>
            <w:pPr/>
            <w:r>
              <w:rPr/>
              <w:t xml:space="preserve">Ms. Lisa Farroway (lisa.farroway@undp.org)</w:t>
            </w:r>
          </w:p>
        </w:tc>
      </w:tr>
      <w:tr>
        <w:trPr/>
        <w:tc>
          <w:tcPr>
            <w:tcW w:w="5000" w:type="dxa"/>
            <w:gridSpan w:val="1"/>
          </w:tcPr>
          <w:p>
            <w:pPr/>
            <w:r>
              <w:rPr/>
              <w:t xml:space="preserve">Programme Associate</w:t>
            </w:r>
          </w:p>
        </w:tc>
        <w:tc>
          <w:tcPr>
            <w:tcW w:w="5000" w:type="dxa"/>
            <w:gridSpan w:val="1"/>
          </w:tcPr>
          <w:p>
            <w:pPr/>
            <w:r>
              <w:rPr/>
              <w:t xml:space="preserve">Ms. Somaya Bunchorntavakul (somaya.bunchorntavakul@undp.org)</w:t>
            </w:r>
          </w:p>
        </w:tc>
      </w:tr>
      <w:tr>
        <w:trPr/>
        <w:tc>
          <w:tcPr>
            <w:tcW w:w="5000" w:type="dxa"/>
            <w:gridSpan w:val="1"/>
          </w:tcPr>
          <w:p>
            <w:pPr/>
            <w:r>
              <w:rPr/>
              <w:t xml:space="preserve">Project Manager </w:t>
            </w:r>
          </w:p>
        </w:tc>
        <w:tc>
          <w:tcPr>
            <w:tcW w:w="5000" w:type="dxa"/>
            <w:gridSpan w:val="1"/>
          </w:tcPr>
          <w:p>
            <w:pPr/>
            <w:r>
              <w:rPr/>
              <w:t xml:space="preserve">Ms. Dolmii Remeliik (dolmiir@gmail.com)</w:t>
            </w:r>
          </w:p>
          <w:p>
            <w:pPr/>
            <w:r>
              <w:rPr/>
              <w:t xml:space="preserve">Ms. Anuradha Gupta (anu.bintorio@gmail.com)</w:t>
            </w:r>
          </w:p>
        </w:tc>
      </w:tr>
      <w:tr>
        <w:trPr/>
        <w:tc>
          <w:tcPr>
            <w:tcW w:w="5000" w:type="dxa"/>
            <w:gridSpan w:val="1"/>
          </w:tcPr>
          <w:p>
            <w:pPr/>
            <w:r>
              <w:rPr/>
              <w:t xml:space="preserve">CO Focal Point</w:t>
            </w:r>
          </w:p>
        </w:tc>
        <w:tc>
          <w:tcPr>
            <w:tcW w:w="5000" w:type="dxa"/>
            <w:gridSpan w:val="1"/>
          </w:tcPr>
          <w:p>
            <w:pPr/>
            <w:r>
              <w:rPr/>
              <w:t xml:space="preserve">Mr. Floyd ROBINSON (Floyd.robinson@undp.org)</w:t>
            </w:r>
          </w:p>
        </w:tc>
      </w:tr>
      <w:tr>
        <w:trPr/>
        <w:tc>
          <w:tcPr>
            <w:tcW w:w="5000" w:type="dxa"/>
            <w:gridSpan w:val="1"/>
          </w:tcPr>
          <w:p>
            <w:pPr/>
            <w:r>
              <w:rPr/>
              <w:t xml:space="preserve">GEF Operational Focal Point</w:t>
            </w:r>
          </w:p>
        </w:tc>
        <w:tc>
          <w:tcPr>
            <w:tcW w:w="5000" w:type="dxa"/>
            <w:gridSpan w:val="1"/>
          </w:tcPr>
          <w:p>
            <w:pPr/>
            <w:r>
              <w:rPr>
                <w:i w:val="1"/>
                <w:iCs w:val="1"/>
              </w:rPr>
              <w:t xml:space="preserve">(not set or not applicable)</w:t>
            </w:r>
          </w:p>
        </w:tc>
      </w:tr>
      <w:tr>
        <w:trPr/>
        <w:tc>
          <w:tcPr>
            <w:tcW w:w="5000" w:type="dxa"/>
            <w:gridSpan w:val="1"/>
          </w:tcPr>
          <w:p>
            <w:pPr/>
            <w:r>
              <w:rPr/>
              <w:t xml:space="preserve">Project Implementing Partner</w:t>
            </w:r>
          </w:p>
        </w:tc>
        <w:tc>
          <w:tcPr>
            <w:tcW w:w="5000" w:type="dxa"/>
            <w:gridSpan w:val="1"/>
          </w:tcPr>
          <w:p>
            <w:pPr/>
            <w:r>
              <w:rPr>
                <w:i w:val="1"/>
                <w:iCs w:val="1"/>
              </w:rPr>
              <w:t xml:space="preserve">(not set or not applicable)</w:t>
            </w:r>
          </w:p>
        </w:tc>
      </w:tr>
      <w:tr>
        <w:trPr/>
        <w:tc>
          <w:tcPr>
            <w:tcW w:w="5000" w:type="dxa"/>
            <w:gridSpan w:val="1"/>
          </w:tcPr>
          <w:p>
            <w:pPr/>
            <w:r>
              <w:rPr/>
              <w:t xml:space="preserve">Other Partners</w:t>
            </w:r>
          </w:p>
        </w:tc>
        <w:tc>
          <w:tcPr>
            <w:tcW w:w="5000" w:type="dxa"/>
            <w:gridSpan w:val="1"/>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tcPr>
          <w:p>
            <w:pPr/>
            <w:r>
              <w:rPr/>
              <w:t xml:space="preserve">Overall DO Rating</w:t>
            </w:r>
          </w:p>
        </w:tc>
        <w:tc>
          <w:tcPr>
            <w:tcW w:w="8000" w:type="dxa"/>
            <w:gridSpan w:val="1"/>
          </w:tcPr>
          <w:p>
            <w:pPr/>
            <w:r>
              <w:rPr/>
              <w:t xml:space="preserve">Moderately Satisfactory</w:t>
            </w:r>
          </w:p>
        </w:tc>
      </w:tr>
      <w:tr>
        <w:trPr/>
        <w:tc>
          <w:tcPr>
            <w:tcW w:w="8000" w:type="dxa"/>
            <w:gridSpan w:val="1"/>
          </w:tcPr>
          <w:p>
            <w:pPr/>
            <w:r>
              <w:rPr/>
              <w:t xml:space="preserve">Overall IP Rating</w:t>
            </w:r>
          </w:p>
        </w:tc>
        <w:tc>
          <w:tcPr>
            <w:tcW w:w="8000" w:type="dxa"/>
            <w:gridSpan w:val="1"/>
          </w:tcPr>
          <w:p>
            <w:pPr/>
            <w:r>
              <w:rPr/>
              <w:t xml:space="preserve">Moderately Unsatisfactory</w:t>
            </w:r>
          </w:p>
        </w:tc>
      </w:tr>
      <w:tr>
        <w:trPr/>
        <w:tc>
          <w:tcPr>
            <w:tcW w:w="8000" w:type="dxa"/>
            <w:gridSpan w:val="1"/>
          </w:tcPr>
          <w:p>
            <w:pPr/>
            <w:r>
              <w:rPr/>
              <w:t xml:space="preserve">Overall Risk Rating</w:t>
            </w:r>
          </w:p>
        </w:tc>
        <w:tc>
          <w:tcPr>
            <w:tcW w:w="8000" w:type="dxa"/>
            <w:gridSpan w:val="1"/>
          </w:tcPr>
          <w:p>
            <w:pPr/>
            <w:r>
              <w:rPr/>
              <w:t xml:space="preserve">substantial</w:t>
            </w:r>
          </w:p>
        </w:tc>
      </w:tr>
    </w:tbl>
    <w:p>
      <w:pPr>
        <w:sectPr>
          <w:pgSz w:orient="portrait" w:w="11905.511811023622" w:h="16837.79527559055"/>
          <w:pgMar w:top="500" w:right="500" w:bottom="500" w:left="500" w:header="720" w:footer="720" w:gutter="0"/>
          <w:cols w:num="1" w:space="720"/>
        </w:sectPr>
      </w:pPr>
    </w:p>
    <w:p>
      <w:pPr>
        <w:pStyle w:val="Heading1"/>
      </w:pPr>
      <w:bookmarkStart w:id="3" w:name="_Toc3"/>
      <w:r>
        <w:t>Development Progress</w:t>
      </w:r>
      <w:bookmarkEnd w:id="3"/>
    </w:p>
    <w:tbl>
      <w:tblGrid>
        <w:gridCol w:w="4000" w:type="dxa"/>
        <w:gridCol w:w="2000" w:type="dxa"/>
        <w:gridCol w:w="2000" w:type="dxa"/>
        <w:gridCol w:w="2000" w:type="dxa"/>
        <w:gridCol w:w="4000" w:type="dxa"/>
        <w:gridCol w:w="4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tcPr>
          <w:p>
            <w:pPr/>
            <w:r>
              <w:rPr>
                <w:b w:val="1"/>
                <w:bCs w:val="1"/>
              </w:rPr>
              <w:t xml:space="preserve">Description</w:t>
            </w:r>
          </w:p>
        </w:tc>
      </w:tr>
      <w:tr>
        <w:trPr/>
        <w:tc>
          <w:tcPr>
            <w:tcW w:w="16000" w:type="dxa"/>
            <w:shd w:val="clear" w:fill="#D9D9D9"/>
            <w:gridSpan w:val="7"/>
          </w:tcPr>
          <w:p>
            <w:pPr/>
            <w:r>
              <w:rPr>
                <w:b w:val="1"/>
                <w:bCs w:val="1"/>
              </w:rPr>
              <w:t xml:space="preserve">Objective</w:t>
            </w:r>
          </w:p>
          <w:p>
            <w:pPr/>
            <w:r>
              <w:rPr>
                <w:b w:val="1"/>
                <w:bCs w:val="1"/>
              </w:rPr>
              <w:t xml:space="preserve">Project Objective:
</w:t>
            </w:r>
          </w:p>
          <w:p>
            <w:pPr/>
            <w:r>
              <w:rPr>
                <w:b w:val="1"/>
                <w:bCs w:val="1"/>
              </w:rPr>
              <w:t xml:space="preserve">To mainstream biodiversity conservation into integrated land and seascape governance, planning and management in Palau.
</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2019</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Mandatory Indicator 1.3.1 Area of sustainable management solutions at sub-national level for conservation of biodiversity and ecosystem services that benefit from integrated landscape and seascape planning and management approaches</w:t>
            </w:r>
          </w:p>
        </w:tc>
        <w:tc>
          <w:tcPr>
            <w:tcW w:w="2000" w:type="dxa"/>
            <w:gridSpan w:val="1"/>
          </w:tcPr>
          <w:p>
            <w:pPr/>
            <w:r>
              <w:rPr/>
              <w:t xml:space="preserve">Approximately 115,000 hectares (managed effectively) </w:t>
            </w:r>
          </w:p>
        </w:tc>
        <w:tc>
          <w:tcPr>
            <w:tcW w:w="2000" w:type="dxa"/>
            <w:gridSpan w:val="1"/>
          </w:tcPr>
          <w:p>
            <w:pPr/>
            <w:r>
              <w:rPr/>
              <w:t xml:space="preserve">At least 130,000 hectares of seascapes and landscapes effectively managed through participatory approaches</w:t>
            </w:r>
          </w:p>
        </w:tc>
        <w:tc>
          <w:tcPr>
            <w:tcW w:w="2000" w:type="dxa"/>
            <w:gridSpan w:val="1"/>
          </w:tcPr>
          <w:p>
            <w:pPr/>
            <w:r>
              <w:rPr/>
              <w:t xml:space="preserve">At least a total of 240,000  hectares of seascapes and landscapes effectively managed through participatory approaches</w:t>
            </w:r>
          </w:p>
        </w:tc>
        <w:tc>
          <w:tcPr>
            <w:tcW w:w="4000" w:type="dxa"/>
            <w:gridSpan w:val="1"/>
          </w:tcPr>
          <w:p>
            <w:pPr/>
            <w:r>
              <w:rPr>
                <w:i w:val="1"/>
                <w:iCs w:val="1"/>
              </w:rPr>
              <w:t xml:space="preserve">(not set or not applicable)</w:t>
            </w:r>
          </w:p>
        </w:tc>
        <w:tc>
          <w:tcPr>
            <w:tcW w:w="4000" w:type="dxa"/>
            <w:gridSpan w:val="1"/>
          </w:tcPr>
          <w:p>
            <w:pPr/>
            <w:r>
              <w:rPr/>
              <w:t xml:space="preserve">As of 30 June 2020, 144,788 hectares.
</w:t>
            </w:r>
          </w:p>
          <w:p>
            <w:pPr/>
            <w:r>
              <w:rPr/>
              <w:t xml:space="preserve">
</w:t>
            </w:r>
          </w:p>
          <w:p>
            <w:pPr/>
            <w:r>
              <w:rPr/>
              <w:t xml:space="preserve">Palau recommends changing the baseline and the mid-term target prior to the 2021 PIR, so as to secure Project Board agreement. The baseline may be updated to 144,785 hectares. A reasonable mid-term target would be 175,000 hectares; however this number would need to be vetted and approved by our Board.
</w:t>
            </w:r>
          </w:p>
          <w:p>
            <w:pPr/>
            <w:r>
              <w:rPr/>
              <w:t xml:space="preserve">
</w:t>
            </w:r>
          </w:p>
          <w:p>
            <w:pPr/>
            <w:r>
              <w:rPr/>
              <w:t xml:space="preserve">An adjustment to baseline due to improved data collection at PALARIS put the total area to 144,785. The majority of the growth came from expansion of the Managed Marine Area in Ngarchelong. Approximately 3,000 hectares does not represent an addition, but is an adjustment. This was reported in the 2019 SOE and is not directly related to this project.
</w:t>
            </w:r>
          </w:p>
          <w:p>
            <w:pPr/>
            <w:r>
              <w:rPr/>
              <w:t xml:space="preserve">
</w:t>
            </w:r>
          </w:p>
          <w:p>
            <w:pPr/>
            <w:r>
              <w:rPr/>
              <w:t xml:space="preserve">An additional 2.8 hectares added due to the addition of a 50-year private lands conservation easement with PCS in Peleliu "MVP Forest of Hope".
</w:t>
            </w:r>
          </w:p>
          <w:p>
            <w:pPr/>
            <w:r>
              <w:rPr/>
              <w:t xml:space="preserve">Growth in the total area of land and water under sustainable management has increased due to coordinated efforts by the environment sector to increase support for conservation and sustainable use of resources. While expansion from the baseline is not directly tied to the project, it has contributed to an overall increase in support for effective management.
</w:t>
            </w:r>
          </w:p>
          <w:p>
            <w:pPr/>
            <w:r>
              <w:rPr/>
              <w:t xml:space="preserve">The integrated planning process is progressing on Babeldaob and the Southern Lagoon, with all prerequisites in place to progress integrated landscape planning: multiple participatory committees at multiple jurisdictional levels (national and state), methods of operating, technical support, a clear schedule and outputs, and strong political support at National and State levels. 
</w:t>
            </w:r>
          </w:p>
          <w:p>
            <w:pPr/>
            <w:r>
              <w:rPr/>
              <w:t xml:space="preserve">
</w:t>
            </w:r>
          </w:p>
          <w:p>
            <w:pPr/>
            <w:r>
              <w:rPr/>
              <w:t xml:space="preserve">Each State involved in the project has a development Vision that lays the foundation for integrated planning. Conserving, protecting, health, or sustainable use of the environment is explicitly included in 9 of 11 Vision Statements.
</w:t>
            </w:r>
          </w:p>
          <w:p>
            <w:pPr/>
            <w:r>
              <w:rPr/>
              <w:t xml:space="preserve">
</w:t>
            </w:r>
          </w:p>
          <w:p>
            <w:pPr/>
            <w:r>
              <w:rPr/>
              <w:t xml:space="preserve">Capacity for integrated management is rapidly increasing through State Planning Teams who are planning for immediate action on the ground.
</w:t>
            </w:r>
          </w:p>
          <w:p>
            <w:pPr/>
            <w:r>
              <w:rPr/>
              <w:t xml:space="preserve">The project is on track to exceed the EOP target now that all 10 states in Babeldaob are participating in integrated land/seascape planning (up from the proposed 7).</w:t>
            </w:r>
          </w:p>
        </w:tc>
      </w:tr>
      <w:tr>
        <w:trPr/>
        <w:tc>
          <w:tcPr>
            <w:tcW w:w="4000" w:type="dxa"/>
            <w:gridSpan w:val="1"/>
          </w:tcPr>
          <w:p>
            <w:pPr/>
            <w:r>
              <w:rPr/>
              <w:t xml:space="preserve">Mandatory Indicator 1.3.2 Number of households benefiting from strengthened livelihoods through solutions for improved management of natural resources and provision of ecosystem services</w:t>
            </w:r>
          </w:p>
        </w:tc>
        <w:tc>
          <w:tcPr>
            <w:tcW w:w="2000" w:type="dxa"/>
            <w:gridSpan w:val="1"/>
          </w:tcPr>
          <w:p>
            <w:pPr/>
            <w:r>
              <w:rPr/>
              <w:t xml:space="preserve">Number of households currently participating in sustainable resource management and best practice approaches – 39% of HHs (in 7 Babeldaob states and Peleliu) in 2016 (300 HHs ) . (baseline to be validated  in Year 1)</w:t>
            </w:r>
          </w:p>
        </w:tc>
        <w:tc>
          <w:tcPr>
            <w:tcW w:w="2000" w:type="dxa"/>
            <w:gridSpan w:val="1"/>
          </w:tcPr>
          <w:p>
            <w:pPr/>
            <w:r>
              <w:rPr/>
              <w:t xml:space="preserve">At least 45% of HHs in Babeldaob states and Peleliu (at least 340HHs) directly benefit through sustainable resource management approaches and incomes  (At least 50% of the beneficiaries would be women inclusive HHs)</w:t>
            </w:r>
          </w:p>
        </w:tc>
        <w:tc>
          <w:tcPr>
            <w:tcW w:w="2000" w:type="dxa"/>
            <w:gridSpan w:val="1"/>
          </w:tcPr>
          <w:p>
            <w:pPr/>
            <w:r>
              <w:rPr/>
              <w:t xml:space="preserve">At least 55% of HHs in Babeldaob states and Peleliu (at least 425HHs) directly benefit through sustainable resource management approaches and incomes  (At least 50% of the beneficiaries would be women inclusive HHs)</w:t>
            </w:r>
          </w:p>
        </w:tc>
        <w:tc>
          <w:tcPr>
            <w:tcW w:w="4000" w:type="dxa"/>
            <w:gridSpan w:val="1"/>
          </w:tcPr>
          <w:p>
            <w:pPr/>
            <w:r>
              <w:rPr>
                <w:i w:val="1"/>
                <w:iCs w:val="1"/>
              </w:rPr>
              <w:t xml:space="preserve">(not set or not applicable)</w:t>
            </w:r>
          </w:p>
        </w:tc>
        <w:tc>
          <w:tcPr>
            <w:tcW w:w="4000" w:type="dxa"/>
            <w:gridSpan w:val="1"/>
          </w:tcPr>
          <w:p>
            <w:pPr/>
            <w:r>
              <w:rPr/>
              <w:t xml:space="preserve">Same as baseline.
</w:t>
            </w:r>
          </w:p>
          <w:p>
            <w:pPr/>
            <w:r>
              <w:rPr/>
              <w:t xml:space="preserve">The project has yet to implement action on the ground and thus it is too early to see livelihood benefits. 
</w:t>
            </w:r>
          </w:p>
          <w:p>
            <w:pPr/>
            <w:r>
              <w:rPr/>
              <w:t xml:space="preserve">
</w:t>
            </w:r>
          </w:p>
          <w:p>
            <w:pPr/>
            <w:r>
              <w:rPr/>
              <w:t xml:space="preserve">MNRET has prioritized contracting of local indigenous suppliers in villages during this Covid-19 crisis, such as paying for local meals and transportation. So far, because most services secured have been food, women have largely benefitted. Some men have benefitted through transportation services.
</w:t>
            </w:r>
          </w:p>
          <w:p>
            <w:pPr/>
            <w:r>
              <w:rPr/>
              <w:t xml:space="preserve">In the second half of 2020, the Project will distribute $43,000 in direct funding to States and villages for the implementation of natural resource management. Based on the safeguards in place (including community benefit requirements) many families will receive direct financial benefits for their participation. According to Action Plans, 10-20 households in 4-5 States will participate. In reviewing these Action Plans, GEF6 has advocated for inclusion of women, youth, and different social groups.
</w:t>
            </w:r>
          </w:p>
          <w:p>
            <w:pPr/>
            <w:r>
              <w:rPr/>
              <w:t xml:space="preserve">
</w:t>
            </w:r>
          </w:p>
          <w:p>
            <w:pPr/>
            <w:r>
              <w:rPr/>
              <w:t xml:space="preserve">The baseline has not been verified yet but a KAP survey is being conducted and will validate or improve upon the baseline (expected September 2020).
</w:t>
            </w:r>
          </w:p>
          <w:p>
            <w:pPr/>
            <w:r>
              <w:rPr/>
              <w:t xml:space="preserve">
</w:t>
            </w:r>
          </w:p>
          <w:p>
            <w:pPr/>
            <w:r>
              <w:rPr/>
              <w:t xml:space="preserve">Unlike any other environmental project ever in Palau, this project is strongly advocating for gender balance and social inclusion. While not yet at 100%, issues of gender balance have been discussed in a majority of meetings and diverse audiences (e.g. with national and state political leaders, resource managers, and community groups). Thus awareness and involvement of women-inclusive Households has already increased compared to other projects.</w:t>
            </w:r>
          </w:p>
        </w:tc>
      </w:tr>
      <w:tr>
        <w:trPr/>
        <w:tc>
          <w:tcPr>
            <w:tcW w:w="4000" w:type="dxa"/>
            <w:gridSpan w:val="1"/>
          </w:tcPr>
          <w:p>
            <w:pPr/>
            <w:r>
              <w:rPr/>
              <w:t xml:space="preserve">Mandatory indicator 2.5.1 Extent to which Institutional frameworks are in place for integration of conservation, sustainable natural resource use, control and management of IAS, biodiversity and ecosystems and improved livelihoods into integrated land/ seascape planning and management</w:t>
            </w:r>
          </w:p>
        </w:tc>
        <w:tc>
          <w:tcPr>
            <w:tcW w:w="2000" w:type="dxa"/>
            <w:gridSpan w:val="1"/>
          </w:tcPr>
          <w:p>
            <w:pPr/>
            <w:r>
              <w:rPr/>
              <w:t xml:space="preserve">No states have comprehensive landscape and seascape planning and management approaches; 4 of 16 states have partial plans or zones (Koror, Airai, Melekeok, Ngardmau)</w:t>
            </w:r>
          </w:p>
        </w:tc>
        <w:tc>
          <w:tcPr>
            <w:tcW w:w="2000" w:type="dxa"/>
            <w:gridSpan w:val="1"/>
          </w:tcPr>
          <w:p>
            <w:pPr/>
            <w:r>
              <w:rPr/>
              <w:t xml:space="preserve">Integrated Landscape/seascape management “strategy” for Babeldaob Island and ILSMPs developed for at least 3 states </w:t>
            </w:r>
          </w:p>
        </w:tc>
        <w:tc>
          <w:tcPr>
            <w:tcW w:w="2000" w:type="dxa"/>
            <w:gridSpan w:val="1"/>
          </w:tcPr>
          <w:p>
            <w:pPr/>
            <w:r>
              <w:rPr/>
              <w:t xml:space="preserve">Multiple use and sustainable landscape and seascape approaches institutionalized by national legislative, policy, and institutional arrangements and planning and practice effected in 9 states</w:t>
            </w:r>
          </w:p>
        </w:tc>
        <w:tc>
          <w:tcPr>
            <w:tcW w:w="4000" w:type="dxa"/>
            <w:gridSpan w:val="1"/>
          </w:tcPr>
          <w:p>
            <w:pPr/>
            <w:r>
              <w:rPr>
                <w:i w:val="1"/>
                <w:iCs w:val="1"/>
              </w:rPr>
              <w:t xml:space="preserve">(not set or not applicable)</w:t>
            </w:r>
          </w:p>
        </w:tc>
        <w:tc>
          <w:tcPr>
            <w:tcW w:w="4000" w:type="dxa"/>
            <w:gridSpan w:val="1"/>
          </w:tcPr>
          <w:p>
            <w:pPr/>
            <w:r>
              <w:rPr/>
              <w:t xml:space="preserve">Same as baseline.
</w:t>
            </w:r>
          </w:p>
          <w:p>
            <w:pPr/>
            <w:r>
              <w:rPr/>
              <w:t xml:space="preserve">There is a near-finished DRAFT of a Babeldaob-Koror Urban Development Strategic Action Plan (KBUDSAP). The plan considers many linkages but is not fully landscape-seascape. No change in the number of States with ILSMPs.
</w:t>
            </w:r>
          </w:p>
          <w:p>
            <w:pPr/>
            <w:r>
              <w:rPr/>
              <w:t xml:space="preserve">
</w:t>
            </w:r>
          </w:p>
          <w:p>
            <w:pPr/>
            <w:r>
              <w:rPr/>
              <w:t xml:space="preserve">Integrated planning process is progressing on Babeldaob and the Southern Lagoon, so institutional frameworks to support eventual ILSMPs are not yet in place.
</w:t>
            </w:r>
          </w:p>
          <w:p>
            <w:pPr/>
            <w:r>
              <w:rPr/>
              <w:t xml:space="preserve">
</w:t>
            </w:r>
          </w:p>
          <w:p>
            <w:pPr/>
            <w:r>
              <w:rPr/>
              <w:t xml:space="preserve">Each partner State has a Development Vision that is the foundation for its integrated, participatory plans.
</w:t>
            </w:r>
          </w:p>
          <w:p>
            <w:pPr/>
            <w:r>
              <w:rPr/>
              <w:t xml:space="preserve">
</w:t>
            </w:r>
          </w:p>
          <w:p>
            <w:pPr/>
            <w:r>
              <w:rPr/>
              <w:t xml:space="preserve">A framework of safeguards, pulled from National Policies, laws, plans, and Best Management Practices, has been drafted and is being tested and communicated. Use of these safeguards has already influenced project designs in two states (one that might have resulted in unfair benefits and one that was originally planning to use an aggressive species).
</w:t>
            </w:r>
          </w:p>
          <w:p>
            <w:pPr/>
            <w:r>
              <w:rPr/>
              <w:t xml:space="preserve">Efforts to review laws and enforcement procedures within the GEF6 categories have just started, with an emphasis in 2020 on aquaculture and fisheries. Partners have developed a clear plan of action for assessing some cross-sector legal and enforcement needs.
</w:t>
            </w:r>
          </w:p>
          <w:p>
            <w:pPr/>
            <w:r>
              <w:rPr/>
              <w:t xml:space="preserve">GEF6 has been a partner throughout the KBUDSAP. Its urban development goals include language about “sustainable” development.</w:t>
            </w:r>
          </w:p>
        </w:tc>
      </w:tr>
      <w:tr>
        <w:trPr/>
        <w:tc>
          <w:tcPr>
            <w:tcW w:w="7000" w:type="dxa"/>
            <w:gridSpan w:val="2"/>
          </w:tcPr>
          <w:p>
            <w:pPr/>
            <w:r>
              <w:rPr>
                <w:b w:val="1"/>
                <w:bCs w:val="1"/>
              </w:rPr>
              <w:t xml:space="preserve">The progress of the objective can be described as:</w:t>
            </w:r>
          </w:p>
        </w:tc>
        <w:tc>
          <w:tcPr>
            <w:tcW w:w="9000" w:type="dxa"/>
            <w:gridSpan w:val="5"/>
          </w:tcPr>
          <w:p>
            <w:pPr/>
            <w:r>
              <w:rPr>
                <w:b w:val="1"/>
                <w:bCs w:val="1"/>
              </w:rPr>
              <w:t xml:space="preserve">On track</w:t>
            </w:r>
          </w:p>
        </w:tc>
      </w:tr>
      <w:tr>
        <w:trPr/>
        <w:tc>
          <w:tcPr>
            <w:tcW w:w="16000" w:type="dxa"/>
            <w:shd w:val="clear" w:fill="#D9D9D9"/>
            <w:gridSpan w:val="7"/>
          </w:tcPr>
          <w:p>
            <w:pPr/>
            <w:r>
              <w:rPr>
                <w:b w:val="1"/>
                <w:bCs w:val="1"/>
              </w:rPr>
              <w:t xml:space="preserve">Outcome 1</w:t>
            </w:r>
          </w:p>
          <w:p>
            <w:pPr/>
            <w:r>
              <w:rPr>
                <w:b w:val="1"/>
                <w:bCs w:val="1"/>
              </w:rPr>
              <w:t xml:space="preserve">Outcome  1
</w:t>
            </w:r>
          </w:p>
          <w:p>
            <w:pPr/>
            <w:r>
              <w:rPr>
                <w:b w:val="1"/>
                <w:bCs w:val="1"/>
              </w:rPr>
              <w:t xml:space="preserve">Enhanced national institutional framework for integrated planning and management of land and seascapes
</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2019</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5: Level of institutional capacities for planning, implementation and monitoring integrated land/seascape management plans as measured by UNDP land/seascape management scorecard </w:t>
            </w:r>
          </w:p>
        </w:tc>
        <w:tc>
          <w:tcPr>
            <w:tcW w:w="2000" w:type="dxa"/>
            <w:gridSpan w:val="1"/>
          </w:tcPr>
          <w:p>
            <w:pPr/>
            <w:r>
              <w:rPr/>
              <w:t xml:space="preserve">Limited institutional capacities for planning, implementation and monitoring of multiple use landscape and seascapes as measured by UNDP Land/ Seascape Capacity Development Scorecard baseline:
</w:t>
            </w:r>
          </w:p>
          <w:p>
            <w:pPr/>
            <w:r>
              <w:rPr/>
              <w:t xml:space="preserve">(i) National level landscape/seascape capacity score 16/63
</w:t>
            </w:r>
          </w:p>
          <w:p>
            <w:pPr/>
            <w:r>
              <w:rPr/>
              <w:t xml:space="preserve">(ii) State level average score landscape/seascape capacity 15/60 
</w:t>
            </w:r>
          </w:p>
          <w:p>
            <w:pPr/>
            <w:r>
              <w:rPr/>
              <w:t xml:space="preserve">(iii) National Environmental Management score 22/45
</w:t>
            </w:r>
          </w:p>
          <w:p>
            <w:pPr/>
            <w:r>
              <w:rPr/>
              <w:t xml:space="preserve">(iv) National biosecurity capacity score 15/45
</w:t>
            </w:r>
          </w:p>
          <w:p>
            <w:pPr/>
            <w:r>
              <w:rPr/>
              <w:t xml:space="preserve"/>
            </w:r>
          </w:p>
        </w:tc>
        <w:tc>
          <w:tcPr>
            <w:tcW w:w="2000" w:type="dxa"/>
            <w:gridSpan w:val="1"/>
          </w:tcPr>
          <w:p>
            <w:pPr/>
            <w:r>
              <w:rPr/>
              <w:t xml:space="preserve">Increase of institutional capacity as measured by a 10% increase in UNDP Landscape and Seascape Capacity Development Scorecard  (national and state levels), National Environmental Management Capacity Scorecard and National Biosecurity Capacity Scorecard</w:t>
            </w:r>
          </w:p>
        </w:tc>
        <w:tc>
          <w:tcPr>
            <w:tcW w:w="2000" w:type="dxa"/>
            <w:gridSpan w:val="1"/>
          </w:tcPr>
          <w:p>
            <w:pPr/>
            <w:r>
              <w:rPr/>
              <w:t xml:space="preserve">Average Increase of institutional capacity as measured by a 25 % increase in UNDP Landscape and Seascape Capacity Development Scorecard (national and state levels), National Environmental Management Capacity Scorecard and National Biosecurity Capacity Scorecard (Original:  Increase of institutional capacity by 50% - changes was agreed during inception)</w:t>
            </w:r>
          </w:p>
        </w:tc>
        <w:tc>
          <w:tcPr>
            <w:tcW w:w="4000" w:type="dxa"/>
            <w:gridSpan w:val="1"/>
          </w:tcPr>
          <w:p>
            <w:pPr/>
            <w:r>
              <w:rPr>
                <w:i w:val="1"/>
                <w:iCs w:val="1"/>
              </w:rPr>
              <w:t xml:space="preserve">(not set or not applicable)</w:t>
            </w:r>
          </w:p>
        </w:tc>
        <w:tc>
          <w:tcPr>
            <w:tcW w:w="4000" w:type="dxa"/>
            <w:gridSpan w:val="1"/>
          </w:tcPr>
          <w:p>
            <w:pPr/>
            <w:r>
              <w:rPr/>
              <w:t xml:space="preserve">This indicator is on track.
</w:t>
            </w:r>
          </w:p>
          <w:p>
            <w:pPr/>
            <w:r>
              <w:rPr/>
              <w:t xml:space="preserve">The scorecard levels increased for all four capacities:
</w:t>
            </w:r>
          </w:p>
          <w:p>
            <w:pPr/>
            <w:r>
              <w:rPr/>
              <w:t xml:space="preserve">(i) National level landscape/seascape capacity score 19/63 
</w:t>
            </w:r>
          </w:p>
          <w:p>
            <w:pPr/>
            <w:r>
              <w:rPr/>
              <w:t xml:space="preserve">(ii) State level average score landscape/seascape capacity 22/60 
</w:t>
            </w:r>
          </w:p>
          <w:p>
            <w:pPr/>
            <w:r>
              <w:rPr/>
              <w:t xml:space="preserve">(iii) National Environmental Management score 26/45 (iv) National biosecurity capacity score 23/45
</w:t>
            </w:r>
          </w:p>
          <w:p>
            <w:pPr/>
            <w:r>
              <w:rPr/>
              <w:t xml:space="preserve">
</w:t>
            </w:r>
          </w:p>
          <w:p>
            <w:pPr/>
            <w:r>
              <w:rPr/>
              <w:t xml:space="preserve">Building capacity to conduct integrated planning is progressing. 
</w:t>
            </w:r>
          </w:p>
          <w:p>
            <w:pPr/>
            <w:r>
              <w:rPr/>
              <w:t xml:space="preserve">
</w:t>
            </w:r>
          </w:p>
          <w:p>
            <w:pPr/>
            <w:r>
              <w:rPr/>
              <w:t xml:space="preserve">Establishment of 9 State Planning Teams and 2 Joint Coordination Bodies has increased the involvement of individuals by 70 people.
</w:t>
            </w:r>
          </w:p>
          <w:p>
            <w:pPr/>
            <w:r>
              <w:rPr/>
              <w:t xml:space="preserve">
</w:t>
            </w:r>
          </w:p>
          <w:p>
            <w:pPr/>
            <w:r>
              <w:rPr/>
              <w:t xml:space="preserve">Involvement of 10 Babeldaob States from the proposed 7 has also expanded the scope and utility of plans, increasing the capacity for improved impacts.
</w:t>
            </w:r>
          </w:p>
          <w:p>
            <w:pPr/>
            <w:r>
              <w:rPr/>
              <w:t xml:space="preserve">
</w:t>
            </w:r>
          </w:p>
          <w:p>
            <w:pPr/>
            <w:r>
              <w:rPr/>
              <w:t xml:space="preserve">Specific trainings have been held to build capacity of States and communities to write reports and Action Plans, as well as much one-on-one mentoring.
</w:t>
            </w:r>
          </w:p>
          <w:p>
            <w:pPr/>
            <w:r>
              <w:rPr/>
              <w:t xml:space="preserve">
</w:t>
            </w:r>
          </w:p>
          <w:p>
            <w:pPr/>
            <w:r>
              <w:rPr/>
              <w:t xml:space="preserve">A capacity building plan with formal and informal trainings has been included in the JCB’s plan of work. 
</w:t>
            </w:r>
          </w:p>
          <w:p>
            <w:pPr/>
            <w:r>
              <w:rPr/>
              <w:t xml:space="preserve">Concurrent processes that are connected to this project, like the KBUDSAP process, have increased the capacity of National government to undertake integrated planning. This process has also produced resources – such as maps and assessments – that improve capacity scores.
</w:t>
            </w:r>
          </w:p>
          <w:p>
            <w:pPr/>
            <w:r>
              <w:rPr/>
              <w:t xml:space="preserve">
</w:t>
            </w:r>
          </w:p>
          <w:p>
            <w:pPr/>
            <w:r>
              <w:rPr/>
              <w:t xml:space="preserve">The project reached out to elected officials to provide advice on draft National legislation that will mandate and support integrated planning.
</w:t>
            </w:r>
          </w:p>
          <w:p>
            <w:pPr/>
            <w:r>
              <w:rPr/>
              <w:t xml:space="preserve">
</w:t>
            </w:r>
          </w:p>
          <w:p>
            <w:pPr/>
            <w:r>
              <w:rPr/>
              <w:t xml:space="preserve">A strong effort to collect, catalog, and make accessible Best Management Practices (BMPs) has also increased national institutional capacity, especially at MNRET, to advise for improved implementation on the ground. 
</w:t>
            </w:r>
          </w:p>
          <w:p>
            <w:pPr/>
            <w:r>
              <w:rPr/>
              <w:t xml:space="preserve">
</w:t>
            </w:r>
          </w:p>
          <w:p>
            <w:pPr/>
            <w:r>
              <w:rPr/>
              <w:t xml:space="preserve">A new system to improve Knowledge Management (via a project website and increased communications to share resources) has increased information availability and access.</w:t>
            </w:r>
          </w:p>
        </w:tc>
      </w:tr>
      <w:tr>
        <w:trPr/>
        <w:tc>
          <w:tcPr>
            <w:tcW w:w="4000" w:type="dxa"/>
            <w:gridSpan w:val="1"/>
          </w:tcPr>
          <w:p>
            <w:pPr/>
            <w:r>
              <w:rPr/>
              <w:t xml:space="preserve">Indicator 6a: Percentage increase in new earthmoving projects requiring environmental assessment (EA)</w:t>
            </w:r>
          </w:p>
        </w:tc>
        <w:tc>
          <w:tcPr>
            <w:tcW w:w="2000" w:type="dxa"/>
            <w:gridSpan w:val="1"/>
          </w:tcPr>
          <w:p>
            <w:pPr/>
            <w:r>
              <w:rPr/>
              <w:t xml:space="preserve">6a: 7.5% of new earthmoving projects require EA (2016) </w:t>
            </w:r>
          </w:p>
        </w:tc>
        <w:tc>
          <w:tcPr>
            <w:tcW w:w="2000" w:type="dxa"/>
            <w:gridSpan w:val="1"/>
          </w:tcPr>
          <w:p>
            <w:pPr/>
            <w:r>
              <w:rPr/>
              <w:t xml:space="preserve">6a. At least 10%  of new earthmoving projects require EA</w:t>
            </w:r>
          </w:p>
        </w:tc>
        <w:tc>
          <w:tcPr>
            <w:tcW w:w="2000" w:type="dxa"/>
            <w:gridSpan w:val="1"/>
          </w:tcPr>
          <w:p>
            <w:pPr/>
            <w:r>
              <w:rPr/>
              <w:t xml:space="preserve">6a. At least 15% of new earthmoving projects require EA</w:t>
            </w:r>
          </w:p>
        </w:tc>
        <w:tc>
          <w:tcPr>
            <w:tcW w:w="4000" w:type="dxa"/>
            <w:gridSpan w:val="1"/>
          </w:tcPr>
          <w:p>
            <w:pPr/>
            <w:r>
              <w:rPr>
                <w:i w:val="1"/>
                <w:iCs w:val="1"/>
              </w:rPr>
              <w:t xml:space="preserve">(not set or not applicable)</w:t>
            </w:r>
          </w:p>
        </w:tc>
        <w:tc>
          <w:tcPr>
            <w:tcW w:w="4000" w:type="dxa"/>
            <w:gridSpan w:val="1"/>
          </w:tcPr>
          <w:p>
            <w:pPr/>
            <w:r>
              <w:rPr/>
              <w:t xml:space="preserve">This indicator is on track.
</w:t>
            </w:r>
          </w:p>
          <w:p>
            <w:pPr/>
            <w:r>
              <w:rPr/>
              <w:t xml:space="preserve">
</w:t>
            </w:r>
          </w:p>
          <w:p>
            <w:pPr/>
            <w:r>
              <w:rPr/>
              <w:t xml:space="preserve">Although in 2019, 5% of projects required an EA. This is an undesirable trend and the tighter regulations would trigger more EAs. However, many projects were small and thus had less impact.
</w:t>
            </w:r>
          </w:p>
          <w:p>
            <w:pPr/>
            <w:r>
              <w:rPr/>
              <w:t xml:space="preserve">During this reporting period, new and more stringent water quality regulations have been adopted and are already triggering new types of review (e.g. of impacts to buffer zones). Earthmoving regulations and permits are under review and are being updated.
</w:t>
            </w:r>
          </w:p>
          <w:p>
            <w:pPr/>
            <w:r>
              <w:rPr/>
              <w:t xml:space="preserve">
</w:t>
            </w:r>
          </w:p>
          <w:p>
            <w:pPr/>
            <w:r>
              <w:rPr/>
              <w:t xml:space="preserve">This indicator is highly variable due to national and global economic situations and the scheduling of local construction. For instance, even though the number of EAs required decreased (due to the smaller nature of applied permits), the number of safeguards in place increased.  For instance, improved water quality regulations classifies and protects water bodies based on water quality and establishes an “Anti-degradation Policy,” improved microbiological and chemical standards, added an Ammonia (NH3) toxicity standard, and uses better science to set a new Dissolved Oxygen standard. Updated Wastewater Treatment and Disposal Regulations also went into force on 19 October 2019. It set more stringent standards for acceptable standards of fecal coliform, suspended solids, and biological oxygen demand. </w:t>
            </w:r>
          </w:p>
        </w:tc>
      </w:tr>
      <w:tr>
        <w:trPr/>
        <w:tc>
          <w:tcPr>
            <w:tcW w:w="4000" w:type="dxa"/>
            <w:gridSpan w:val="1"/>
          </w:tcPr>
          <w:p>
            <w:pPr/>
            <w:r>
              <w:rPr/>
              <w:t xml:space="preserve">Indicator 6b: Percentage compliance with environmental safeguards for all permitted earthmoving projects that are exempt from EAs</w:t>
            </w:r>
          </w:p>
        </w:tc>
        <w:tc>
          <w:tcPr>
            <w:tcW w:w="2000" w:type="dxa"/>
            <w:gridSpan w:val="1"/>
          </w:tcPr>
          <w:p>
            <w:pPr/>
            <w:r>
              <w:rPr/>
              <w:t xml:space="preserve">6b: 85% of all permitted earthmoving projects that are exempt from EAs comply with prescribed environmental safeguards (2016)  </w:t>
            </w:r>
          </w:p>
        </w:tc>
        <w:tc>
          <w:tcPr>
            <w:tcW w:w="2000" w:type="dxa"/>
            <w:gridSpan w:val="1"/>
          </w:tcPr>
          <w:p>
            <w:pPr/>
            <w:r>
              <w:rPr/>
              <w:t xml:space="preserve">6b: At least 90% of all permitted earthmoving projects that are exempt from EAs comply with prescribed environmental safeguards</w:t>
            </w:r>
          </w:p>
        </w:tc>
        <w:tc>
          <w:tcPr>
            <w:tcW w:w="2000" w:type="dxa"/>
            <w:gridSpan w:val="1"/>
          </w:tcPr>
          <w:p>
            <w:pPr/>
            <w:r>
              <w:rPr/>
              <w:t xml:space="preserve">6b: Full compliance of all permitted earthmoving projects that are exempt from EAs comply with prescribed environmental safeguards</w:t>
            </w:r>
          </w:p>
        </w:tc>
        <w:tc>
          <w:tcPr>
            <w:tcW w:w="4000" w:type="dxa"/>
            <w:gridSpan w:val="1"/>
          </w:tcPr>
          <w:p>
            <w:pPr/>
            <w:r>
              <w:rPr>
                <w:i w:val="1"/>
                <w:iCs w:val="1"/>
              </w:rPr>
              <w:t xml:space="preserve">(not set or not applicable)</w:t>
            </w:r>
          </w:p>
        </w:tc>
        <w:tc>
          <w:tcPr>
            <w:tcW w:w="4000" w:type="dxa"/>
            <w:gridSpan w:val="1"/>
          </w:tcPr>
          <w:p>
            <w:pPr/>
            <w:r>
              <w:rPr/>
              <w:t xml:space="preserve">This indicator is on track.
</w:t>
            </w:r>
          </w:p>
          <w:p>
            <w:pPr/>
            <w:r>
              <w:rPr/>
              <w:t xml:space="preserve">From March 2019 to March 2020, the Compliance rate was 95% (violation rate was 5%). However, this is quite variable and does not represent an improving trend yet. For instance, in the prior year (ending March 2019) the Compliance rate was only 84% (violation rate of 16%). 
</w:t>
            </w:r>
          </w:p>
          <w:p>
            <w:pPr/>
            <w:r>
              <w:rPr/>
              <w:t xml:space="preserve">
</w:t>
            </w:r>
          </w:p>
          <w:p>
            <w:pPr/>
            <w:r>
              <w:rPr/>
              <w:t xml:space="preserve">Recent compliance appears to be very high, but this is again a factor influenced by economic situations. When many projects are small (e.g. increased proportion of homebuilding due to increasing household incomes, housing loan programs, or falling tourist numbers), compliance will be higher. That said, enforcement agencies have made improvements and increased understanding of environmental regulations and impacts has likely contributed to improved compliance. EQPB is systematically updating its regulations, and these are being communicated and mainstreamed into State development plans as they become available, so increasing compliance is expected to continue.
</w:t>
            </w:r>
          </w:p>
          <w:p>
            <w:pPr/>
            <w:r>
              <w:rPr/>
              <w:t xml:space="preserve">
</w:t>
            </w:r>
          </w:p>
          <w:p>
            <w:pPr/>
            <w:r>
              <w:rPr/>
              <w:t xml:space="preserve">A KAP survey is ongoing to assess level of awareness and compliance with land and zoning requirements. Survey results are expected to be ready by September 2020 so that they inform 2021 Annual Work Planning. </w:t>
            </w:r>
          </w:p>
        </w:tc>
      </w:tr>
      <w:tr>
        <w:trPr/>
        <w:tc>
          <w:tcPr>
            <w:tcW w:w="4000" w:type="dxa"/>
            <w:gridSpan w:val="1"/>
          </w:tcPr>
          <w:p>
            <w:pPr/>
            <w:r>
              <w:rPr/>
              <w:t xml:space="preserve">Indicator 7: Comprehensiveness of national level IAS management framework and ability to prevent IAS of high risk to biodiversity from entering Palau, as measured by IAS Tracking Tool</w:t>
            </w:r>
          </w:p>
        </w:tc>
        <w:tc>
          <w:tcPr>
            <w:tcW w:w="2000" w:type="dxa"/>
            <w:gridSpan w:val="1"/>
          </w:tcPr>
          <w:p>
            <w:pPr/>
            <w:r>
              <w:rPr/>
              <w:t xml:space="preserve">IAS Tracking Tool Score of 9 (out of total of 27) due to lack of national coordinating mechanism; no national IAS strategy; detection surveys non-existent; priority pathways not actively managed, etc.</w:t>
            </w:r>
          </w:p>
        </w:tc>
        <w:tc>
          <w:tcPr>
            <w:tcW w:w="2000" w:type="dxa"/>
            <w:gridSpan w:val="1"/>
          </w:tcPr>
          <w:p>
            <w:pPr/>
            <w:r>
              <w:rPr/>
              <w:t xml:space="preserve">Improved policies and legislation for prevention of high risk IAS from entering Palau as measured by 20% increased score in the GEF IAS Tracking Tool (from baseline 9 to 11)</w:t>
            </w:r>
          </w:p>
        </w:tc>
        <w:tc>
          <w:tcPr>
            <w:tcW w:w="2000" w:type="dxa"/>
            <w:gridSpan w:val="1"/>
          </w:tcPr>
          <w:p>
            <w:pPr/>
            <w:r>
              <w:rPr/>
              <w:t xml:space="preserve">Improved surveillance and controls for prevention of high risk IAS from entering Palau as measured by 50% increased score in the GEF IAS Tracking Tool (from baseline 9 to 15)</w:t>
            </w:r>
          </w:p>
        </w:tc>
        <w:tc>
          <w:tcPr>
            <w:tcW w:w="4000" w:type="dxa"/>
            <w:gridSpan w:val="1"/>
          </w:tcPr>
          <w:p>
            <w:pPr/>
            <w:r>
              <w:rPr>
                <w:i w:val="1"/>
                <w:iCs w:val="1"/>
              </w:rPr>
              <w:t xml:space="preserve">(not set or not applicable)</w:t>
            </w:r>
          </w:p>
        </w:tc>
        <w:tc>
          <w:tcPr>
            <w:tcW w:w="4000" w:type="dxa"/>
            <w:gridSpan w:val="1"/>
          </w:tcPr>
          <w:p>
            <w:pPr/>
            <w:r>
              <w:rPr/>
              <w:t xml:space="preserve">This indicator is on track.
</w:t>
            </w:r>
          </w:p>
          <w:p>
            <w:pPr/>
            <w:r>
              <w:rPr/>
              <w:t xml:space="preserve">Slight increase in the Tracking Tool. (This indicator is comprehensive; note there was significant improvement in biosecurity capacity – Indicator 5). IAS Tracking Tool Score of 10 (out of total of 27) due to improvement in management and monitoring of priority pathways (e.g. cargo at the airport and seaport). 
</w:t>
            </w:r>
          </w:p>
          <w:p>
            <w:pPr/>
            <w:r>
              <w:rPr/>
              <w:t xml:space="preserve">
</w:t>
            </w:r>
          </w:p>
          <w:p>
            <w:pPr/>
            <w:r>
              <w:rPr/>
              <w:t xml:space="preserve">The project has made significant progress in strengthening the nationwide IAS framework, although there have been some delays. Investment in personnel – particularly an IAS Project Coordinator and a NISC Coordinator have catalyzed action and improved national coordination. They actively coordinate IAS and Biosecurity actions within MNRET and with key partners as they implement the NISSAP.
</w:t>
            </w:r>
          </w:p>
          <w:p>
            <w:pPr/>
            <w:r>
              <w:rPr/>
              <w:t xml:space="preserve">
</w:t>
            </w:r>
          </w:p>
          <w:p>
            <w:pPr/>
            <w:r>
              <w:rPr/>
              <w:t xml:space="preserve">Capacity to secure the border has increased with the hiring and training of Biosecurity Officers and with improved detection techniques. X-ray equipment has been purchased but awaits installation and training. Delays due to Covid-19, particularly the border closure, are responsible for this delay. Biosecurity Officers, however, continue to screen every incoming vessel at considerable risk to themselves.
</w:t>
            </w:r>
          </w:p>
          <w:p>
            <w:pPr/>
            <w:r>
              <w:rPr/>
              <w:t xml:space="preserve">
</w:t>
            </w:r>
          </w:p>
          <w:p>
            <w:pPr/>
            <w:r>
              <w:rPr/>
              <w:t xml:space="preserve">A key sign of progress is the respect paid to the Biosecurity Officers. During this Covid-19 crisis, Biosecurity Officers have been recognized and feted as Frontline Responders by the public and businesses (winning prizes and being recognized on posters). Recognition of their role in protecting the country is relatively new, given that many of these positions were only created under this project.
</w:t>
            </w:r>
          </w:p>
          <w:p>
            <w:pPr/>
            <w:r>
              <w:rPr/>
              <w:t xml:space="preserve">
</w:t>
            </w:r>
          </w:p>
          <w:p>
            <w:pPr/>
            <w:r>
              <w:rPr/>
              <w:t xml:space="preserve">Mainstreaming of policies has improved, with the establishment of Biodiversity and Biosecurity safeguards and with the development of a Native and Non-Native Plant Policy. These policies are specific to GEF6 funding for the time being, but have wide applicability. Through this mainstreaming efforts, advice provided to communities has already improved (e.g. consistent advice on species and methods).
</w:t>
            </w:r>
          </w:p>
          <w:p>
            <w:pPr/>
            <w:r>
              <w:rPr/>
              <w:t xml:space="preserve">
</w:t>
            </w:r>
          </w:p>
          <w:p>
            <w:pPr/>
            <w:r>
              <w:rPr/>
              <w:t xml:space="preserve">A Black and White list is currently under construction. All prohibited and watch-list plants have been identified. Efforts are now on identifying animals and other pathogens for inclusion on the list.
</w:t>
            </w:r>
          </w:p>
          <w:p>
            <w:pPr/>
            <w:r>
              <w:rPr/>
              <w:t xml:space="preserve">Construction plans for a Biosecurity Office are ready and it is progressing through the Government bidding and procurement process before construction begins. 
</w:t>
            </w:r>
          </w:p>
          <w:p>
            <w:pPr/>
            <w:r>
              <w:rPr/>
              <w:t xml:space="preserve">
</w:t>
            </w:r>
          </w:p>
          <w:p>
            <w:pPr/>
            <w:r>
              <w:rPr/>
              <w:t xml:space="preserve">The project is behind in establishing an EDRR system; delays from the start of the project are now being compounded by delays due to Covid-19.</w:t>
            </w:r>
          </w:p>
        </w:tc>
      </w:tr>
      <w:tr>
        <w:trPr/>
        <w:tc>
          <w:tcPr>
            <w:tcW w:w="7000" w:type="dxa"/>
            <w:gridSpan w:val="2"/>
          </w:tcPr>
          <w:p>
            <w:pPr/>
            <w:r>
              <w:rPr>
                <w:b w:val="1"/>
                <w:bCs w:val="1"/>
              </w:rPr>
              <w:t xml:space="preserve">The progress of the objective can be described as:</w:t>
            </w:r>
          </w:p>
        </w:tc>
        <w:tc>
          <w:tcPr>
            <w:tcW w:w="9000" w:type="dxa"/>
            <w:gridSpan w:val="5"/>
          </w:tcPr>
          <w:p>
            <w:pPr/>
            <w:r>
              <w:rPr>
                <w:b w:val="1"/>
                <w:bCs w:val="1"/>
              </w:rPr>
              <w:t xml:space="preserve">On track</w:t>
            </w:r>
          </w:p>
        </w:tc>
      </w:tr>
      <w:tr>
        <w:trPr/>
        <w:tc>
          <w:tcPr>
            <w:tcW w:w="16000" w:type="dxa"/>
            <w:shd w:val="clear" w:fill="#D9D9D9"/>
            <w:gridSpan w:val="7"/>
          </w:tcPr>
          <w:p>
            <w:pPr/>
            <w:r>
              <w:rPr>
                <w:b w:val="1"/>
                <w:bCs w:val="1"/>
              </w:rPr>
              <w:t xml:space="preserve">Outcome 2</w:t>
            </w:r>
          </w:p>
          <w:p>
            <w:pPr/>
            <w:r>
              <w:rPr>
                <w:b w:val="1"/>
                <w:bCs w:val="1"/>
              </w:rPr>
              <w:t xml:space="preserve">Outcome 2
</w:t>
            </w:r>
          </w:p>
          <w:p>
            <w:pPr/>
            <w:r>
              <w:rPr>
                <w:b w:val="1"/>
                <w:bCs w:val="1"/>
              </w:rPr>
              <w:t xml:space="preserve">Integrated multi-sector land and seascape “Ridge-to-Reef” planning and management operational in Babeldaob states  to reduce threats to biodiversity and improve ecosystem services to benefit communities and state economies
</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2019</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8: Number of hectares of high conservation value ecosystems, including forests, mangroves and marine areas zoned/allocated for non-exhaustive use </w:t>
            </w:r>
          </w:p>
        </w:tc>
        <w:tc>
          <w:tcPr>
            <w:tcW w:w="2000" w:type="dxa"/>
            <w:gridSpan w:val="1"/>
          </w:tcPr>
          <w:p>
            <w:pPr/>
            <w:r>
              <w:rPr/>
              <w:t xml:space="preserve">High Conservation Value Forests  (dispersal corridors, biodiversity rich areas and buffer areas) outside protected area network lack appropriate management regimes</w:t>
            </w:r>
          </w:p>
        </w:tc>
        <w:tc>
          <w:tcPr>
            <w:tcW w:w="2000" w:type="dxa"/>
            <w:gridSpan w:val="1"/>
          </w:tcPr>
          <w:p>
            <w:pPr/>
            <w:r>
              <w:rPr/>
              <w:t xml:space="preserve">High Conservation forests including mangroves and marine areas for non-exhaustive use mapped and at least 2,500 ha, allocated for non-exhaustive use </w:t>
            </w:r>
          </w:p>
        </w:tc>
        <w:tc>
          <w:tcPr>
            <w:tcW w:w="2000" w:type="dxa"/>
            <w:gridSpan w:val="1"/>
          </w:tcPr>
          <w:p>
            <w:pPr/>
            <w:r>
              <w:rPr/>
              <w:t xml:space="preserve">High conservation value forests, (including mangroves and marine areas) allocated for non-exhaustive use of at least 15,500 ha, resulting in total avoided 435,492 tCO2 over 20 years </w:t>
            </w:r>
          </w:p>
        </w:tc>
        <w:tc>
          <w:tcPr>
            <w:tcW w:w="4000" w:type="dxa"/>
            <w:gridSpan w:val="1"/>
          </w:tcPr>
          <w:p>
            <w:pPr/>
            <w:r>
              <w:rPr>
                <w:i w:val="1"/>
                <w:iCs w:val="1"/>
              </w:rPr>
              <w:t xml:space="preserve">(not set or not applicable)</w:t>
            </w:r>
          </w:p>
        </w:tc>
        <w:tc>
          <w:tcPr>
            <w:tcW w:w="4000" w:type="dxa"/>
            <w:gridSpan w:val="1"/>
          </w:tcPr>
          <w:p>
            <w:pPr/>
            <w:r>
              <w:rPr/>
              <w:t xml:space="preserve">This work on this indicator is behind but will be accomplished through mapping as part of the JCB planning process. The schedule includes specific outputs to prioritize and address the needs of high conservation value areas.
</w:t>
            </w:r>
          </w:p>
          <w:p>
            <w:pPr/>
            <w:r>
              <w:rPr/>
              <w:t xml:space="preserve">
</w:t>
            </w:r>
          </w:p>
          <w:p>
            <w:pPr/>
            <w:r>
              <w:rPr/>
              <w:t xml:space="preserve">1,460 hectares of riparian forest that is zoned for non-exhaustive used based on updated EQPB water quality regulations that mandate a 60-foot buffer on either side of streams and rivers. (This is in addition to riparian areas inside protected areas.) 
</w:t>
            </w:r>
          </w:p>
          <w:p>
            <w:pPr/>
            <w:r>
              <w:rPr/>
              <w:t xml:space="preserve">
</w:t>
            </w:r>
          </w:p>
          <w:p>
            <w:pPr/>
            <w:r>
              <w:rPr/>
              <w:t xml:space="preserve">Outside of GEF6 but related to its overall mission of sustainable management, EQPB adopted regulations that mandate protection of a riparian buffer. The GEF6 spatial planning process is mainstreaming these regulations into state planning.</w:t>
            </w:r>
          </w:p>
        </w:tc>
      </w:tr>
      <w:tr>
        <w:trPr/>
        <w:tc>
          <w:tcPr>
            <w:tcW w:w="4000" w:type="dxa"/>
            <w:gridSpan w:val="1"/>
          </w:tcPr>
          <w:p>
            <w:pPr/>
            <w:r>
              <w:rPr/>
              <w:t xml:space="preserve">Indicator 9: Number of hectares of degraded forests and grasslands and coastal and marine areas outside PAN network rehabilitated </w:t>
            </w:r>
          </w:p>
        </w:tc>
        <w:tc>
          <w:tcPr>
            <w:tcW w:w="2000" w:type="dxa"/>
            <w:gridSpan w:val="1"/>
          </w:tcPr>
          <w:p>
            <w:pPr/>
            <w:r>
              <w:rPr/>
              <w:t xml:space="preserve">Over 12,500 hectares of forests, grasslands and coastal and marine ecosystems under continued degradation through overuse</w:t>
            </w:r>
          </w:p>
        </w:tc>
        <w:tc>
          <w:tcPr>
            <w:tcW w:w="2000" w:type="dxa"/>
            <w:gridSpan w:val="1"/>
          </w:tcPr>
          <w:p>
            <w:pPr/>
            <w:r>
              <w:rPr/>
              <w:t xml:space="preserve">At least 100 ha of degraded forests, grasslands and marine ecosystems under restoration through community actions </w:t>
            </w:r>
          </w:p>
        </w:tc>
        <w:tc>
          <w:tcPr>
            <w:tcW w:w="2000" w:type="dxa"/>
            <w:gridSpan w:val="1"/>
          </w:tcPr>
          <w:p>
            <w:pPr/>
            <w:r>
              <w:rPr/>
              <w:t xml:space="preserve">At least 1,000 ha of degraded forests, grasslands and marine ecosystems restored through community actions resulting in total sequestration of 562,133 tCO2  over 20 year period</w:t>
            </w:r>
          </w:p>
        </w:tc>
        <w:tc>
          <w:tcPr>
            <w:tcW w:w="4000" w:type="dxa"/>
            <w:gridSpan w:val="1"/>
          </w:tcPr>
          <w:p>
            <w:pPr/>
            <w:r>
              <w:rPr>
                <w:i w:val="1"/>
                <w:iCs w:val="1"/>
              </w:rPr>
              <w:t xml:space="preserve">(not set or not applicable)</w:t>
            </w:r>
          </w:p>
        </w:tc>
        <w:tc>
          <w:tcPr>
            <w:tcW w:w="4000" w:type="dxa"/>
            <w:gridSpan w:val="1"/>
          </w:tcPr>
          <w:p>
            <w:pPr/>
            <w:r>
              <w:rPr/>
              <w:t xml:space="preserve">The indicator is on track.
</w:t>
            </w:r>
          </w:p>
          <w:p>
            <w:pPr/>
            <w:r>
              <w:rPr/>
              <w:t xml:space="preserve">
</w:t>
            </w:r>
          </w:p>
          <w:p>
            <w:pPr/>
            <w:r>
              <w:rPr/>
              <w:t xml:space="preserve">Community action plans in 4 States that were ready by June 2020 covered 0.9 hectares (9000 square meters). Work to complete actual rehabilitation had not started by the end of June. On the ground restoration work commenced in July 2020 in 2 States.
</w:t>
            </w:r>
          </w:p>
          <w:p>
            <w:pPr/>
            <w:r>
              <w:rPr/>
              <w:t xml:space="preserve">
</w:t>
            </w:r>
          </w:p>
          <w:p>
            <w:pPr/>
            <w:r>
              <w:rPr/>
              <w:t xml:space="preserve">This work is progressing, with 7 partner States on Babeldaob (plus Peleliu in the Southern Lagoon) planning action on the ground to reforest or rehabilitate degraded lands in 2020. To facilitate these community actions, Planning teams are in place and functional, and each Planning Team has a draft or final Restoration Action Plan.
</w:t>
            </w:r>
          </w:p>
          <w:p>
            <w:pPr/>
            <w:r>
              <w:rPr/>
              <w:t xml:space="preserve">
</w:t>
            </w:r>
          </w:p>
          <w:p>
            <w:pPr/>
            <w:r>
              <w:rPr/>
              <w:t xml:space="preserve">The project has provided tools and training to facilitate selection of sites, writing of Action Plans, and use of Best Practices.
</w:t>
            </w:r>
          </w:p>
          <w:p>
            <w:pPr/>
            <w:r>
              <w:rPr/>
              <w:t xml:space="preserve">
</w:t>
            </w:r>
          </w:p>
          <w:p>
            <w:pPr/>
            <w:r>
              <w:rPr/>
              <w:t xml:space="preserve">In addition, the project has compiled existing Best Practices, as well as identifying many new Best Practices that protect biodiversity and provide social safeguards. These BMPs are accessible to the public via a website, have been highlighted in communications to partners, and have been discussed in person via technical support. The project has guided the State Planning Teams to identify the needed support or to select the most appropriate BMPs, while at the same time enabling community input. 
</w:t>
            </w:r>
          </w:p>
          <w:p>
            <w:pPr/>
            <w:r>
              <w:rPr/>
              <w:t xml:space="preserve">
</w:t>
            </w:r>
          </w:p>
          <w:p>
            <w:pPr/>
            <w:r>
              <w:rPr/>
              <w:t xml:space="preserve">When States first began drafting Action Plans they sought technical advice from a variety of government, NGO, online, and community sources, and some plans included introduced plants.  After identifying sources  of information, the project worked to improve input into State plans so that restoration plans mainstream national policies and Best Practices. Now the project and its partners – MNRET, BOA, BD – cite the same Native and Non-Native Plant policy when recommending which plants to use or which methods to use when rehabilitating land. The EPU actively guided States towards using native plants.</w:t>
            </w:r>
          </w:p>
        </w:tc>
      </w:tr>
      <w:tr>
        <w:trPr/>
        <w:tc>
          <w:tcPr>
            <w:tcW w:w="4000" w:type="dxa"/>
            <w:gridSpan w:val="1"/>
          </w:tcPr>
          <w:p>
            <w:pPr/>
            <w:r>
              <w:rPr/>
              <w:t xml:space="preserve">Indicator 10: Change in status of populations of Micronesian Imperial Pigeon and Palauan Fruit Dove</w:t>
            </w:r>
          </w:p>
        </w:tc>
        <w:tc>
          <w:tcPr>
            <w:tcW w:w="2000" w:type="dxa"/>
            <w:gridSpan w:val="1"/>
          </w:tcPr>
          <w:p>
            <w:pPr/>
            <w:r>
              <w:rPr/>
              <w:t xml:space="preserve">Declining populations of Micronesian Imperial Pigeon and Palaaun Fruit Dove with baseline of 3,000 and 1,600 individuals respectively (2014) </w:t>
            </w:r>
          </w:p>
        </w:tc>
        <w:tc>
          <w:tcPr>
            <w:tcW w:w="2000" w:type="dxa"/>
            <w:gridSpan w:val="1"/>
          </w:tcPr>
          <w:p>
            <w:pPr/>
            <w:r>
              <w:rPr/>
              <w:t xml:space="preserve">Maintained populations of Micronesian Imperial Pigeon and Palauan Fruit Dove from current baselines</w:t>
            </w:r>
          </w:p>
        </w:tc>
        <w:tc>
          <w:tcPr>
            <w:tcW w:w="2000" w:type="dxa"/>
            <w:gridSpan w:val="1"/>
          </w:tcPr>
          <w:p>
            <w:pPr/>
            <w:r>
              <w:rPr/>
              <w:t xml:space="preserve">Maintained or improved populations of Micronesian Imperial Pigeon and Palaaun Fruit Dove from current baselines </w:t>
            </w:r>
          </w:p>
        </w:tc>
        <w:tc>
          <w:tcPr>
            <w:tcW w:w="4000" w:type="dxa"/>
            <w:gridSpan w:val="1"/>
          </w:tcPr>
          <w:p>
            <w:pPr/>
            <w:r>
              <w:rPr>
                <w:i w:val="1"/>
                <w:iCs w:val="1"/>
              </w:rPr>
              <w:t xml:space="preserve">(not set or not applicable)</w:t>
            </w:r>
          </w:p>
        </w:tc>
        <w:tc>
          <w:tcPr>
            <w:tcW w:w="4000" w:type="dxa"/>
            <w:gridSpan w:val="1"/>
          </w:tcPr>
          <w:p>
            <w:pPr/>
            <w:r>
              <w:rPr/>
              <w:t xml:space="preserve">This indicator measures an end output of the project and thus it is too early in the project to see any changes. 
</w:t>
            </w:r>
          </w:p>
          <w:p>
            <w:pPr/>
            <w:r>
              <w:rPr/>
              <w:t xml:space="preserve">
</w:t>
            </w:r>
          </w:p>
          <w:p>
            <w:pPr/>
            <w:r>
              <w:rPr/>
              <w:t xml:space="preserve">Evidence of stable or increasing populations for both species. 2020 (data through 2019 from SOE): 
</w:t>
            </w:r>
          </w:p>
          <w:p>
            <w:pPr/>
            <w:r>
              <w:rPr/>
              <w:t xml:space="preserve">--Pigeons: Possible evidence of a slight population recovery within the Ngeremeskang Bird Sanctuary (draft 2019 State of the Birds report). 
</w:t>
            </w:r>
          </w:p>
          <w:p>
            <w:pPr/>
            <w:r>
              <w:rPr/>
              <w:t xml:space="preserve">--Doves: Highest recorded mean number of Doves at Long Island in Koror - also evidence of stable or increasing populations (2018 State of the Birds Report).
</w:t>
            </w:r>
          </w:p>
          <w:p>
            <w:pPr/>
            <w:r>
              <w:rPr/>
              <w:t xml:space="preserve">
</w:t>
            </w:r>
          </w:p>
          <w:p>
            <w:pPr/>
            <w:r>
              <w:rPr/>
              <w:t xml:space="preserve">Monitoring programs are in place and data on the indicator is being collected regularly. The project encouraged analysis and presentation of the data in such a way that it could be compared over time. The very process of analyzing these indicators has identified sources of data and provided a more streamlined process for feeding science into policymaking.
</w:t>
            </w:r>
          </w:p>
          <w:p>
            <w:pPr/>
            <w:r>
              <w:rPr/>
              <w:t xml:space="preserve">
</w:t>
            </w:r>
          </w:p>
          <w:p>
            <w:pPr/>
            <w:r>
              <w:rPr/>
              <w:t xml:space="preserve">State restoration plans require both process and outcome indicators. By learning to use these templates, State Planning Teams are becoming better versed in Results-Based Management and the utility of indicators. </w:t>
            </w:r>
          </w:p>
        </w:tc>
      </w:tr>
      <w:tr>
        <w:trPr/>
        <w:tc>
          <w:tcPr>
            <w:tcW w:w="4000" w:type="dxa"/>
            <w:gridSpan w:val="1"/>
          </w:tcPr>
          <w:p>
            <w:pPr/>
            <w:r>
              <w:rPr/>
              <w:t xml:space="preserve">Indicator 11:  Extent of community-based land, forest, coastal and marine management regimes applied, including resultant changes in community incomes from current levels</w:t>
            </w:r>
          </w:p>
        </w:tc>
        <w:tc>
          <w:tcPr>
            <w:tcW w:w="2000" w:type="dxa"/>
            <w:gridSpan w:val="1"/>
          </w:tcPr>
          <w:p>
            <w:pPr/>
            <w:r>
              <w:rPr/>
              <w:t xml:space="preserve">Current extent of area under community land, forest, coastal and marine management regimes in target project states (to be determined in Year 1) </w:t>
            </w:r>
          </w:p>
        </w:tc>
        <w:tc>
          <w:tcPr>
            <w:tcW w:w="2000" w:type="dxa"/>
            <w:gridSpan w:val="1"/>
          </w:tcPr>
          <w:p>
            <w:pPr/>
            <w:r>
              <w:rPr/>
              <w:t xml:space="preserve">Areas for community-based management totaling at least 500 ha identified and agreed through a consensus building process, as part of the community-based planning process.</w:t>
            </w:r>
          </w:p>
        </w:tc>
        <w:tc>
          <w:tcPr>
            <w:tcW w:w="2000" w:type="dxa"/>
            <w:gridSpan w:val="1"/>
          </w:tcPr>
          <w:p>
            <w:pPr/>
            <w:r>
              <w:rPr/>
              <w:t xml:space="preserve">Community-based land, forest, coastal and marine management regimes applied in at least 500 ha of additional areas, resulting in sequestration of 460,681 tCO2eq over 20-year period and in 25% increase in community incomes from current levels, of which at least 50% of beneficiaries are women.</w:t>
            </w:r>
          </w:p>
        </w:tc>
        <w:tc>
          <w:tcPr>
            <w:tcW w:w="4000" w:type="dxa"/>
            <w:gridSpan w:val="1"/>
          </w:tcPr>
          <w:p>
            <w:pPr/>
            <w:r>
              <w:rPr>
                <w:i w:val="1"/>
                <w:iCs w:val="1"/>
              </w:rPr>
              <w:t xml:space="preserve">(not set or not applicable)</w:t>
            </w:r>
          </w:p>
        </w:tc>
        <w:tc>
          <w:tcPr>
            <w:tcW w:w="4000" w:type="dxa"/>
            <w:gridSpan w:val="1"/>
          </w:tcPr>
          <w:p>
            <w:pPr/>
            <w:r>
              <w:rPr/>
              <w:t xml:space="preserve">The baseline will be set during the JCB Spatial mapping process, with a baseline set by October 2020.
</w:t>
            </w:r>
          </w:p>
          <w:p>
            <w:pPr/>
            <w:r>
              <w:rPr/>
              <w:t xml:space="preserve">
</w:t>
            </w:r>
          </w:p>
          <w:p>
            <w:pPr/>
            <w:r>
              <w:rPr/>
              <w:t xml:space="preserve">States have identified small areas to begin community management. Action on the ground has not yet started, and thus it is too early to judge changes to income or carbon.</w:t>
            </w:r>
          </w:p>
        </w:tc>
      </w:tr>
      <w:tr>
        <w:trPr/>
        <w:tc>
          <w:tcPr>
            <w:tcW w:w="7000" w:type="dxa"/>
            <w:gridSpan w:val="2"/>
          </w:tcPr>
          <w:p>
            <w:pPr/>
            <w:r>
              <w:rPr>
                <w:b w:val="1"/>
                <w:bCs w:val="1"/>
              </w:rPr>
              <w:t xml:space="preserve">The progress of the objective can be described as:</w:t>
            </w:r>
          </w:p>
        </w:tc>
        <w:tc>
          <w:tcPr>
            <w:tcW w:w="9000" w:type="dxa"/>
            <w:gridSpan w:val="5"/>
          </w:tcPr>
          <w:p>
            <w:pPr/>
            <w:r>
              <w:rPr>
                <w:b w:val="1"/>
                <w:bCs w:val="1"/>
              </w:rPr>
              <w:t xml:space="preserve">On track</w:t>
            </w:r>
          </w:p>
        </w:tc>
      </w:tr>
      <w:tr>
        <w:trPr/>
        <w:tc>
          <w:tcPr>
            <w:tcW w:w="16000" w:type="dxa"/>
            <w:shd w:val="clear" w:fill="#D9D9D9"/>
            <w:gridSpan w:val="7"/>
          </w:tcPr>
          <w:p>
            <w:pPr/>
            <w:r>
              <w:rPr>
                <w:b w:val="1"/>
                <w:bCs w:val="1"/>
              </w:rPr>
              <w:t xml:space="preserve">Outcome 3</w:t>
            </w:r>
          </w:p>
          <w:p>
            <w:pPr/>
            <w:r>
              <w:rPr>
                <w:b w:val="1"/>
                <w:bCs w:val="1"/>
              </w:rPr>
              <w:t xml:space="preserve">Outcome 3
</w:t>
            </w:r>
          </w:p>
          <w:p>
            <w:pPr/>
            <w:r>
              <w:rPr>
                <w:b w:val="1"/>
                <w:bCs w:val="1"/>
              </w:rPr>
              <w:t xml:space="preserve">Integrated multi-sector planning and management operational in 264,686 ha of seascapes and coastal areas  in the Southern Lagoon to reduce threats to biodiversity and improve ecosystem services to benefit communities and state economies</w:t>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2019</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12: Change in status of fish stocks in designated reef and sea grass areas based on biomass indices</w:t>
            </w:r>
          </w:p>
        </w:tc>
        <w:tc>
          <w:tcPr>
            <w:tcW w:w="2000" w:type="dxa"/>
            <w:gridSpan w:val="1"/>
          </w:tcPr>
          <w:p>
            <w:pPr/>
            <w:r>
              <w:rPr/>
              <w:t xml:space="preserve">Protected exposed reefs (outer reefs and channels) of 714kg/ha (with unprotected exposed reefs having 63% of this figure compared with MPAs) and 258kg/ha in protected inner reefs (black reefs and patch reefs/reef flats) with unprotected reefs having 57% of this figure compared with MPAs</w:t>
            </w:r>
          </w:p>
        </w:tc>
        <w:tc>
          <w:tcPr>
            <w:tcW w:w="2000" w:type="dxa"/>
            <w:gridSpan w:val="1"/>
          </w:tcPr>
          <w:p>
            <w:pPr/>
            <w:r>
              <w:rPr/>
              <w:t xml:space="preserve">Maintained fish stocks in designated zones from existing baselines in unprotected exposed outer and inner reefs </w:t>
            </w:r>
          </w:p>
        </w:tc>
        <w:tc>
          <w:tcPr>
            <w:tcW w:w="2000" w:type="dxa"/>
            <w:gridSpan w:val="1"/>
          </w:tcPr>
          <w:p>
            <w:pPr/>
            <w:r>
              <w:rPr/>
              <w:t xml:space="preserve">Maintained or improved fish stocks in designated zones from existing baselines in unprotected exposed outer and inner reefs</w:t>
            </w:r>
          </w:p>
        </w:tc>
        <w:tc>
          <w:tcPr>
            <w:tcW w:w="4000" w:type="dxa"/>
            <w:gridSpan w:val="1"/>
          </w:tcPr>
          <w:p>
            <w:pPr/>
            <w:r>
              <w:rPr>
                <w:i w:val="1"/>
                <w:iCs w:val="1"/>
              </w:rPr>
              <w:t xml:space="preserve">(not set or not applicable)</w:t>
            </w:r>
          </w:p>
        </w:tc>
        <w:tc>
          <w:tcPr>
            <w:tcW w:w="4000" w:type="dxa"/>
            <w:gridSpan w:val="1"/>
          </w:tcPr>
          <w:p>
            <w:pPr/>
            <w:r>
              <w:rPr/>
              <w:t xml:space="preserve">Action on this indicator is progressing slowly, with assessments and planning for the Southern Lagoon. 
</w:t>
            </w:r>
          </w:p>
          <w:p>
            <w:pPr/>
            <w:r>
              <w:rPr/>
              <w:t xml:space="preserve">
</w:t>
            </w:r>
          </w:p>
          <w:p>
            <w:pPr/>
            <w:r>
              <w:rPr/>
              <w:t xml:space="preserve">Awareness of reduced fish stocks has increased and there is growing support for additional management of coastal fisheries. Much of that effort is being directed at the PNMS – shifting fishing pressure to offshore fisheries. MPAs remain a focus within PAN, but are receiving less attention than before. Messaging must be carefully balanced – with “food security” being a more successful message than “biodiversity conservation” – particularly now during the Covid-19 economic downturn.
</w:t>
            </w:r>
          </w:p>
          <w:p>
            <w:pPr/>
            <w:r>
              <w:rPr/>
              <w:t xml:space="preserve">
</w:t>
            </w:r>
          </w:p>
          <w:p>
            <w:pPr/>
            <w:r>
              <w:rPr/>
              <w:t xml:space="preserve">A Koror State Planning Team has been formed and has begun a collaborative review of a new Rock Island Management Plan. Given the complicated political and Covid-influenced economic situation in Koror State, having a functioning State Planning Team is an achievement. Koror State is facing a significant budget shortfall due to the border closure and crash of tourism due to Covid-19. Engagement with Koror State must be done carefully and with sensitivity to livelihoods, and thus is progressing very slowly. So far the planning team has approved goals that include better management of fisheries and reefs. 
</w:t>
            </w:r>
          </w:p>
          <w:p>
            <w:pPr/>
            <w:r>
              <w:rPr/>
              <w:t xml:space="preserve">
</w:t>
            </w:r>
          </w:p>
          <w:p>
            <w:pPr/>
            <w:r>
              <w:rPr/>
              <w:t xml:space="preserve">There is a risk that loss of income due to Covid-19 will drive unsustainable fishing in Koror waters. The loss of tourism income is negatively impacting the ability of the Department of Conservation and Law Enforcement – particularly the Rangers – to monitor and enforce
</w:t>
            </w:r>
          </w:p>
          <w:p>
            <w:pPr/>
            <w:r>
              <w:rPr/>
              <w:t xml:space="preserve">Progress in establishing a Southern Lagoon JCB has also been similarly slow. Bylaws and SOPs have been created and approved, but the membership has not been approved by the Koror Governor. Thus, coordinated efforts by Koror and Peleliu to plan for fish stocks in the Southern Lagoon has not begun. 
</w:t>
            </w:r>
          </w:p>
          <w:p>
            <w:pPr/>
            <w:r>
              <w:rPr/>
              <w:t xml:space="preserve">
</w:t>
            </w:r>
          </w:p>
          <w:p>
            <w:pPr/>
            <w:r>
              <w:rPr/>
              <w:t xml:space="preserve">Given the ongoing shifts in focus, as well as delays and changing needs due to Covid-19, it may become necessary to adapt the project activities under this Outcome.</w:t>
            </w:r>
          </w:p>
        </w:tc>
      </w:tr>
      <w:tr>
        <w:trPr/>
        <w:tc>
          <w:tcPr>
            <w:tcW w:w="4000" w:type="dxa"/>
            <w:gridSpan w:val="1"/>
          </w:tcPr>
          <w:p>
            <w:pPr/>
            <w:r>
              <w:rPr/>
              <w:t xml:space="preserve">Indicator 13: Change in status of coral cover at designated sites </w:t>
            </w:r>
          </w:p>
        </w:tc>
        <w:tc>
          <w:tcPr>
            <w:tcW w:w="2000" w:type="dxa"/>
            <w:gridSpan w:val="1"/>
          </w:tcPr>
          <w:p>
            <w:pPr/>
            <w:r>
              <w:rPr/>
              <w:t xml:space="preserve">27% of reefs have “medium” coral cover (25-50% cover), while 13% of reefs have “low” coral cover (</w:t>
            </w:r>
          </w:p>
        </w:tc>
        <w:tc>
          <w:tcPr>
            <w:tcW w:w="2000" w:type="dxa"/>
            <w:gridSpan w:val="1"/>
          </w:tcPr>
          <w:p>
            <w:pPr/>
            <w:r>
              <w:rPr/>
              <w:t xml:space="preserve">Maintained percentage coral cover at designated sites from existing baseline</w:t>
            </w:r>
          </w:p>
        </w:tc>
        <w:tc>
          <w:tcPr>
            <w:tcW w:w="2000" w:type="dxa"/>
            <w:gridSpan w:val="1"/>
          </w:tcPr>
          <w:p>
            <w:pPr/>
            <w:r>
              <w:rPr/>
              <w:t xml:space="preserve">Maintained or increased percentage coral cover at designated sites from existing baseline </w:t>
            </w:r>
          </w:p>
        </w:tc>
        <w:tc>
          <w:tcPr>
            <w:tcW w:w="4000" w:type="dxa"/>
            <w:gridSpan w:val="1"/>
          </w:tcPr>
          <w:p>
            <w:pPr/>
            <w:r>
              <w:rPr>
                <w:i w:val="1"/>
                <w:iCs w:val="1"/>
              </w:rPr>
              <w:t xml:space="preserve">(not set or not applicable)</w:t>
            </w:r>
          </w:p>
        </w:tc>
        <w:tc>
          <w:tcPr>
            <w:tcW w:w="4000" w:type="dxa"/>
            <w:gridSpan w:val="1"/>
          </w:tcPr>
          <w:p>
            <w:pPr/>
            <w:r>
              <w:rPr/>
              <w:t xml:space="preserve">Action on this indicator is progressing slowly. Similar to Indicator 12, shifts in needs and attention may require adaption by the project.
</w:t>
            </w:r>
          </w:p>
          <w:p>
            <w:pPr/>
            <w:r>
              <w:rPr/>
              <w:t xml:space="preserve">
</w:t>
            </w:r>
          </w:p>
          <w:p>
            <w:pPr/>
            <w:r>
              <w:rPr/>
              <w:t xml:space="preserve">Identification of High Value sites – including reef sites – is included in the work plan for the Babeldaob JCB and mapping of High Value sites will occur through both the Babeldaob and Southern Lagoon JCB processes. JCB Bylaws and SOPs, as well as the plans, including identifying and designating conservation zones. Again, messaging must proceed carefully, with less discussion of “biodiversity” and more discussion of “sustainable use” given the worsening economic situation.
</w:t>
            </w:r>
          </w:p>
          <w:p>
            <w:pPr/>
            <w:r>
              <w:rPr/>
              <w:t xml:space="preserve">
</w:t>
            </w:r>
          </w:p>
          <w:p>
            <w:pPr/>
            <w:r>
              <w:rPr/>
              <w:t xml:space="preserve">The Covid-19 situation may actually enable a rebound in coral health in tourist sites, although it is too early to know for sure.</w:t>
            </w:r>
          </w:p>
        </w:tc>
      </w:tr>
      <w:tr>
        <w:trPr/>
        <w:tc>
          <w:tcPr>
            <w:tcW w:w="4000" w:type="dxa"/>
            <w:gridSpan w:val="1"/>
          </w:tcPr>
          <w:p>
            <w:pPr/>
            <w:r>
              <w:rPr/>
              <w:t xml:space="preserve">Indicator 14: Change in nesting success rates (number of nests, number of eggs, hatchlings and survival rates) for Micronesian megapodes in selected sites previously occupied by rats </w:t>
            </w:r>
          </w:p>
        </w:tc>
        <w:tc>
          <w:tcPr>
            <w:tcW w:w="2000" w:type="dxa"/>
            <w:gridSpan w:val="1"/>
          </w:tcPr>
          <w:p>
            <w:pPr/>
            <w:r>
              <w:rPr/>
              <w:t xml:space="preserve">Current status of Micronesian megapodes nesting success in selected islands established in Year 1</w:t>
            </w:r>
          </w:p>
        </w:tc>
        <w:tc>
          <w:tcPr>
            <w:tcW w:w="2000" w:type="dxa"/>
            <w:gridSpan w:val="1"/>
          </w:tcPr>
          <w:p>
            <w:pPr/>
            <w:r>
              <w:rPr/>
              <w:t xml:space="preserve">Maintained population of Micronesian megapodes from selected sites previously occupied by rats from current baseline values</w:t>
            </w:r>
          </w:p>
        </w:tc>
        <w:tc>
          <w:tcPr>
            <w:tcW w:w="2000" w:type="dxa"/>
            <w:gridSpan w:val="1"/>
          </w:tcPr>
          <w:p>
            <w:pPr/>
            <w:r>
              <w:rPr/>
              <w:t xml:space="preserve">Increased nesting success rates of Micronesian megapodes from selected sites previously occupied by rats from current baseline values </w:t>
            </w:r>
          </w:p>
        </w:tc>
        <w:tc>
          <w:tcPr>
            <w:tcW w:w="4000" w:type="dxa"/>
            <w:gridSpan w:val="1"/>
          </w:tcPr>
          <w:p>
            <w:pPr/>
            <w:r>
              <w:rPr>
                <w:i w:val="1"/>
                <w:iCs w:val="1"/>
              </w:rPr>
              <w:t xml:space="preserve">(not set or not applicable)</w:t>
            </w:r>
          </w:p>
        </w:tc>
        <w:tc>
          <w:tcPr>
            <w:tcW w:w="4000" w:type="dxa"/>
            <w:gridSpan w:val="1"/>
          </w:tcPr>
          <w:p>
            <w:pPr/>
            <w:r>
              <w:rPr/>
              <w:t xml:space="preserve">The baseline for this indicator has been set at 15 total nests: 9 active and 6 inactive (December 2018). 
</w:t>
            </w:r>
          </w:p>
          <w:p>
            <w:pPr/>
            <w:r>
              <w:rPr/>
              <w:t xml:space="preserve">
</w:t>
            </w:r>
          </w:p>
          <w:p>
            <w:pPr/>
            <w:r>
              <w:rPr/>
              <w:t xml:space="preserve">Action on this indicator is progressing slowly. Biosecurity in general has been included in a revised management plan for Koror’s Rock Islands; the Project is facilitating a review of this draft and will ensure that biosecurity measures include this site.</w:t>
            </w:r>
          </w:p>
        </w:tc>
      </w:tr>
      <w:tr>
        <w:trPr/>
        <w:tc>
          <w:tcPr>
            <w:tcW w:w="7000" w:type="dxa"/>
            <w:gridSpan w:val="2"/>
          </w:tcPr>
          <w:p>
            <w:pPr/>
            <w:r>
              <w:rPr>
                <w:b w:val="1"/>
                <w:bCs w:val="1"/>
              </w:rPr>
              <w:t xml:space="preserve">The progress of the objective can be described as:</w:t>
            </w:r>
          </w:p>
        </w:tc>
        <w:tc>
          <w:tcPr>
            <w:tcW w:w="9000" w:type="dxa"/>
            <w:gridSpan w:val="5"/>
          </w:tcPr>
          <w:p>
            <w:pPr/>
            <w:r>
              <w:rPr>
                <w:b w:val="1"/>
                <w:bCs w:val="1"/>
              </w:rPr>
              <w:t xml:space="preserve">Off track</w:t>
            </w:r>
          </w:p>
        </w:tc>
      </w:tr>
      <w:tr>
        <w:trPr/>
        <w:tc>
          <w:tcPr>
            <w:tcW w:w="16000" w:type="dxa"/>
            <w:shd w:val="clear" w:fill="#D9D9D9"/>
            <w:gridSpan w:val="7"/>
          </w:tcPr>
          <w:p>
            <w:pPr/>
            <w:r>
              <w:rPr>
                <w:b w:val="1"/>
                <w:bCs w:val="1"/>
              </w:rPr>
              <w:t xml:space="preserve">Outcome 4</w:t>
            </w:r>
          </w:p>
          <w:p>
            <w:pPr/>
            <w:r>
              <w:rPr>
                <w:b w:val="1"/>
                <w:bCs w:val="1"/>
              </w:rPr>
              <w:t xml:space="preserve">Outcome 4
</w:t>
            </w:r>
          </w:p>
          <w:p>
            <w:pPr/>
            <w:r>
              <w:rPr>
                <w:b w:val="1"/>
                <w:bCs w:val="1"/>
              </w:rPr>
              <w:t xml:space="preserve">Knowledge management, monitoring and evaluation support, equitable gender benefits and biodiversity conservation in Palau
</w:t>
            </w:r>
          </w:p>
          <w:p>
            <w:pPr/>
            <w:r>
              <w:rPr>
                <w:b w:val="1"/>
                <w:bCs w:val="1"/>
              </w:rPr>
              <w:t xml:space="preserve"/>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30 June 2019</w:t>
            </w:r>
          </w:p>
        </w:tc>
        <w:tc>
          <w:tcPr>
            <w:tcW w:w="4000" w:type="dxa"/>
            <w:gridSpan w:val="1"/>
          </w:tcPr>
          <w:p>
            <w:pPr/>
            <w:r>
              <w:rPr>
                <w:b w:val="1"/>
                <w:bCs w:val="1"/>
              </w:rPr>
              <w:t xml:space="preserve">Cumulative progress since project start</w:t>
            </w:r>
          </w:p>
        </w:tc>
      </w:tr>
      <w:tr>
        <w:trPr/>
        <w:tc>
          <w:tcPr>
            <w:tcW w:w="4000" w:type="dxa"/>
            <w:gridSpan w:val="1"/>
          </w:tcPr>
          <w:p>
            <w:pPr/>
            <w:r>
              <w:rPr/>
              <w:t xml:space="preserve">Indicator 15: Increase in percentage of sampled community members, tour operators and sector agency staff aware of potential conservation threats and adverse impacts of IAS</w:t>
            </w:r>
          </w:p>
        </w:tc>
        <w:tc>
          <w:tcPr>
            <w:tcW w:w="2000" w:type="dxa"/>
            <w:gridSpan w:val="1"/>
          </w:tcPr>
          <w:p>
            <w:pPr/>
            <w:r>
              <w:rPr/>
              <w:t xml:space="preserve">Coordinated outreach on conservation threats and biosecurity lacking. Limited awareness of impact IAS among general public. Baseline survey established in Year 1</w:t>
            </w:r>
          </w:p>
        </w:tc>
        <w:tc>
          <w:tcPr>
            <w:tcW w:w="2000" w:type="dxa"/>
            <w:gridSpan w:val="1"/>
          </w:tcPr>
          <w:p>
            <w:pPr/>
            <w:r>
              <w:rPr/>
              <w:t xml:space="preserve">At least 5% of sampled community members and 20% of, tour operators and sector agency staff aware of potential conservation threats and adverse impacts of IAS</w:t>
            </w:r>
          </w:p>
        </w:tc>
        <w:tc>
          <w:tcPr>
            <w:tcW w:w="2000" w:type="dxa"/>
            <w:gridSpan w:val="1"/>
          </w:tcPr>
          <w:p>
            <w:pPr/>
            <w:r>
              <w:rPr/>
              <w:t xml:space="preserve">At least 25% of sampled community members and 75% of tour operators and sector agency staff aware of potential conservation threats and adverse impacts of IAS with equitable knowledge among genders and social groups of which at least 50% are women.</w:t>
            </w:r>
          </w:p>
        </w:tc>
        <w:tc>
          <w:tcPr>
            <w:tcW w:w="4000" w:type="dxa"/>
            <w:gridSpan w:val="1"/>
          </w:tcPr>
          <w:p>
            <w:pPr/>
            <w:r>
              <w:rPr>
                <w:i w:val="1"/>
                <w:iCs w:val="1"/>
              </w:rPr>
              <w:t xml:space="preserve">(not set or not applicable)</w:t>
            </w:r>
          </w:p>
        </w:tc>
        <w:tc>
          <w:tcPr>
            <w:tcW w:w="4000" w:type="dxa"/>
            <w:gridSpan w:val="1"/>
          </w:tcPr>
          <w:p>
            <w:pPr/>
            <w:r>
              <w:rPr/>
              <w:t xml:space="preserve">The baseline for this indicator has not yet been finalized, but is expected by September 2020. 
</w:t>
            </w:r>
          </w:p>
          <w:p>
            <w:pPr/>
            <w:r>
              <w:rPr/>
              <w:t xml:space="preserve">
</w:t>
            </w:r>
          </w:p>
          <w:p>
            <w:pPr/>
            <w:r>
              <w:rPr/>
              <w:t xml:space="preserve">A KAP Survey was designed, tested, and is ongoing, but enough data has not yet been collected to establish a baseline. This KAP Survey process is behind, but is making progress.
</w:t>
            </w:r>
          </w:p>
          <w:p>
            <w:pPr/>
            <w:r>
              <w:rPr/>
              <w:t xml:space="preserve">
</w:t>
            </w:r>
          </w:p>
          <w:p>
            <w:pPr/>
            <w:r>
              <w:rPr/>
              <w:t xml:space="preserve">Other than establish a baseline, action on this indicator is not scheduled until later in the project.
</w:t>
            </w:r>
          </w:p>
          <w:p>
            <w:pPr/>
            <w:r>
              <w:rPr/>
              <w:t xml:space="preserve">Awareness of IAS and Biosecurity is increasing within specific target audiences – State Planning Teams – as they have become familiar with IAS and Restoration Best Practices, including best practices for native and non-native plants.
</w:t>
            </w:r>
          </w:p>
          <w:p>
            <w:pPr/>
            <w:r>
              <w:rPr/>
              <w:t xml:space="preserve">Because of delays with the National IAS Framework (Outcome 1, Indicator 7) progress on this indicator will likely be delayed as well. However, the project has already adapted yearly work plans to accommodate this delay.
</w:t>
            </w:r>
          </w:p>
          <w:p>
            <w:pPr/>
            <w:r>
              <w:rPr/>
              <w:t xml:space="preserve">
</w:t>
            </w:r>
          </w:p>
          <w:p>
            <w:pPr/>
            <w:r>
              <w:rPr/>
              <w:t xml:space="preserve">Gender mainstreaming in the establishment of Planning Teams has increased the number of women participating in activities, thus ensuring growth in women’s awareness and capacity.</w:t>
            </w:r>
          </w:p>
        </w:tc>
      </w:tr>
      <w:tr>
        <w:trPr/>
        <w:tc>
          <w:tcPr>
            <w:tcW w:w="4000" w:type="dxa"/>
            <w:gridSpan w:val="1"/>
          </w:tcPr>
          <w:p>
            <w:pPr/>
            <w:r>
              <w:rPr/>
              <w:t xml:space="preserve">Indicator 16: Percentage of fifth-grade students received updated “ridge to reef” curriculum, including IAS</w:t>
            </w:r>
          </w:p>
        </w:tc>
        <w:tc>
          <w:tcPr>
            <w:tcW w:w="2000" w:type="dxa"/>
            <w:gridSpan w:val="1"/>
          </w:tcPr>
          <w:p>
            <w:pPr/>
            <w:r>
              <w:rPr/>
              <w:t xml:space="preserve">Fifth-grade curriculum lacks emphasis on integrated landscape and seascape planning and threats of IAS</w:t>
            </w:r>
          </w:p>
        </w:tc>
        <w:tc>
          <w:tcPr>
            <w:tcW w:w="2000" w:type="dxa"/>
            <w:gridSpan w:val="1"/>
          </w:tcPr>
          <w:p>
            <w:pPr/>
            <w:r>
              <w:rPr/>
              <w:t xml:space="preserve">Curriculum updated to include biosecurity and IAS</w:t>
            </w:r>
          </w:p>
        </w:tc>
        <w:tc>
          <w:tcPr>
            <w:tcW w:w="2000" w:type="dxa"/>
            <w:gridSpan w:val="1"/>
          </w:tcPr>
          <w:p>
            <w:pPr/>
            <w:r>
              <w:rPr/>
              <w:t xml:space="preserve">At least 90% of fifth-grade students received updated “ridge to reef” curriculum, including IAS of which 50% are females</w:t>
            </w:r>
          </w:p>
        </w:tc>
        <w:tc>
          <w:tcPr>
            <w:tcW w:w="4000" w:type="dxa"/>
            <w:gridSpan w:val="1"/>
          </w:tcPr>
          <w:p>
            <w:pPr/>
            <w:r>
              <w:rPr>
                <w:i w:val="1"/>
                <w:iCs w:val="1"/>
              </w:rPr>
              <w:t xml:space="preserve">(not set or not applicable)</w:t>
            </w:r>
          </w:p>
        </w:tc>
        <w:tc>
          <w:tcPr>
            <w:tcW w:w="4000" w:type="dxa"/>
            <w:gridSpan w:val="1"/>
          </w:tcPr>
          <w:p>
            <w:pPr/>
            <w:r>
              <w:rPr/>
              <w:t xml:space="preserve">Same as baseline.
</w:t>
            </w:r>
          </w:p>
          <w:p>
            <w:pPr/>
            <w:r>
              <w:rPr/>
              <w:t xml:space="preserve">
</w:t>
            </w:r>
          </w:p>
          <w:p>
            <w:pPr/>
            <w:r>
              <w:rPr/>
              <w:t xml:space="preserve">Action on this indicator is scheduled for later years.</w:t>
            </w:r>
          </w:p>
        </w:tc>
      </w:tr>
      <w:tr>
        <w:trPr/>
        <w:tc>
          <w:tcPr>
            <w:tcW w:w="4000" w:type="dxa"/>
            <w:gridSpan w:val="1"/>
          </w:tcPr>
          <w:p>
            <w:pPr/>
            <w:r>
              <w:rPr/>
              <w:t xml:space="preserve">Indicator 17: Number of best practices of sustainable land, coastal and marine resource use up-scaled by communities/households</w:t>
            </w:r>
          </w:p>
        </w:tc>
        <w:tc>
          <w:tcPr>
            <w:tcW w:w="2000" w:type="dxa"/>
            <w:gridSpan w:val="1"/>
          </w:tcPr>
          <w:p>
            <w:pPr/>
            <w:r>
              <w:rPr/>
              <w:t xml:space="preserve">Best practice and lessons from GEF 5 available, but currently resources do not exists for their implementation </w:t>
            </w:r>
          </w:p>
        </w:tc>
        <w:tc>
          <w:tcPr>
            <w:tcW w:w="2000" w:type="dxa"/>
            <w:gridSpan w:val="1"/>
          </w:tcPr>
          <w:p>
            <w:pPr/>
            <w:r>
              <w:rPr/>
              <w:t xml:space="preserve">At least 1 Best Practice per sector being implemented (total of 5: agriculture, aquaculture, fisheries, forestry, sustainable tourism)</w:t>
            </w:r>
          </w:p>
        </w:tc>
        <w:tc>
          <w:tcPr>
            <w:tcW w:w="2000" w:type="dxa"/>
            <w:gridSpan w:val="1"/>
          </w:tcPr>
          <w:p>
            <w:pPr/>
            <w:r>
              <w:rPr/>
              <w:t xml:space="preserve">At least 18 best practices of sustainable land, coastal and marine resource use up-scaled by 9 communities and used by both genders and multiple social groups.</w:t>
            </w:r>
          </w:p>
        </w:tc>
        <w:tc>
          <w:tcPr>
            <w:tcW w:w="4000" w:type="dxa"/>
            <w:gridSpan w:val="1"/>
          </w:tcPr>
          <w:p>
            <w:pPr/>
            <w:r>
              <w:rPr>
                <w:i w:val="1"/>
                <w:iCs w:val="1"/>
              </w:rPr>
              <w:t xml:space="preserve">(not set or not applicable)</w:t>
            </w:r>
          </w:p>
        </w:tc>
        <w:tc>
          <w:tcPr>
            <w:tcW w:w="4000" w:type="dxa"/>
            <w:gridSpan w:val="1"/>
          </w:tcPr>
          <w:p>
            <w:pPr/>
            <w:r>
              <w:rPr/>
              <w:t xml:space="preserve">This indicator is on track.
</w:t>
            </w:r>
          </w:p>
          <w:p>
            <w:pPr/>
            <w:r>
              <w:rPr/>
              <w:t xml:space="preserve">2 Best Practices (species and mulching) were consistently applied to State Action Plans addressing reforestation (of those that were drafted by June 2020).
</w:t>
            </w:r>
          </w:p>
          <w:p>
            <w:pPr/>
            <w:r>
              <w:rPr/>
              <w:t xml:space="preserve">
</w:t>
            </w:r>
          </w:p>
          <w:p>
            <w:pPr/>
            <w:r>
              <w:rPr/>
              <w:t xml:space="preserve">The project has compiled over 50 Best Practice documents, vetted and catalogued them, and posted them on the GEF6 website. The website and the BMPs have been promoted heavily through weekly emails and social media. The Digital Library and the Best Practices pages of the GEF6 website are the most frequently accessed pages (after the home page).
</w:t>
            </w:r>
          </w:p>
          <w:p>
            <w:pPr/>
            <w:r>
              <w:rPr/>
              <w:t xml:space="preserve">
</w:t>
            </w:r>
          </w:p>
          <w:p>
            <w:pPr/>
            <w:r>
              <w:rPr/>
              <w:t xml:space="preserve">The project has established an evolving set of General, Environmental, Biodiversity, Biosecurity, Climate, and Financial Safeguards that incorporate BMPs, national policies, laws, and best available science.
</w:t>
            </w:r>
          </w:p>
          <w:p>
            <w:pPr/>
            <w:r>
              <w:rPr/>
              <w:t xml:space="preserve">Some BMPs were newly established based on pressing needs – e.g. which species to plant and streambed cuttings. 
</w:t>
            </w:r>
          </w:p>
          <w:p>
            <w:pPr/>
            <w:r>
              <w:rPr/>
              <w:t xml:space="preserve">Safeguards and relevant BMPs have been communicated and explained personally to State Planning Teams. Given the variety of BMPs and the breadth of State Planning Team needs, this has been a slow process.
</w:t>
            </w:r>
          </w:p>
          <w:p>
            <w:pPr/>
            <w:r>
              <w:rPr/>
              <w:t xml:space="preserve">The EPU facilitated discussions with BOA, NISC, and BD to settle on Biosecurity Safeguards and establish a Native and Non-native Plant Policy that incorporates science and Best Practices. 
</w:t>
            </w:r>
          </w:p>
          <w:p>
            <w:pPr/>
            <w:r>
              <w:rPr/>
              <w:t xml:space="preserve">
</w:t>
            </w:r>
          </w:p>
          <w:p>
            <w:pPr/>
            <w:r>
              <w:rPr/>
              <w:t xml:space="preserve">The Best Practices in use by State Planning Teams indicate uptake and learning from others – for instance, previous planting projects have failed without mulching.</w:t>
            </w:r>
          </w:p>
        </w:tc>
      </w:tr>
      <w:tr>
        <w:trPr/>
        <w:tc>
          <w:tcPr>
            <w:tcW w:w="7000" w:type="dxa"/>
            <w:gridSpan w:val="2"/>
          </w:tcPr>
          <w:p>
            <w:pPr/>
            <w:r>
              <w:rPr>
                <w:b w:val="1"/>
                <w:bCs w:val="1"/>
              </w:rPr>
              <w:t xml:space="preserve">The progress of the objective can be described as:</w:t>
            </w:r>
          </w:p>
        </w:tc>
        <w:tc>
          <w:tcPr>
            <w:tcW w:w="9000" w:type="dxa"/>
            <w:gridSpan w:val="5"/>
          </w:tcPr>
          <w:p>
            <w:pPr/>
            <w:r>
              <w:rPr>
                <w:b w:val="1"/>
                <w:bCs w:val="1"/>
              </w:rPr>
              <w:t xml:space="preserve">On track</w:t>
            </w:r>
          </w:p>
        </w:tc>
      </w:tr>
    </w:tbl>
    <w:p>
      <w:pPr>
        <w:sectPr>
          <w:pgSz w:orient="landscape" w:w="16837.79527559055" w:h="11905.511811023622"/>
          <w:pgMar w:top="500" w:right="500" w:bottom="500" w:left="500" w:header="720" w:footer="720" w:gutter="0"/>
          <w:cols w:num="1" w:space="720"/>
        </w:sectPr>
      </w:pPr>
    </w:p>
    <w:p>
      <w:pPr>
        <w:pStyle w:val="Heading1"/>
      </w:pPr>
      <w:bookmarkStart w:id="4" w:name="_Toc4"/>
      <w:r>
        <w:t>Implementation Progress</w:t>
      </w:r>
      <w:bookmarkEnd w:id="4"/>
    </w:p>
    <w:p>
      <w:pPr>
        <w:jc w:val="center"/>
      </w:pPr>
      <w:r>
        <w:pict>
          <v:shape type="#_x0000_t75" style="width:450pt; height:300pt; margin-left:0pt; margin-top:0pt; mso-position-horizontal:center; mso-position-vertical:top; mso-position-horizontal-relative:char; mso-position-vertical-relative:line;">
            <w10:wrap type="square"/>
            <v:imagedata r:id="rId9" o:title=""/>
          </v:shape>
        </w:pict>
      </w:r>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tcPr>
          <w:p>
            <w:pPr/>
            <w:r>
              <w:rPr/>
              <w:t xml:space="preserve">Cumulative GL delivery against total approved amount (in prodoc):</w:t>
            </w:r>
          </w:p>
        </w:tc>
        <w:tc>
          <w:tcPr>
            <w:tcW w:w="8000" w:type="dxa"/>
            <w:vAlign w:val="center"/>
            <w:gridSpan w:val="1"/>
          </w:tcPr>
          <w:p>
            <w:pPr>
              <w:jc w:val="right"/>
            </w:pPr>
            <w:r>
              <w:rPr/>
              <w:t xml:space="preserve">7.73%</w:t>
            </w:r>
          </w:p>
        </w:tc>
      </w:tr>
      <w:tr>
        <w:trPr/>
        <w:tc>
          <w:tcPr>
            <w:tcW w:w="8000" w:type="dxa"/>
            <w:gridSpan w:val="1"/>
          </w:tcPr>
          <w:p>
            <w:pPr/>
            <w:r>
              <w:rPr/>
              <w:t xml:space="preserve">Cumulative GL delivery against expected delivery as of this year:</w:t>
            </w:r>
          </w:p>
        </w:tc>
        <w:tc>
          <w:tcPr>
            <w:tcW w:w="8000" w:type="dxa"/>
            <w:vAlign w:val="center"/>
            <w:gridSpan w:val="1"/>
          </w:tcPr>
          <w:p>
            <w:pPr>
              <w:jc w:val="right"/>
            </w:pPr>
            <w:r>
              <w:rPr/>
              <w:t xml:space="preserve">11.34%</w:t>
            </w:r>
          </w:p>
        </w:tc>
      </w:tr>
      <w:tr>
        <w:trPr/>
        <w:tc>
          <w:tcPr>
            <w:tcW w:w="8000" w:type="dxa"/>
            <w:gridSpan w:val="1"/>
          </w:tcPr>
          <w:p>
            <w:pPr/>
            <w:r>
              <w:rPr/>
              <w:t xml:space="preserve">Cumulative disbursement as of 30 June (note: amount to be updated in late August):</w:t>
            </w:r>
          </w:p>
        </w:tc>
        <w:tc>
          <w:tcPr>
            <w:tcW w:w="8000" w:type="dxa"/>
            <w:vAlign w:val="center"/>
            <w:gridSpan w:val="1"/>
          </w:tcPr>
          <w:p>
            <w:pPr>
              <w:jc w:val="right"/>
            </w:pPr>
            <w:r>
              <w:rPr/>
              <w:t xml:space="preserve">327,191</w:t>
            </w:r>
          </w:p>
        </w:tc>
      </w:tr>
    </w:tbl>
    <w:p>
      <w:pPr/>
      <w:r>
        <w:rPr/>
        <w:t xml:space="preserve"/>
      </w:r>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2"/>
          </w:tcPr>
          <w:p>
            <w:pPr/>
            <w:r>
              <w:rPr>
                <w:b w:val="1"/>
                <w:bCs w:val="1"/>
              </w:rPr>
              <w:t xml:space="preserve">Key Financing Amounts</w:t>
            </w:r>
          </w:p>
        </w:tc>
      </w:tr>
      <w:tr>
        <w:trPr/>
        <w:tc>
          <w:tcPr>
            <w:tcW w:w="8000" w:type="dxa"/>
            <w:gridSpan w:val="1"/>
          </w:tcPr>
          <w:p>
            <w:pPr/>
            <w:r>
              <w:rPr/>
              <w:t xml:space="preserve">PPG Amount</w:t>
            </w:r>
          </w:p>
        </w:tc>
        <w:tc>
          <w:tcPr>
            <w:tcW w:w="8000" w:type="dxa"/>
            <w:vAlign w:val="center"/>
            <w:gridSpan w:val="1"/>
          </w:tcPr>
          <w:p>
            <w:pPr>
              <w:jc w:val="right"/>
            </w:pPr>
            <w:r>
              <w:rPr/>
              <w:t xml:space="preserve">150,000</w:t>
            </w:r>
          </w:p>
        </w:tc>
      </w:tr>
      <w:tr>
        <w:trPr/>
        <w:tc>
          <w:tcPr>
            <w:tcW w:w="8000" w:type="dxa"/>
            <w:gridSpan w:val="1"/>
          </w:tcPr>
          <w:p>
            <w:pPr/>
            <w:r>
              <w:rPr/>
              <w:t xml:space="preserve">GEF Grant Amount</w:t>
            </w:r>
          </w:p>
        </w:tc>
        <w:tc>
          <w:tcPr>
            <w:tcW w:w="8000" w:type="dxa"/>
            <w:vAlign w:val="center"/>
            <w:gridSpan w:val="1"/>
          </w:tcPr>
          <w:p>
            <w:pPr>
              <w:jc w:val="right"/>
            </w:pPr>
            <w:r>
              <w:rPr/>
              <w:t xml:space="preserve">4,233,562</w:t>
            </w:r>
          </w:p>
        </w:tc>
      </w:tr>
      <w:tr>
        <w:trPr/>
        <w:tc>
          <w:tcPr>
            <w:tcW w:w="8000" w:type="dxa"/>
            <w:gridSpan w:val="1"/>
          </w:tcPr>
          <w:p>
            <w:pPr/>
            <w:r>
              <w:rPr/>
              <w:t xml:space="preserve">Co-financing</w:t>
            </w:r>
          </w:p>
        </w:tc>
        <w:tc>
          <w:tcPr>
            <w:tcW w:w="8000" w:type="dxa"/>
            <w:vAlign w:val="center"/>
            <w:gridSpan w:val="1"/>
          </w:tcPr>
          <w:p>
            <w:pPr>
              <w:jc w:val="right"/>
            </w:pPr>
            <w:r>
              <w:rPr/>
              <w:t xml:space="preserve">22,671,306</w:t>
            </w:r>
          </w:p>
        </w:tc>
      </w:tr>
    </w:tbl>
    <w:p>
      <w:pPr/>
      <w:r>
        <w:rPr/>
        <w:t xml:space="preserve"/>
      </w:r>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2"/>
          </w:tcPr>
          <w:p>
            <w:pPr/>
            <w:r>
              <w:rPr>
                <w:b w:val="1"/>
                <w:bCs w:val="1"/>
              </w:rPr>
              <w:t xml:space="preserve">Key Project Dates</w:t>
            </w:r>
          </w:p>
        </w:tc>
      </w:tr>
      <w:tr>
        <w:trPr/>
        <w:tc>
          <w:tcPr>
            <w:tcW w:w="8000" w:type="dxa"/>
            <w:gridSpan w:val="1"/>
          </w:tcPr>
          <w:p>
            <w:pPr/>
            <w:r>
              <w:rPr/>
              <w:t xml:space="preserve">PIF Approval Date</w:t>
            </w:r>
          </w:p>
        </w:tc>
        <w:tc>
          <w:tcPr>
            <w:tcW w:w="8000" w:type="dxa"/>
            <w:vAlign w:val="center"/>
            <w:gridSpan w:val="1"/>
          </w:tcPr>
          <w:p>
            <w:pPr>
              <w:jc w:val="right"/>
            </w:pPr>
            <w:r>
              <w:rPr/>
              <w:t xml:space="preserve">Apr 19, 2016</w:t>
            </w:r>
          </w:p>
        </w:tc>
      </w:tr>
      <w:tr>
        <w:trPr/>
        <w:tc>
          <w:tcPr>
            <w:tcW w:w="8000" w:type="dxa"/>
            <w:gridSpan w:val="1"/>
          </w:tcPr>
          <w:p>
            <w:pPr/>
            <w:r>
              <w:rPr/>
              <w:t xml:space="preserve">CEO Endorsement Date</w:t>
            </w:r>
          </w:p>
        </w:tc>
        <w:tc>
          <w:tcPr>
            <w:tcW w:w="8000" w:type="dxa"/>
            <w:vAlign w:val="center"/>
            <w:gridSpan w:val="1"/>
          </w:tcPr>
          <w:p>
            <w:pPr>
              <w:jc w:val="right"/>
            </w:pPr>
            <w:r>
              <w:rPr/>
              <w:t xml:space="preserve">May 25, 2018</w:t>
            </w:r>
          </w:p>
        </w:tc>
      </w:tr>
      <w:tr>
        <w:trPr/>
        <w:tc>
          <w:tcPr>
            <w:tcW w:w="8000" w:type="dxa"/>
            <w:gridSpan w:val="1"/>
          </w:tcPr>
          <w:p>
            <w:pPr/>
            <w:r>
              <w:rPr/>
              <w:t xml:space="preserve">Project Document Signature Date (project start date):</w:t>
            </w:r>
          </w:p>
        </w:tc>
        <w:tc>
          <w:tcPr>
            <w:tcW w:w="8000" w:type="dxa"/>
            <w:vAlign w:val="center"/>
            <w:gridSpan w:val="1"/>
          </w:tcPr>
          <w:p>
            <w:pPr>
              <w:jc w:val="right"/>
            </w:pPr>
            <w:r>
              <w:rPr/>
              <w:t xml:space="preserve">Jul 16, 2018</w:t>
            </w:r>
          </w:p>
        </w:tc>
      </w:tr>
      <w:tr>
        <w:trPr/>
        <w:tc>
          <w:tcPr>
            <w:tcW w:w="8000" w:type="dxa"/>
            <w:gridSpan w:val="1"/>
          </w:tcPr>
          <w:p>
            <w:pPr/>
            <w:r>
              <w:rPr/>
              <w:t xml:space="preserve">Date of Inception Workshop</w:t>
            </w:r>
          </w:p>
        </w:tc>
        <w:tc>
          <w:tcPr>
            <w:tcW w:w="8000" w:type="dxa"/>
            <w:vAlign w:val="center"/>
            <w:gridSpan w:val="1"/>
          </w:tcPr>
          <w:p>
            <w:pPr>
              <w:jc w:val="right"/>
            </w:pPr>
            <w:r>
              <w:rPr/>
              <w:t xml:space="preserve">Nov 6, 2018</w:t>
            </w:r>
          </w:p>
        </w:tc>
      </w:tr>
      <w:tr>
        <w:trPr/>
        <w:tc>
          <w:tcPr>
            <w:tcW w:w="8000" w:type="dxa"/>
            <w:gridSpan w:val="1"/>
          </w:tcPr>
          <w:p>
            <w:pPr/>
            <w:r>
              <w:rPr/>
              <w:t xml:space="preserve">Expected Date of Mid-term Review</w:t>
            </w:r>
          </w:p>
        </w:tc>
        <w:tc>
          <w:tcPr>
            <w:tcW w:w="8000" w:type="dxa"/>
            <w:vAlign w:val="center"/>
            <w:gridSpan w:val="1"/>
          </w:tcPr>
          <w:p>
            <w:pPr>
              <w:jc w:val="right"/>
            </w:pPr>
            <w:r>
              <w:rPr/>
              <w:t xml:space="preserve">Jul 16, 2021</w:t>
            </w:r>
          </w:p>
        </w:tc>
      </w:tr>
      <w:tr>
        <w:trPr/>
        <w:tc>
          <w:tcPr>
            <w:tcW w:w="8000" w:type="dxa"/>
            <w:gridSpan w:val="1"/>
          </w:tcPr>
          <w:p>
            <w:pPr/>
            <w:r>
              <w:rPr/>
              <w:t xml:space="preserve">Actual Date of Mid-term Review</w:t>
            </w:r>
          </w:p>
        </w:tc>
        <w:tc>
          <w:tcPr>
            <w:tcW w:w="8000" w:type="dxa"/>
            <w:vAlign w:val="center"/>
            <w:gridSpan w:val="1"/>
          </w:tcPr>
          <w:p>
            <w:pPr>
              <w:jc w:val="right"/>
            </w:pPr>
            <w:r>
              <w:rPr>
                <w:i w:val="1"/>
                <w:iCs w:val="1"/>
              </w:rPr>
              <w:t xml:space="preserve">(not set or not applicable)</w:t>
            </w:r>
          </w:p>
        </w:tc>
      </w:tr>
      <w:tr>
        <w:trPr/>
        <w:tc>
          <w:tcPr>
            <w:tcW w:w="8000" w:type="dxa"/>
            <w:gridSpan w:val="1"/>
          </w:tcPr>
          <w:p>
            <w:pPr/>
            <w:r>
              <w:rPr/>
              <w:t xml:space="preserve">Expected Date of Terminal Evaluation</w:t>
            </w:r>
          </w:p>
        </w:tc>
        <w:tc>
          <w:tcPr>
            <w:tcW w:w="8000" w:type="dxa"/>
            <w:vAlign w:val="center"/>
            <w:gridSpan w:val="1"/>
          </w:tcPr>
          <w:p>
            <w:pPr>
              <w:jc w:val="right"/>
            </w:pPr>
            <w:r>
              <w:rPr/>
              <w:t xml:space="preserve">Apr 16, 2024</w:t>
            </w:r>
          </w:p>
        </w:tc>
      </w:tr>
      <w:tr>
        <w:trPr/>
        <w:tc>
          <w:tcPr>
            <w:tcW w:w="8000" w:type="dxa"/>
            <w:gridSpan w:val="1"/>
          </w:tcPr>
          <w:p>
            <w:pPr/>
            <w:r>
              <w:rPr/>
              <w:t xml:space="preserve">Original Planned Closing Date</w:t>
            </w:r>
          </w:p>
        </w:tc>
        <w:tc>
          <w:tcPr>
            <w:tcW w:w="8000" w:type="dxa"/>
            <w:vAlign w:val="center"/>
            <w:gridSpan w:val="1"/>
          </w:tcPr>
          <w:p>
            <w:pPr>
              <w:jc w:val="right"/>
            </w:pPr>
            <w:r>
              <w:rPr/>
              <w:t xml:space="preserve">Jul 16, 2024</w:t>
            </w:r>
          </w:p>
        </w:tc>
      </w:tr>
      <w:tr>
        <w:trPr/>
        <w:tc>
          <w:tcPr>
            <w:tcW w:w="8000" w:type="dxa"/>
            <w:gridSpan w:val="1"/>
          </w:tcPr>
          <w:p>
            <w:pPr/>
            <w:r>
              <w:rPr/>
              <w:t xml:space="preserve">Revised Planned Closing Date</w:t>
            </w:r>
          </w:p>
        </w:tc>
        <w:tc>
          <w:tcPr>
            <w:tcW w:w="8000" w:type="dxa"/>
            <w:vAlign w:val="center"/>
            <w:gridSpan w:val="1"/>
          </w:tcPr>
          <w:p>
            <w:pPr>
              <w:jc w:val="right"/>
            </w:pPr>
            <w:r>
              <w:rPr>
                <w:i w:val="1"/>
                <w:iCs w:val="1"/>
              </w:rPr>
              <w:t xml:space="preserve">(not set or not applicable)</w:t>
            </w:r>
          </w:p>
        </w:tc>
      </w:tr>
    </w:tbl>
    <w:p>
      <w:pPr/>
      <w:r>
        <w:rPr/>
        <w:t xml:space="preserve"/>
      </w:r>
    </w:p>
    <w:tbl>
      <w:tblGrid>
        <w:gridCol w:w="16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1"/>
          </w:tcPr>
          <w:p>
            <w:pPr/>
            <w:r>
              <w:rPr>
                <w:b w:val="1"/>
                <w:bCs w:val="1"/>
              </w:rPr>
              <w:t xml:space="preserve">Dates of Project Steering Committee/Board Meetings during reporting period (30 June 2019 to 1 July 2020)</w:t>
            </w:r>
          </w:p>
        </w:tc>
      </w:tr>
      <w:tr>
        <w:trPr/>
        <w:tc>
          <w:tcPr>
            <w:tcW w:w="16000" w:type="dxa"/>
            <w:gridSpan w:val="1"/>
          </w:tcPr>
          <w:p>
            <w:pPr/>
            <w:r>
              <w:rPr/>
              <w:t xml:space="preserve">2020-06-23</w:t>
            </w:r>
          </w:p>
        </w:tc>
      </w:tr>
      <w:tr>
        <w:trPr/>
        <w:tc>
          <w:tcPr>
            <w:tcW w:w="16000" w:type="dxa"/>
            <w:gridSpan w:val="1"/>
          </w:tcPr>
          <w:p>
            <w:pPr/>
            <w:r>
              <w:rPr/>
              <w:t xml:space="preserve">2020-03-03</w:t>
            </w:r>
          </w:p>
        </w:tc>
      </w:tr>
      <w:tr>
        <w:trPr/>
        <w:tc>
          <w:tcPr>
            <w:tcW w:w="16000" w:type="dxa"/>
            <w:gridSpan w:val="1"/>
          </w:tcPr>
          <w:p>
            <w:pPr/>
            <w:r>
              <w:rPr/>
              <w:t xml:space="preserve">2019-12-06</w:t>
            </w:r>
          </w:p>
        </w:tc>
      </w:tr>
      <w:tr>
        <w:trPr/>
        <w:tc>
          <w:tcPr>
            <w:tcW w:w="16000" w:type="dxa"/>
            <w:gridSpan w:val="1"/>
          </w:tcPr>
          <w:p>
            <w:pPr/>
            <w:r>
              <w:rPr/>
              <w:t xml:space="preserve">2019-10-30</w:t>
            </w:r>
          </w:p>
        </w:tc>
      </w:tr>
    </w:tbl>
    <w:p>
      <w:pPr>
        <w:sectPr>
          <w:pgSz w:orient="portrait" w:w="11905.511811023622" w:h="16837.79527559055"/>
          <w:pgMar w:top="500" w:right="500" w:bottom="500" w:left="500" w:header="720" w:footer="720" w:gutter="0"/>
          <w:cols w:num="1" w:space="720"/>
        </w:sectPr>
      </w:pPr>
    </w:p>
    <w:p>
      <w:pPr>
        <w:pStyle w:val="Heading1"/>
      </w:pPr>
      <w:bookmarkStart w:id="5" w:name="_Toc5"/>
      <w:r>
        <w:t>Critical Risk Management</w:t>
      </w:r>
      <w:bookmarkEnd w:id="5"/>
    </w:p>
    <w:p>
      <w:pPr/>
      <w:r>
        <w:rPr/>
        <w:t xml:space="preserve"/>
      </w:r>
    </w:p>
    <w:tbl>
      <w:tblGrid>
        <w:gridCol w:w="4000" w:type="dxa"/>
        <w:gridCol w:w="12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4000" w:type="dxa"/>
            <w:shd w:val="clear" w:fill="#D9D9D9"/>
            <w:gridSpan w:val="1"/>
          </w:tcPr>
          <w:p>
            <w:pPr/>
            <w:r>
              <w:rPr/>
              <w:t xml:space="preserve">Current Types of Critical Risks </w:t>
            </w:r>
          </w:p>
        </w:tc>
        <w:tc>
          <w:tcPr>
            <w:tcW w:w="12000" w:type="dxa"/>
            <w:shd w:val="clear" w:fill="#D9D9D9"/>
            <w:gridSpan w:val="1"/>
          </w:tcPr>
          <w:p>
            <w:pPr/>
            <w:r>
              <w:rPr/>
              <w:t xml:space="preserve">Critical risk management measures undertaken this reporting period</w:t>
            </w:r>
          </w:p>
        </w:tc>
      </w:tr>
      <w:tr>
        <w:trPr/>
        <w:tc>
          <w:tcPr>
            <w:tcW w:w="4000" w:type="dxa"/>
            <w:gridSpan w:val="1"/>
          </w:tcPr>
          <w:p>
            <w:pPr/>
            <w:r>
              <w:rPr/>
              <w:t xml:space="preserve">Safety and Security</w:t>
            </w:r>
          </w:p>
        </w:tc>
        <w:tc>
          <w:tcPr>
            <w:tcW w:w="12000" w:type="dxa"/>
            <w:gridSpan w:val="1"/>
          </w:tcPr>
          <w:p>
            <w:pPr/>
            <w:r>
              <w:rPr/>
              <w:t xml:space="preserve">There were no “High” or “Significant” Risks included in the Project Document. 
</w:t>
            </w:r>
          </w:p>
          <w:p>
            <w:pPr/>
            <w:r>
              <w:rPr/>
              <w:t xml:space="preserve"> 
</w:t>
            </w:r>
          </w:p>
          <w:p>
            <w:pPr/>
            <w:r>
              <w:rPr/>
              <w:t xml:space="preserve">One new “High” Risk   : Safety and Security – Risk and impacts due to the Covid-19 global pandemic 
</w:t>
            </w:r>
          </w:p>
          <w:p>
            <w:pPr/>
            <w:r>
              <w:rPr/>
              <w:t xml:space="preserve">
</w:t>
            </w:r>
          </w:p>
          <w:p>
            <w:pPr/>
            <w:r>
              <w:rPr/>
              <w:t xml:space="preserve">The Project is adding one risk from Covid-19, with multiple impacts on every section of the project. It is one source of risk and many possible outcomes. 
</w:t>
            </w:r>
          </w:p>
          <w:p>
            <w:pPr/>
            <w:r>
              <w:rPr/>
              <w:t xml:space="preserve">
</w:t>
            </w:r>
          </w:p>
          <w:p>
            <w:pPr/>
            <w:r>
              <w:rPr/>
              <w:t xml:space="preserve">Palau is Covid-free as of July 10, 2020; thus this risk is economic and political in nature. Palau’s borders have been closed since March 21, 2020; and will remain closed for as long as elected officials deem necessary. Shipping and air freight traffic remain, but passenger flights have been eliminated. Only select repatriated passengers on approved Charter flights have been allowed back into the country, and this was only after significant preparation and political debate. Given relatively poor health and health infrastructure, the introduction of coronavirus into the population could be devastating. Those few repatriated individuals have had to follow strict quarantine and testing measures. Thus, this project must deal with 1) a strong sense of fear in the community, and 2) inability to bring in any individuals from off-island. Schools closed, leaving families – and especially women – scrambling to balance work and child-care duties. In general, there is a strong sense that Palau cannot continue with the status quo. Given that the environment sector is strong, this means that the environment sector is also feeling some of the wrath directed at the status quo. For instance, candidates for President are indicating a shift to investing in health and economy over environment. The Project is attempting to shift its messaging to focus on sustainable development over biodiversity, but it is difficult to balance. The Project is also trying to work with States to assess economic factors of sustainable development, but this is a steep learning curve for all involved. 
</w:t>
            </w:r>
          </w:p>
          <w:p>
            <w:pPr/>
            <w:r>
              <w:rPr/>
              <w:t xml:space="preserve"> 
</w:t>
            </w:r>
          </w:p>
          <w:p>
            <w:pPr/>
            <w:r>
              <w:rPr/>
              <w:t xml:space="preserve">The border closing impacts IAS and Biosecurity outputs. Biosecurity Officers must still meet weekly flights and ships, and thus are receiving hazard pay. So far staffing has remained stable. Training and capacity building – such as installation of X-ray machines and establishment of a rapid notification system/special phone number – is on hold indefinitely until off-island consultants can come train local employees on the correct techniques. This impacts Outcome 1 (Output 1.3) as well as Outcome 3, which is reliant on the National Government setting up systems before implementing them in states. It is unlikely that the Cost-Recovery System will be set up as planned and it is highly likely that the Biosecurity Officers will need to remain on the government payroll – with Hazard Pay – for longer than originally planned. 
</w:t>
            </w:r>
          </w:p>
          <w:p>
            <w:pPr/>
            <w:r>
              <w:rPr/>
              <w:t xml:space="preserve"> 
</w:t>
            </w:r>
          </w:p>
          <w:p>
            <w:pPr/>
            <w:r>
              <w:rPr/>
              <w:t xml:space="preserve">During a nationwide period of lock-down/self-isolation in March, April, and May, the Project faced delays due to difficulties in meeting. Although attempts were made at holding virtual meetings, the learning curve associated with getting communities and States online made it very difficult to be productive. These in particular impacted Outcomes 1 and 2 with additional delays. Adaptations have included identifying teams of on-island consultants and partners rather than sourcing off-island consultants and expertise.  
</w:t>
            </w:r>
          </w:p>
          <w:p>
            <w:pPr/>
            <w:r>
              <w:rPr/>
              <w:t xml:space="preserve"> 
</w:t>
            </w:r>
          </w:p>
          <w:p>
            <w:pPr/>
            <w:r>
              <w:rPr/>
              <w:t xml:space="preserve">More importantly, as a tourist-dependent island nation, Palau’s economy is already suffering. Businesses are closing, tour operators have laid off staff, and there is a drastic reduction in government income. This has particularly impacted Koror State, a project partner. Koror State is almost entirely focused on rethinking its approach to sustainability and income. Participating in the project as originally designed – especially in managing the existing tourism numbers more sustainably – may not be possible in the future. There is high uncertainty. Thus, Outcome 3 has a lot of uncertainty. In Outcome 1, it will not be possible to test and implement Best Management Practices and certification systems without tourists. One of the adaptive measures has been to separate the planned-for JCB into two separate JCBs – Babeldaob and Southern Lagoon. The Southern Lagoon JCB (Koror and Peleliu) will be better able to focus on impacts to the tourism industry. However, Koror’s uncertainty means that the Koror State Planning Team has only just started functioning and the Southern Lagoon JCB is not yet functioning. The project has invested in Peleliu more than planned as an effort to build capacity in the Southern Lagoon despite uncertainty. There is, however, strong interest in Food Security and thus the project may need to invest more in Best Practices for agriculture and aquaculture over tourism. 
</w:t>
            </w:r>
          </w:p>
          <w:p>
            <w:pPr/>
            <w:r>
              <w:rPr/>
              <w:t xml:space="preserve">In efforts to save money, the Palau National Government has also adopted a 4-day workweek (closed on Fridays), with 10-hour days. This further limits the ability to meet. 
</w:t>
            </w:r>
          </w:p>
          <w:p>
            <w:pPr/>
            <w:r>
              <w:rPr/>
              <w:t xml:space="preserve"> 
</w:t>
            </w:r>
          </w:p>
          <w:p>
            <w:pPr/>
            <w:r>
              <w:rPr/>
              <w:t xml:space="preserve">These impacts are due to the risk of Covid-19. If Coronavirus does come to Palau there will be immediate lock-downs and even more severe impacts. Addressing Covid-19 continues to evolve and will need to be addressed more thoroughly in the 2021 AWP. 
</w:t>
            </w:r>
          </w:p>
          <w:p>
            <w:pPr/>
            <w:r>
              <w:rPr/>
              <w:t xml:space="preserve"> 
</w:t>
            </w:r>
          </w:p>
          <w:p>
            <w:pPr/>
            <w:r>
              <w:rPr/>
              <w:t xml:space="preserve">Adaptive measures: Accept Koror’s delays and work with them as much as possible, invest in Peleliu instead, separate JCBs and move forward with Babeldaob; Shift in messages and assistance to sustainable development; accept delays in tourism outputs and possible reassessment in next AWP; Hazard Pay for Biosecurity Officers; Need to accept delays in Biosecurity Outputs and revise AWP for next year.</w:t>
            </w:r>
          </w:p>
        </w:tc>
      </w:tr>
    </w:tbl>
    <w:p>
      <w:pPr>
        <w:sectPr>
          <w:pgSz w:orient="portrait" w:w="11905.511811023622" w:h="16837.79527559055"/>
          <w:pgMar w:top="500" w:right="500" w:bottom="500" w:left="500" w:header="720" w:footer="720" w:gutter="0"/>
          <w:cols w:num="1" w:space="720"/>
        </w:sectPr>
      </w:pPr>
    </w:p>
    <w:p>
      <w:pPr>
        <w:pStyle w:val="Heading1"/>
      </w:pPr>
      <w:bookmarkStart w:id="6" w:name="_Toc6"/>
      <w:r>
        <w:t>Adjustments</w:t>
      </w:r>
      <w:bookmarkEnd w:id="6"/>
    </w:p>
    <w:p>
      <w:pPr>
        <w:spacing w:before="400"/>
      </w:pPr>
      <w:r>
        <w:rPr>
          <w:sz w:val="24"/>
          <w:szCs w:val="24"/>
          <w:b w:val="1"/>
          <w:bCs w:val="1"/>
        </w:rPr>
        <w:t xml:space="preserve">Risk Management</w:t>
      </w:r>
    </w:p>
    <w:p>
      <w:pPr>
        <w:spacing w:after="400"/>
      </w:pPr>
      <w:r>
        <w:rPr/>
        <w:t xml:space="preserve">The Country Office is responsible for completing the Risk Management section of the PIR in consultation with the RTA.  Before updating the PIR, the Country Office must update project-level risks in the Atlas Risk Register line with UNDP’s enterprise risk management policy and have a detailed discussion with the RTA on risk management.  Next, the Country Office must select below the ‘high’ risks identified in the Atlas Risk Register as well as any other ‘substantial’ risks from the Atlas Risk Register identified by the RTA as needing to be addressed in the PIR.  Moderate and Low risks do not need to be entered in the PIR Risk Management section. After selecting the risk, a text field will appear where the Country Office should describe the risk and explain actions undertaken this reporting period to address the risk selected.</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Select the risk(s) from the options that match the 'high' risks in the project's UNDP Risk Register as well as any 'significant' risks from the register, as agreed with the RTA.  Please describe the risk identified and explain the management approach agreed between the RTA and Country Office on managing/mitigating the risk.</w:t>
            </w:r>
          </w:p>
        </w:tc>
      </w:tr>
      <w:tr>
        <w:trPr/>
        <w:tc>
          <w:tcPr>
            <w:tcW w:w="10000" w:type="dxa"/>
            <w:gridSpan w:val="1"/>
          </w:tcPr>
          <w:p>
            <w:pPr/>
            <w:r>
              <w:rPr/>
              <w:t xml:space="preserve">Safety and Security</w:t>
            </w:r>
          </w:p>
        </w:tc>
      </w:tr>
    </w:tbl>
    <w:p>
      <w:pPr>
        <w:spacing w:before="400"/>
      </w:pPr>
      <w:r>
        <w:rPr>
          <w:sz w:val="24"/>
          <w:szCs w:val="24"/>
          <w:b w:val="1"/>
          <w:bCs w:val="1"/>
        </w:rPr>
        <w:t xml:space="preserve">Comments on delays in key project milestones</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Project Manager: please provide comments on delays this reporting period in achieving any of the following key project milestones: inception workshop, mid-term review, terminal evaluation and/or project closure. If there are no delays please indicate not applicable.</w:t>
            </w:r>
          </w:p>
        </w:tc>
      </w:tr>
      <w:tr>
        <w:trPr/>
        <w:tc>
          <w:tcPr>
            <w:tcW w:w="10000" w:type="dxa"/>
            <w:gridSpan w:val="1"/>
          </w:tcPr>
          <w:p>
            <w:pPr/>
            <w:r>
              <w:rPr/>
              <w:t xml:space="preserve">The Inception Workshop was held in the first quarter of the project (November 2018). However, it took many months before a Project Manager could be recruited and hired and even longer to bring on subject matter experts on board, both of which contributed to delays in overall project implementation.</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Country Office: please provide comments on delays this reporting period in achieving any of the following key project milestones: inception workshop, mid-term review, terminal evaluation and/or project closure.  If there are no delays please indicate not applicable.</w:t>
            </w:r>
          </w:p>
        </w:tc>
      </w:tr>
      <w:tr>
        <w:trPr/>
        <w:tc>
          <w:tcPr>
            <w:tcW w:w="10000" w:type="dxa"/>
            <w:gridSpan w:val="1"/>
          </w:tcPr>
          <w:p>
            <w:pPr/>
            <w:r>
              <w:rPr/>
              <w:t xml:space="preserve">Currently there are no delays and planned Mid Term Review of project is scheduled for 2021.</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UNDP-GEF Technical Adviser: please provide comments on delays this reporting period in achieving any of the following key project milestones: inception workshop, mid-term review, terminal evaluation and/or project closure. If there are no delays please indicate not applicable.</w:t>
            </w:r>
          </w:p>
        </w:tc>
      </w:tr>
      <w:tr>
        <w:trPr/>
        <w:tc>
          <w:tcPr>
            <w:tcW w:w="10000" w:type="dxa"/>
            <w:gridSpan w:val="1"/>
          </w:tcPr>
          <w:p>
            <w:pPr/>
            <w:r>
              <w:rPr/>
              <w:t xml:space="preserve">The inception workshop was held as scheduled and the inception report finalized. Therefore, no delays in key project milestones this reporting period. The mid-term review is scheduled for 2021.</w:t>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Ratings and Overall Assessments</w:t>
      </w:r>
      <w:bookmarkEnd w:id="7"/>
    </w:p>
    <w:tbl>
      <w:tblGrid>
        <w:gridCol w:w="5000" w:type="dxa"/>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5000" w:type="dxa"/>
            <w:gridSpan w:val="1"/>
          </w:tcPr>
          <w:p>
            <w:pPr/>
            <w:r>
              <w:rPr>
                <w:b w:val="1"/>
                <w:bCs w:val="1"/>
              </w:rPr>
              <w:t xml:space="preserve">2020 Development Objective Progress Rating</w:t>
            </w:r>
          </w:p>
        </w:tc>
        <w:tc>
          <w:tcPr>
            <w:tcW w:w="5000" w:type="dxa"/>
            <w:gridSpan w:val="1"/>
          </w:tcPr>
          <w:p>
            <w:pPr/>
            <w:r>
              <w:rPr>
                <w:b w:val="1"/>
                <w:bCs w:val="1"/>
              </w:rPr>
              <w:t xml:space="preserve">2020 Implementation Progress Rating</w:t>
            </w:r>
          </w:p>
        </w:tc>
      </w:tr>
      <w:tr>
        <w:trPr/>
        <w:tc>
          <w:tcPr>
            <w:tcW w:w="5000" w:type="dxa"/>
            <w:gridSpan w:val="1"/>
          </w:tcPr>
          <w:p>
            <w:pPr/>
            <w:r>
              <w:rPr>
                <w:b w:val="1"/>
                <w:bCs w:val="1"/>
              </w:rPr>
              <w:t xml:space="preserve">Project Manager/Coordinator</w:t>
            </w:r>
          </w:p>
        </w:tc>
        <w:tc>
          <w:tcPr>
            <w:tcW w:w="5000" w:type="dxa"/>
            <w:gridSpan w:val="1"/>
          </w:tcPr>
          <w:p>
            <w:pPr/>
            <w:r>
              <w:rPr/>
              <w:t xml:space="preserve">Moderately Satisfactory</w:t>
            </w:r>
          </w:p>
        </w:tc>
        <w:tc>
          <w:tcPr>
            <w:tcW w:w="5000" w:type="dxa"/>
            <w:shd w:val="clear" w:fill="#D9D9D9"/>
            <w:gridSpan w:val="1"/>
          </w:tcPr>
          <w:p>
            <w:pPr/>
            <w:r>
              <w:rPr>
                <w:i w:val="1"/>
                <w:iCs w:val="1"/>
              </w:rPr>
              <w:t xml:space="preserve">- IP Rating provided by UNDP-GEF Technical Adviser and UNDP Country Office only - </w:t>
            </w:r>
          </w:p>
        </w:tc>
      </w:tr>
      <w:tr>
        <w:trPr/>
        <w:tc>
          <w:tcPr>
            <w:tcW w:w="5000" w:type="dxa"/>
            <w:gridSpan w:val="1"/>
          </w:tcPr>
          <w:p>
            <w:pPr/>
            <w:r>
              <w:rPr/>
              <w:t xml:space="preserve">Overall Assessment</w:t>
            </w:r>
          </w:p>
        </w:tc>
        <w:tc>
          <w:tcPr>
            <w:tcW w:w="10000" w:type="dxa"/>
            <w:gridSpan w:val="2"/>
          </w:tcPr>
          <w:p>
            <w:pPr/>
            <w:r>
              <w:rPr/>
              <w:t xml:space="preserve">We have given the project a Moderately Satisfactory rating due to adaptive management that has recently been taken, and due to positive benefits that the project is already seeing. Thus, even though the project faced slippage of up to 12 months due to delays in starting – especially as related to financial delivery – it is On Track to catch up. In general, the project is on track to meet the overall objective of mainstreaming biodiversity into governance, planning, and management. In the first two years, advancements have been made in governance and planning.
</w:t>
            </w:r>
          </w:p>
          <w:p>
            <w:pPr/>
            <w:r>
              <w:rPr/>
              <w:t xml:space="preserve">
</w:t>
            </w:r>
          </w:p>
          <w:p>
            <w:pPr/>
            <w:r>
              <w:rPr/>
              <w:t xml:space="preserve">The Objective and Outcomes will be achieved, with minor shifts in outputs and activities. The Project Management Team is now full, with a Project Manager, Technical Advisor, Subject Specialist (agriculture/business), Financial, Legal, Fisheries and Administration experts; and there are strong cross-linkages with GEF5 and other departments in MNRET. Since completion of the team, the Project has begun to catch up on every single output. The Covid-19 global pandemic has contributed to several delays in the last four months of the project, due to preventive lock-downs that make it difficult to meet and reduced pathways to access consultants and expertise.
</w:t>
            </w:r>
          </w:p>
          <w:p>
            <w:pPr/>
            <w:r>
              <w:rPr/>
              <w:t xml:space="preserve">
</w:t>
            </w:r>
          </w:p>
          <w:p>
            <w:pPr/>
            <w:r>
              <w:rPr/>
              <w:t xml:space="preserve">The overall objective continues to see progress, especially when it comes to mainstreaming biodiversity into planning. Planning at the National Level has been influenced somewhat (e.g. island-wide planning, as well as efforts to impact other processes such as National permitting and National adaptation planning), but more significant progress has been at the State Level. This project has facilitated the creation of State Planning Teams who are now thinking holistically about their States. This project has also identified safeguards and created policies that will protect biodiversity while also balancing sustainable use needs. Systems are in place to influence State Master plans. Access to resources has improved – for instance, States have a higher understanding of non-native species and why there are limits on their use in reforestation, plus they know who to contact for help, and have access to information on alternatives. The State Planning Teams are also building their capacity by implementing biodiversity-streamlined activities on the ground. Covid-19 is influencing the project in subtle ways: particularly by necessitating an emphasis on sustainable development over biodiversity and environment. Continued emphasis on eventual tourism growth into Babeldaob, desire to increase local food security particularly through agriculture, and an appreciation for those things in Palau that are resilient (e.g. the environment) means that continued investment in biodiversity remains crucial.
</w:t>
            </w:r>
          </w:p>
          <w:p>
            <w:pPr/>
            <w:r>
              <w:rPr/>
              <w:t xml:space="preserve">
</w:t>
            </w:r>
          </w:p>
          <w:p>
            <w:pPr/>
            <w:r>
              <w:rPr/>
              <w:t xml:space="preserve">For Outcome 1 the Joint Coordination Body has been redesigned and in Babeldaob is now functioning. The JCB will sit under MNRET rather than NEPC, as the NEPC is not very active. Rather than one JCB, MNRET has formed two separate JCBs – one for Babeldaob and one for the Southern Lagoon. In partnership with Governors, membership has been limited to resource owners – States and MNRET – and all other technical members have been moved to a flexible Technical Group. Bylaws, SOPs, templates, and tools are in place. Specific attention has been made to identifying and making national policies and safeguards better understood so as to facilitate their uptake in National and State Plans. State Planning Teams are also growing capacity (skills, abilities, access), which is in turn strengthening the National System. The Babeldaob JCB has already met twice. The Southern Lagoon JCB has been delayed. Koror State has seen a steep drop in revenue to the Covid-19 border closure and 100% drop in tourism, and they have been focused on economic, employment, and health issues. There are minor delays in reaching some outputs, especially as related to biosecurity and enforcement, but pathways to achieve them have been identified. However, the border closure due to Covid-19 will delay some Biosecurity implementation indefinitely. This will be addressed in the AWP for 2021 if the borders remain closed. 
</w:t>
            </w:r>
          </w:p>
          <w:p>
            <w:pPr/>
            <w:r>
              <w:rPr/>
              <w:t xml:space="preserve">
</w:t>
            </w:r>
          </w:p>
          <w:p>
            <w:pPr/>
            <w:r>
              <w:rPr/>
              <w:t xml:space="preserve">For Outcome 2, activities are progressing and delays will be made up. Teams on Babeldaob are active and mapping will be accomplished using a variety of expertise and tools on island, despite the inability to source off-island mapping expertise due to the Covid-19 closure. In the end, doing as much internally and locally will create ownership and political capital for the landscape/seascape plans.  With the involvement of all 10 States in Landscape mapping and the immediate investment in State Planning Teams in 7 States, there have been drastic improvements in capacity in the States. As of July, 6 of the 7 State Partners had developed their own Action Plans – a first in Palau. Delays in Biosecurity identified in Outcome 1 will have “downstream” impacts in Outcome 2 – for instance the EDRR system will likely be delayed. 
</w:t>
            </w:r>
          </w:p>
          <w:p>
            <w:pPr/>
            <w:r>
              <w:rPr/>
              <w:t xml:space="preserve">
</w:t>
            </w:r>
          </w:p>
          <w:p>
            <w:pPr/>
            <w:r>
              <w:rPr/>
              <w:t xml:space="preserve">Outcome 3 faces the most serious delays and with the economic and political issues facing Koror State, this Outcome may be at risk. Formation of the Koror Planning Team was delayed until June 2020, and members of the Southern Lagoon JCB have not yet been confirmed. Closures and falling income in Koror due to Covid-19 have exacerbated this situation. However, Koror State has expressed continued commitment. To adapt to this situation, the JCB was redesigned to be a specific, more inclusive Southern Lagoon JCB, and the Project is investing more in Peleliu than planned and building more capacity there in the meantime. Outcome 3 is also feeling the confluence of multiple delays in the project: because of Delays in Outcome 1 and 2 (biosecurity, mapping, tourism frameworks, enforcement systems).  
</w:t>
            </w:r>
          </w:p>
          <w:p>
            <w:pPr/>
            <w:r>
              <w:rPr/>
              <w:t xml:space="preserve">
</w:t>
            </w:r>
          </w:p>
          <w:p>
            <w:pPr/>
            <w:r>
              <w:rPr/>
              <w:t xml:space="preserve">For Outcome 4, communications activities and gender mainstreaming were delayed, but are rapidly getting caught up. More aspects of the Project’s communications plan are being implemented. Gender Mainstreaming has improved throughout the project and even among other partners and processes. Women have strong influence on planning teams and a gender lens has been applied to results (for example, when reviewing Action Plans – specifically asking for ways to recruit women). Knowledge Management is improving daily, with improving systems to capture and share information digitally. The project has even begun training others on using digital systems to share information and collaborate online (e.g. Google Docs training). Covid-19 is having less impact on Outcome 4. However, risks remain as the number of women involved in the project – both at MNRET within the Project Implementation Unit – and with the Babeldaob JCB and State Planning Teams – is high. When schools closed due to the Coronavirus preventive lock-down, it was women who had to balance work with the majority of child-care. The project takes care to plan meetings and activities that consider the needs of working families.
</w:t>
            </w:r>
          </w:p>
          <w:p>
            <w:pPr/>
            <w:r>
              <w:rPr/>
              <w:t xml:space="preserve">
</w:t>
            </w:r>
          </w:p>
          <w:p>
            <w:pPr/>
            <w:r>
              <w:rPr/>
              <w:t xml:space="preserve">Financial delivery is significantly below planned, but with adaptations – such as hiring of a Technical Advisor and subject matter experts, direct investment in States, and shifting of funds to support Peleliu and within MNRET – financial delivery will improve immediately. Growth in the Project Management Unit also frees up the Project Manager to work more closely with the Project Partners to ensure that they are on track with financial delivery and output progress as well. </w:t>
            </w:r>
          </w:p>
        </w:tc>
      </w:tr>
      <w:tr>
        <w:trPr/>
        <w:tc>
          <w:tcPr>
            <w:tcW w:w="5000" w:type="dxa"/>
            <w:gridSpan w:val="1"/>
          </w:tcPr>
          <w:p>
            <w:pPr/>
            <w:r>
              <w:rPr>
                <w:b w:val="1"/>
                <w:bCs w:val="1"/>
              </w:rPr>
              <w:t xml:space="preserve">Role</w:t>
            </w:r>
          </w:p>
        </w:tc>
        <w:tc>
          <w:tcPr>
            <w:tcW w:w="5000" w:type="dxa"/>
            <w:gridSpan w:val="1"/>
          </w:tcPr>
          <w:p>
            <w:pPr/>
            <w:r>
              <w:rPr>
                <w:b w:val="1"/>
                <w:bCs w:val="1"/>
              </w:rPr>
              <w:t xml:space="preserve">2020 Development Objective Progress Rating</w:t>
            </w:r>
          </w:p>
        </w:tc>
        <w:tc>
          <w:tcPr>
            <w:tcW w:w="5000" w:type="dxa"/>
            <w:gridSpan w:val="1"/>
          </w:tcPr>
          <w:p>
            <w:pPr/>
            <w:r>
              <w:rPr>
                <w:b w:val="1"/>
                <w:bCs w:val="1"/>
              </w:rPr>
              <w:t xml:space="preserve">2020 Implementation Progress Rating</w:t>
            </w:r>
          </w:p>
        </w:tc>
      </w:tr>
      <w:tr>
        <w:trPr/>
        <w:tc>
          <w:tcPr>
            <w:tcW w:w="5000" w:type="dxa"/>
            <w:gridSpan w:val="1"/>
          </w:tcPr>
          <w:p>
            <w:pPr/>
            <w:r>
              <w:rPr>
                <w:b w:val="1"/>
                <w:bCs w:val="1"/>
              </w:rPr>
              <w:t xml:space="preserve">UNDP Country Office Programme Officer</w:t>
            </w:r>
          </w:p>
        </w:tc>
        <w:tc>
          <w:tcPr>
            <w:tcW w:w="5000" w:type="dxa"/>
            <w:gridSpan w:val="1"/>
          </w:tcPr>
          <w:p>
            <w:pPr/>
            <w:r>
              <w:rPr/>
              <w:t xml:space="preserve">Moderately Satisfactory</w:t>
            </w:r>
          </w:p>
        </w:tc>
        <w:tc>
          <w:tcPr>
            <w:tcW w:w="5000" w:type="dxa"/>
            <w:gridSpan w:val="1"/>
          </w:tcPr>
          <w:p>
            <w:pPr/>
            <w:r>
              <w:rPr/>
              <w:t xml:space="preserve">Moderately Satisfactory</w:t>
            </w:r>
          </w:p>
        </w:tc>
      </w:tr>
      <w:tr>
        <w:trPr/>
        <w:tc>
          <w:tcPr>
            <w:tcW w:w="5000" w:type="dxa"/>
            <w:gridSpan w:val="1"/>
          </w:tcPr>
          <w:p>
            <w:pPr/>
            <w:r>
              <w:rPr/>
              <w:t xml:space="preserve">Overall Assessment</w:t>
            </w:r>
          </w:p>
        </w:tc>
        <w:tc>
          <w:tcPr>
            <w:tcW w:w="10000" w:type="dxa"/>
            <w:gridSpan w:val="2"/>
          </w:tcPr>
          <w:p>
            <w:pPr/>
            <w:r>
              <w:rPr/>
              <w:t xml:space="preserve">Overall Assessment	
</w:t>
            </w:r>
          </w:p>
          <w:p>
            <w:pPr/>
            <w:r>
              <w:rPr/>
              <w:t xml:space="preserve">The is the first PIR for the Project which was commenced in 16 July  (2018), followed by a national inception workshop in November. The Project is currently into its 2nd year of implementation.  Based on progress today, a moderately satisfactory rating is provided for both the development objective and implementation progress.
</w:t>
            </w:r>
          </w:p>
          <w:p>
            <w:pPr/>
            <w:r>
              <w:rPr/>
              <w:t xml:space="preserve">Development objective rating: Overall the project is progressing steadily and on track to meet midterm targets.  The Project Implementation Unit has devoted much focus, investing time towards dialogue aimed at increasing stakeholder understanding and support for the project. This project works with national stakeholders as well as stakeholders in at least 7 states.
</w:t>
            </w:r>
          </w:p>
          <w:p>
            <w:pPr/>
            <w:r>
              <w:rPr/>
              <w:t xml:space="preserve">Outcome 1: key achievements to date are the establishment of 9 state planning teams, 2 Joint Coordination Bodies, increased participation of number of Babeldaob states from 7 to 10. National coordination and action for Invasive Alien Species and Biosecurity enhanced through the appointment of a IAS Project officer. A National Invasive Species Strategy is developed, and project supports ongoing efforts to have this endorsed nationally.
</w:t>
            </w:r>
          </w:p>
          <w:p>
            <w:pPr/>
            <w:r>
              <w:rPr/>
              <w:t xml:space="preserve">Outcome 2:  overall progress is slightly behind schedule, but work is progressing. Achievements include planning process for Joint Coordination Body and 7 states in Babeldaob in process of selecting demonstration sites.
</w:t>
            </w:r>
          </w:p>
          <w:p>
            <w:pPr/>
            <w:r>
              <w:rPr/>
              <w:t xml:space="preserve">Outcome 3:  slightly off track. However, efforts are ongoing. Key progress to date includes identification of high value sites, formation of a Koror state planning team, development of bylaws and SOPs for Southern Lagoon.
</w:t>
            </w:r>
          </w:p>
          <w:p>
            <w:pPr/>
            <w:r>
              <w:rPr/>
              <w:t xml:space="preserve">Outcome 4: OnTrack. Key achievements include ongoing Knowledge and Attitude Practices (KAP) survey and at least 50 best practices and documents identified and posted online (GEF 6 website).
</w:t>
            </w:r>
          </w:p>
          <w:p>
            <w:pPr/>
            <w:r>
              <w:rPr/>
              <w:t xml:space="preserve">
</w:t>
            </w:r>
          </w:p>
          <w:p>
            <w:pPr/>
            <w:r>
              <w:rPr/>
              <w:t xml:space="preserve">Implementation rating: The Project Implementation Unit experienced some setbacks in 2018 – 2019. There was initially a change in project focal point. It also took about 6 months before a Project Coordinator was successfully recruited. Since coming board the Project Coordinator, has been actively engaged in implementation of activities.  With the Environment Planner on board now (since first quarter 2020) and continued support from admin-finance officer, the Project Implementation Unit has demonstrated concerted efforts. The Project Implementation Unit is commended for its perseverance in continually facilitating dialogue/discussions with national and state partners. For example, 7 states partners developed their own action plans whilst a Joint Coordination Body is actively functioning in Babeldaob. The participation of many partners requires regular discussions as well as negations each would have different interest and views about involvement in the project. 
</w:t>
            </w:r>
          </w:p>
          <w:p>
            <w:pPr/>
            <w:r>
              <w:rPr/>
              <w:t xml:space="preserve">Financially speaking the project has undelivered. Into its 2nd year of implementation, about USD724,303 is delivered out of a total award of USD 4,233,562.  
</w:t>
            </w:r>
          </w:p>
          <w:p>
            <w:pPr/>
            <w:r>
              <w:rPr/>
              <w:t xml:space="preserve">2018: USD 49,765
</w:t>
            </w:r>
          </w:p>
          <w:p>
            <w:pPr/>
            <w:r>
              <w:rPr/>
              <w:t xml:space="preserve">2019: USD 272,701
</w:t>
            </w:r>
          </w:p>
          <w:p>
            <w:pPr/>
            <w:r>
              <w:rPr/>
              <w:t xml:space="preserve">2020: USD 401,837 (as of June)
</w:t>
            </w:r>
          </w:p>
          <w:p>
            <w:pPr/>
            <w:r>
              <w:rPr/>
              <w:t xml:space="preserve">One recognizes, that Project Implementation Unit is laying ground work with state and national partners which will form the basis of improved delivery in coming years. To date the Project has managed to signed agreements with at least 14 implementing partners (including national government, state government and NGO’s), which are tasked to deliver specific activities. This is also a time-consuming effort in discussions with stakeholders, drafting of agreements, review of draft followed by endorsement. This is again indicative of efforts of the Project Implementation Unit. 
</w:t>
            </w:r>
          </w:p>
          <w:p>
            <w:pPr/>
            <w:r>
              <w:rPr/>
              <w:t xml:space="preserve">
</w:t>
            </w:r>
          </w:p>
          <w:p>
            <w:pPr/>
            <w:r>
              <w:rPr/>
              <w:t xml:space="preserve">Project Board: Project is supported by an active project board. Membership includes Ministry of Natural Resources, Environment and Tourism (MNRET), To date at least 4 project board meetings were conducted with UNDP participating in at least 1 per year. Board members are vocal in providing strategic directions/guidance as well as constrictive criticism. Based direction from the project board, the Project Implementation Unit has strengthened its outreach with state governments. As a result, there is increasing support for the project and state governments are more engaged in discussion e.g. planning consultations.
</w:t>
            </w:r>
          </w:p>
          <w:p>
            <w:pPr/>
            <w:r>
              <w:rPr/>
              <w:t xml:space="preserve">Covid-19: Travel restrictions arising from Covid 19, has had sudden and negative impacts to Project. For example, national priorities shifted towards preventative measure in first quarter of 2020 and level of enthusiasm for implementation of activities may have varied across states. However, the Project Implementation Unit has also taken advantage of the situation by conducting consultations with stakeholders who may not have been available due to international travel or engagements 
</w:t>
            </w:r>
          </w:p>
          <w:p>
            <w:pPr/>
            <w:r>
              <w:rPr/>
              <w:t xml:space="preserve">Recommendations: Listed below are few recommendations aimed at expediting delivery:
</w:t>
            </w:r>
          </w:p>
          <w:p>
            <w:pPr/>
            <w:r>
              <w:rPr/>
              <w:t xml:space="preserve">	
</w:t>
            </w:r>
          </w:p>
          <w:p>
            <w:pPr/>
            <w:r>
              <w:rPr/>
              <w:t xml:space="preserve">	 ongoing quarterly discussions between Project Implementation Unit and UNDP. There is a need to review progress, identify bottles neck and opportunities to address this. Focus of these discussions to date has been technical and finical delivery. This is especially important given the impacts of Covid 19
</w:t>
            </w:r>
          </w:p>
          <w:p>
            <w:pPr/>
            <w:r>
              <w:rPr/>
              <w:t xml:space="preserve">	Project Implementation Unit to consider use of more local consultants. Due to travel restrictions (international), consultants from aboard cannot take place.
</w:t>
            </w:r>
          </w:p>
          <w:p>
            <w:pPr/>
            <w:r>
              <w:rPr/>
              <w:t xml:space="preserve">	Advance submission of relevant documentation, prior to board meetings
</w:t>
            </w:r>
          </w:p>
          <w:p>
            <w:pPr/>
            <w:r>
              <w:rPr/>
              <w:t xml:space="preserve">	 Quarterly reporting to fully capture the extend of project implementation and results to date. Recently there was an improvement to quality of quarterly reports and the Project Implementation Unit is encouraged to continue its efforts in this regard.
</w:t>
            </w:r>
          </w:p>
          <w:p>
            <w:pPr/>
            <w:r>
              <w:rPr/>
              <w:t xml:space="preserve">	Project Implementation Unit conduct a planning workshop by early 4th quarter 2020 (October) to develop a multi-year plan for 2020 – 2021. This will be presented to the project board.
</w:t>
            </w:r>
          </w:p>
          <w:p>
            <w:pPr/>
            <w:r>
              <w:rPr/>
              <w:t xml:space="preserve">
</w:t>
            </w:r>
          </w:p>
          <w:p>
            <w:pPr/>
            <w:r>
              <w:rPr/>
              <w:t xml:space="preserve">review and implementation of communications strategy. Specific target audiences to be identified and most influential means of communications to be used; 
</w:t>
            </w:r>
          </w:p>
          <w:p>
            <w:pPr/>
            <w:r>
              <w:rPr/>
              <w:t xml:space="preserve"/>
            </w:r>
          </w:p>
        </w:tc>
      </w:tr>
      <w:tr>
        <w:trPr/>
        <w:tc>
          <w:tcPr>
            <w:tcW w:w="5000" w:type="dxa"/>
            <w:gridSpan w:val="1"/>
          </w:tcPr>
          <w:p>
            <w:pPr/>
            <w:r>
              <w:rPr>
                <w:b w:val="1"/>
                <w:bCs w:val="1"/>
              </w:rPr>
              <w:t xml:space="preserve">Role</w:t>
            </w:r>
          </w:p>
        </w:tc>
        <w:tc>
          <w:tcPr>
            <w:tcW w:w="5000" w:type="dxa"/>
            <w:gridSpan w:val="1"/>
          </w:tcPr>
          <w:p>
            <w:pPr/>
            <w:r>
              <w:rPr>
                <w:b w:val="1"/>
                <w:bCs w:val="1"/>
              </w:rPr>
              <w:t xml:space="preserve">2020 Development Objective Progress Rating</w:t>
            </w:r>
          </w:p>
        </w:tc>
        <w:tc>
          <w:tcPr>
            <w:tcW w:w="5000" w:type="dxa"/>
            <w:gridSpan w:val="1"/>
          </w:tcPr>
          <w:p>
            <w:pPr/>
            <w:r>
              <w:rPr>
                <w:b w:val="1"/>
                <w:bCs w:val="1"/>
              </w:rPr>
              <w:t xml:space="preserve">2020 Implementation Progress Rating</w:t>
            </w:r>
          </w:p>
        </w:tc>
      </w:tr>
      <w:tr>
        <w:trPr/>
        <w:tc>
          <w:tcPr>
            <w:tcW w:w="5000" w:type="dxa"/>
            <w:gridSpan w:val="1"/>
          </w:tcPr>
          <w:p>
            <w:pPr/>
            <w:r>
              <w:rPr>
                <w:b w:val="1"/>
                <w:bCs w:val="1"/>
              </w:rPr>
              <w:t xml:space="preserve">GEF Operational Focal point</w:t>
            </w:r>
          </w:p>
        </w:tc>
        <w:tc>
          <w:tcPr>
            <w:tcW w:w="5000" w:type="dxa"/>
            <w:gridSpan w:val="1"/>
          </w:tcPr>
          <w:p>
            <w:pPr/>
            <w:r>
              <w:rPr>
                <w:i w:val="1"/>
                <w:iCs w:val="1"/>
              </w:rPr>
              <w:t xml:space="preserve">(not set or not applicable)</w:t>
            </w:r>
          </w:p>
        </w:tc>
        <w:tc>
          <w:tcPr>
            <w:tcW w:w="5000" w:type="dxa"/>
            <w:shd w:val="clear" w:fill="#D9D9D9"/>
            <w:gridSpan w:val="1"/>
          </w:tcPr>
          <w:p>
            <w:pPr/>
            <w:r>
              <w:rPr>
                <w:i w:val="1"/>
                <w:iCs w:val="1"/>
              </w:rPr>
              <w:t xml:space="preserve">- IP Rating provided by UNDP-GEF Technical Adviser and UNDP Country Office only - </w:t>
            </w:r>
          </w:p>
        </w:tc>
      </w:tr>
      <w:tr>
        <w:trPr/>
        <w:tc>
          <w:tcPr>
            <w:tcW w:w="5000" w:type="dxa"/>
            <w:gridSpan w:val="1"/>
          </w:tcPr>
          <w:p>
            <w:pPr/>
            <w:r>
              <w:rPr/>
              <w:t xml:space="preserve">Overall Assessment</w:t>
            </w:r>
          </w:p>
        </w:tc>
        <w:tc>
          <w:tcPr>
            <w:tcW w:w="10000" w:type="dxa"/>
            <w:gridSpan w:val="2"/>
          </w:tcPr>
          <w:p>
            <w:pPr/>
            <w:r>
              <w:rPr>
                <w:i w:val="1"/>
                <w:iCs w:val="1"/>
              </w:rPr>
              <w:t xml:space="preserve">(not set or not applicable)</w:t>
            </w:r>
          </w:p>
        </w:tc>
      </w:tr>
      <w:tr>
        <w:trPr/>
        <w:tc>
          <w:tcPr>
            <w:tcW w:w="5000" w:type="dxa"/>
            <w:gridSpan w:val="1"/>
          </w:tcPr>
          <w:p>
            <w:pPr/>
            <w:r>
              <w:rPr>
                <w:b w:val="1"/>
                <w:bCs w:val="1"/>
              </w:rPr>
              <w:t xml:space="preserve">Role</w:t>
            </w:r>
          </w:p>
        </w:tc>
        <w:tc>
          <w:tcPr>
            <w:tcW w:w="5000" w:type="dxa"/>
            <w:gridSpan w:val="1"/>
          </w:tcPr>
          <w:p>
            <w:pPr/>
            <w:r>
              <w:rPr>
                <w:b w:val="1"/>
                <w:bCs w:val="1"/>
              </w:rPr>
              <w:t xml:space="preserve">2020 Development Objective Progress Rating</w:t>
            </w:r>
          </w:p>
        </w:tc>
        <w:tc>
          <w:tcPr>
            <w:tcW w:w="5000" w:type="dxa"/>
            <w:gridSpan w:val="1"/>
          </w:tcPr>
          <w:p>
            <w:pPr/>
            <w:r>
              <w:rPr>
                <w:b w:val="1"/>
                <w:bCs w:val="1"/>
              </w:rPr>
              <w:t xml:space="preserve">2020 Implementation Progress Rating</w:t>
            </w:r>
          </w:p>
        </w:tc>
      </w:tr>
      <w:tr>
        <w:trPr/>
        <w:tc>
          <w:tcPr>
            <w:tcW w:w="5000" w:type="dxa"/>
            <w:gridSpan w:val="1"/>
          </w:tcPr>
          <w:p>
            <w:pPr/>
            <w:r>
              <w:rPr>
                <w:b w:val="1"/>
                <w:bCs w:val="1"/>
              </w:rPr>
              <w:t xml:space="preserve">Project Implementing Partner</w:t>
            </w:r>
          </w:p>
        </w:tc>
        <w:tc>
          <w:tcPr>
            <w:tcW w:w="5000" w:type="dxa"/>
            <w:gridSpan w:val="1"/>
          </w:tcPr>
          <w:p>
            <w:pPr/>
            <w:r>
              <w:rPr>
                <w:i w:val="1"/>
                <w:iCs w:val="1"/>
              </w:rPr>
              <w:t xml:space="preserve">(not set or not applicable)</w:t>
            </w:r>
          </w:p>
        </w:tc>
        <w:tc>
          <w:tcPr>
            <w:tcW w:w="5000" w:type="dxa"/>
            <w:shd w:val="clear" w:fill="#D9D9D9"/>
            <w:gridSpan w:val="1"/>
          </w:tcPr>
          <w:p>
            <w:pPr/>
            <w:r>
              <w:rPr>
                <w:i w:val="1"/>
                <w:iCs w:val="1"/>
              </w:rPr>
              <w:t xml:space="preserve">- IP Rating provided by UNDP-GEF Technical Adviser and UNDP Country Office only - </w:t>
            </w:r>
          </w:p>
        </w:tc>
      </w:tr>
      <w:tr>
        <w:trPr/>
        <w:tc>
          <w:tcPr>
            <w:tcW w:w="5000" w:type="dxa"/>
            <w:gridSpan w:val="1"/>
          </w:tcPr>
          <w:p>
            <w:pPr/>
            <w:r>
              <w:rPr/>
              <w:t xml:space="preserve">Overall Assessment</w:t>
            </w:r>
          </w:p>
        </w:tc>
        <w:tc>
          <w:tcPr>
            <w:tcW w:w="10000" w:type="dxa"/>
            <w:gridSpan w:val="2"/>
          </w:tcPr>
          <w:p>
            <w:pPr/>
            <w:r>
              <w:rPr>
                <w:i w:val="1"/>
                <w:iCs w:val="1"/>
              </w:rPr>
              <w:t xml:space="preserve">(not set or not applicable)</w:t>
            </w:r>
          </w:p>
        </w:tc>
      </w:tr>
      <w:tr>
        <w:trPr/>
        <w:tc>
          <w:tcPr>
            <w:tcW w:w="5000" w:type="dxa"/>
            <w:gridSpan w:val="1"/>
          </w:tcPr>
          <w:p>
            <w:pPr/>
            <w:r>
              <w:rPr>
                <w:b w:val="1"/>
                <w:bCs w:val="1"/>
              </w:rPr>
              <w:t xml:space="preserve">Role</w:t>
            </w:r>
          </w:p>
        </w:tc>
        <w:tc>
          <w:tcPr>
            <w:tcW w:w="5000" w:type="dxa"/>
            <w:gridSpan w:val="1"/>
          </w:tcPr>
          <w:p>
            <w:pPr/>
            <w:r>
              <w:rPr>
                <w:b w:val="1"/>
                <w:bCs w:val="1"/>
              </w:rPr>
              <w:t xml:space="preserve">2020 Development Objective Progress Rating</w:t>
            </w:r>
          </w:p>
        </w:tc>
        <w:tc>
          <w:tcPr>
            <w:tcW w:w="5000" w:type="dxa"/>
            <w:gridSpan w:val="1"/>
          </w:tcPr>
          <w:p>
            <w:pPr/>
            <w:r>
              <w:rPr>
                <w:b w:val="1"/>
                <w:bCs w:val="1"/>
              </w:rPr>
              <w:t xml:space="preserve">2020 Implementation Progress Rating</w:t>
            </w:r>
          </w:p>
        </w:tc>
      </w:tr>
      <w:tr>
        <w:trPr/>
        <w:tc>
          <w:tcPr>
            <w:tcW w:w="5000" w:type="dxa"/>
            <w:gridSpan w:val="1"/>
          </w:tcPr>
          <w:p>
            <w:pPr/>
            <w:r>
              <w:rPr>
                <w:b w:val="1"/>
                <w:bCs w:val="1"/>
              </w:rPr>
              <w:t xml:space="preserve">Other Partners</w:t>
            </w:r>
          </w:p>
        </w:tc>
        <w:tc>
          <w:tcPr>
            <w:tcW w:w="5000" w:type="dxa"/>
            <w:gridSpan w:val="1"/>
          </w:tcPr>
          <w:p>
            <w:pPr/>
            <w:r>
              <w:rPr>
                <w:i w:val="1"/>
                <w:iCs w:val="1"/>
              </w:rPr>
              <w:t xml:space="preserve">(not set or not applicable)</w:t>
            </w:r>
          </w:p>
        </w:tc>
        <w:tc>
          <w:tcPr>
            <w:tcW w:w="5000" w:type="dxa"/>
            <w:shd w:val="clear" w:fill="#D9D9D9"/>
            <w:gridSpan w:val="1"/>
          </w:tcPr>
          <w:p>
            <w:pPr/>
            <w:r>
              <w:rPr>
                <w:i w:val="1"/>
                <w:iCs w:val="1"/>
              </w:rPr>
              <w:t xml:space="preserve">- IP Rating provided by UNDP-GEF Technical Adviser and UNDP Country Office only - </w:t>
            </w:r>
          </w:p>
        </w:tc>
      </w:tr>
      <w:tr>
        <w:trPr/>
        <w:tc>
          <w:tcPr>
            <w:tcW w:w="5000" w:type="dxa"/>
            <w:gridSpan w:val="1"/>
          </w:tcPr>
          <w:p>
            <w:pPr/>
            <w:r>
              <w:rPr/>
              <w:t xml:space="preserve">Overall Assessment</w:t>
            </w:r>
          </w:p>
        </w:tc>
        <w:tc>
          <w:tcPr>
            <w:tcW w:w="10000" w:type="dxa"/>
            <w:gridSpan w:val="2"/>
          </w:tcPr>
          <w:p>
            <w:pPr/>
            <w:r>
              <w:rPr>
                <w:i w:val="1"/>
                <w:iCs w:val="1"/>
              </w:rPr>
              <w:t xml:space="preserve">(not set or not applicable)</w:t>
            </w:r>
          </w:p>
        </w:tc>
      </w:tr>
      <w:tr>
        <w:trPr/>
        <w:tc>
          <w:tcPr>
            <w:tcW w:w="5000" w:type="dxa"/>
            <w:gridSpan w:val="1"/>
          </w:tcPr>
          <w:p>
            <w:pPr/>
            <w:r>
              <w:rPr>
                <w:b w:val="1"/>
                <w:bCs w:val="1"/>
              </w:rPr>
              <w:t xml:space="preserve">Role</w:t>
            </w:r>
          </w:p>
        </w:tc>
        <w:tc>
          <w:tcPr>
            <w:tcW w:w="5000" w:type="dxa"/>
            <w:gridSpan w:val="1"/>
          </w:tcPr>
          <w:p>
            <w:pPr/>
            <w:r>
              <w:rPr>
                <w:b w:val="1"/>
                <w:bCs w:val="1"/>
              </w:rPr>
              <w:t xml:space="preserve">2020 Development Objective Progress Rating</w:t>
            </w:r>
          </w:p>
        </w:tc>
        <w:tc>
          <w:tcPr>
            <w:tcW w:w="5000" w:type="dxa"/>
            <w:gridSpan w:val="1"/>
          </w:tcPr>
          <w:p>
            <w:pPr/>
            <w:r>
              <w:rPr>
                <w:b w:val="1"/>
                <w:bCs w:val="1"/>
              </w:rPr>
              <w:t xml:space="preserve">2020 Implementation Progress Rating</w:t>
            </w:r>
          </w:p>
        </w:tc>
      </w:tr>
      <w:tr>
        <w:trPr/>
        <w:tc>
          <w:tcPr>
            <w:tcW w:w="5000" w:type="dxa"/>
            <w:gridSpan w:val="1"/>
          </w:tcPr>
          <w:p>
            <w:pPr/>
            <w:r>
              <w:rPr>
                <w:b w:val="1"/>
                <w:bCs w:val="1"/>
              </w:rPr>
              <w:t xml:space="preserve">UNDP-GEF Technical Adviser</w:t>
            </w:r>
          </w:p>
        </w:tc>
        <w:tc>
          <w:tcPr>
            <w:tcW w:w="5000" w:type="dxa"/>
            <w:gridSpan w:val="1"/>
          </w:tcPr>
          <w:p>
            <w:pPr/>
            <w:r>
              <w:rPr/>
              <w:t xml:space="preserve">Moderately Satisfactory</w:t>
            </w:r>
          </w:p>
        </w:tc>
        <w:tc>
          <w:tcPr>
            <w:tcW w:w="5000" w:type="dxa"/>
            <w:gridSpan w:val="1"/>
          </w:tcPr>
          <w:p>
            <w:pPr/>
            <w:r>
              <w:rPr/>
              <w:t xml:space="preserve">Moderately Unsatisfactory</w:t>
            </w:r>
          </w:p>
        </w:tc>
      </w:tr>
      <w:tr>
        <w:trPr/>
        <w:tc>
          <w:tcPr>
            <w:tcW w:w="5000" w:type="dxa"/>
            <w:gridSpan w:val="1"/>
          </w:tcPr>
          <w:p>
            <w:pPr/>
            <w:r>
              <w:rPr/>
              <w:t xml:space="preserve">Overall Assessment</w:t>
            </w:r>
          </w:p>
        </w:tc>
        <w:tc>
          <w:tcPr>
            <w:tcW w:w="10000" w:type="dxa"/>
            <w:gridSpan w:val="2"/>
          </w:tcPr>
          <w:p>
            <w:pPr/>
            <w:r>
              <w:rPr/>
              <w:t xml:space="preserve">This is the first PIR for this six-year project implementing integrated biodiversity safeguards into development in Palau, with a focus on integrated land and seascape governance, planning and management. With strong foundational progress underway towards targets, progress towards Development Objective (DO) is ‘moderately satisfactory’. This is the same rating as given by the Project Manager (PM) and UNDP Country Office (CO), showing consistent views of project progress. Similarly, implementation progress is progressing well with many elements of implementation on track, however low delivery compounded by COVID-19 results in the implementation progress (IP) rating of ‘moderately unsatisfactory’. This is lower than the CO’s rating of ‘moderately satisfactory’ with the justification that the low delivery is triggering a substantial risk in PIMS+. Beyond the delivery challenges, it is a good result for the project’s first PIR and excellent reporting by the PMU.
</w:t>
            </w:r>
          </w:p>
          <w:p>
            <w:pPr/>
            <w:r>
              <w:rPr/>
              <w:t xml:space="preserve">
</w:t>
            </w:r>
          </w:p>
          <w:p>
            <w:pPr/>
            <w:r>
              <w:rPr/>
              <w:t xml:space="preserve">
</w:t>
            </w:r>
          </w:p>
          <w:p>
            <w:pPr/>
            <w:r>
              <w:rPr/>
              <w:t xml:space="preserve">PROGRESS TOWARDS DEVELOPMENT OBJECTIVES (DO)
</w:t>
            </w:r>
          </w:p>
          <w:p>
            <w:pPr/>
            <w:r>
              <w:rPr/>
              <w:t xml:space="preserve">
</w:t>
            </w:r>
          </w:p>
          <w:p>
            <w:pPr/>
            <w:r>
              <w:rPr/>
              <w:t xml:space="preserve">For a first PIR, the reporting against the DO progress tab is excellent. The project is proceeding well with its foundational work that will support achievement of targets, although challenged by low delivery and delays associated with COVID-19 restrictions that have seen a few slippages, particularly against Outcome 3. To date it is too early to see clear progress in some areas, however given it is the first PIR targets remain within reach with only minor shortcomings, and progress is assessed as ‘moderately satisfactory’.  
</w:t>
            </w:r>
          </w:p>
          <w:p>
            <w:pPr/>
            <w:r>
              <w:rPr/>
              <w:t xml:space="preserve">
</w:t>
            </w:r>
          </w:p>
          <w:p>
            <w:pPr/>
            <w:r>
              <w:rPr/>
              <w:t xml:space="preserve">The project objective is assessed by the PM as ‘on track’ as foundational work has commenced. Work on integrated planning in Babeldoab and the Southern Lagoon that will support an increased area under land/seascape planning, and improved institutional frameworks for conservation and NRM, is underway. Achievement of targets will also be supported by the completion of integrated land/seascape planning for all 10 States in Babeldoab instead of the originally-proposed seven. A baseline correction has been made to the first project indicator based on improved data availability. The project will shortly start livelihoods work and project grants to strengthen NRM at villages level – this will help progress towards the household benefits mid-term target, although the baseline still needs verification. 
</w:t>
            </w:r>
          </w:p>
          <w:p>
            <w:pPr/>
            <w:r>
              <w:rPr/>
              <w:t xml:space="preserve">
</w:t>
            </w:r>
          </w:p>
          <w:p>
            <w:pPr/>
            <w:r>
              <w:rPr/>
              <w:t xml:space="preserve">Outcome 1 is focused on enhancing national planning and management systems. Due to progress against relevant activities, this outcome is assessed as ‘on track’. Improved capacity development scores are already apparent, with some already meeting mid-term targets of 10% increase since baseline. This has been supported by training and tailored mentoring and the establishment of planning teams and coordination bodies that build cross-agency engagement on integrated planning. Similarly, minor improvements are evident in the IAS tracking tool, building off project investment in strengthening the national IAS framework. Often capacity development scorecards and tracking tools are not updated until mid-term, so this is an excellent approach to M&amp;E by the PMU to detect early trends. While current data does not show a positive trajectory on environmental assessment (EA) reviews, work is underway to revise and strengthen earthmoving regulations and permits. As noted in the DO progress tab, trends on percentage of projects requiring EA are variable and this year’s data does not imply that targets won’t be achieved. Similarly, while compliance rate for earthmoving projects over the past year was 95% up from baseline of 85%, the ongoing trend will not be clear until later in the project. The PMU has done an excellent explanation of the limitation of early trends in the DO progress tab.
</w:t>
            </w:r>
          </w:p>
          <w:p>
            <w:pPr/>
            <w:r>
              <w:rPr/>
              <w:t xml:space="preserve">
</w:t>
            </w:r>
          </w:p>
          <w:p>
            <w:pPr/>
            <w:r>
              <w:rPr/>
              <w:t xml:space="preserve">Outcome 2 is progressing integrated multi-sector land and seascape planning and management in Babeldoab States, with Outcome 3 progressing similar action in the Southern Lagoon. The PMU has assessed Outcome 2 as ‘on track’ and Outcome 3 as ‘off track’, due to delays in assessments and planning for the Southern Lagoon. These outcomes are largely assessed by biological/ecological indicators that will only become apparent over the timescale of the project. The PMU has done well to report on activities that will support progress towards these targets including mapping of habitats, updated zoning, State planning processes, and community action planning for conservation management and restoration. At this stage, progress is clearer in Babeldoab, with some delays reported in work that will support achievement of coral cover and fish stock improvements in the Southern Lagoon. 
</w:t>
            </w:r>
          </w:p>
          <w:p>
            <w:pPr/>
            <w:r>
              <w:rPr/>
              <w:t xml:space="preserve">
</w:t>
            </w:r>
          </w:p>
          <w:p>
            <w:pPr/>
            <w:r>
              <w:rPr/>
              <w:t xml:space="preserve">Outcome 4 will put in place systems to share benefits and knowledge generated by the project, and progress is ‘on track’. The KAP survey is underway to establish a baseline for community awareness on IAS. With the baseline in place, progress reporting should be possible by mid-term. Similarly, it is too early to report progress on the Ridge to Reef curriculum, although the mid-term target remains within reach. On best practices, the project has already compiled over 50 best practice documents and posted them on the project website. This is a great outcome so early in the project and this strong approach to knowledge management should be built off as the project continues, including opportunities to share best practices with other GEF-funded projects in the Pacific. 
</w:t>
            </w:r>
          </w:p>
          <w:p>
            <w:pPr/>
            <w:r>
              <w:rPr/>
              <w:t xml:space="preserve">
</w:t>
            </w:r>
          </w:p>
          <w:p>
            <w:pPr/>
            <w:r>
              <w:rPr/>
              <w:t xml:space="preserve">Most baselines have been confirmed which is a positive outcome. There are a few remaining baselines to be finalized, which the PMU should try to confirm as soon as possible to enable clear progress reporting in the mid-term review. This information should be provided to UNDP Bangkok for addition to the PIMS+ results framework. Updated baselines will then be shown in next year’s PIR.
</w:t>
            </w:r>
          </w:p>
          <w:p>
            <w:pPr/>
            <w:r>
              <w:rPr/>
              <w:t xml:space="preserve">
</w:t>
            </w:r>
          </w:p>
          <w:p>
            <w:pPr/>
            <w:r>
              <w:rPr/>
              <w:t xml:space="preserve">
</w:t>
            </w:r>
          </w:p>
          <w:p>
            <w:pPr/>
            <w:r>
              <w:rPr/>
              <w:t xml:space="preserve">IMPLEMENTATION PROGRESS (IP)
</w:t>
            </w:r>
          </w:p>
          <w:p>
            <w:pPr/>
            <w:r>
              <w:rPr/>
              <w:t xml:space="preserve">
</w:t>
            </w:r>
          </w:p>
          <w:p>
            <w:pPr/>
            <w:r>
              <w:rPr/>
              <w:t xml:space="preserve">The project is overall well-managed but challenged by low delivery. As delivery is low and triggering a substantial project risk in PIMS+, an IP rating of ‘moderately unsatisfactory’ is given. Other elements of implementation remain broadly on track and adaptive management is very good.
</w:t>
            </w:r>
          </w:p>
          <w:p>
            <w:pPr/>
            <w:r>
              <w:rPr/>
              <w:t xml:space="preserve">
</w:t>
            </w:r>
          </w:p>
          <w:p>
            <w:pPr/>
            <w:r>
              <w:rPr/>
              <w:t xml:space="preserve">The project had a successful inception phase. The inception workshop was held on 6-7 November 2018 and the inception report finalized shortly after in December 2018. The inception report clearly documents the inception discussions, updated context, threats, risks and opportunities for the project, confirmation of Project Board and PMU, and any changes adopted to the project during the inception phase. This included minor amendments to the project results framework (e.g. update to indicator 5 capacity development target), which were adopted by the Project Board and RTA and captured in this PIR. 
</w:t>
            </w:r>
          </w:p>
          <w:p>
            <w:pPr/>
            <w:r>
              <w:rPr/>
              <w:t xml:space="preserve">
</w:t>
            </w:r>
          </w:p>
          <w:p>
            <w:pPr/>
            <w:r>
              <w:rPr/>
              <w:t xml:space="preserve">The Project Board includes the Implementing Partner the Ministry of Natural Resources, Environment and Tourism (MNRET), the Governor’s Association (representing States). The first Project Board meeting was held in November 2018 shortly after the project commenced and the Board has met as scheduled (twice per year) since then to adopt annual work plans and discuss project progress. 
</w:t>
            </w:r>
          </w:p>
          <w:p>
            <w:pPr/>
            <w:r>
              <w:rPr/>
              <w:t xml:space="preserve">
</w:t>
            </w:r>
          </w:p>
          <w:p>
            <w:pPr/>
            <w:r>
              <w:rPr/>
              <w:t xml:space="preserve">The project has an effective PMU established within the Environment Planning Unit under the Office of the Minister in MNRET. There were some delays in setting up the PMU but this is now well-established, and has been strengthened by the recruitment of the dedicated Project Coordinator and Environmental Planner. The PMU has put a lot of effort into gaining stakeholder understanding and engagement in the project which should support future implementation, particularly given the integrated, cross-sector focus of the project.
</w:t>
            </w:r>
          </w:p>
          <w:p>
            <w:pPr/>
            <w:r>
              <w:rPr/>
              <w:t xml:space="preserve">
</w:t>
            </w:r>
          </w:p>
          <w:p>
            <w:pPr/>
            <w:r>
              <w:rPr/>
              <w:t xml:space="preserve">As often occurs, the project has had a slow start in terms of delivery, and this has been compounded by COVID-19 delays. Cumulative delivery stands at less than 10% at end June 2020. Delivery for 2019 was a disappointing 20% of the approved budget of $1,000,000, although this was likely an unrealistic delivery target for the first year of the project. To 2020 mid-point, delivery is similarly challenged, at 11% of the approved budget of $591,000. The CO assessment in this PIR provides good guidance on how low delivery can be corrected in coming years. The PMU is thinking adaptively on how to improve delivery and overcome restrictions on use of international consultants while international travel arrangements remain restricted. Enhancing delivery will remain a priority for the coming 12 months and the PMU should continue quarterly discussions with the CO to identify and resolve delivery challenges and bottlenecks. 
</w:t>
            </w:r>
          </w:p>
          <w:p>
            <w:pPr/>
            <w:r>
              <w:rPr/>
              <w:t xml:space="preserve">
</w:t>
            </w:r>
          </w:p>
          <w:p>
            <w:pPr/>
            <w:r>
              <w:rPr/>
              <w:t xml:space="preserve">The project has been delayed by COVID-19 which has impacted procurement processes, stakeholder consultations/workshops and travel. There have been no cases of COVID-19 on Palau but the impacts are from social distancing and travel restrictions such as cessation of international travel. The project has managed adaptively to adjust ongoing procurement processes from international consultants to national consultants/companies, and to push back activities as needed. There are potential areas of alignment of the project to government’s COVID-19 recovery: (i) Biosecurity: the project is strengthening biosecurity capacity and enhanced biosecurity effort (e.g. greater screening of arriving air/sea vessels) is part of government's strategy in response to COVID-19; (ii) Tourism: the tourism industry has been hit hard by the international travel restrictions and there is the potential that project effort on tourism could support green tourism recovery following COVID-19. 
</w:t>
            </w:r>
          </w:p>
          <w:p>
            <w:pPr/>
            <w:r>
              <w:rPr/>
              <w:t xml:space="preserve">
</w:t>
            </w:r>
          </w:p>
          <w:p>
            <w:pPr/>
            <w:r>
              <w:rPr/>
              <w:t xml:space="preserve">The impact of COVID-19 will likely push back the efforts on establishing a cost-recovery biosecurity system due to the additional pressures on biosecurity in response to the pandemic. Activities that are reliant on airports being opened (e.g. training, cost recovery revenue) are delayed. Second, the government has put in place a requirement that frontline employees must receive a hazardous pay allowance which has a budgetary impact on the project. A minor change in project activities has been endorsed due to COVID-19 allowing for the use of project funds to cover a hazardous pay allowance for project officers that are counted as frontline employees. The project covers salaries for three temporary biosecurity officers and they are now required by Executive Order of the President to receive the hazardous pay allowance introduced in response to COVID-19. There is no change to the activity but an increase in the budget allocation to it to cover the additional allowance while the Executive Order stays in place for ship/plane inspections. No change to proposed tourism activities is considered needed in response to COVID-19 at this stage, and no significant delays are expected to these activities since the tourism demonstration was set back later in the project to follow enabling regulatory work that is currently underway. Tourism work is still considered feasible and politically aligned under COVID-19 recovery. There may need to be some shifts/reinterpretation as the project continues such as diversification towards domestic tourism and enhanced focus on resiliency of livelihoods/diversification of livelihoods beyond tourism. At this point no additional budget allocation on tourism is expected. This can be reviewed again prior to the commencement of demonstration activities to confirm they remain feasible and aligned to government's tourism directions.
</w:t>
            </w:r>
          </w:p>
          <w:p>
            <w:pPr/>
            <w:r>
              <w:rPr/>
              <w:t xml:space="preserve">
</w:t>
            </w:r>
          </w:p>
          <w:p>
            <w:pPr/>
            <w:r>
              <w:rPr/>
              <w:t xml:space="preserve">The project has had an effective approach to risk management and risks were updated as part of the inception report. There is a multi-part risk detailed in this PIR capturing implementation risks linked to COVID-19 (as outlined above). In response, the PMU has taken adaptive measures to use national rather than international experts, and adopt virtual meeting processes as needed. Particular risk and uncertainty is noted for Koror State’s ongoing engagement in the project as planned under Outcome 3. The adaptive responses to this will need to be managed in coming months in close consultation with local stakeholders. If a shift from tourism is proposed, replacement with appropriate activities that would still achieve biodiversity and land degradation global benefits would be required. This adaptive management can be captured in the proposed planning workshop for 2020. Low delivery is listed as a substantial project risk on PIMS+.
</w:t>
            </w:r>
          </w:p>
          <w:p>
            <w:pPr/>
            <w:r>
              <w:rPr/>
              <w:t xml:space="preserve">
</w:t>
            </w:r>
          </w:p>
          <w:p>
            <w:pPr/>
            <w:r>
              <w:rPr/>
              <w:t xml:space="preserve">The PMU has reported some gender outcomes in this PIR and completed an updated gender assessment to correct gaps in the baseline assessment. The project has identified risks with women’s participation in the project linked to COVID-19 (e.g. difficult participating when during times of school closure, male-led discussions on tourism-unemployment impacts of COVID-19). The PMU should continue to think adaptively about how to maintain women’s participation in project activities and capture this as part of the proposed planning session. With implementation underway the PMU is encouraged to update the SESP to confirm that the risks assessed during PPG fully capture potential project social and environmental risks, and that proposed mitigation responses remain practical and are being implemented effectively. This will also allow for the new risks identified in this PIR linked to COVID-19 to be added to the project SESP, and considered by the Project Board and UNDP Fiji.
</w:t>
            </w:r>
          </w:p>
          <w:p>
            <w:pPr/>
            <w:r>
              <w:rPr/>
              <w:t xml:space="preserve">
</w:t>
            </w:r>
          </w:p>
          <w:p>
            <w:pPr/>
            <w:r>
              <w:rPr/>
              <w:t xml:space="preserve">The project has had an excellent start on knowledge management with the best practices work completed. Future opportunities that can be explored to facilitate knowledge exchange include bilateral exchange with FSM R2R project on preparation of Strategic Environmental Assessments/Integrated land/seascape planning, and coordination with other GEF-funded projects on IAS including the UNEP-supported, SPREP-executed regional project. 
</w:t>
            </w:r>
          </w:p>
          <w:p>
            <w:pPr/>
            <w:r>
              <w:rPr/>
              <w:t xml:space="preserve">
</w:t>
            </w:r>
          </w:p>
          <w:p>
            <w:pPr/>
            <w:r>
              <w:rPr/>
              <w:t xml:space="preserve">The project mid-term review is scheduled to take place in July 2021. The project should start preparing for the MTR in early 2021 to ensure that the evaluation team can be recruited and mission scheduled by this date (as needed the international consultant can contribute virtually). It is important that M&amp;E gaps are closed by this time. At the MTR this GEF-6 project will need to transition from GEF tracking tools to GEF Core Indicators in accordance with the GEF-7 results architecture. The RTA can support the PMU in identifying these shifts ahead of the MTR mission, so that changes can be captured in the MTR report.
</w:t>
            </w:r>
          </w:p>
          <w:p>
            <w:pPr/>
            <w:r>
              <w:rPr/>
              <w:t xml:space="preserve">
</w:t>
            </w:r>
          </w:p>
          <w:p>
            <w:pPr/>
            <w:r>
              <w:rPr/>
              <w:t xml:space="preserve">
</w:t>
            </w:r>
          </w:p>
          <w:p>
            <w:pPr/>
            <w:r>
              <w:rPr/>
              <w:t xml:space="preserve">RECOMMENDATIONS
</w:t>
            </w:r>
          </w:p>
          <w:p>
            <w:pPr/>
            <w:r>
              <w:rPr/>
              <w:t xml:space="preserve">
</w:t>
            </w:r>
          </w:p>
          <w:p>
            <w:pPr/>
            <w:r>
              <w:rPr/>
              <w:t xml:space="preserve">1) Continue regular delivery discussions with UNDP Fiji Office on steps to be taken to improve delivery, including adaptive work planning in response to COVID-19 impacts; 2) Finalize remaining baselines as soon as possible and submit finalized baselines to UNDP Bangkok for addition to the formal project results framework in PIMS+; 3) Continue to reassess the project SESP as activities continue to be implemented to confirm potential new or escalated risks are captured; 4) Progress opportunities for South-South cooperation including exchange with FSM on their experiences with strategic environmental assessments, and with SPREP for the regional GEF-funded Pacific IAS project. Coordination can be facilitated by UNDP; 5) Start planning for the mid-term review in early 2021 including finalization of evaluator TORs and identification of how the project will transition from GEF tracking tools to GEF core indicators. 
</w:t>
            </w:r>
          </w:p>
          <w:p>
            <w:pPr/>
            <w:r>
              <w:rPr/>
              <w:t xml:space="preserve"/>
            </w:r>
          </w:p>
        </w:tc>
      </w:tr>
    </w:tbl>
    <w:p>
      <w:pPr>
        <w:sectPr>
          <w:pgSz w:orient="portrait" w:w="11905.511811023622" w:h="16837.79527559055"/>
          <w:pgMar w:top="500" w:right="500" w:bottom="500" w:left="500" w:header="720" w:footer="720" w:gutter="0"/>
          <w:cols w:num="1" w:space="720"/>
        </w:sectPr>
      </w:pPr>
    </w:p>
    <w:p>
      <w:pPr>
        <w:pStyle w:val="Heading1"/>
      </w:pPr>
      <w:bookmarkStart w:id="8" w:name="_Toc8"/>
      <w:r>
        <w:t>Gender</w:t>
      </w:r>
      <w:bookmarkEnd w:id="8"/>
    </w:p>
    <w:p>
      <w:pPr>
        <w:spacing w:before="400"/>
      </w:pPr>
      <w:r>
        <w:rPr>
          <w:sz w:val="24"/>
          <w:szCs w:val="24"/>
          <w:b w:val="1"/>
          <w:bCs w:val="1"/>
        </w:rPr>
        <w:t xml:space="preserve">Progress in Advancing Gender Equality and Women's Empowerment</w:t>
      </w:r>
    </w:p>
    <w:p>
      <w:pPr>
        <w:spacing w:after="400"/>
      </w:pPr>
      <w:r>
        <w:rPr/>
        <w:t xml:space="preserve">This information is used in the UNDP-GEF Annual Performance Report, UNDP-GEF Annual Gender Report, reporting to the UNDP Gender Steering and Implementation Committee and for other internal and external communications and learning.  The Project Manager and/or Project Gender Officer should complete this section with support from the UNDP Country Office.  </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tcPr>
          <w:p>
            <w:pPr/>
            <w:r>
              <w:rPr>
                <w:b w:val="1"/>
                <w:bCs w:val="1"/>
              </w:rPr>
              <w:t xml:space="preserve">Gender Analysis and Action Plan: </w:t>
            </w:r>
            <w:hyperlink r:id="rId10" w:history="1">
              <w:r>
                <w:rPr>
                  <w:color w:val="#0000FF"/>
                  <w:u w:val="single"/>
                </w:rPr>
                <w:t xml:space="preserve">Palau GEF6 Gender Assessment and Mainstreaming Plan.pdf</w:t>
              </w:r>
            </w:hyperlink>
          </w:p>
        </w:tc>
      </w:tr>
      <w:tr>
        <w:trPr/>
        <w:tc>
          <w:tcPr>
            <w:tcW w:w="10000" w:type="dxa"/>
            <w:shd w:val="clear" w:fill="#D9D9D9"/>
            <w:gridSpan w:val="1"/>
          </w:tcPr>
          <w:p>
            <w:pPr/>
            <w:r>
              <w:rPr>
                <w:b w:val="1"/>
                <w:bCs w:val="1"/>
              </w:rPr>
              <w:t xml:space="preserve">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tcPr>
          <w:p>
            <w:pPr>
              <w:spacing w:before="0" w:after="0"/>
            </w:pPr>
            <w:hyperlink r:id="rId10" w:history="1">
              <w:r>
                <w:rPr>
                  <w:color w:val="#0000FF"/>
                  <w:u w:val="single"/>
                </w:rPr>
                <w:t xml:space="preserve">Palau GEF6 Gender Assessment and Mainstreaming Plan.pdf</w:t>
              </w:r>
            </w:hyperlink>
          </w:p>
          <w:p>
            <w:pP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Atlas Gender Marker Rating</w:t>
            </w:r>
          </w:p>
        </w:tc>
      </w:tr>
      <w:tr>
        <w:trPr/>
        <w:tc>
          <w:tcPr>
            <w:tcW w:w="10000" w:type="dxa"/>
          </w:tcPr>
          <w:p>
            <w:pPr/>
            <w:r>
              <w:rPr>
                <w:b w:val="1"/>
                <w:bCs w:val="1"/>
              </w:rPr>
              <w:t xml:space="preserve">GEN2: </w:t>
            </w:r>
            <w:r>
              <w:rPr/>
              <w:t xml:space="preserve">gender equality as significant objective </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Please indicate in which results areas the project is contributing to gender equality (you may select more than one results area, or select not applicable):</w:t>
            </w:r>
          </w:p>
        </w:tc>
      </w:tr>
      <w:tr>
        <w:trPr/>
        <w:tc>
          <w:tcPr>
            <w:tcW w:w="10000" w:type="dxa"/>
            <w:gridSpan w:val="1"/>
          </w:tcPr>
          <w:p>
            <w:pPr/>
            <w:r>
              <w:rPr/>
              <w:t xml:space="preserve">Contributing to closing gender gaps in access to and control over resources: Yes</w:t>
            </w:r>
          </w:p>
        </w:tc>
      </w:tr>
      <w:tr>
        <w:trPr/>
        <w:tc>
          <w:tcPr>
            <w:tcW w:w="10000" w:type="dxa"/>
            <w:gridSpan w:val="1"/>
          </w:tcPr>
          <w:p>
            <w:pPr/>
            <w:r>
              <w:rPr/>
              <w:t xml:space="preserve">Improving the participation and decision-making of women in natural resource governance: Yes</w:t>
            </w:r>
          </w:p>
        </w:tc>
      </w:tr>
      <w:tr>
        <w:trPr/>
        <w:tc>
          <w:tcPr>
            <w:tcW w:w="10000" w:type="dxa"/>
            <w:gridSpan w:val="1"/>
          </w:tcPr>
          <w:p>
            <w:pPr/>
            <w:r>
              <w:rPr/>
              <w:t xml:space="preserve">Targeting socio-economic benefits and services for women: No</w:t>
            </w:r>
          </w:p>
        </w:tc>
      </w:tr>
      <w:tr>
        <w:trPr/>
        <w:tc>
          <w:tcPr>
            <w:tcW w:w="10000" w:type="dxa"/>
            <w:gridSpan w:val="1"/>
          </w:tcPr>
          <w:p>
            <w:pPr/>
            <w:r>
              <w:rPr/>
              <w:t xml:space="preserve">Not applicable: 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Please specify results achieved this reporting period that focus on increasing gender equality and the empowerment of women.
</w:t>
            </w:r>
          </w:p>
          <w:p>
            <w:pPr/>
            <w:r>
              <w:rPr>
                <w:b w:val="1"/>
                <w:bCs w:val="1"/>
              </w:rPr>
              <w:t xml:space="preserve">
</w:t>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 </w:t>
            </w:r>
          </w:p>
        </w:tc>
      </w:tr>
      <w:tr>
        <w:trPr/>
        <w:tc>
          <w:tcPr>
            <w:tcW w:w="10000" w:type="dxa"/>
            <w:gridSpan w:val="1"/>
          </w:tcPr>
          <w:p>
            <w:pPr/>
            <w:r>
              <w:rPr/>
              <w:t xml:space="preserve">As a direct result of GEF6, the participation of women on planning teams has increased from 23% to 41%. The Project purposefully advocated for women to serve on land planning teams, both at the State Level and on the Joint Bodies. This was a specific ask made to elected officials (10 out of 12 of whom are male) so as to achieve gender balance. The Babeldaob JCB is now dominated by women (only 2 men), and corrective action may need to be taken to ensure that men’s concerns are addressed fully. However, the dominance of women on the team has already identified missing needs that must be addressed for Babeldaob to develop sustainably (e.g. child care as essential infrastructure for sustainable development). Gender mainstreaming and a Gender and Inclusive lens has been included in the Project’s Safeguards, Bylaws and SOPs, Templates, and tools and has been addressed in person as well as through regular communications. While not at 100%, it is high and improving.
</w:t>
            </w:r>
          </w:p>
          <w:p>
            <w:pPr/>
            <w:r>
              <w:rPr/>
              <w:t xml:space="preserve">
</w:t>
            </w:r>
          </w:p>
          <w:p>
            <w:pPr/>
            <w:r>
              <w:rPr/>
              <w:t xml:space="preserve">MNRET had increased its advocacy for gender mainstreaming outside of the Project itself, as part of general environmental coordination efforts. This means influencing processes such as a biennial National Environment Symposium, insisting that opportunities for women to benefit from offshore fisheries are included in fisheries proposals, and influencing other National planning efforts (such as climate adaptation).  
</w:t>
            </w:r>
          </w:p>
          <w:p>
            <w:pPr/>
            <w:r>
              <w:rPr/>
              <w:t xml:space="preserve">
</w:t>
            </w:r>
          </w:p>
          <w:p>
            <w:pPr/>
            <w:r>
              <w:rPr/>
              <w:t xml:space="preserve">Covid-19 has presented some new risks. Women are responsible for child care and when schools closed, it was harder for women to participate in activities. National discussions about changing needs due to border closures and reduced tourism are being driven by men. Unemployment in the tourism sectors may be dominated by men, and the Project will need to address this as planning continues.
</w:t>
            </w:r>
          </w:p>
          <w:p>
            <w:pPr/>
            <w:r>
              <w:rPr/>
              <w:t xml:space="preserve">
</w:t>
            </w:r>
          </w:p>
          <w:p>
            <w:pPr/>
            <w:r>
              <w:rPr/>
              <w:t xml:space="preserve">Participation by women on planning teams had been low, even though employment by women in the environment sector is higher than men. However, decision-making about land use has been dominated by men. This Project is identifying that men and women have different concerns and that both must be addressed for Babeldaob to develop sustainably. 
</w:t>
            </w:r>
          </w:p>
          <w:p>
            <w:pPr/>
            <w:r>
              <w:rPr/>
              <w:t xml:space="preserve">When this project was in development and conducted its baseline Gender Assessment, some men walked out rather than participate in the assessment. In preparation for this PIR, a follow-up assessment was conducted. Several men indicated disagreement/displeasure, but in the end participated. Input to this Gender Assessment was more balanced (baseline was 10 women/2 men; 2020 PIR was 10 women/11 men). The involvement of more men in the follow-up assessment also helped identify areas where capacity and understanding should be focused (e.g. government gender policies are not accepted and understood).</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Please describe how work to advance gender equality and women's empowerment enhanced the project's environmental and/or resilience outcomes.</w:t>
            </w:r>
          </w:p>
        </w:tc>
      </w:tr>
      <w:tr>
        <w:trPr/>
        <w:tc>
          <w:tcPr>
            <w:tcW w:w="10000" w:type="dxa"/>
            <w:gridSpan w:val="1"/>
          </w:tcPr>
          <w:p>
            <w:pPr/>
            <w:r>
              <w:rPr/>
              <w:t xml:space="preserve">Participation by women is connected to increased capacity of women to participated in adaptive management. Planning Teams – with higher female participation and many with a woman as the Chair or “task-master” – are already showing increased confidence and ability to plan on their own. This means that States are better poised to address their needs on their own, without waiting for assistance from the National Government. </w:t>
            </w:r>
          </w:p>
        </w:tc>
      </w:tr>
    </w:tbl>
    <w:p>
      <w:pPr>
        <w:sectPr>
          <w:pgSz w:orient="portrait" w:w="11905.511811023622" w:h="16837.79527559055"/>
          <w:pgMar w:top="1440" w:right="1440" w:bottom="1440" w:left="1440" w:header="720" w:footer="720" w:gutter="0"/>
          <w:cols w:num="1" w:space="720"/>
        </w:sectPr>
      </w:pPr>
    </w:p>
    <w:p>
      <w:pPr>
        <w:pStyle w:val="Heading1"/>
      </w:pPr>
      <w:bookmarkStart w:id="9" w:name="_Toc9"/>
      <w:r>
        <w:t>Social and Environmental Standards</w:t>
      </w:r>
      <w:bookmarkEnd w:id="9"/>
    </w:p>
    <w:p>
      <w:pPr>
        <w:spacing w:before="400"/>
      </w:pPr>
      <w:r>
        <w:rPr>
          <w:sz w:val="24"/>
          <w:szCs w:val="24"/>
          <w:b w:val="1"/>
          <w:bCs w:val="1"/>
        </w:rPr>
        <w:t xml:space="preserve">Social and Environmental Standards (Safeguards)</w:t>
      </w:r>
    </w:p>
    <w:p>
      <w:pPr>
        <w:spacing w:after="400"/>
      </w:pPr>
      <w:r>
        <w:rPr/>
        <w:t xml:space="preserve">The Project Manager and/or the project’s Safeguards Officer should complete this section of the PIR with support from the UNDP Country Office. The UNDP-GEF RTA should review to ensure it is complete and accurate.</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tcPr>
          <w:p>
            <w:pPr/>
            <w:r>
              <w:rPr>
                <w:b w:val="1"/>
                <w:bCs w:val="1"/>
              </w:rPr>
              <w:t xml:space="preserve">SESP: </w:t>
            </w:r>
            <w:hyperlink r:id="rId11" w:history="1">
              <w:r>
                <w:rPr>
                  <w:color w:val="#0000FF"/>
                  <w:u w:val="single"/>
                </w:rPr>
                <w:t xml:space="preserve">Annex 9 Social and Environmental Screening.pdf</w:t>
              </w:r>
            </w:hyperlink>
          </w:p>
        </w:tc>
      </w:tr>
      <w:tr>
        <w:trPr/>
        <w:tc>
          <w:tcPr>
            <w:tcW w:w="10000" w:type="dxa"/>
            <w:shd w:val="clear" w:fill="#D9D9D9"/>
            <w:gridSpan w:val="1"/>
          </w:tcPr>
          <w:p>
            <w:pPr/>
            <w:r>
              <w:rPr>
                <w:b w:val="1"/>
                <w:bCs w:val="1"/>
              </w:rPr>
              <w:t xml:space="preserve">For reference, please find below the project's safeguards screening (Social and Environmental Screening Procedure (SESP) or the old ESSP tool); management plans (if any); and its SESP categorization above.  Please note that the SESP categorization might have been corrected during a centralized review. </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1) Have any new social and/or environmental risks been identified during project implementation?</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If any new social and/or environmental risks have been identified during project implementation please describe the new risk(s) and the response to it. </w:t>
            </w:r>
          </w:p>
        </w:tc>
      </w:tr>
      <w:tr>
        <w:trPr/>
        <w:tc>
          <w:tcPr>
            <w:tcW w:w="10000" w:type="dxa"/>
            <w:gridSpan w:val="1"/>
          </w:tcPr>
          <w:p>
            <w:pPr/>
            <w:r>
              <w:rPr/>
              <w:t xml:space="preserve">Covid-19 and Associated risk:
</w:t>
            </w:r>
          </w:p>
          <w:p>
            <w:pPr/>
            <w:r>
              <w:rPr/>
              <w:t xml:space="preserve">
</w:t>
            </w:r>
          </w:p>
          <w:p>
            <w:pPr/>
            <w:r>
              <w:rPr/>
              <w:t xml:space="preserve">Community Health, Safety, and Working Conditions (Standard 3): Biosecurity Officers employed by the Project risk their health with every freight vessel they must inspect (3-4 week). They are currently receiving hazard pay. Officers are complying with all standards.
</w:t>
            </w:r>
          </w:p>
          <w:p>
            <w:pPr/>
            <w:r>
              <w:rPr/>
              <w:t xml:space="preserve">
</w:t>
            </w:r>
          </w:p>
          <w:p>
            <w:pPr/>
            <w:r>
              <w:rPr/>
              <w:t xml:space="preserve">The Project has NOT identified any new social risks per the SESP table.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2) Have any existing social and/or environmental risks been escalated during the reporting period? For example, when a low risk increased to moderate, or a moderate risk increased to high. </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If any existing social and/or environmental risks have been escalated during implementation please describe the change(s) and the response to it. </w:t>
            </w:r>
          </w:p>
        </w:tc>
      </w:tr>
      <w:tr>
        <w:trPr/>
        <w:tc>
          <w:tcPr>
            <w:tcW w:w="10000" w:type="dxa"/>
            <w:gridSpan w:val="1"/>
          </w:tcPr>
          <w:p>
            <w:pPr/>
            <w:r>
              <w:rPr/>
              <w:t xml:space="preserve">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3) Have any required social and environmental assessments and/or management plans been prepared in the reporting period? For example, an updated Stakeholder Engagement Plan, Environmental and Social Impact Assessment (ESIA) or Indigenous Peoples Plan. </w:t>
            </w:r>
          </w:p>
        </w:tc>
      </w:tr>
      <w:tr>
        <w:trPr/>
        <w:tc>
          <w:tcPr>
            <w:tcW w:w="10000" w:type="dxa"/>
            <w:gridSpan w:val="1"/>
          </w:tcPr>
          <w:p>
            <w:pPr/>
            <w:r>
              <w:rPr/>
              <w:t xml:space="preserve">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If yes, please upload the document(s) above. If no, please explain when the required documents will be prepared.</w:t>
            </w:r>
          </w:p>
        </w:tc>
      </w:tr>
      <w:tr>
        <w:trPr/>
        <w:tc>
          <w:tcPr>
            <w:tcW w:w="10000" w:type="dxa"/>
            <w:gridSpan w:val="1"/>
          </w:tcPr>
          <w:p>
            <w:pPr/>
            <w:r>
              <w:rPr/>
              <w:t xml:space="preserve">N/A</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4) Has the project received complaints related to social and/or environmental impacts (actual or potential )?  </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If yes,  please describe the complaint(s) or grievance(s) in detail including the status, significance, who was involved and what action was taken. </w:t>
            </w:r>
          </w:p>
        </w:tc>
      </w:tr>
      <w:tr>
        <w:trPr/>
        <w:tc>
          <w:tcPr>
            <w:tcW w:w="10000" w:type="dxa"/>
            <w:gridSpan w:val="1"/>
          </w:tcPr>
          <w:p>
            <w:pPr/>
            <w:r>
              <w:rPr/>
              <w:t xml:space="preserve">N/A</w:t>
            </w:r>
          </w:p>
        </w:tc>
      </w:tr>
    </w:tbl>
    <w:p>
      <w:pPr>
        <w:sectPr>
          <w:pgSz w:orient="portrait" w:w="11905.511811023622" w:h="16837.79527559055"/>
          <w:pgMar w:top="1440" w:right="1440" w:bottom="1440" w:left="1440" w:header="720" w:footer="720" w:gutter="0"/>
          <w:cols w:num="1" w:space="720"/>
        </w:sectPr>
      </w:pPr>
    </w:p>
    <w:p>
      <w:pPr>
        <w:pStyle w:val="Heading1"/>
      </w:pPr>
      <w:bookmarkStart w:id="10" w:name="_Toc10"/>
      <w:r>
        <w:t>Communicating Impact</w:t>
      </w:r>
      <w:bookmarkEnd w:id="10"/>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Tell us the story of the project focusing on how the project has helped to improve people’s lives.
</w:t>
            </w:r>
          </w:p>
          <w:p>
            <w:pPr/>
            <w:r>
              <w:rPr>
                <w:b w:val="1"/>
                <w:bCs w:val="1"/>
              </w:rPr>
              <w:t xml:space="preserve">(This text will be used for UNDP corporate communications, the UNDP-GEF website, and/or other internal and external knowledge and learning efforts.)</w:t>
            </w:r>
          </w:p>
        </w:tc>
      </w:tr>
      <w:tr>
        <w:trPr/>
        <w:tc>
          <w:tcPr>
            <w:tcW w:w="10000" w:type="dxa"/>
            <w:gridSpan w:val="1"/>
          </w:tcPr>
          <w:p>
            <w:pPr/>
            <w:r>
              <w:rPr/>
              <w:t xml:space="preserve">Through the Palau GEF6 Project, the Ministry of Natural Resources, Environment, &amp; Tourism is protecting biodiversity and natural resources by improving planning processes, communication, coordination, and partnerships between National and State sectors. A strong emphasis on sustainability, participatory input, and equity is leading to advancements in community capacity and support for mainstreaming of environmental and social safeguards.
</w:t>
            </w:r>
          </w:p>
          <w:p>
            <w:pPr/>
            <w:r>
              <w:rPr/>
              <w:t xml:space="preserve">
</w:t>
            </w:r>
          </w:p>
          <w:p>
            <w:pPr/>
            <w:r>
              <w:rPr/>
              <w:t xml:space="preserve">The Project has seen massive growth in planning capacity, with the establishment of 9 State Planning Teams, 2 Landscape-level planning teams, and a variety of working groups for enforcement, biosecurity, and environmental management. Over 70 individuals are already participating in the Project, with uptake of best practices in land management occurring in every State. The Project worked with State Governors to successfully form a Joint Coordination Body for all 10 States on Babeldaob composed entirely of State representatives and 1 Ministry representative – the actual resource owners – a first for Palau. This committed group has already identified areas of commonality for a joint island-wide Vision. 
</w:t>
            </w:r>
          </w:p>
          <w:p>
            <w:pPr/>
            <w:r>
              <w:rPr/>
              <w:t xml:space="preserve">
</w:t>
            </w:r>
          </w:p>
          <w:p>
            <w:pPr/>
            <w:r>
              <w:rPr/>
              <w:t xml:space="preserve">Communications and coordination efforts of the project have successfully collected and catalogued policy documents and Best Practices and shared these widely. Access to and advocacy for Best Practices has already increased their uptake. The nation’s complex web of policies, plans, and scientific information is being distilled into clearer Safeguards, which are being streamlined into State Plans. Sharing of information on invasive species and clearer biosecurity protocols has already stopped the use and spread of invasive species in some locations. During this global Coronavirus Pandemic, a team of dedicated frontline Biosecurity Officers employed by the Project put themselves in harm’s way regularly by inspecting every incoming vessel. 
</w:t>
            </w:r>
          </w:p>
          <w:p>
            <w:pPr/>
            <w:r>
              <w:rPr/>
              <w:t xml:space="preserve">
</w:t>
            </w:r>
          </w:p>
          <w:p>
            <w:pPr/>
            <w:r>
              <w:rPr/>
              <w:t xml:space="preserve">A strong emphasis on gender and social inclusivity has already produced positive impacts. Participation by women in planning teams increased from 23 to 41%. The inclusive lens is being used by the Project and has contributed to more assessment of equitable input and benefits in other national programs as well. </w:t>
            </w:r>
          </w:p>
        </w:tc>
      </w:tr>
    </w:tbl>
    <w:p>
      <w:pPr>
        <w:spacing w:before="400"/>
      </w:pPr>
      <w:r>
        <w:rPr>
          <w:sz w:val="24"/>
          <w:szCs w:val="24"/>
          <w:b w:val="1"/>
          <w:bCs w:val="1"/>
        </w:rPr>
        <w:t xml:space="preserve">Knowledge Management, Project Links and Social Media</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Please describe knowledge activities / products as outlined in knowledge management approved at CEO Endorsement /Approval.
</w:t>
            </w:r>
          </w:p>
          <w:p>
            <w:pPr/>
            <w:r>
              <w:rPr>
                <w:b w:val="1"/>
                <w:bCs w:val="1"/>
              </w:rPr>
              <w:t xml:space="preserve">
</w:t>
            </w:r>
          </w:p>
          <w:p>
            <w:pPr/>
            <w:r>
              <w:rPr>
                <w:b w:val="1"/>
                <w:bCs w:val="1"/>
              </w:rPr>
              <w:t xml:space="preserve">Please also include: project's website, project page on the UNDP website, blogs,  photos stories (e.g. Exposure), Facebook, Twitter, Flickr, YouTube, as well as hyperlinks to any media coverage of the project, for example, stories written by an outside source.  Please upload any supporting files, including photos, videos, stories, and other documents using the 'file lirbary' button in the top right of the PIR.</w:t>
            </w:r>
          </w:p>
        </w:tc>
      </w:tr>
      <w:tr>
        <w:trPr/>
        <w:tc>
          <w:tcPr>
            <w:tcW w:w="10000" w:type="dxa"/>
            <w:gridSpan w:val="1"/>
          </w:tcPr>
          <w:p>
            <w:pPr/>
            <w:r>
              <w:rPr/>
              <w:t xml:space="preserve">The Project is implementing the Communications Strategy in the Project Document. 42% of activities are on track, 29% of activities are just starting or progressing, and 29% of activities are behind. Many delays in implementing the Communications Strategy have been made up in the past four months – an unexpected advantage of the Covid-19 border closure is that with travel stopped, partners are available on-island to participate in and receive communications.
</w:t>
            </w:r>
          </w:p>
          <w:p>
            <w:pPr/>
            <w:r>
              <w:rPr/>
              <w:t xml:space="preserve">
</w:t>
            </w:r>
          </w:p>
          <w:p>
            <w:pPr/>
            <w:r>
              <w:rPr/>
              <w:t xml:space="preserve">Understanding about the Project itself has increased significantly internally (the Ministry) and somewhat externally (by partners), with improvements daily. The Project has a website that is used regularly and is a key resource for partners. Tracking of the website shows that the number of users is growing, and that the Digital Library and Best Practices Pages are accessed regularly. The Project successfully conducted outreach meetings in all 9 Project States (amplified to include an additional 3 states on Babeldaob for a total of 12) in order to set up State Planning Teams and Joint Coordination Bodies, and to create support for Landscape and Master Planning. As a result, teams are already functioning in most locations. Weekly #MainstreamingMondays emails target Project Partners and have been useful in highlighting environmental and social safeguards for mainstreaming.
</w:t>
            </w:r>
          </w:p>
          <w:p>
            <w:pPr/>
            <w:r>
              <w:rPr/>
              <w:t xml:space="preserve">
</w:t>
            </w:r>
          </w:p>
          <w:p>
            <w:pPr/>
            <w:r>
              <w:rPr/>
              <w:t xml:space="preserve">Public awareness activities have started and continue to grow. The Project participated in the 2020 Earth Day Fair, published a Press Release, and uses Social Media. The Project’s use of digital resources and tools is already a model for States. Information collection is progressing slowly, with a KAP survey in progress and a growing library of Best Practices. The Project has not yet started efforts to create an Implementer’s Manual and general awareness activities are delayed due to overall project delays.
</w:t>
            </w:r>
          </w:p>
          <w:p>
            <w:pPr/>
            <w:r>
              <w:rPr/>
              <w:t xml:space="preserve">
</w:t>
            </w:r>
          </w:p>
          <w:p>
            <w:pPr/>
            <w:r>
              <w:rPr/>
              <w:t xml:space="preserve">Project Website: https://sites.google.com/view/gef6palau
</w:t>
            </w:r>
          </w:p>
          <w:p>
            <w:pPr/>
            <w:r>
              <w:rPr/>
              <w:t xml:space="preserve">UNDP: https://www.pacific.undp.org/content/pacific/en/home/countryinfo/palau.html
</w:t>
            </w:r>
          </w:p>
          <w:p>
            <w:pPr/>
            <w:r>
              <w:rPr/>
              <w:t xml:space="preserve">UNDP: https://open.undp.org/profile/PW/recipientprofile
</w:t>
            </w:r>
          </w:p>
          <w:p>
            <w:pPr/>
            <w:r>
              <w:rPr/>
              <w:t xml:space="preserve">Social Media:
</w:t>
            </w:r>
          </w:p>
          <w:p>
            <w:pPr/>
            <w:r>
              <w:rPr/>
              <w:t xml:space="preserve">Facebook (@GEF-6-PALAU)
</w:t>
            </w:r>
          </w:p>
          <w:p>
            <w:pPr/>
            <w:r>
              <w:rPr/>
              <w:t xml:space="preserve">Instagram (@gef6palau)
</w:t>
            </w:r>
          </w:p>
          <w:p>
            <w:pPr/>
            <w:r>
              <w:rPr/>
              <w:t xml:space="preserve">Twitter (@GEF6_Palau)
</w:t>
            </w:r>
          </w:p>
          <w:p>
            <w:pPr/>
            <w:r>
              <w:rPr/>
              <w:t xml:space="preserve">LinkedIn (gef6-mnret-palau)
</w:t>
            </w:r>
          </w:p>
          <w:p>
            <w:pPr/>
            <w:r>
              <w:rPr/>
              <w:t xml:space="preserve">Photos: Flickr: https://www.flickr.com/photos/189071815@N08/
</w:t>
            </w:r>
          </w:p>
          <w:p>
            <w:pPr/>
            <w:r>
              <w:rPr/>
              <w:t xml:space="preserve">Media Coverage: https://islandtimes.org/babeldaob-joint-coordination-body-begins-island-wide-planning-process
</w:t>
            </w:r>
          </w:p>
          <w:p>
            <w:pPr/>
            <w:r>
              <w:rPr/>
              <w:t xml:space="preserve"/>
            </w:r>
          </w:p>
        </w:tc>
      </w:tr>
    </w:tbl>
    <w:p>
      <w:pPr>
        <w:spacing w:before="400"/>
      </w:pPr>
      <w:r>
        <w:rPr>
          <w:sz w:val="24"/>
          <w:szCs w:val="24"/>
          <w:b w:val="1"/>
          <w:bCs w:val="1"/>
        </w:rPr>
        <w:t xml:space="preserve">Project Location Data</w:t>
      </w:r>
    </w:p>
    <w:p>
      <w:pPr>
        <w:spacing w:after="400"/>
      </w:pPr>
      <w:r>
        <w:rPr/>
        <w:t xml:space="preserve">Provide the coordinates for the project’s geo-location sites.  Provide the coordinates in decimal degrees (Longitude and Latitude).  If you are not able to provide the coordinates in decimal degrees, you can alternatively provide them in the Degrees, Minutes, Seconds format.  If you have this information stored in a GIS file, upload it below (e.g. shapefile, kmz/kml, or csv).  If the project has multiple sites, please attach an Excel file with the coordinates for each site in either decimal degrees or in degrees, minutes, seconds format.</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Please attach the GIS data.  Any of the following formats are acceptable:  shapefile (.shp)*, .kmz, .kml.   If helpful, see here a quick note on how to gather geo-reference info. *Note that a shapefile is composed of several files: a .shp file should be zipped in a folder accompanied by the file extensions: .shx, .sbn, .prj, .dbf, .cpg, .sbx, .xml.
</w:t>
            </w:r>
          </w:p>
          <w:p>
            <w:pPr/>
            <w:r>
              <w:rPr>
                <w:b w:val="1"/>
                <w:bCs w:val="1"/>
              </w:rPr>
              <w:t xml:space="preserve">
</w:t>
            </w:r>
          </w:p>
          <w:p>
            <w:pPr/>
            <w:r>
              <w:rPr>
                <w:b w:val="1"/>
                <w:bCs w:val="1"/>
              </w:rPr>
              <w:t xml:space="preserve">If the project has multiple sites, please attach an Excel file with the coordinates for each site in either decimal degrees or in degrees, minutes, seconds format.
</w:t>
            </w:r>
          </w:p>
          <w:p>
            <w:pPr/>
            <w:r>
              <w:rPr>
                <w:b w:val="1"/>
                <w:bCs w:val="1"/>
              </w:rPr>
              <w:t xml:space="preserve"/>
            </w:r>
          </w:p>
        </w:tc>
      </w:tr>
      <w:tr>
        <w:trPr/>
        <w:tc>
          <w:tcPr>
            <w:tcW w:w="10000" w:type="dxa"/>
          </w:tcPr>
          <w:p>
            <w:pPr>
              <w:spacing w:before="0" w:after="0"/>
            </w:pPr>
            <w:hyperlink r:id="rId12" w:history="1">
              <w:r>
                <w:rPr>
                  <w:color w:val="#0000FF"/>
                  <w:u w:val="single"/>
                </w:rPr>
                <w:t xml:space="preserve">PALARIS Layers.zip</w:t>
              </w:r>
            </w:hyperlink>
          </w:p>
          <w:p>
            <w:pP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Provide geo-location in longitude, latitude, format.
</w:t>
            </w:r>
          </w:p>
          <w:p>
            <w:pPr/>
            <w:r>
              <w:rPr>
                <w:b w:val="1"/>
                <w:bCs w:val="1"/>
              </w:rPr>
              <w:t xml:space="preserve">
</w:t>
            </w:r>
          </w:p>
          <w:p>
            <w:pPr/>
            <w:r>
              <w:rPr>
                <w:b w:val="1"/>
                <w:bCs w:val="1"/>
              </w:rPr>
              <w:t xml:space="preserve">If you have this information stored in a GIS file, please upload it below (e.g. shapefile, kmz/kml, or csv).</w:t>
            </w:r>
          </w:p>
        </w:tc>
      </w:tr>
      <w:tr>
        <w:trPr/>
        <w:tc>
          <w:tcPr>
            <w:tcW w:w="10000" w:type="dxa"/>
            <w:gridSpan w:val="1"/>
          </w:tcPr>
          <w:p>
            <w:pPr/>
            <w:r>
              <w:rPr/>
              <w:t xml:space="preserve">7.49527778</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Longitude</w:t>
            </w:r>
          </w:p>
        </w:tc>
      </w:tr>
      <w:tr>
        <w:trPr/>
        <w:tc>
          <w:tcPr>
            <w:tcW w:w="10000" w:type="dxa"/>
            <w:gridSpan w:val="1"/>
          </w:tcPr>
          <w:p>
            <w:pPr/>
            <w:r>
              <w:rPr/>
              <w:t xml:space="preserve">134.56555556</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Alternatively, provide geo-location in degrees, minutes, seconds format. Please also provide information on what the coordinates point to in the space provided.</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Minutes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Seconds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Coordinates description</w:t>
            </w:r>
          </w:p>
        </w:tc>
      </w:tr>
      <w:tr>
        <w:trPr/>
        <w:tc>
          <w:tcPr>
            <w:tcW w:w="10000" w:type="dxa"/>
            <w:gridSpan w:val="1"/>
          </w:tcPr>
          <w:p>
            <w:pPr/>
            <w:r>
              <w:rPr/>
              <w:t xml:space="preserve">7°29'43&amp;quot;N, 134°33'56&amp;quot;E
</w:t>
            </w:r>
          </w:p>
          <w:p>
            <w:pPr/>
            <w:r>
              <w:rPr/>
              <w:t xml:space="preserve">
</w:t>
            </w:r>
          </w:p>
          <w:p>
            <w:pPr/>
            <w:r>
              <w:rPr/>
              <w:t xml:space="preserve">Approximate center of the island of Babeldaob, which is the focus of the Landscape-Seascape Planning process.
</w:t>
            </w:r>
          </w:p>
          <w:p>
            <w:pPr/>
            <w:r>
              <w:rPr/>
              <w:t xml:space="preserve">
</w:t>
            </w:r>
          </w:p>
          <w:p>
            <w:pPr/>
            <w:r>
              <w:rPr/>
              <w:t xml:space="preserve">Zipped GIS data are layers for Babeldaob and parts of the Southern Lagoon, to illustrate the starting point for land use planning on Babeldaob island.</w:t>
            </w:r>
          </w:p>
        </w:tc>
      </w:tr>
    </w:tbl>
    <w:p>
      <w:pPr>
        <w:sectPr>
          <w:pgSz w:orient="portrait" w:w="11905.511811023622" w:h="16837.79527559055"/>
          <w:pgMar w:top="1440" w:right="1440" w:bottom="1440" w:left="1440" w:header="720" w:footer="720" w:gutter="0"/>
          <w:cols w:num="1" w:space="720"/>
        </w:sectPr>
      </w:pPr>
    </w:p>
    <w:p>
      <w:pPr>
        <w:pStyle w:val="Heading1"/>
      </w:pPr>
      <w:bookmarkStart w:id="11" w:name="_Toc11"/>
      <w:r>
        <w:t>Partnerships</w:t>
      </w:r>
      <w:bookmarkEnd w:id="11"/>
    </w:p>
    <w:p>
      <w:pPr>
        <w:spacing w:before="400"/>
      </w:pPr>
      <w:r>
        <w:rPr>
          <w:sz w:val="24"/>
          <w:szCs w:val="24"/>
          <w:b w:val="1"/>
          <w:bCs w:val="1"/>
        </w:rPr>
        <w:t xml:space="preserve">Partnerships &amp; Stakeholder Engagment</w:t>
      </w:r>
    </w:p>
    <w:p>
      <w:pPr>
        <w:spacing w:after="400"/>
      </w:pPr>
      <w:r>
        <w:rPr/>
        <w:t xml:space="preserve">Please select yes or no whether the project is working with any of the following partners. Please also provide an update on stakeholder engagement. This information is used by the GEF and UNDP for reporting and is therefore very important!  All sections must be completed by the Project Manager and reviewed by the CO and RTA.  </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Does the project work with any Civil Society Organisations and/or NGOs?</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Does the project work with any Indigenous Peoples?</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Does the project work with the Private Sector?</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Does the project work with the GEF Small Grants Programme?</w:t>
            </w:r>
          </w:p>
        </w:tc>
      </w:tr>
      <w:tr>
        <w:trPr/>
        <w:tc>
          <w:tcPr>
            <w:tcW w:w="10000" w:type="dxa"/>
            <w:gridSpan w:val="1"/>
          </w:tcPr>
          <w:p>
            <w:pPr/>
            <w:r>
              <w:rPr/>
              <w:t xml:space="preserve">Yes</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Does the project work with UN Volunteers?</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Did the project support South-South Cooperation and/or Triangular Cooperation efforts in the reporting year?</w:t>
            </w:r>
          </w:p>
        </w:tc>
      </w:tr>
      <w:tr>
        <w:trPr/>
        <w:tc>
          <w:tcPr>
            <w:tcW w:w="10000" w:type="dxa"/>
            <w:gridSpan w:val="1"/>
          </w:tcPr>
          <w:p>
            <w:pPr/>
            <w:r>
              <w:rPr/>
              <w:t xml:space="preserve">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tcPr>
          <w:p>
            <w:pPr/>
            <w:r>
              <w:rPr>
                <w:b w:val="1"/>
                <w:bCs w:val="1"/>
              </w:rPr>
              <w:t xml:space="preserve">CEO Endorsement Request: </w:t>
            </w:r>
            <w:hyperlink r:id="rId13" w:history="1">
              <w:r>
                <w:rPr>
                  <w:color w:val="#0000FF"/>
                  <w:u w:val="single"/>
                </w:rPr>
                <w:t xml:space="preserve">PIMS 5645 Palau CEO ER  16 May 2018.docx</w:t>
              </w:r>
            </w:hyperlink>
          </w:p>
        </w:tc>
      </w:tr>
      <w:tr>
        <w:trPr/>
        <w:tc>
          <w:tcPr>
            <w:tcW w:w="10000" w:type="dxa"/>
            <w:shd w:val="clear" w:fill="#D9D9D9"/>
            <w:gridSpan w:val="1"/>
          </w:tcPr>
          <w:p>
            <w:pPr/>
            <w:r>
              <w:rPr>
                <w:b w:val="1"/>
                <w:bCs w:val="1"/>
              </w:rPr>
              <w:t xml:space="preserve">Provide an update on progress, challenges and outcomes related to stakeholder engagement based on the description of the Stakeholder Engagement Plan as documented at CEO endorsement/approval (see document below).  If any surveys have been conducted please upload all survey documents to the PIR file library.</w:t>
            </w:r>
          </w:p>
        </w:tc>
      </w:tr>
      <w:tr>
        <w:trPr/>
        <w:tc>
          <w:tcPr>
            <w:tcW w:w="10000" w:type="dxa"/>
            <w:gridSpan w:val="1"/>
          </w:tcPr>
          <w:p>
            <w:pPr/>
            <w:r>
              <w:rPr/>
              <w:t xml:space="preserve">The Project is implementing the Stakeholder Engagement Plan in the Project Document. The Project has Memoranda of Understanding (MOUs) with 20 Partners (ranging from government to nongovernment) and has engaged with other organizations via development of Best Practices or through State Planning Teams. As designed, partners are engaging with the different spheres of the project: Best Practices, Planning, IAS/Biosecurity. The Project has actually expanded its stakeholder engagement by taking on a general environmental coordination role (e.g. strengthening the Ministry’s Environmental Planning Unit). An unexpected advantage of the Covid-19 border closure is that with travel stopped, stakeholders have been accessible and present on-island. 
</w:t>
            </w:r>
          </w:p>
          <w:p>
            <w:pPr/>
            <w:r>
              <w:rPr/>
              <w:t xml:space="preserve">
</w:t>
            </w:r>
          </w:p>
          <w:p>
            <w:pPr/>
            <w:r>
              <w:rPr/>
              <w:t xml:space="preserve">Engagement with the business and private sector and with public lands authorities is low and will be addressed by sector as the JCBs and State Planning Teams progress with planning (e.g. particularly when JCBs and States prioritize commercial, agriculture, and tourism sites). The closure of many tourism businesses due to Covid-19 has made it difficult to engage with operators.
</w:t>
            </w:r>
          </w:p>
          <w:p>
            <w:pPr/>
            <w:r>
              <w:rPr/>
              <w:t xml:space="preserve">
</w:t>
            </w:r>
          </w:p>
          <w:p>
            <w:pPr/>
            <w:r>
              <w:rPr/>
              <w:t xml:space="preserve">A key change to the Stakeholder Engagement Plan is the movement of the JCB from the National Environmental Protection Council (NEPC) to MNRET. This is because the NEPC is not very active and the Secretariat did not have the capacity to manage the JCB. However, most NEPC Members are already partners with the GEF6 project individually; and the Project is engaging with the NEPC through outreach and by helping to coordinate and plan for the NEPC’s biennial National Environment Symposium. While not a formal GEF6 Partner, the GEF6 Project is engaging with the GEF SGP through this same Symposium (the GEF SGP is a co-coordinator).
</w:t>
            </w:r>
          </w:p>
          <w:p>
            <w:pPr/>
            <w:r>
              <w:rPr/>
              <w:t xml:space="preserve">
</w:t>
            </w:r>
          </w:p>
          <w:p>
            <w:pPr/>
            <w:r>
              <w:rPr/>
              <w:t xml:space="preserve">A wide variety of stakeholders were engaged to do follow-up Capacity Score and Gender Mainstreaming surveys for this PIR. A Knowledge-Attitudes-Perception (KAP) Survey of the public is also underway and will be completed in September 2020 so as to inform 2021 Annual Work Planning.</w:t>
            </w:r>
          </w:p>
        </w:tc>
      </w:tr>
    </w:tbl>
    <w:p>
      <w:pPr>
        <w:sectPr>
          <w:pgSz w:orient="portrait" w:w="11905.511811023622" w:h="16837.79527559055"/>
          <w:pgMar w:top="1440" w:right="1440" w:bottom="1440" w:left="1440" w:header="720" w:footer="720" w:gutter="0"/>
          <w:cols w:num="1" w:space="720"/>
        </w:sectPr>
      </w:pPr>
    </w:p>
    <w:p>
      <w:pPr>
        <w:pStyle w:val="Heading1"/>
      </w:pPr>
      <w:bookmarkStart w:id="12" w:name="_Toc12"/>
      <w:r>
        <w:t>Annex - Ratings Definitions</w:t>
      </w:r>
      <w:bookmarkEnd w:id="12"/>
    </w:p>
    <w:p>
      <w:pPr/>
      <w:r>
        <w:rPr>
          <w:b w:val="1"/>
          <w:bCs w:val="1"/>
        </w:rPr>
        <w:t xml:space="preserve">Development Objective Progress Ratings Definitions</w:t>
      </w:r>
    </w:p>
    <w:p>
      <w:pPr/>
      <w:r>
        <w:rPr/>
        <w:t xml:space="preserve">(HS) Highly Satisfactory: Project is on track to exceed its end-of-project targets, and is likely to achieve transformational change by project closure. The project can be presented as 'outstanding practice'.</w:t>
      </w:r>
    </w:p>
    <w:p>
      <w:pPr/>
      <w:r>
        <w:rPr/>
        <w:t xml:space="preserve">(S) Satisfactory: Project is on track to fully achieve its end-of-project targets by project closure. The project can be presented as 'good practice'.</w:t>
      </w:r>
    </w:p>
    <w:p>
      <w:pPr/>
      <w:r>
        <w:rPr/>
        <w:t xml:space="preserve">(MS) Moderately Satisfactory: Project is on track to achieve its end-of-project targets by project closure with minor shortcomings only.</w:t>
      </w:r>
    </w:p>
    <w:p>
      <w:pPr/>
      <w:r>
        <w:rPr/>
        <w:t xml:space="preserve">(MU) Moderately Unsatisfactory: Project is off track and is expected to partially achieve its end-of-project targets by project closure with significant shortcomings. Project results might be fully achieved by project closure if adaptive management is undertaken immediately.</w:t>
      </w:r>
    </w:p>
    <w:p>
      <w:pPr/>
      <w:r>
        <w:rPr/>
        <w:t xml:space="preserve">(U) Unsatisfactory: Project is off track and is not expected to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without major restructuring.</w:t>
      </w:r>
    </w:p>
    <w:p/>
    <w:p>
      <w:pPr/>
      <w:r>
        <w:rPr>
          <w:b w:val="1"/>
          <w:bCs w:val="1"/>
        </w:rPr>
        <w:t xml:space="preserve">Implementation Progress Ratings Definitions</w:t>
      </w:r>
    </w:p>
    <w:p>
      <w:pPr/>
      <w:r>
        <w:rPr/>
        <w:t xml:space="preserve">(HS) Highly Satisfactory: Implementation is exceeding expectations. Cumulative financial delivery, timing of key implementation milestones, and risk management are fully on track. The project is managed extremely efficiently and effectively. The implementation of the project can be presented as 'outstanding practice'.</w:t>
      </w:r>
    </w:p>
    <w:p>
      <w:pPr/>
      <w:r>
        <w:rPr/>
        <w:t xml:space="preserve">(S) Satisfactory: Implementation is proceeding as planned. Cumulative financial delivery, timing of key implementation milestones, and risk management are on track. The project is managed efficiently and effectively. The implementation of the project can be presented as 'good practice'.</w:t>
      </w:r>
    </w:p>
    <w:p>
      <w:pPr/>
      <w:r>
        <w:rPr/>
        <w:t xml:space="preserve">(MS) Moderately Satisfactory: Implementation is proceeding as planned with minor deviations. Cumulative financial delivery and management of risks are mostly on track, with minor delays. The project is managed well.</w:t>
      </w:r>
    </w:p>
    <w:p>
      <w:pPr/>
      <w:r>
        <w:rPr/>
        <w:t xml:space="preserve">(MU) Moderately Unsatisfactory: Implementation is not proceeding as planned and faces significant implementation issues. Implementation progress could be improved if adaptive management is undertaken immediately. Cumulative financial delivery, timing of key implementation milestones, and/or management of critical risks are significantly off track. The project is not fully or well supported. </w:t>
      </w:r>
    </w:p>
    <w:p>
      <w:pPr/>
      <w:r>
        <w:rPr/>
        <w:t xml:space="preserve">(U) Unsatisfactory: Implementation is not proceeding as planned and faces major implementation issues and restructuring may be necessary. Cumulative financial delivery, timing of key implementation milestones, and/or management of critical risks are off track with major issues and/or concerns. The project is not fully or well supported. </w:t>
      </w:r>
    </w:p>
    <w:p>
      <w:pPr/>
      <w:r>
        <w:rPr/>
        <w:t xml:space="preserve">(HU) Highly Unsatisfactory: Implementation is seriously under performing and major restructuring is required. Cumulative financial delivery, timing of key implementation milestones (e.g. start of activities), and management of critical risks are severely off track with severe issues and/or concerns.  The project is not effectively or efficiently supported.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2020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DD5B1"/>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hyperlink" Target="https://undpgefpims.org/attachments/5645/215387/1708304/1721921/PIMS%205645%20Palau%20CEO%20ER%20%2016%20May%202018.doc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hyperlink" Target="https://undpgefpims.org/attachments/5645/215387/1738164/1762059/PALARIS%20Layers.zip"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yperlink" Target="https://undpgefpims.org/attachments/5645/215387/1708302/1709685/Annex%209%20Social%20and%20Environmental%20Screeni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ndpgefpims.org/attachments/5645/215387/1737722/1761077/Palau%20GEF6%20Gender%20Assessment%20and%20Mainstreaming%20Plan.pdf" TargetMode="External"/><Relationship Id="rId4" Type="http://schemas.openxmlformats.org/officeDocument/2006/relationships/theme" Target="theme/theme1.xml"/><Relationship Id="rId9" Type="http://schemas.openxmlformats.org/officeDocument/2006/relationships/image" Target="media/section_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nctionalArea xmlns="d9cf0e28-81d2-4dc7-8b10-820d80ed680d">Programme and Project</FunctionalArea>
    <FileClassificationMode xmlns="d9cf0e28-81d2-4dc7-8b10-820d80ed680d">Public</FileClassificationMode>
    <EventDate xmlns="d9cf0e28-81d2-4dc7-8b10-820d80ed680d" xsi:nil="true"/>
    <ProjectNumber xmlns="d9cf0e28-81d2-4dc7-8b10-820d80ed680d">00105164</ProjectNumber>
    <OperatingUnit xmlns="d9cf0e28-81d2-4dc7-8b10-820d80ed680d">UNDP-FJI</OperatingUnit>
    <FocusArea xmlns="d9cf0e28-81d2-4dc7-8b10-820d80ed680d">Projects</FocusArea>
    <DocumentType xmlns="d9cf0e28-81d2-4dc7-8b10-820d80ed680d">Progress Report</DocumentType>
    <OutputNumber xmlns="d9cf0e28-81d2-4dc7-8b10-820d80ed680d">00106389</OutputNumber>
    <DocumentCategory xmlns="d9cf0e28-81d2-4dc7-8b10-820d80ed680d">Project</DocumentCategory>
    <AuthorName xmlns="d9cf0e28-81d2-4dc7-8b10-820d80ed680d">UNDP</AuthorName>
    <ProjectDocumentTypes xmlns="d9cf0e28-81d2-4dc7-8b10-820d80ed680d" xsi:nil="true"/>
    <FileNameDescription xmlns="d9cf0e28-81d2-4dc7-8b10-820d80ed680d">Project Implementation Report</FileNameDescription>
    <Language xmlns="d9cf0e28-81d2-4dc7-8b10-820d80ed680d">English</Language>
    <OfficeCountry xmlns="d9cf0e28-81d2-4dc7-8b10-820d80ed680d">B0423 - Palau - Cty Pgmm</OfficeCountry>
    <DocumentStatus xmlns="d9cf0e28-81d2-4dc7-8b10-820d80ed680d">Final</DocumentStatus>
    <DocCoverageEndDate xmlns="d9cf0e28-81d2-4dc7-8b10-820d80ed680d">2020-06-30T04:00:00+00:00</DocCoverageEndDate>
    <lcf76f155ced4ddcb4097134ff3c332f xmlns="d9cf0e28-81d2-4dc7-8b10-820d80ed680d">
      <Terms xmlns="http://schemas.microsoft.com/office/infopath/2007/PartnerControls"/>
    </lcf76f155ced4ddcb4097134ff3c332f>
    <TaxCatchAll xmlns="e91d5986-7c29-4ed1-8a54-b8fb378ed474" xsi:nil="true"/>
    <DocCoverageStartDate xmlns="d9cf0e28-81d2-4dc7-8b10-820d80ed680d">2019-07-01T04:00:00+00:00</DocCoverageStartDate>
  </documentManagement>
</p:properties>
</file>

<file path=customXml/itemProps1.xml><?xml version="1.0" encoding="utf-8"?>
<ds:datastoreItem xmlns:ds="http://schemas.openxmlformats.org/officeDocument/2006/customXml" ds:itemID="{0A32A62E-C9A9-4A4F-B44E-5DBDE9B09599}"/>
</file>

<file path=customXml/itemProps2.xml><?xml version="1.0" encoding="utf-8"?>
<ds:datastoreItem xmlns:ds="http://schemas.openxmlformats.org/officeDocument/2006/customXml" ds:itemID="{72F0402B-15B7-4985-B1EE-60E68A972853}"/>
</file>

<file path=customXml/itemProps3.xml><?xml version="1.0" encoding="utf-8"?>
<ds:datastoreItem xmlns:ds="http://schemas.openxmlformats.org/officeDocument/2006/customXml" ds:itemID="{BA60FAF4-7915-48A2-BB71-399BD1B0A54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Report</dc:title>
  <dc:subject/>
  <dc:creator/>
  <cp:keywords/>
  <dc:description/>
  <cp:lastModifiedBy/>
  <dcterms:created xsi:type="dcterms:W3CDTF">2020-09-11T21:35:07Z</dcterms:created>
  <dcterms:modified xsi:type="dcterms:W3CDTF">2020-09-11T21:35:07Z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0x010100155F732436BD414ABE4F9007290F88BC</vt:lpwstr>
  </property>
</Properties>
</file>