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2022</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BD safeguards and conservation  in Palau</w:t>
      </w:r>
    </w:p>
    <w:p>
      <w:pPr>
        <w:tabs>
          <w:tab w:val="right" w:leader="dot" w:pos="9062"/>
        </w:tabs>
      </w:pPr>
      <w:r>
        <w:fldChar w:fldCharType="begin"/>
      </w:r>
      <w:r>
        <w:instrText xml:space="preserve">TOC \o 1-1 \h \z \u</w:instrText>
      </w:r>
      <w:r>
        <w:fldChar w:fldCharType="separate"/>
      </w:r>
      <w:hyperlink w:anchor="_Toc1" w:history="1">
        <w:r>
          <w:t>Basic Data</w:t>
        </w:r>
        <w:r>
          <w:tab/>
        </w:r>
        <w:r>
          <w:fldChar w:fldCharType="begin"/>
        </w:r>
        <w:r>
          <w:instrText xml:space="preserve">PAGEREF _Toc1 \h</w:instrText>
        </w:r>
        <w:r>
          <w:fldChar w:fldCharType="end"/>
        </w:r>
      </w:hyperlink>
    </w:p>
    <w:p>
      <w:pPr>
        <w:tabs>
          <w:tab w:val="right" w:leader="dot" w:pos="9062"/>
        </w:tabs>
      </w:pPr>
      <w:hyperlink w:anchor="_Toc2" w:history="1">
        <w:r>
          <w:t>Overall ratings</w:t>
        </w:r>
        <w:r>
          <w:tab/>
        </w:r>
        <w:r>
          <w:fldChar w:fldCharType="begin"/>
        </w:r>
        <w:r>
          <w:instrText xml:space="preserve">PAGEREF _Toc2 \h</w:instrText>
        </w:r>
        <w:r>
          <w:fldChar w:fldCharType="end"/>
        </w:r>
      </w:hyperlink>
    </w:p>
    <w:p>
      <w:pPr>
        <w:tabs>
          <w:tab w:val="right" w:leader="dot" w:pos="9062"/>
        </w:tabs>
      </w:pPr>
      <w:hyperlink w:anchor="_Toc3" w:history="1">
        <w:r>
          <w:t>Development Objective Progress</w:t>
        </w:r>
        <w:r>
          <w:tab/>
        </w:r>
        <w:r>
          <w:fldChar w:fldCharType="begin"/>
        </w:r>
        <w:r>
          <w:instrText xml:space="preserve">PAGEREF _Toc3 \h</w:instrText>
        </w:r>
        <w:r>
          <w:fldChar w:fldCharType="end"/>
        </w:r>
      </w:hyperlink>
    </w:p>
    <w:p>
      <w:pPr>
        <w:tabs>
          <w:tab w:val="right" w:leader="dot" w:pos="9062"/>
        </w:tabs>
      </w:pPr>
      <w:hyperlink w:anchor="_Toc4" w:history="1">
        <w:r>
          <w:t>Implementation Progress</w:t>
        </w:r>
        <w:r>
          <w:tab/>
        </w:r>
        <w:r>
          <w:fldChar w:fldCharType="begin"/>
        </w:r>
        <w:r>
          <w:instrText xml:space="preserve">PAGEREF _Toc4 \h</w:instrText>
        </w:r>
        <w:r>
          <w:fldChar w:fldCharType="end"/>
        </w:r>
      </w:hyperlink>
    </w:p>
    <w:p>
      <w:pPr>
        <w:tabs>
          <w:tab w:val="right" w:leader="dot" w:pos="9062"/>
        </w:tabs>
      </w:pPr>
      <w:hyperlink w:anchor="_Toc7" w:history="1">
        <w:r>
          <w:t>Project Governance</w:t>
        </w:r>
        <w:r>
          <w:tab/>
        </w:r>
        <w:r>
          <w:fldChar w:fldCharType="begin"/>
        </w:r>
        <w:r>
          <w:instrText xml:space="preserve">PAGEREF _Toc7 \h</w:instrText>
        </w:r>
        <w:r>
          <w:fldChar w:fldCharType="end"/>
        </w:r>
      </w:hyperlink>
    </w:p>
    <w:p>
      <w:pPr>
        <w:tabs>
          <w:tab w:val="right" w:leader="dot" w:pos="9062"/>
        </w:tabs>
      </w:pPr>
      <w:hyperlink w:anchor="_Toc8" w:history="1">
        <w:r>
          <w:t>Ratings and Overall Assessments</w:t>
        </w:r>
        <w:r>
          <w:tab/>
        </w:r>
        <w:r>
          <w:fldChar w:fldCharType="begin"/>
        </w:r>
        <w:r>
          <w:instrText xml:space="preserve">PAGEREF _Toc8 \h</w:instrText>
        </w:r>
        <w:r>
          <w:fldChar w:fldCharType="end"/>
        </w:r>
      </w:hyperlink>
    </w:p>
    <w:p>
      <w:pPr>
        <w:tabs>
          <w:tab w:val="right" w:leader="dot" w:pos="9062"/>
        </w:tabs>
      </w:pPr>
      <w:hyperlink w:anchor="_Toc9" w:history="1">
        <w:r>
          <w:t>Minor Amendments</w:t>
        </w:r>
        <w:r>
          <w:tab/>
        </w:r>
        <w:r>
          <w:fldChar w:fldCharType="begin"/>
        </w:r>
        <w:r>
          <w:instrText xml:space="preserve">PAGEREF _Toc9 \h</w:instrText>
        </w:r>
        <w:r>
          <w:fldChar w:fldCharType="end"/>
        </w:r>
      </w:hyperlink>
    </w:p>
    <w:p>
      <w:pPr>
        <w:tabs>
          <w:tab w:val="right" w:leader="dot" w:pos="9062"/>
        </w:tabs>
      </w:pPr>
      <w:hyperlink w:anchor="_Toc10" w:history="1">
        <w:r>
          <w:t>Gender</w:t>
        </w:r>
        <w:r>
          <w:tab/>
        </w:r>
        <w:r>
          <w:fldChar w:fldCharType="begin"/>
        </w:r>
        <w:r>
          <w:instrText xml:space="preserve">PAGEREF _Toc10 \h</w:instrText>
        </w:r>
        <w:r>
          <w:fldChar w:fldCharType="end"/>
        </w:r>
      </w:hyperlink>
    </w:p>
    <w:p>
      <w:pPr>
        <w:tabs>
          <w:tab w:val="right" w:leader="dot" w:pos="9062"/>
        </w:tabs>
      </w:pPr>
      <w:hyperlink w:anchor="_Toc12" w:history="1">
        <w:r>
          <w:t>Risk Management</w:t>
        </w:r>
        <w:r>
          <w:tab/>
        </w:r>
        <w:r>
          <w:fldChar w:fldCharType="begin"/>
        </w:r>
        <w:r>
          <w:instrText xml:space="preserve">PAGEREF _Toc12 \h</w:instrText>
        </w:r>
        <w:r>
          <w:fldChar w:fldCharType="end"/>
        </w:r>
      </w:hyperlink>
    </w:p>
    <w:p>
      <w:pPr>
        <w:tabs>
          <w:tab w:val="right" w:leader="dot" w:pos="9062"/>
        </w:tabs>
      </w:pPr>
      <w:hyperlink w:anchor="_Toc15" w:history="1">
        <w:r>
          <w:t>Knowledge Management &amp; Communications</w:t>
        </w:r>
        <w:r>
          <w:tab/>
        </w:r>
        <w:r>
          <w:fldChar w:fldCharType="begin"/>
        </w:r>
        <w:r>
          <w:instrText xml:space="preserve">PAGEREF _Toc15 \h</w:instrText>
        </w:r>
        <w:r>
          <w:fldChar w:fldCharType="end"/>
        </w:r>
      </w:hyperlink>
    </w:p>
    <w:p>
      <w:pPr>
        <w:tabs>
          <w:tab w:val="right" w:leader="dot" w:pos="9062"/>
        </w:tabs>
      </w:pPr>
      <w:hyperlink w:anchor="_Toc16" w:history="1">
        <w:r>
          <w:t>Stakeholder Engagement</w:t>
        </w:r>
        <w:r>
          <w:tab/>
        </w:r>
        <w:r>
          <w:fldChar w:fldCharType="begin"/>
        </w:r>
        <w:r>
          <w:instrText xml:space="preserve">PAGEREF _Toc16 \h</w:instrText>
        </w:r>
        <w:r>
          <w:fldChar w:fldCharType="end"/>
        </w:r>
      </w:hyperlink>
    </w:p>
    <w:p>
      <w:pPr>
        <w:tabs>
          <w:tab w:val="right" w:leader="dot" w:pos="9062"/>
        </w:tabs>
      </w:pPr>
      <w:hyperlink w:anchor="_Toc17" w:history="1">
        <w:r>
          <w:t>Annex - Ratings Definitions</w:t>
        </w:r>
        <w:r>
          <w:tab/>
        </w:r>
        <w:r>
          <w:fldChar w:fldCharType="begin"/>
        </w:r>
        <w:r>
          <w:instrText xml:space="preserve">PAGEREF _Toc17 \h</w:instrText>
        </w:r>
        <w:r>
          <w:fldChar w:fldCharType="end"/>
        </w:r>
      </w:hyperlink>
    </w:p>
    <w:p>
      <w:r>
        <w:fldChar w:fldCharType="end"/>
      </w:r>
    </w:p>
    <w:p>
      <w:pPr>
        <w:sectPr>
          <w:headerReference w:type="default" r:id="rId12"/>
          <w:footerReference w:type="default" r:id="rId13"/>
          <w:pgSz w:orient="portrait" w:w="11905.511811023622" w:h="16837.79527559055"/>
          <w:pgMar w:top="1440" w:right="1440" w:bottom="1440" w:left="1440" w:header="720" w:footer="720" w:gutter="0"/>
          <w:cols w:num="1" w:space="720"/>
        </w:sectPr>
      </w:pPr>
    </w:p>
    <w:p>
      <w:pPr>
        <w:pStyle w:val="Heading1"/>
      </w:pPr>
      <w:bookmarkStart w:id="1" w:name="_Toc1"/>
      <w:r>
        <w:t>Basic Data</w:t>
      </w:r>
      <w:bookmarkEnd w:id="1"/>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Information</w:t>
            </w:r>
          </w:p>
        </w:tc>
      </w:tr>
      <w:tr>
        <w:trPr/>
        <w:tc>
          <w:tcPr>
            <w:tcW w:w="5000" w:type="dxa"/>
            <w:gridSpan w:val="1"/>
          </w:tcPr>
          <w:p>
            <w:pPr/>
            <w:r>
              <w:rPr/>
              <w:t xml:space="preserve">UNDP PIMS ID</w:t>
            </w:r>
          </w:p>
        </w:tc>
        <w:tc>
          <w:tcPr>
            <w:tcW w:w="5000" w:type="dxa"/>
            <w:gridSpan w:val="1"/>
          </w:tcPr>
          <w:p>
            <w:pPr/>
            <w:r>
              <w:rPr/>
              <w:t xml:space="preserve">5645</w:t>
            </w:r>
          </w:p>
        </w:tc>
      </w:tr>
      <w:tr>
        <w:trPr/>
        <w:tc>
          <w:tcPr>
            <w:tcW w:w="5000" w:type="dxa"/>
            <w:gridSpan w:val="1"/>
          </w:tcPr>
          <w:p>
            <w:pPr/>
            <w:r>
              <w:rPr/>
              <w:t xml:space="preserve">GEF ID</w:t>
            </w:r>
          </w:p>
        </w:tc>
        <w:tc>
          <w:tcPr>
            <w:tcW w:w="5000" w:type="dxa"/>
            <w:gridSpan w:val="1"/>
          </w:tcPr>
          <w:p>
            <w:pPr/>
            <w:r>
              <w:rPr/>
              <w:t xml:space="preserve">9208</w:t>
            </w:r>
          </w:p>
        </w:tc>
      </w:tr>
      <w:tr>
        <w:trPr/>
        <w:tc>
          <w:tcPr>
            <w:tcW w:w="5000" w:type="dxa"/>
            <w:gridSpan w:val="1"/>
          </w:tcPr>
          <w:p>
            <w:pPr/>
            <w:r>
              <w:rPr/>
              <w:t xml:space="preserve">Title</w:t>
            </w:r>
          </w:p>
        </w:tc>
        <w:tc>
          <w:tcPr>
            <w:tcW w:w="5000" w:type="dxa"/>
            <w:gridSpan w:val="1"/>
          </w:tcPr>
          <w:p>
            <w:pPr/>
            <w:r>
              <w:rPr/>
              <w:t xml:space="preserve">Integrating biodiversity safeguards and conservation into planning and development in Palau</w:t>
            </w:r>
          </w:p>
        </w:tc>
      </w:tr>
      <w:tr>
        <w:trPr/>
        <w:tc>
          <w:tcPr>
            <w:tcW w:w="5000" w:type="dxa"/>
            <w:gridSpan w:val="1"/>
          </w:tcPr>
          <w:p>
            <w:pPr/>
            <w:r>
              <w:rPr/>
              <w:t xml:space="preserve">Country(ies)</w:t>
            </w:r>
          </w:p>
        </w:tc>
        <w:tc>
          <w:tcPr>
            <w:tcW w:w="5000" w:type="dxa"/>
            <w:gridSpan w:val="1"/>
          </w:tcPr>
          <w:p>
            <w:pPr/>
            <w:r>
              <w:rPr/>
              <w:t xml:space="preserve">Palau, Palau</w:t>
            </w:r>
          </w:p>
        </w:tc>
      </w:tr>
      <w:tr>
        <w:trPr/>
        <w:tc>
          <w:tcPr>
            <w:tcW w:w="5000" w:type="dxa"/>
            <w:gridSpan w:val="1"/>
          </w:tcPr>
          <w:p>
            <w:pPr/>
            <w:r>
              <w:rPr/>
              <w:t xml:space="preserve">UNDP-NCE Technical Team</w:t>
            </w:r>
          </w:p>
        </w:tc>
        <w:tc>
          <w:tcPr>
            <w:tcW w:w="5000" w:type="dxa"/>
            <w:gridSpan w:val="1"/>
          </w:tcPr>
          <w:p>
            <w:pPr/>
            <w:r>
              <w:rPr/>
              <w:t xml:space="preserve">Ecosystems and Biodiversity</w:t>
            </w:r>
          </w:p>
        </w:tc>
      </w:tr>
      <w:tr>
        <w:trPr/>
        <w:tc>
          <w:tcPr>
            <w:tcW w:w="5000" w:type="dxa"/>
            <w:gridSpan w:val="1"/>
          </w:tcPr>
          <w:p>
            <w:pPr/>
            <w:r>
              <w:rPr/>
              <w:t xml:space="preserve">Management Arrangements</w:t>
            </w:r>
          </w:p>
        </w:tc>
        <w:tc>
          <w:tcPr>
            <w:tcW w:w="5000" w:type="dxa"/>
            <w:gridSpan w:val="1"/>
          </w:tcPr>
          <w:p>
            <w:pPr/>
            <w:r>
              <w:rPr/>
              <w:t xml:space="preserve">CO Support to NIM</w:t>
            </w:r>
          </w:p>
        </w:tc>
      </w:tr>
      <w:tr>
        <w:trPr/>
        <w:tc>
          <w:tcPr>
            <w:tcW w:w="5000" w:type="dxa"/>
            <w:gridSpan w:val="1"/>
          </w:tcPr>
          <w:p>
            <w:pPr/>
            <w:r>
              <w:rPr/>
              <w:t xml:space="preserve">Project Implementing Partner</w:t>
            </w:r>
          </w:p>
        </w:tc>
        <w:tc>
          <w:tcPr>
            <w:tcW w:w="5000" w:type="dxa"/>
            <w:gridSpan w:val="1"/>
          </w:tcPr>
          <w:p>
            <w:pPr/>
            <w:r>
              <w:rPr/>
              <w:t xml:space="preserve">Government</w:t>
            </w:r>
          </w:p>
        </w:tc>
      </w:tr>
      <w:tr>
        <w:trPr/>
        <w:tc>
          <w:tcPr>
            <w:tcW w:w="5000" w:type="dxa"/>
            <w:gridSpan w:val="1"/>
          </w:tcPr>
          <w:p>
            <w:pPr/>
            <w:r>
              <w:rPr/>
              <w:t xml:space="preserve">Joint Agencies</w:t>
            </w:r>
          </w:p>
        </w:tc>
        <w:tc>
          <w:tcPr>
            <w:tcW w:w="5000" w:type="dxa"/>
            <w:gridSpan w:val="1"/>
          </w:tcPr>
          <w:p>
            <w:pPr/>
            <w:r>
              <w:rPr>
                <w:i w:val="1"/>
                <w:iCs w:val="1"/>
              </w:rPr>
              <w:t xml:space="preserve">(not set or not applicable)</w:t>
            </w:r>
          </w:p>
        </w:tc>
      </w:tr>
      <w:tr>
        <w:trPr/>
        <w:tc>
          <w:tcPr>
            <w:tcW w:w="5000" w:type="dxa"/>
            <w:gridSpan w:val="1"/>
          </w:tcPr>
          <w:p>
            <w:pPr/>
            <w:r>
              <w:rPr/>
              <w:t xml:space="preserve">Project Type</w:t>
            </w:r>
          </w:p>
        </w:tc>
        <w:tc>
          <w:tcPr>
            <w:tcW w:w="5000" w:type="dxa"/>
            <w:gridSpan w:val="1"/>
          </w:tcPr>
          <w:p>
            <w:pPr/>
            <w:r>
              <w:rPr/>
              <w:t xml:space="preserve">Full Size</w:t>
            </w:r>
          </w:p>
        </w:tc>
      </w:tr>
      <w:tr>
        <w:trPr/>
        <w:tc>
          <w:tcPr>
            <w:tcW w:w="5000" w:type="dxa"/>
            <w:gridSpan w:val="1"/>
          </w:tcPr>
          <w:p>
            <w:pPr/>
            <w:r>
              <w:rPr/>
              <w:t xml:space="preserve">Implementation Status</w:t>
            </w:r>
          </w:p>
        </w:tc>
        <w:tc>
          <w:tcPr>
            <w:tcW w:w="5000" w:type="dxa"/>
            <w:gridSpan w:val="1"/>
          </w:tcPr>
          <w:p>
            <w:pPr/>
            <w:r>
              <w:rPr/>
              <w:t xml:space="preserve">3rd PIR</w:t>
            </w:r>
          </w:p>
        </w:tc>
      </w:tr>
      <w:tr>
        <w:trPr/>
        <w:tc>
          <w:tcPr>
            <w:tcW w:w="5000" w:type="dxa"/>
            <w:gridSpan w:val="1"/>
          </w:tcPr>
          <w:p>
            <w:pPr/>
            <w:r>
              <w:rPr/>
              <w:t xml:space="preserve">GEF Fiscal Year</w:t>
            </w:r>
          </w:p>
        </w:tc>
        <w:tc>
          <w:tcPr>
            <w:tcW w:w="5000" w:type="dxa"/>
            <w:gridSpan w:val="1"/>
          </w:tcPr>
          <w:p>
            <w:pPr/>
            <w:r>
              <w:rPr/>
              <w:t xml:space="preserve">FY22</w:t>
            </w:r>
          </w:p>
        </w:tc>
      </w:tr>
      <w:tr>
        <w:trPr/>
        <w:tc>
          <w:tcPr>
            <w:tcW w:w="5000" w:type="dxa"/>
            <w:gridSpan w:val="1"/>
          </w:tcPr>
          <w:p>
            <w:pPr/>
            <w:r>
              <w:rPr/>
              <w:t xml:space="preserve">Trust Fund</w:t>
            </w:r>
          </w:p>
        </w:tc>
        <w:tc>
          <w:tcPr>
            <w:tcW w:w="5000" w:type="dxa"/>
            <w:gridSpan w:val="1"/>
          </w:tcPr>
          <w:p>
            <w:pPr/>
            <w:r>
              <w:rPr/>
              <w:t xml:space="preserve">GEF Trust Fund</w:t>
            </w:r>
          </w:p>
        </w:tc>
      </w:tr>
    </w:tbl>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Project Description</w:t>
            </w:r>
          </w:p>
        </w:tc>
      </w:tr>
      <w:tr>
        <w:trPr/>
        <w:tc>
          <w:tcPr>
            <w:tcW w:w="10000" w:type="dxa"/>
            <w:gridSpan w:val="1"/>
          </w:tcPr>
          <w:p>
            <w:pPr/>
            <w:r>
              <w:rPr/>
              <w:t xml:space="preserve">This project aims to address the negative impacts of unsustainable sector-led development practices on biodiversity-rich landscapes of Palau, including its productive coastal and marine ecosystems, while taking into account climate change adaptation needs and inclusive and equitable social and economic development for dependent communities, as well as safeguarding against threats to biodiversity and the introduction and spread of Invasive Alien Species through the tourism and related sectors. The objective of the project is to mainstream biodiversity conservation into integrated land and seascape governance, planning and management in Palau.</w:t>
            </w:r>
          </w:p>
          <w:p>
            <w:pPr/>
            <w:r>
              <w:rPr/>
              <w:t xml:space="preserve"/>
            </w:r>
          </w:p>
          <w:p>
            <w:pPr/>
            <w:r>
              <w:rPr/>
              <w:t xml:space="preserve">The project recognizes the fact that these land and seascapes underpin the lives and livelihoods of a large number of local communities and that implementation of a coherent strategy to promote sustainable, biodiversity-friendly livelihood options is an integral part of the solution. The project objective is to be achieved through the implementation of four inter-related and mutually complementary Components (Project Outcomes) that are focussed on addressing existing barriers. The four Outcomes of the project are:</w:t>
            </w:r>
          </w:p>
          <w:p>
            <w:pPr/>
            <w:r>
              <w:rPr/>
              <w:t xml:space="preserve">Outcome 1: Enhanced national institutional framework for integrated planning and management of land and seascapes;</w:t>
            </w:r>
          </w:p>
          <w:p>
            <w:pPr/>
            <w:r>
              <w:rPr/>
              <w:t xml:space="preserve">Outcome 2: Integrated multi-sector land and seascape planning and management operational in Babeldaob states to reduce threats to biodiversity and improve ecosystem services to benefit communities and state economies;</w:t>
            </w:r>
          </w:p>
          <w:p>
            <w:pPr/>
            <w:r>
              <w:rPr/>
              <w:t xml:space="preserve">Outcome 3: Integrated multi-sector planning and management operational in 264,686 ha of seascapes and coastal areas in the Southern Lagoon to reduce threats to biodiversity and improve ecosystem services to benefit communities and state economies; and</w:t>
            </w:r>
          </w:p>
          <w:p>
            <w:pPr/>
            <w:r>
              <w:rPr/>
              <w:t xml:space="preserve">Outcome 4: Knowledge management, monitoring and evaluation support, equitable gender benefits and biodiversity conservation in Palau.</w:t>
            </w:r>
          </w:p>
        </w:tc>
      </w:tr>
    </w:tbl>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Contacts</w:t>
            </w:r>
          </w:p>
        </w:tc>
      </w:tr>
      <w:tr>
        <w:trPr/>
        <w:tc>
          <w:tcPr>
            <w:tcW w:w="5000" w:type="dxa"/>
            <w:gridSpan w:val="1"/>
          </w:tcPr>
          <w:p>
            <w:pPr/>
            <w:r>
              <w:rPr/>
              <w:t xml:space="preserve">UNDP-NCE Technical Adviser</w:t>
            </w:r>
          </w:p>
        </w:tc>
        <w:tc>
          <w:tcPr>
            <w:tcW w:w="5000" w:type="dxa"/>
            <w:gridSpan w:val="1"/>
          </w:tcPr>
          <w:p>
            <w:pPr/>
            <w:r>
              <w:rPr/>
              <w:t xml:space="preserve">Mr. Doley Tshering (doley.tshering@undp.org)</w:t>
            </w:r>
          </w:p>
        </w:tc>
      </w:tr>
      <w:tr>
        <w:trPr/>
        <w:tc>
          <w:tcPr>
            <w:tcW w:w="5000" w:type="dxa"/>
            <w:gridSpan w:val="1"/>
          </w:tcPr>
          <w:p>
            <w:pPr/>
            <w:r>
              <w:rPr/>
              <w:t xml:space="preserve">UNDP-NCE Programme Associate</w:t>
            </w:r>
          </w:p>
        </w:tc>
        <w:tc>
          <w:tcPr>
            <w:tcW w:w="5000" w:type="dxa"/>
            <w:gridSpan w:val="1"/>
          </w:tcPr>
          <w:p>
            <w:pPr/>
            <w:r>
              <w:rPr/>
              <w:t xml:space="preserve">Mr. Hurshid Kalandarov (hurshid.kalandarov@undp.org)</w:t>
            </w:r>
          </w:p>
        </w:tc>
      </w:tr>
      <w:tr>
        <w:trPr/>
        <w:tc>
          <w:tcPr>
            <w:tcW w:w="5000" w:type="dxa"/>
            <w:gridSpan w:val="1"/>
          </w:tcPr>
          <w:p>
            <w:pPr/>
            <w:r>
              <w:rPr/>
              <w:t xml:space="preserve">Project Manager/Coordinator</w:t>
            </w:r>
          </w:p>
        </w:tc>
        <w:tc>
          <w:tcPr>
            <w:tcW w:w="5000" w:type="dxa"/>
            <w:gridSpan w:val="1"/>
          </w:tcPr>
          <w:p>
            <w:pPr/>
            <w:r>
              <w:rPr/>
              <w:t xml:space="preserve">Ms. Dolmii Remeliik (dolmiir@gmail.com)</w:t>
            </w:r>
          </w:p>
          <w:p>
            <w:pPr/>
            <w:r>
              <w:rPr/>
              <w:t xml:space="preserve">Ms. Anuradha Gupta (anu.bintorio@gmail.com)</w:t>
            </w:r>
          </w:p>
        </w:tc>
      </w:tr>
      <w:tr>
        <w:trPr/>
        <w:tc>
          <w:tcPr>
            <w:tcW w:w="5000" w:type="dxa"/>
            <w:gridSpan w:val="1"/>
          </w:tcPr>
          <w:p>
            <w:pPr/>
            <w:r>
              <w:rPr/>
              <w:t xml:space="preserve">UNDP Country Office Programme Officer</w:t>
            </w:r>
          </w:p>
        </w:tc>
        <w:tc>
          <w:tcPr>
            <w:tcW w:w="5000" w:type="dxa"/>
            <w:gridSpan w:val="1"/>
          </w:tcPr>
          <w:p>
            <w:pPr/>
            <w:r>
              <w:rPr/>
              <w:t xml:space="preserve">Ms. VINAISI DILIKUWAI (vinaisi.dilikuwai@undp.org)</w:t>
            </w:r>
          </w:p>
        </w:tc>
      </w:tr>
      <w:tr>
        <w:trPr/>
        <w:tc>
          <w:tcPr>
            <w:tcW w:w="5000" w:type="dxa"/>
            <w:gridSpan w:val="1"/>
          </w:tcPr>
          <w:p>
            <w:pPr/>
            <w:r>
              <w:rPr/>
              <w:t xml:space="preserve">UNDP Country Office Deputy Resident Representative</w:t>
            </w:r>
          </w:p>
        </w:tc>
        <w:tc>
          <w:tcPr>
            <w:tcW w:w="5000" w:type="dxa"/>
            <w:gridSpan w:val="1"/>
          </w:tcPr>
          <w:p>
            <w:pPr/>
            <w:r>
              <w:rPr/>
              <w:t xml:space="preserve">Mr. Kevin Joseph PETRINI (kevin.petrini@undp.org)</w:t>
            </w:r>
          </w:p>
        </w:tc>
      </w:tr>
      <w:tr>
        <w:trPr/>
        <w:tc>
          <w:tcPr>
            <w:tcW w:w="5000" w:type="dxa"/>
            <w:gridSpan w:val="1"/>
          </w:tcPr>
          <w:p>
            <w:pPr/>
            <w:r>
              <w:rPr/>
              <w:t xml:space="preserve">UNDP Regional Bureau Desk Officer</w:t>
            </w:r>
          </w:p>
        </w:tc>
        <w:tc>
          <w:tcPr>
            <w:tcW w:w="5000" w:type="dxa"/>
            <w:gridSpan w:val="1"/>
          </w:tcPr>
          <w:p>
            <w:pPr/>
            <w:r>
              <w:rPr/>
              <w:t xml:space="preserve">Mr. Sharad neupane (sharad.neupane@undp.org)</w:t>
            </w:r>
          </w:p>
          <w:p>
            <w:pPr/>
            <w:r>
              <w:rPr/>
              <w:t xml:space="preserve">Ms. Katri Kivioja (katri.kivioja@undp.org)</w:t>
            </w:r>
          </w:p>
        </w:tc>
      </w:tr>
      <w:tr>
        <w:trPr/>
        <w:tc>
          <w:tcPr>
            <w:tcW w:w="5000" w:type="dxa"/>
            <w:gridSpan w:val="1"/>
          </w:tcPr>
          <w:p>
            <w:pPr/>
            <w:r>
              <w:rPr/>
              <w:t xml:space="preserve">GEF Operational Focal Point</w:t>
            </w:r>
          </w:p>
        </w:tc>
        <w:tc>
          <w:tcPr>
            <w:tcW w:w="5000" w:type="dxa"/>
            <w:gridSpan w:val="1"/>
          </w:tcPr>
          <w:p>
            <w:pPr/>
            <w:r>
              <w:rPr>
                <w:i w:val="1"/>
                <w:iCs w:val="1"/>
              </w:rPr>
              <w:t xml:space="preserve">(not set or not applicable)</w:t>
            </w:r>
          </w:p>
        </w:tc>
      </w:tr>
      <w:tr>
        <w:trPr/>
        <w:tc>
          <w:tcPr>
            <w:tcW w:w="5000" w:type="dxa"/>
            <w:gridSpan w:val="1"/>
          </w:tcPr>
          <w:p>
            <w:pPr/>
            <w:r>
              <w:rPr/>
              <w:t xml:space="preserve">Project Implementing Partner</w:t>
            </w:r>
          </w:p>
        </w:tc>
        <w:tc>
          <w:tcPr>
            <w:tcW w:w="5000" w:type="dxa"/>
            <w:gridSpan w:val="1"/>
          </w:tcPr>
          <w:p>
            <w:pPr/>
            <w:r>
              <w:rPr>
                <w:i w:val="1"/>
                <w:iCs w:val="1"/>
              </w:rPr>
              <w:t xml:space="preserve">(not set or not applicable)</w:t>
            </w:r>
          </w:p>
        </w:tc>
      </w:tr>
      <w:tr>
        <w:trPr/>
        <w:tc>
          <w:tcPr>
            <w:tcW w:w="5000" w:type="dxa"/>
            <w:gridSpan w:val="1"/>
          </w:tcPr>
          <w:p>
            <w:pPr/>
            <w:r>
              <w:rPr/>
              <w:t xml:space="preserve">Other Partners</w:t>
            </w:r>
          </w:p>
        </w:tc>
        <w:tc>
          <w:tcPr>
            <w:tcW w:w="5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tcPr>
          <w:p>
            <w:pPr/>
            <w:r>
              <w:rPr/>
              <w:t xml:space="preserve">Overall DO Rating</w:t>
            </w:r>
          </w:p>
        </w:tc>
        <w:tc>
          <w:tcPr>
            <w:tcW w:w="8000" w:type="dxa"/>
            <w:gridSpan w:val="1"/>
          </w:tcPr>
          <w:p>
            <w:pPr/>
            <w:r>
              <w:rPr/>
              <w:t xml:space="preserve">Moderately Satisfactory</w:t>
            </w:r>
          </w:p>
        </w:tc>
      </w:tr>
      <w:tr>
        <w:trPr/>
        <w:tc>
          <w:tcPr>
            <w:tcW w:w="8000" w:type="dxa"/>
            <w:gridSpan w:val="1"/>
          </w:tcPr>
          <w:p>
            <w:pPr/>
            <w:r>
              <w:rPr/>
              <w:t xml:space="preserve">Overall IP Rating</w:t>
            </w:r>
          </w:p>
        </w:tc>
        <w:tc>
          <w:tcPr>
            <w:tcW w:w="8000" w:type="dxa"/>
            <w:gridSpan w:val="1"/>
          </w:tcPr>
          <w:p>
            <w:pPr/>
            <w:r>
              <w:rPr/>
              <w:t xml:space="preserve">Moderately Satisfactory</w:t>
            </w:r>
          </w:p>
        </w:tc>
      </w:tr>
      <w:tr>
        <w:trPr/>
        <w:tc>
          <w:tcPr>
            <w:tcW w:w="8000" w:type="dxa"/>
            <w:gridSpan w:val="1"/>
          </w:tcPr>
          <w:p>
            <w:pPr/>
            <w:r>
              <w:rPr/>
              <w:t xml:space="preserve">Overall Risk Rating</w:t>
            </w:r>
          </w:p>
        </w:tc>
        <w:tc>
          <w:tcPr>
            <w:tcW w:w="8000" w:type="dxa"/>
            <w:gridSpan w:val="1"/>
          </w:tcPr>
          <w:p>
            <w:pPr/>
            <w:r>
              <w:rPr/>
              <w:t xml:space="preserve">low</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tcPr>
          <w:p>
            <w:pPr/>
            <w:r>
              <w:rPr>
                <w:b w:val="1"/>
                <w:bCs w:val="1"/>
              </w:rPr>
              <w:t xml:space="preserve">Description</w:t>
            </w:r>
          </w:p>
        </w:tc>
      </w:tr>
      <w:tr>
        <w:trPr/>
        <w:tc>
          <w:tcPr>
            <w:tcW w:w="16000" w:type="dxa"/>
            <w:shd w:val="clear" w:fill="#D9D9D9"/>
            <w:gridSpan w:val="7"/>
          </w:tcPr>
          <w:p>
            <w:pPr/>
            <w:r>
              <w:rPr>
                <w:b w:val="1"/>
                <w:bCs w:val="1"/>
              </w:rPr>
              <w:t xml:space="preserve">Objective</w:t>
            </w:r>
          </w:p>
          <w:p>
            <w:pPr/>
            <w:r>
              <w:rPr>
                <w:b w:val="1"/>
                <w:bCs w:val="1"/>
              </w:rPr>
              <w:t xml:space="preserve">Project Objective:</w:t>
            </w:r>
          </w:p>
          <w:p>
            <w:pPr/>
            <w:r>
              <w:rPr>
                <w:b w:val="1"/>
                <w:bCs w:val="1"/>
              </w:rPr>
              <w:t xml:space="preserve">To mainstream biodiversity conservation into integrated land and seascape governance, planning and management in Palau.</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2021</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Mandatory Indicator 1.3.1 Area of sustainable management solutions at sub-national level for conservation of biodiversity and ecosystem services that benefit from integrated landscape and seascape planning and management approaches</w:t>
            </w:r>
          </w:p>
        </w:tc>
        <w:tc>
          <w:tcPr>
            <w:tcW w:w="2000" w:type="dxa"/>
            <w:gridSpan w:val="1"/>
          </w:tcPr>
          <w:p>
            <w:pPr/>
            <w:r>
              <w:rPr/>
              <w:t xml:space="preserve">Approximately 115,000 hectares (managed effectively)</w:t>
            </w:r>
          </w:p>
        </w:tc>
        <w:tc>
          <w:tcPr>
            <w:tcW w:w="2000" w:type="dxa"/>
            <w:gridSpan w:val="1"/>
          </w:tcPr>
          <w:p>
            <w:pPr/>
            <w:r>
              <w:rPr/>
              <w:t xml:space="preserve">At least 130,000 hectares of seascapes and landscapes effectively managed through participatory approaches</w:t>
            </w:r>
          </w:p>
        </w:tc>
        <w:tc>
          <w:tcPr>
            <w:tcW w:w="2000" w:type="dxa"/>
            <w:gridSpan w:val="1"/>
          </w:tcPr>
          <w:p>
            <w:pPr/>
            <w:r>
              <w:rPr/>
              <w:t xml:space="preserve">At least a total of 240,000  hectares of seascapes and landscapes effectively managed through participatory approaches</w:t>
            </w:r>
          </w:p>
        </w:tc>
        <w:tc>
          <w:tcPr>
            <w:tcW w:w="4000" w:type="dxa"/>
            <w:gridSpan w:val="1"/>
          </w:tcPr>
          <w:p>
            <w:pPr/>
            <w:r>
              <w:rPr/>
              <w:t xml:space="preserve">This indicator is on track.</w:t>
            </w:r>
          </w:p>
          <w:p>
            <w:pPr/>
            <w:r>
              <w:rPr/>
              <w:t xml:space="preserve"/>
            </w:r>
          </w:p>
          <w:p>
            <w:pPr/>
            <w:r>
              <w:rPr/>
              <w:t xml:space="preserve">146,248 confirmed, 157,896 (TOTAL) potential.</w:t>
            </w:r>
          </w:p>
          <w:p>
            <w:pPr/>
            <w:r>
              <w:rPr/>
              <w:t xml:space="preserve"/>
            </w:r>
          </w:p>
          <w:p>
            <w:pPr/>
            <w:r>
              <w:rPr/>
              <w:t xml:space="preserve">Evidence: Indicator 1.3.1-2.pdf</w:t>
            </w:r>
          </w:p>
          <w:p>
            <w:pPr/>
            <w:r>
              <w:rPr/>
              <w:t xml:space="preserve"/>
            </w:r>
          </w:p>
          <w:p>
            <w:pPr/>
            <w:r>
              <w:rPr/>
              <w:t xml:space="preserve">AS OF 2021: Legislated and regulated includes 144,788 hectares of land and sea in Protected Areas plus 1,460 hectares of land in Riparian Buffer Zones (regulated previously but in 2020-2021 were communicated and enforced). AN ADDITIONAL 11,648 hectares on land has been identified for sustainable management solutions.</w:t>
            </w:r>
          </w:p>
          <w:p>
            <w:pPr/>
            <w:r>
              <w:rPr/>
              <w:t xml:space="preserve"/>
            </w:r>
          </w:p>
          <w:p>
            <w:pPr/>
            <w:r>
              <w:rPr/>
              <w:t xml:space="preserve">Evidence: Indicator 1.3.1 (excel)</w:t>
            </w:r>
          </w:p>
          <w:p>
            <w:pPr/>
            <w:r>
              <w:rPr/>
              <w:t xml:space="preserve"/>
            </w:r>
          </w:p>
          <w:p>
            <w:pPr/>
            <w:r>
              <w:rPr/>
              <w:t xml:space="preserve">This mid-term value of 144,788 hectares of confirmed sustainable management solutions represents protected areas on land and sea and riparian buffer zones on land. EQPB regulations were also updated for marine areas but protected Class AA and A waters (pristine waters) have not yet been mapped.</w:t>
            </w:r>
          </w:p>
          <w:p>
            <w:pPr/>
            <w:r>
              <w:rPr/>
              <w:t xml:space="preserve"/>
            </w:r>
          </w:p>
          <w:p>
            <w:pPr/>
            <w:r>
              <w:rPr/>
              <w:t xml:space="preserve">Work on this indicator is progressing steadily through the land use planning efforts of the Babeldaob Joint Coordination Body (JCB). MAFE EPCU acts as the Secretariat for the JCB. The JCB has mapped and agreed to advocate for protection of an additional 11,648 hectares of land to be sustainable managed. As the JCB has no authority (only State Governments have that authority), this means that JCB members have agreed to use the land use designations as the starting point for negotiations in their home state, as those home states undertake Master Planning and Land Use Planning. This number of 11,648 hectares is the result of a year of integrated planning on Babeldaob with 9 of the 10 States. Additional hectares from Airai State (the 10th State) are expected when a new administration there is elected (Airai has been in political flux for months).</w:t>
            </w:r>
          </w:p>
          <w:p>
            <w:pPr/>
            <w:r>
              <w:rPr/>
              <w:t xml:space="preserve"/>
            </w:r>
          </w:p>
          <w:p>
            <w:pPr/>
            <w:r>
              <w:rPr/>
              <w:t xml:space="preserve">The 11,648 hectares represents new agreements on land only, as Project Partners have not had a chance to map or zone for offshore marine areas yet. Significant progress was made in mapping and zoning of Koror’s lagoon waters, but as these are already counted within the Protected Areas value of 144,785 hectares (the revised baseline), thus they are not counted here again. The entire Koror Southern Lagoon is a managed area. However, new zones will improve fisheries management in the lagoon. Eventually, each State on Babeldaob plus Peleliu will have a state-wide Master Plan and Land Use Plan that will zone for the entire State.</w:t>
            </w:r>
          </w:p>
          <w:p>
            <w:pPr/>
            <w:r>
              <w:rPr/>
              <w:t xml:space="preserve">In the next year, work on Babeldaob and Peleliu will also focus on fisheries and aquaculture areas (both nearshore and offshore) and thus Project Partners are confident they will reach the target of 240,000 hectares of sustainable management solutions by the end of the Project.</w:t>
            </w:r>
          </w:p>
          <w:p>
            <w:pPr/>
            <w:r>
              <w:rPr/>
              <w:t xml:space="preserve"/>
            </w:r>
          </w:p>
          <w:p>
            <w:pPr/>
            <w:r>
              <w:rPr/>
              <w:t xml:space="preserve">Palau has also zoned 80% of its EEZ as a no-take Marine Protected Area (the Palau National Marine Sanctuary – PNMS – 500,000 square kilometers) which is not counted here because they are counted under a different GEF7-funded project. However, many GEF6 Project Partners are highly involved in the PNMS and implementing types of sustainable management solutions that have been identified in this GEF6 project (such as outreach, enforcement, and zoning).</w:t>
            </w:r>
          </w:p>
        </w:tc>
        <w:tc>
          <w:tcPr>
            <w:tcW w:w="4000" w:type="dxa"/>
            <w:gridSpan w:val="1"/>
          </w:tcPr>
          <w:p>
            <w:pPr/>
            <w:r>
              <w:rPr/>
              <w:t xml:space="preserve">This indicator is on track.</w:t>
            </w:r>
          </w:p>
          <w:p>
            <w:pPr/>
            <w:r>
              <w:rPr/>
              <w:t xml:space="preserve"/>
            </w:r>
          </w:p>
          <w:p>
            <w:pPr/>
            <w:r>
              <w:rPr/>
              <w:t xml:space="preserve">146,588 confirmed; Another 29,815 identified as potential; Total of 188,051 hectares.</w:t>
            </w:r>
          </w:p>
          <w:p>
            <w:pPr/>
            <w:r>
              <w:rPr/>
              <w:t xml:space="preserve"/>
            </w:r>
          </w:p>
          <w:p>
            <w:pPr/>
            <w:r>
              <w:rPr/>
              <w:t xml:space="preserve">340 hectares newly confirmed in 2022. These include Airai’s legislated conservation areas and registered historical sites.</w:t>
            </w:r>
          </w:p>
          <w:p>
            <w:pPr/>
            <w:r>
              <w:rPr/>
              <w:t xml:space="preserve"/>
            </w:r>
          </w:p>
          <w:p>
            <w:pPr/>
            <w:r>
              <w:rPr/>
              <w:t xml:space="preserve">As of Year 4, together with zoning, sustainable use planning, new conservation areas, and community-managed areas, the total hectares of land and water currently or planned to be set aside for effective management is 188,051 hectares.</w:t>
            </w:r>
          </w:p>
          <w:p>
            <w:pPr/>
            <w:r>
              <w:rPr/>
              <w:t xml:space="preserve"/>
            </w:r>
          </w:p>
          <w:p>
            <w:pPr/>
            <w:r>
              <w:rPr/>
              <w:t xml:space="preserve">The 30,155 potential hectares added in 2021-2022 includes lands proposed to be zoned for conservation, historical/cultural preservation, watershed protection, recreation, and other non-extractive uses on land in Ngiwal and Ngeremlengui. These 2 out of the 11 states doing land use planning progressed to the point of zoning in 2022. 8 out of 10 States on Babeldaob also began identifying zones for nearshore marine low-impact uses such as gleaning, tourism, clam aquaculture, shoreline protection by mangroves, and community-based fishing as part of marine spatial planning (msp). A few potential new conservation areas or expansion of conservation areas were also included in state plans in 2022.</w:t>
            </w:r>
          </w:p>
          <w:p>
            <w:pPr/>
            <w:r>
              <w:rPr/>
              <w:t xml:space="preserve"/>
            </w:r>
          </w:p>
          <w:p>
            <w:pPr/>
            <w:r>
              <w:rPr/>
              <w:t xml:space="preserve">Evidence: Table "Indicator 1.3.1 - Sustainable Management Area - 2022 - with confirmed"</w:t>
            </w:r>
          </w:p>
        </w:tc>
      </w:tr>
      <w:tr>
        <w:trPr/>
        <w:tc>
          <w:tcPr>
            <w:tcW w:w="4000" w:type="dxa"/>
            <w:gridSpan w:val="1"/>
          </w:tcPr>
          <w:p>
            <w:pPr/>
            <w:r>
              <w:rPr/>
              <w:t xml:space="preserve">Mandatory Indicator 1.3.2 Number of households benefiting from strengthened livelihoods through solutions for improved management of natural resources and provision of ecosystem services</w:t>
            </w:r>
          </w:p>
        </w:tc>
        <w:tc>
          <w:tcPr>
            <w:tcW w:w="2000" w:type="dxa"/>
            <w:gridSpan w:val="1"/>
          </w:tcPr>
          <w:p>
            <w:pPr/>
            <w:r>
              <w:rPr/>
              <w:t xml:space="preserve">Number of households currently participating in sustainable resource management and best practice approaches – 39% of HHs (in 7 Babeldaob states and Peleliu) in 2016 (300 HHs ) . (baseline to be validated  in Year 1)</w:t>
            </w:r>
          </w:p>
        </w:tc>
        <w:tc>
          <w:tcPr>
            <w:tcW w:w="2000" w:type="dxa"/>
            <w:gridSpan w:val="1"/>
          </w:tcPr>
          <w:p>
            <w:pPr/>
            <w:r>
              <w:rPr/>
              <w:t xml:space="preserve">At least 45% of HHs in Babeldaob states and Peleliu (at least 340HHs) directly benefit through sustainable resource management approaches and incomes  (At least 50% of the beneficiaries would be women inclusive HHs)</w:t>
            </w:r>
          </w:p>
        </w:tc>
        <w:tc>
          <w:tcPr>
            <w:tcW w:w="2000" w:type="dxa"/>
            <w:gridSpan w:val="1"/>
          </w:tcPr>
          <w:p>
            <w:pPr/>
            <w:r>
              <w:rPr/>
              <w:t xml:space="preserve">At least 55% of HHs in Babeldaob states and Peleliu (at least 425HHs) directly benefit through sustainable resource management approaches and incomes  (At least 50% of the beneficiaries would be women inclusive HHs)</w:t>
            </w:r>
          </w:p>
        </w:tc>
        <w:tc>
          <w:tcPr>
            <w:tcW w:w="4000" w:type="dxa"/>
            <w:gridSpan w:val="1"/>
          </w:tcPr>
          <w:p>
            <w:pPr/>
            <w:r>
              <w:rPr/>
              <w:t xml:space="preserve">This indicator is on track. The progress is verified through different types of data collection as Iit is difficult to track beneficiaries by number of households.</w:t>
            </w:r>
          </w:p>
          <w:p>
            <w:pPr/>
            <w:r>
              <w:rPr/>
              <w:t xml:space="preserve"/>
            </w:r>
          </w:p>
          <w:p>
            <w:pPr/>
            <w:r>
              <w:rPr/>
              <w:t xml:space="preserve">Sign-in sheet data shows that 874 people participated in the project in some way. Using women as a proxy for households, participation in the State projects - implementation of best practices in the key sectors to strengthen management and thus livelihoods - was at 322. In total 588 women have participated. 65-70% of participants are women. However, (although information is still being collected), it appears that of those people who received stipends, men were 73% and women were 27%. If this is the case, corrective action will be taken to ensure that women receive financial benefits from the project at the same rate as men and are not expected to work for free.</w:t>
            </w:r>
          </w:p>
          <w:p>
            <w:pPr/>
            <w:r>
              <w:rPr/>
              <w:t xml:space="preserve"/>
            </w:r>
          </w:p>
          <w:p>
            <w:pPr/>
            <w:r>
              <w:rPr/>
              <w:t xml:space="preserve">Evidence: Indicator 1.3.2 – Participant Database.xlsx</w:t>
            </w:r>
          </w:p>
          <w:p>
            <w:pPr/>
            <w:r>
              <w:rPr/>
              <w:t xml:space="preserve"/>
            </w:r>
          </w:p>
          <w:p>
            <w:pPr/>
            <w:r>
              <w:rPr/>
              <w:t xml:space="preserve">Information on who exactly had received stipends (a direct livelihood benefit) was still being collected, but in the past year $20,897 was paid directly to community members for their participation in livelihood activities (e.g. planting, cleanups, planning). Given that the average stipend is $35, this means that nearly 600 stipends were paid. Participants received stipends for:</w:t>
            </w:r>
          </w:p>
          <w:p>
            <w:pPr/>
            <w:r>
              <w:rPr/>
              <w:t xml:space="preserve"/>
            </w:r>
          </w:p>
          <w:p>
            <w:pPr/>
            <w:r>
              <w:rPr/>
              <w:t xml:space="preserve">•	Planting trees in Ngarchelong, Ngeremlengui, and Ngchesar</w:t>
            </w:r>
          </w:p>
          <w:p>
            <w:pPr/>
            <w:r>
              <w:rPr/>
              <w:t xml:space="preserve">•	Pulling out invasive weeds in Lake Ngardok (co-financed with state funds)</w:t>
            </w:r>
          </w:p>
          <w:p>
            <w:pPr/>
            <w:r>
              <w:rPr/>
              <w:t xml:space="preserve">•	Cleaning out taro patch waterways in Ngiwal (beneficiaries were mostly women)</w:t>
            </w:r>
          </w:p>
          <w:p>
            <w:pPr/>
            <w:r>
              <w:rPr/>
              <w:t xml:space="preserve">•	Cleaning stream debris and trash in Ngardmau</w:t>
            </w:r>
          </w:p>
          <w:p>
            <w:pPr/>
            <w:r>
              <w:rPr/>
              <w:t xml:space="preserve">•	Removing invasive vines in Peleliu</w:t>
            </w:r>
          </w:p>
          <w:p>
            <w:pPr/>
            <w:r>
              <w:rPr/>
              <w:t xml:space="preserve">•	Aimeliik and Ngaraard did not pay its tree planting volunteers a stipend but provided them with meals.</w:t>
            </w:r>
          </w:p>
          <w:p>
            <w:pPr/>
            <w:r>
              <w:rPr/>
              <w:t xml:space="preserve">•	Ngaraard women did receive stipends for cleaning out taro waterways (co-financed with other GEF funds; beneficiaries were 100% women).</w:t>
            </w:r>
          </w:p>
          <w:p>
            <w:pPr/>
            <w:r>
              <w:rPr/>
              <w:t xml:space="preserve">An additional 60 households have participated in planning; some planning teams offer a stipend while others rely on volunteers.</w:t>
            </w:r>
          </w:p>
          <w:p>
            <w:pPr/>
            <w:r>
              <w:rPr/>
              <w:t xml:space="preserve"/>
            </w:r>
          </w:p>
          <w:p>
            <w:pPr/>
            <w:r>
              <w:rPr/>
              <w:t xml:space="preserve">Evidence: Indicator 1.3.2 – GEF6 States Stipend Log.xlsx</w:t>
            </w:r>
          </w:p>
          <w:p>
            <w:pPr/>
            <w:r>
              <w:rPr/>
              <w:t xml:space="preserve"/>
            </w:r>
          </w:p>
          <w:p>
            <w:pPr/>
            <w:r>
              <w:rPr/>
              <w:t xml:space="preserve">2020 funds of $43,000 were used by States for these activities and some portion of their 2021 funds. Every state provided at least food to its participants. Because of the delay in receiving 2021 funds, State activities in 2021 were delayed.</w:t>
            </w:r>
          </w:p>
          <w:p>
            <w:pPr/>
            <w:r>
              <w:rPr/>
              <w:t xml:space="preserve"/>
            </w:r>
          </w:p>
          <w:p>
            <w:pPr/>
            <w:r>
              <w:rPr/>
              <w:t xml:space="preserve">It is proving to be difficult to confirm the baseline and a new baseline may be necessary. Surveys have reached individuals, not households. For instance, the KAP survey found that 69% of individuals had participated in community-wide or state-wide activities to deal with threats to biodiversity. (58% women, 42% men).</w:t>
            </w:r>
          </w:p>
          <w:p>
            <w:pPr/>
            <w:r>
              <w:rPr/>
              <w:t xml:space="preserve"/>
            </w:r>
          </w:p>
          <w:p>
            <w:pPr/>
            <w:r>
              <w:rPr/>
              <w:t xml:space="preserve">For instance, the 2020 Gender and Natural Resources report confirmed that sustainable resource management and best practice approaches are important to nearly 70% of Palauans. Fishing, Agriculture, Invertebrate gleaning, collecting medicine, and collection of medicinal plants are primary uses of natural resources. 748 individuals were surveyed.</w:t>
            </w:r>
          </w:p>
          <w:p>
            <w:pPr/>
            <w:r>
              <w:rPr/>
              <w:t xml:space="preserve"/>
            </w:r>
          </w:p>
          <w:p>
            <w:pPr/>
            <w:r>
              <w:rPr/>
              <w:t xml:space="preserve">Evidence: Resource Use Gender Report – Palau 2021 – DADG-Ebill-GEF6_Maps.pdf</w:t>
            </w:r>
          </w:p>
        </w:tc>
        <w:tc>
          <w:tcPr>
            <w:tcW w:w="4000" w:type="dxa"/>
            <w:gridSpan w:val="1"/>
          </w:tcPr>
          <w:p>
            <w:pPr/>
            <w:r>
              <w:rPr/>
              <w:t xml:space="preserve">This indicator is on track. Both the original indicator (which is hard to measure) and the revised indicator post-MTR are on track.</w:t>
            </w:r>
          </w:p>
          <w:p>
            <w:pPr/>
            <w:r>
              <w:rPr/>
              <w:t xml:space="preserve"/>
            </w:r>
          </w:p>
          <w:p>
            <w:pPr/>
            <w:r>
              <w:rPr/>
              <w:t xml:space="preserve">Sign in sheets indicated at least 2,386 people benefitted from the project in 2021-2022, from learning new skills during trainings and workshops, advocating for their needs during master planning, or engaging in a field activity that improved community conditions and/or paid a stipend. At least 1,358 women benefitted from the project (57%) over all activities.</w:t>
            </w:r>
          </w:p>
          <w:p>
            <w:pPr/>
            <w:r>
              <w:rPr/>
              <w:t xml:space="preserve"/>
            </w:r>
          </w:p>
          <w:p>
            <w:pPr/>
            <w:r>
              <w:rPr/>
              <w:t xml:space="preserve">Whether a participant was known as Rural or Urban was known for 1,562 beneficiaries (many sign-in sheets could not determine residence of participants). Of these 1,562 beneficiaries, 875 were women. Of those 875, 582 were rural (67%). As a proxy for women-led households, this means that the targeted number of 425 rural households has been exceeded. Anecdotally, partners at the ADB noted that women’s groups who had participated in the Palau GEF6 project were better equipped to apply for and implement small grants from ADB. Thus, even passive participation appears to be leading to benefits in terms of capacity.</w:t>
            </w:r>
          </w:p>
          <w:p>
            <w:pPr/>
            <w:r>
              <w:rPr/>
              <w:t xml:space="preserve"/>
            </w:r>
          </w:p>
          <w:p>
            <w:pPr/>
            <w:r>
              <w:rPr/>
              <w:t xml:space="preserve">Evidence: Participant sign-in sheet</w:t>
            </w:r>
          </w:p>
          <w:p>
            <w:pPr/>
            <w:r>
              <w:rPr/>
              <w:t xml:space="preserve"/>
            </w:r>
          </w:p>
          <w:p>
            <w:pPr/>
            <w:r>
              <w:rPr/>
              <w:t xml:space="preserve">The project made significant progress in ensuring that 50% of the beneficiaries were women. After updating safeguard requirements and actively advocating for women’s inclusion in stipend-paying activities, the percentage of women receiving stipends increased to 50%, up from 27% last year. In total $8,099 in stipends was paid out, for the quarters in which reports were received. Funding delays hindered more progress.</w:t>
            </w:r>
          </w:p>
          <w:p>
            <w:pPr/>
            <w:r>
              <w:rPr/>
              <w:t xml:space="preserve"/>
            </w:r>
          </w:p>
          <w:p>
            <w:pPr/>
            <w:r>
              <w:rPr/>
              <w:t xml:space="preserve">Evidence: Stipend log</w:t>
            </w:r>
          </w:p>
          <w:p>
            <w:pPr/>
            <w:r>
              <w:rPr/>
              <w:t xml:space="preserve"/>
            </w:r>
          </w:p>
          <w:p>
            <w:pPr/>
            <w:r>
              <w:rPr/>
              <w:t xml:space="preserve">The Project also partnered with the Chamber of Commerce and Ministry of Human Resources, Culture, Tourism, and Development to specifically develop livelihood opportunities. This included a Biodiversity-Friendly Local Product Showcase that enabled 29 women to sell products (56% of sellers were women). Sales from the showcase were over $10,000; this is considered high for a pilot event.</w:t>
            </w:r>
          </w:p>
          <w:p>
            <w:pPr/>
            <w:r>
              <w:rPr/>
              <w:t xml:space="preserve"/>
            </w:r>
          </w:p>
          <w:p>
            <w:pPr/>
            <w:r>
              <w:rPr/>
              <w:t xml:space="preserve">Evidence: Statistics from Showcase and List of Showcase Producers</w:t>
            </w:r>
          </w:p>
          <w:p>
            <w:pPr/>
            <w:r>
              <w:rPr/>
              <w:t xml:space="preserve"/>
            </w:r>
          </w:p>
          <w:p>
            <w:pPr/>
            <w:r>
              <w:rPr/>
              <w:t xml:space="preserve">In addition, the project has been supporting expansion of food security initiatives under the Keled A Ngercheled Initiative (sustainable food systems), including promoting and advocating for local products sales. At events, a diverse population including women, foreigners (representing minority populations), youth, and indigenous Palauans to sell products.</w:t>
            </w:r>
          </w:p>
          <w:p>
            <w:pPr/>
            <w:r>
              <w:rPr/>
              <w:t xml:space="preserve"/>
            </w:r>
          </w:p>
          <w:p>
            <w:pPr/>
            <w:r>
              <w:rPr/>
              <w:t xml:space="preserve">Evidence: Keled A Ngercheled Launch and Farmers Market Advertisement</w:t>
            </w:r>
          </w:p>
        </w:tc>
      </w:tr>
      <w:tr>
        <w:trPr/>
        <w:tc>
          <w:tcPr>
            <w:tcW w:w="4000" w:type="dxa"/>
            <w:gridSpan w:val="1"/>
          </w:tcPr>
          <w:p>
            <w:pPr/>
            <w:r>
              <w:rPr/>
              <w:t xml:space="preserve">Mandatory indicator 2.5.1 Extent to which Institutional frameworks are in place for integration of conservation, sustainable natural resource use, control and management of IAS, biodiversity and ecosystems and improved livelihoods into integrated land/ seascape planning and management</w:t>
            </w:r>
          </w:p>
        </w:tc>
        <w:tc>
          <w:tcPr>
            <w:tcW w:w="2000" w:type="dxa"/>
            <w:gridSpan w:val="1"/>
          </w:tcPr>
          <w:p>
            <w:pPr/>
            <w:r>
              <w:rPr/>
              <w:t xml:space="preserve">No states have comprehensive landscape and seascape planning and management approaches; 4 of 16 states have partial plans or zones (Koror, Airai, Melekeok, Ngardmau)</w:t>
            </w:r>
          </w:p>
        </w:tc>
        <w:tc>
          <w:tcPr>
            <w:tcW w:w="2000" w:type="dxa"/>
            <w:gridSpan w:val="1"/>
          </w:tcPr>
          <w:p>
            <w:pPr/>
            <w:r>
              <w:rPr/>
              <w:t xml:space="preserve">Integrated Landscape/seascape management “strategy” for Babeldaob Island and ILSMPs developed for at least 3 states</w:t>
            </w:r>
          </w:p>
        </w:tc>
        <w:tc>
          <w:tcPr>
            <w:tcW w:w="2000" w:type="dxa"/>
            <w:gridSpan w:val="1"/>
          </w:tcPr>
          <w:p>
            <w:pPr/>
            <w:r>
              <w:rPr/>
              <w:t xml:space="preserve">Multiple use and sustainable landscape and seascape approaches institutionalized by national legislative, policy, and institutional arrangements and planning and practice effected in 9 states</w:t>
            </w:r>
          </w:p>
        </w:tc>
        <w:tc>
          <w:tcPr>
            <w:tcW w:w="4000" w:type="dxa"/>
            <w:gridSpan w:val="1"/>
          </w:tcPr>
          <w:p>
            <w:pPr/>
            <w:r>
              <w:rPr/>
              <w:t xml:space="preserve">Although this indicator is behind relative to the mid-term target, it is on track to meet or exceed the end of project target.</w:t>
            </w:r>
          </w:p>
          <w:p>
            <w:pPr/>
            <w:r>
              <w:rPr/>
              <w:t xml:space="preserve"/>
            </w:r>
          </w:p>
          <w:p>
            <w:pPr/>
            <w:r>
              <w:rPr/>
              <w:t xml:space="preserve">1)	Babeldaob-Koror Regional Urban Development Strategic Plan (KBRUDSAP) was adopted by Ministry of Finance. (Partner activity funded by ADB; GEF6 partners were important stakeholders and heavily involved in its development).</w:t>
            </w:r>
          </w:p>
          <w:p>
            <w:pPr/>
            <w:r>
              <w:rPr/>
              <w:t xml:space="preserve">2)	Babeldaob-wide Land Use Guide developed and adopted by Babeldaob JCB with guidance on protected areas, housing, agriculture, and tourism sites.</w:t>
            </w:r>
          </w:p>
          <w:p>
            <w:pPr/>
            <w:r>
              <w:rPr/>
              <w:t xml:space="preserve"/>
            </w:r>
          </w:p>
          <w:p>
            <w:pPr/>
            <w:r>
              <w:rPr/>
              <w:t xml:space="preserve">Evidence: Indicator 2.5.1- Babeldaob Land Use Guide -Maps-Small.pdf)</w:t>
            </w:r>
          </w:p>
          <w:p>
            <w:pPr/>
            <w:r>
              <w:rPr/>
              <w:t xml:space="preserve"/>
            </w:r>
          </w:p>
          <w:p>
            <w:pPr/>
            <w:r>
              <w:rPr/>
              <w:t xml:space="preserve">3)	9 States actively progressing through Master Planning</w:t>
            </w:r>
          </w:p>
          <w:p>
            <w:pPr/>
            <w:r>
              <w:rPr/>
              <w:t xml:space="preserve"/>
            </w:r>
          </w:p>
          <w:p>
            <w:pPr/>
            <w:r>
              <w:rPr/>
              <w:t xml:space="preserve">Evidence: Indicator 2.5.1 – Master Plan.xlsx)</w:t>
            </w:r>
          </w:p>
          <w:p>
            <w:pPr/>
            <w:r>
              <w:rPr/>
              <w:t xml:space="preserve"/>
            </w:r>
          </w:p>
          <w:p>
            <w:pPr/>
            <w:r>
              <w:rPr/>
              <w:t xml:space="preserve">MAFE’s Legal Counsel made progress on several pieces of biodiversity-related legislation, although none have been adopted yet. These include</w:t>
            </w:r>
          </w:p>
          <w:p>
            <w:pPr/>
            <w:r>
              <w:rPr/>
              <w:t xml:space="preserve">•	Access and Benefit Sharing regulations</w:t>
            </w:r>
          </w:p>
          <w:p>
            <w:pPr/>
            <w:r>
              <w:rPr/>
              <w:t xml:space="preserve">•	Endangered and Threatened Species regulations</w:t>
            </w:r>
          </w:p>
          <w:p>
            <w:pPr/>
            <w:r>
              <w:rPr/>
              <w:t xml:space="preserve">•	Amendment to the Marine Protection Act and associated regulations for the protection of marine species</w:t>
            </w:r>
          </w:p>
          <w:p>
            <w:pPr/>
            <w:r>
              <w:rPr/>
              <w:t xml:space="preserve">•	Amendments to the PNMS law</w:t>
            </w:r>
          </w:p>
          <w:p>
            <w:pPr/>
            <w:r>
              <w:rPr/>
              <w:t xml:space="preserve">•	Draft of the Biosecurity Regulations</w:t>
            </w:r>
          </w:p>
          <w:p>
            <w:pPr/>
            <w:r>
              <w:rPr/>
              <w:t xml:space="preserve">•	Reef-safe Sunscreen laws and regulations</w:t>
            </w:r>
          </w:p>
          <w:p>
            <w:pPr/>
            <w:r>
              <w:rPr/>
              <w:t xml:space="preserve">•	Sustainable Tourism Regulations</w:t>
            </w:r>
          </w:p>
          <w:p>
            <w:pPr/>
            <w:r>
              <w:rPr/>
              <w:t xml:space="preserve"/>
            </w:r>
          </w:p>
          <w:p>
            <w:pPr/>
            <w:r>
              <w:rPr/>
              <w:t xml:space="preserve">Evidence: Palau MAFE Legal Counsel report</w:t>
            </w:r>
          </w:p>
          <w:p>
            <w:pPr/>
            <w:r>
              <w:rPr/>
              <w:t xml:space="preserve"/>
            </w:r>
          </w:p>
          <w:p>
            <w:pPr/>
            <w:r>
              <w:rPr/>
              <w:t xml:space="preserve">Project Partners are still working to complete a full Babeldaob-wide strategy but several key aspects have been concluded and agreed, including an island-wide Vision and island-wide Land Use Designation Guidance maps (see #2 above). Agreed elements in the Babeldaob-wide land use designation maps include:</w:t>
            </w:r>
          </w:p>
          <w:p>
            <w:pPr/>
            <w:r>
              <w:rPr/>
              <w:t xml:space="preserve">•	Low impact uses in the watershed catchments above water sources (all 10 states)</w:t>
            </w:r>
          </w:p>
          <w:p>
            <w:pPr/>
            <w:r>
              <w:rPr/>
              <w:t xml:space="preserve">•	Low impact uses in and around tourism sites (including a 300-foot buffer) on land</w:t>
            </w:r>
          </w:p>
          <w:p>
            <w:pPr/>
            <w:r>
              <w:rPr/>
              <w:t xml:space="preserve">•	Identification and agreement of housing subdivision areas based on agreed criteria that fully incorporated best practices (e.g. appropriate safe soils for septic tanks, protection of cultural resources and agricultural land, avoidance of upland forests and high biodiversity areas, etc.). Criteria included environmental sensitivity and economic/social feasibility in addition to environmental laws and regulations.</w:t>
            </w:r>
          </w:p>
          <w:p>
            <w:pPr/>
            <w:r>
              <w:rPr/>
              <w:t xml:space="preserve">•	Identification and agreement of future large-scale agricultural areas based on best practices for soil fertility and integrated livestock/farming principles.</w:t>
            </w:r>
          </w:p>
          <w:p>
            <w:pPr/>
            <w:r>
              <w:rPr/>
              <w:t xml:space="preserve"/>
            </w:r>
          </w:p>
          <w:p>
            <w:pPr/>
            <w:r>
              <w:rPr/>
              <w:t xml:space="preserve">In the past year, Ngardmau State officially adopted its 2015 Master Plan and immediately began a review and update. Ngiwal and Ngaraard found and reviewed old Master Plans that were developed in the late 1990s. Thus, 5 States have existing or resurrected Master Plans (Airai, Ngardmau, Melekeok, Ngaraard, and Ngiwal). All 10 States on Babeldaob plus Peleliu signed MOUs with MAFE agreeing to undertake Master Planning following MAFE’s templates and tools (which incorporate biodiversity, social, and climate safeguards). Work has started in 9 of those 11 states.</w:t>
            </w:r>
          </w:p>
          <w:p>
            <w:pPr/>
            <w:r>
              <w:rPr/>
              <w:t xml:space="preserve"/>
            </w:r>
          </w:p>
          <w:p>
            <w:pPr/>
            <w:r>
              <w:rPr/>
              <w:t xml:space="preserve">In terms of Institutional Frameworks, the project created Planning Commission legislation and a Master Plan template that are aligned with national law and which will create a state legal basis for master planning. Ngarchelong and Ngaraard have introduced the legislation and it had gone through multiple readings by the end of June 2021. Other states had identifying Planning Commission members while the legislative process takes its time.</w:t>
            </w:r>
          </w:p>
          <w:p>
            <w:pPr/>
            <w:r>
              <w:rPr/>
              <w:t xml:space="preserve"/>
            </w:r>
          </w:p>
          <w:p>
            <w:pPr/>
            <w:r>
              <w:rPr/>
              <w:t xml:space="preserve">Significant progress was made in Koror to review its fisheries zones and identify a comprehensive zoning system for its southern lagoon. (This work was co-financed elsewhere but included GEF6-funded GIS work and meeting facilitation and heavy involvement of Project Partners and staff).</w:t>
            </w:r>
          </w:p>
          <w:p>
            <w:pPr/>
            <w:r>
              <w:rPr/>
              <w:t xml:space="preserve"/>
            </w:r>
          </w:p>
          <w:p>
            <w:pPr/>
            <w:r>
              <w:rPr/>
              <w:t xml:space="preserve">The KBRUDSAP was finished and adopted. Project Partners took the lead in bringing the new administration up to speed on the KBRUDSAP so that it could would fully align with the GEF6 project. The housing and tourism parts of the KBRUDSAP were reviewed, updated, and localized through by the Babeldaob JCB, with negotiation to localize the housing criteria that had been proposed by KBRUDSAP.</w:t>
            </w:r>
          </w:p>
        </w:tc>
        <w:tc>
          <w:tcPr>
            <w:tcW w:w="4000" w:type="dxa"/>
            <w:gridSpan w:val="1"/>
          </w:tcPr>
          <w:p>
            <w:pPr/>
            <w:r>
              <w:rPr/>
              <w:t xml:space="preserve">This indicator is on track to exceed the end of project target.</w:t>
            </w:r>
          </w:p>
          <w:p>
            <w:pPr/>
            <w:r>
              <w:rPr/>
              <w:t xml:space="preserve"/>
            </w:r>
          </w:p>
          <w:p>
            <w:pPr/>
            <w:r>
              <w:rPr/>
              <w:t xml:space="preserve">A) At the National Level, the Babeldaob-Koror Regional Urban Development Strategic Plan (KBRUDSAP), adopted by the Ministry of Finance in 2021, was adopted as one of the country’s “National Development Strategies” and implementation is under way, starting with transportation and housing strategies being implemented across Ministries. Several agencies updated their Strategic Plans to include environmental sections, including the Ministry of Agriculture, Fisheries, and the Environment; the Environmental Quality Protection Board (EQPB); and PALARIS (National GIS).</w:t>
            </w:r>
          </w:p>
          <w:p>
            <w:pPr/>
            <w:r>
              <w:rPr/>
              <w:t xml:space="preserve"/>
            </w:r>
          </w:p>
          <w:p>
            <w:pPr/>
            <w:r>
              <w:rPr/>
              <w:t xml:space="preserve">Evidence: KBRUDSAP Plan and Public Bus Schedule</w:t>
            </w:r>
          </w:p>
          <w:p>
            <w:pPr/>
            <w:r>
              <w:rPr/>
              <w:t xml:space="preserve"/>
            </w:r>
          </w:p>
          <w:p>
            <w:pPr/>
            <w:r>
              <w:rPr/>
              <w:t xml:space="preserve">B) Additionally, Palau is developing a National Environmental Management Strategy (NEMS) that incorporates biodiversity policies and which includes data and priorities set through this project.</w:t>
            </w:r>
          </w:p>
          <w:p>
            <w:pPr/>
            <w:r>
              <w:rPr/>
              <w:t xml:space="preserve"/>
            </w:r>
          </w:p>
          <w:p>
            <w:pPr/>
            <w:r>
              <w:rPr/>
              <w:t xml:space="preserve">Evidence: Draft NEMS</w:t>
            </w:r>
          </w:p>
          <w:p>
            <w:pPr/>
            <w:r>
              <w:rPr/>
              <w:t xml:space="preserve"/>
            </w:r>
          </w:p>
          <w:p>
            <w:pPr/>
            <w:r>
              <w:rPr/>
              <w:t xml:space="preserve">C) Also at the National Level, Palau developed a Sustainable Food Systems Pathway Document that incorporates biodiversity and which encourages cross-sector integrated collaboration that ties production on land to production at sea.</w:t>
            </w:r>
          </w:p>
          <w:p>
            <w:pPr/>
            <w:r>
              <w:rPr/>
              <w:t xml:space="preserve"/>
            </w:r>
          </w:p>
          <w:p>
            <w:pPr/>
            <w:r>
              <w:rPr/>
              <w:t xml:space="preserve">Evidence: Food System Pathway, Ministerial Directive, Presidential Proclamation</w:t>
            </w:r>
          </w:p>
          <w:p>
            <w:pPr/>
            <w:r>
              <w:rPr/>
              <w:t xml:space="preserve"/>
            </w:r>
          </w:p>
          <w:p>
            <w:pPr/>
            <w:r>
              <w:rPr/>
              <w:t xml:space="preserve">D) An update to the National Planning Act passed the Palau National Congress House of Delegates and was transmitted to the Senate.</w:t>
            </w:r>
          </w:p>
          <w:p>
            <w:pPr/>
            <w:r>
              <w:rPr/>
              <w:t xml:space="preserve"/>
            </w:r>
          </w:p>
          <w:p>
            <w:pPr/>
            <w:r>
              <w:rPr/>
              <w:t xml:space="preserve">Evidence: Passed House bill</w:t>
            </w:r>
          </w:p>
          <w:p>
            <w:pPr/>
            <w:r>
              <w:rPr/>
              <w:t xml:space="preserve"/>
            </w:r>
          </w:p>
          <w:p>
            <w:pPr/>
            <w:r>
              <w:rPr/>
              <w:t xml:space="preserve">E) Regionally, 11 States (all targeted 10 States on Babeldaob, plus 1 Peleliu in the Southern Lagoon) are participating in master planning and land use planning encompassing 100% of their land and 100% of their nearshore marine area. The State land use maps and zoning maps incorporate the Babeldaob Land Use Guides developed last year, and which integrate biodiversity projections. The Guides were updated to include additional biodiversity information such as locations of endangered species. Several States passed State legislation to create an institutional framework for planning and zoning, creating State Planning Commissions.</w:t>
            </w:r>
          </w:p>
          <w:p>
            <w:pPr/>
            <w:r>
              <w:rPr/>
              <w:t xml:space="preserve"/>
            </w:r>
          </w:p>
          <w:p>
            <w:pPr/>
            <w:r>
              <w:rPr/>
              <w:t xml:space="preserve">Evidence: Summary of all 11 Master Plans, Ngardmau Draft Master Plan, Ngeremlengui Zoning Code, Ngeremlengui Draft Land Use Plan map, Ngiwal Land use plan map, Ngarchelong State Law, Ngeremlengui State Law, Ngchesar State Law</w:t>
            </w:r>
          </w:p>
          <w:p>
            <w:pPr/>
            <w:r>
              <w:rPr/>
              <w:t xml:space="preserve"/>
            </w:r>
          </w:p>
          <w:p>
            <w:pPr/>
            <w:r>
              <w:rPr/>
              <w:t xml:space="preserve">F) All Babeldaob States also began marine spatial planning for their nearshore marine areas, using social, economic, cultural, and environmental sustainability criteria.</w:t>
            </w:r>
          </w:p>
          <w:p>
            <w:pPr/>
            <w:r>
              <w:rPr/>
              <w:t xml:space="preserve"/>
            </w:r>
          </w:p>
          <w:p>
            <w:pPr/>
            <w:r>
              <w:rPr/>
              <w:t xml:space="preserve">Evidence: MSP plans</w:t>
            </w:r>
          </w:p>
          <w:p>
            <w:pPr/>
            <w:r>
              <w:rPr/>
              <w:t xml:space="preserve">MSP map</w:t>
            </w:r>
          </w:p>
          <w:p>
            <w:pPr/>
            <w:r>
              <w:rPr/>
              <w:t xml:space="preserve"/>
            </w:r>
          </w:p>
          <w:p>
            <w:pPr/>
            <w:r>
              <w:rPr/>
              <w:t xml:space="preserve">G) Koror finalized the update of its Southern Lagoon Management Plan and created a Fisheries Management Plan along with framework legislation. The plan fully incorporates biodiversity protections and science to support sustainable harvesting of fish, such as size restrictions, seasonal and location closures, gear restrictions, and best practices for harvesting.</w:t>
            </w:r>
          </w:p>
          <w:p>
            <w:pPr/>
            <w:r>
              <w:rPr/>
              <w:t xml:space="preserve"/>
            </w:r>
          </w:p>
          <w:p>
            <w:pPr/>
            <w:r>
              <w:rPr/>
              <w:t xml:space="preserve">Evidence: Koror Fisheries Plan and Draft Koror Fisheries Legislation</w:t>
            </w:r>
          </w:p>
          <w:p>
            <w:pPr/>
            <w:r>
              <w:rPr/>
              <w:t xml:space="preserve"/>
            </w:r>
          </w:p>
          <w:p>
            <w:pPr/>
            <w:r>
              <w:rPr/>
              <w:t xml:space="preserve">The project also contributed to labeling initiatives to promote sustainable production, including a "Biodiversity-friendly Local Product" label, "#KeledANgercheled" labels for sustainable foods that are plastic-free, the Palau Business Pledge, and an Organic label.</w:t>
            </w:r>
          </w:p>
          <w:p>
            <w:pPr/>
            <w:r>
              <w:rPr/>
              <w:t xml:space="preserve"/>
            </w:r>
          </w:p>
          <w:p>
            <w:pPr/>
            <w:r>
              <w:rPr/>
              <w:t xml:space="preserve">Evidence: https://sites.google.com/view/gef6palau/partners-and-subprojects/biodiversity-friendly-local-product-showcase/biodiversity-friendly-criteria</w:t>
            </w:r>
          </w:p>
          <w:p>
            <w:pPr/>
            <w:r>
              <w:rPr/>
              <w:t xml:space="preserve"/>
            </w:r>
          </w:p>
          <w:p>
            <w:pPr/>
            <w:r>
              <w:rPr/>
              <w:t xml:space="preserve">Finally, the project contributed text and data on sustainable development to Palau's international commitment at the 2022 Our Ocean Conference: "By 2030, Palau significantly increases climate resilience and food security, through tripling the production and consumption of locally produced healthy foods, from both land and sea, that are produced in a nature and culture positive and socially equitable manner."</w:t>
            </w:r>
          </w:p>
          <w:p>
            <w:pPr/>
            <w:r>
              <w:rPr/>
              <w:t xml:space="preserve"/>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On track</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1</w:t>
            </w:r>
          </w:p>
          <w:p>
            <w:pPr/>
            <w:r>
              <w:rPr>
                <w:b w:val="1"/>
                <w:bCs w:val="1"/>
              </w:rPr>
              <w:t xml:space="preserve">Outcome  1</w:t>
            </w:r>
          </w:p>
          <w:p>
            <w:pPr/>
            <w:r>
              <w:rPr>
                <w:b w:val="1"/>
                <w:bCs w:val="1"/>
              </w:rPr>
              <w:t xml:space="preserve">Enhanced national institutional framework for integrated planning and management of land and seascapes</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2021</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5: Level of institutional capacities for planning, implementation and monitoring integrated land/seascape management plans as measured by UNDP land/seascape management scorecard</w:t>
            </w:r>
          </w:p>
        </w:tc>
        <w:tc>
          <w:tcPr>
            <w:tcW w:w="2000" w:type="dxa"/>
            <w:gridSpan w:val="1"/>
          </w:tcPr>
          <w:p>
            <w:pPr/>
            <w:r>
              <w:rPr/>
              <w:t xml:space="preserve">Limited institutional capacities for planning, implementation and monitoring of multiple use landscape and seascapes as measured by UNDP Land/ Seascape Capacity Development Scorecard baseline:</w:t>
            </w:r>
          </w:p>
          <w:p>
            <w:pPr/>
            <w:r>
              <w:rPr/>
              <w:t xml:space="preserve">(i) National level landscape/seascape capacity score 16/63</w:t>
            </w:r>
          </w:p>
          <w:p>
            <w:pPr/>
            <w:r>
              <w:rPr/>
              <w:t xml:space="preserve">(ii) State level average score landscape/seascape capacity 15/60</w:t>
            </w:r>
          </w:p>
          <w:p>
            <w:pPr/>
            <w:r>
              <w:rPr/>
              <w:t xml:space="preserve">(iii) National Environmental Management score 22/45</w:t>
            </w:r>
          </w:p>
          <w:p>
            <w:pPr/>
            <w:r>
              <w:rPr/>
              <w:t xml:space="preserve">(iv) National biosecurity capacity score 15/45</w:t>
            </w:r>
          </w:p>
          <w:p>
            <w:pPr/>
            <w:r>
              <w:rPr/>
              <w:t xml:space="preserve"/>
            </w:r>
          </w:p>
        </w:tc>
        <w:tc>
          <w:tcPr>
            <w:tcW w:w="2000" w:type="dxa"/>
            <w:gridSpan w:val="1"/>
          </w:tcPr>
          <w:p>
            <w:pPr/>
            <w:r>
              <w:rPr/>
              <w:t xml:space="preserve">Increase of institutional capacity as measured by a 10% increase in UNDP Landscape and Seascape Capacity Development Scorecard  (national and state levels), National Environmental Management Capacity Scorecard and National Biosecurity Capacity Scorecard</w:t>
            </w:r>
          </w:p>
        </w:tc>
        <w:tc>
          <w:tcPr>
            <w:tcW w:w="2000" w:type="dxa"/>
            <w:gridSpan w:val="1"/>
          </w:tcPr>
          <w:p>
            <w:pPr/>
            <w:r>
              <w:rPr/>
              <w:t xml:space="preserve">Average Increase of institutional capacity as measured by a 25 % increase in UNDP Landscape and Seascape Capacity Development Scorecard (national and state levels), National Environmental Management Capacity Scorecard and National Biosecurity Capacity Scorecard (Original:  Increase of institutional capacity by 50% - changes was agreed during inception)</w:t>
            </w:r>
          </w:p>
        </w:tc>
        <w:tc>
          <w:tcPr>
            <w:tcW w:w="4000" w:type="dxa"/>
            <w:gridSpan w:val="1"/>
          </w:tcPr>
          <w:p>
            <w:pPr/>
            <w:r>
              <w:rPr/>
              <w:t xml:space="preserve">This indicator is on track. Scores increased by at least 10% for all four capacities.</w:t>
            </w:r>
          </w:p>
          <w:p>
            <w:pPr/>
            <w:r>
              <w:rPr/>
              <w:t xml:space="preserve"/>
            </w:r>
          </w:p>
          <w:p>
            <w:pPr/>
            <w:r>
              <w:rPr/>
              <w:t xml:space="preserve">The scorecard levels increased for all four capacities:</w:t>
            </w:r>
          </w:p>
          <w:p>
            <w:pPr/>
            <w:r>
              <w:rPr/>
              <w:t xml:space="preserve"/>
            </w:r>
          </w:p>
          <w:p>
            <w:pPr/>
            <w:r>
              <w:rPr/>
              <w:t xml:space="preserve">(i)	National level landscape/seascape capacity score 33/63.</w:t>
            </w:r>
          </w:p>
          <w:p>
            <w:pPr/>
            <w:r>
              <w:rPr/>
              <w:t xml:space="preserve">(ii)	State level average score landscape/seascape capacity 27/60.</w:t>
            </w:r>
          </w:p>
          <w:p>
            <w:pPr/>
            <w:r>
              <w:rPr/>
              <w:t xml:space="preserve">(iii)	National Environmental Management score 32/45.</w:t>
            </w:r>
          </w:p>
          <w:p>
            <w:pPr/>
            <w:r>
              <w:rPr/>
              <w:t xml:space="preserve">(iv)	National biosecurity capacity score 27/45.</w:t>
            </w:r>
          </w:p>
          <w:p>
            <w:pPr/>
            <w:r>
              <w:rPr/>
              <w:t xml:space="preserve">Capacities increased the most within the National Government sphere, partially as a result of the Ministry’s creation and improved coordination of an Environmental Planning and Coordination Unit (EPCU). The EPCU works closely with the National Environmental Protection Council (NEPC) to coordinate environmental actions such as Best Practice workshops, assessments of national indicators (like SDGs), development of new proposals, etc.</w:t>
            </w:r>
          </w:p>
          <w:p>
            <w:pPr/>
            <w:r>
              <w:rPr/>
              <w:t xml:space="preserve"/>
            </w:r>
          </w:p>
          <w:p>
            <w:pPr/>
            <w:r>
              <w:rPr/>
              <w:t xml:space="preserve">Project Partners have collected and collated environmental information, particularly on Best Practices, which are increasingly online and communicated weekly.</w:t>
            </w:r>
          </w:p>
          <w:p>
            <w:pPr/>
            <w:r>
              <w:rPr/>
              <w:t xml:space="preserve"/>
            </w:r>
          </w:p>
          <w:p>
            <w:pPr/>
            <w:r>
              <w:rPr/>
              <w:t xml:space="preserve">(i)	National level landscape scores - Through this GEF6 project, partners are now following an improved process for integrating biodiversity into national policies. This includes consulting updated spatial maps and spatial data housed at PALARIS; and cross-referencing against national environmental policies, which are now online and which have been shared widely. Some Stakeholder meetings are held under the auspices of the NEPC and with the assistance of the NEPC Secretariat. The Babeldaob JCB was created through the project and has been actively engaged in Landscape/Seascape Planning for the island, and are guided by a common vision: Babeldaob Vision &amp; Core Values. Similarly, a stakeholder group of National, State, and civil society developed the KBRUDSAP, which also has a common vision. The KBRUDSAP fed into the Babeldaob vision and the Babeldaob land use guidance maps. EA/EIS regulations were updated to include specific requirements to measure and avoid harm to biodiversity, with special emphasis on endangered species. Total information and data available has increased, and most is available online on a centralized GEF6 website. Weekly emails appear to have increased knowledge about national biodiversity policies that are being mainstreamed.</w:t>
            </w:r>
          </w:p>
          <w:p>
            <w:pPr/>
            <w:r>
              <w:rPr/>
              <w:t xml:space="preserve">(ii)	State level average scores – Although the project invested heavily in building state capacity, because this indicator is averaged across 11 States, all of which are in different places in terms of planning, growth in the indicator is slow. Through MOUs, the EPCU has secured the commitment of all 11 States (10 on Babeldaob plus Peleliu) to participate in Master Planning using EPCU templates and following the agreed process, which includes safeguards and requirements for protecting biodiversity. Since the project started, States have established planning teams, started working on legislation to create participatory and authorized Planning Commissions, collected spatial data, and progressed on developing State Master and Land use plans. Every State has a Vision.</w:t>
            </w:r>
          </w:p>
          <w:p>
            <w:pPr/>
            <w:r>
              <w:rPr/>
              <w:t xml:space="preserve">(iii)	National Environmental management scores – At the national government and national NGO level, participation is steady and stakeholders regularly participate in decisionmaking processes through forums such as the Conservation Consortium and NEPC, and by consulting centralized spatial data held at PALARIS. Amendments to Title 31 passed the House of Representatives and were introduced in the Senate of the National Congress, and included a framework for national planning that included specific reference to environmental management. With improvements to the housing and use of spatial data at PALARIS, and updates of baseline maps, the ability to monitor and evaluate environmental information is improved and standardized. For instance, planning outside of the Project by tourism partners and climate change partners are now using these environmental tools.</w:t>
            </w:r>
          </w:p>
          <w:p>
            <w:pPr/>
            <w:r>
              <w:rPr/>
              <w:t xml:space="preserve">(iv)	National Biosecurity – Formal MOUs were established with the Bureau of Agriculture and the Bureau of Customs to manage the Biosecurity Division. The National Invasive Species Council (NISC) was reconstituted and has jointly developed positions and identified responses to species issues. The NISC Office also initiated research on fruit flies and CRBs in specific response to needs from agriculture. A draft of the updated Biosecurity Regulation were finally produced, reviewed, and sent back to the Legal Counsel for continued work. Finally, after many funding-related delays, construction on the Biosecurity Quarantine facility commenced.</w:t>
            </w:r>
          </w:p>
        </w:tc>
        <w:tc>
          <w:tcPr>
            <w:tcW w:w="4000" w:type="dxa"/>
            <w:gridSpan w:val="1"/>
          </w:tcPr>
          <w:p>
            <w:pPr/>
            <w:r>
              <w:rPr/>
              <w:t xml:space="preserve">This indicator has been achieved. Scores increased by more than 25% for all four capacities.</w:t>
            </w:r>
          </w:p>
          <w:p>
            <w:pPr/>
            <w:r>
              <w:rPr/>
              <w:t xml:space="preserve"/>
            </w:r>
          </w:p>
          <w:p>
            <w:pPr/>
            <w:r>
              <w:rPr/>
              <w:t xml:space="preserve">The scorecard levels increased across all four capacities:</w:t>
            </w:r>
          </w:p>
          <w:p>
            <w:pPr/>
            <w:r>
              <w:rPr/>
              <w:t xml:space="preserve"/>
            </w:r>
          </w:p>
          <w:p>
            <w:pPr/>
            <w:r>
              <w:rPr/>
              <w:t xml:space="preserve">(i)	National level landscape/seascape capacity score 38/63 (up by 5 points).</w:t>
            </w:r>
          </w:p>
          <w:p>
            <w:pPr/>
            <w:r>
              <w:rPr/>
              <w:t xml:space="preserve">(ii)	State level average score landscape/seascape capacity 35/60 (increase in average of 8 points).</w:t>
            </w:r>
          </w:p>
          <w:p>
            <w:pPr/>
            <w:r>
              <w:rPr/>
              <w:t xml:space="preserve">(iii)	National Environmental Management score 34/45 (increase by 2 points).</w:t>
            </w:r>
          </w:p>
          <w:p>
            <w:pPr/>
            <w:r>
              <w:rPr/>
              <w:t xml:space="preserve">(iv)	National biosecurity capacity score 33/45 (increase by 6).</w:t>
            </w:r>
          </w:p>
          <w:p>
            <w:pPr/>
            <w:r>
              <w:rPr/>
              <w:t xml:space="preserve"/>
            </w:r>
          </w:p>
          <w:p>
            <w:pPr/>
            <w:r>
              <w:rPr/>
              <w:t xml:space="preserve">Evidence: Indicator 5 Scorecards A-B-C-D</w:t>
            </w:r>
          </w:p>
          <w:p>
            <w:pPr/>
            <w:r>
              <w:rPr/>
              <w:t xml:space="preserve"/>
            </w:r>
          </w:p>
          <w:p>
            <w:pPr/>
            <w:r>
              <w:rPr/>
              <w:t xml:space="preserve">The increase in scores was driven my improvements to both state and national planning frameworks, with state laws institutionalizing environmental management introduced or implemented in 8 out of the 12 states this project engages with. There was also significant improvement of IAS management with the institutionalization (and staffing) of an IAS Program within the government for control and internal prevention, to complement the biosecurity division for international prevention.</w:t>
            </w:r>
          </w:p>
          <w:p>
            <w:pPr/>
            <w:r>
              <w:rPr/>
              <w:t xml:space="preserve"/>
            </w:r>
          </w:p>
          <w:p>
            <w:pPr/>
            <w:r>
              <w:rPr/>
              <w:t xml:space="preserve">(i)	National level landscape scores - Improvements at the national level include strengthening of the National Planning Act (Title 31) which passed the House of Delegates for the second time and was transmitted to the senate. National plans were developed for food pathways and National Environmental Management and are already being implemented. Tools, templates, and a process for planning were finalized at the national government level, and the national government secured many new data sources.</w:t>
            </w:r>
          </w:p>
          <w:p>
            <w:pPr/>
            <w:r>
              <w:rPr/>
              <w:t xml:space="preserve"/>
            </w:r>
          </w:p>
          <w:p>
            <w:pPr/>
            <w:r>
              <w:rPr/>
              <w:t xml:space="preserve">(ii)	State level average scores – Indicators improved across the board due to heavy investment into state master planning and land use planning, including assisting states to develop Planning Commissions that are established by law. One state even hired a State Planner with its own dedicated budget. The project is working with all states to build capacity for planning, with training on zoning and GIS. All 11 states are working on master plans and land use plans, with some nearing completion and some have begun implementation. Koror developed a drastic spatial update to it Southern Lagoon Plan. The amount of information available increased through a LIDAR satellite imagery project through PALARIS and through dedicated mapping and information collection. Every State is implementing a process for visioning, collective goals and objectives, land use planning and mapping, developing zoning codes, and actions. States have taken drafts of their plans to leadership and communities for approval, and thus plans are based on a solid technical and social basis.</w:t>
            </w:r>
          </w:p>
          <w:p>
            <w:pPr/>
            <w:r>
              <w:rPr/>
              <w:t xml:space="preserve"/>
            </w:r>
          </w:p>
          <w:p>
            <w:pPr/>
            <w:r>
              <w:rPr/>
              <w:t xml:space="preserve">(iii)	National Environmental management scores – The new administration strengthened the authorities of MAFE.</w:t>
            </w:r>
          </w:p>
          <w:p>
            <w:pPr/>
            <w:r>
              <w:rPr/>
              <w:t xml:space="preserve"/>
            </w:r>
          </w:p>
          <w:p>
            <w:pPr/>
            <w:r>
              <w:rPr/>
              <w:t xml:space="preserve">(iv)	National Biosecurity – Institutionalization of an IAS Program within the Ministry of Agriculture, Fisheries, and the Environment’s Organizational Chart made the NISC and IAS formally part of the government’s structure. A key staffing gap was also filled and this led to improvements in operations, including policy development, awareness activities, and cross-sector coordination. Because it is institutionalized, the IAS Program must conduct monitoring and evaluation and meet performance indicators.</w:t>
            </w:r>
          </w:p>
        </w:tc>
      </w:tr>
      <w:tr>
        <w:trPr/>
        <w:tc>
          <w:tcPr>
            <w:tcW w:w="4000" w:type="dxa"/>
            <w:gridSpan w:val="1"/>
          </w:tcPr>
          <w:p>
            <w:pPr/>
            <w:r>
              <w:rPr/>
              <w:t xml:space="preserve">Indicator 6a: Percentage increase in new earthmoving projects requiring environmental assessment (EA)</w:t>
            </w:r>
          </w:p>
        </w:tc>
        <w:tc>
          <w:tcPr>
            <w:tcW w:w="2000" w:type="dxa"/>
            <w:gridSpan w:val="1"/>
          </w:tcPr>
          <w:p>
            <w:pPr/>
            <w:r>
              <w:rPr/>
              <w:t xml:space="preserve">6a: 7.5% of new earthmoving projects require EA (2016)</w:t>
            </w:r>
          </w:p>
        </w:tc>
        <w:tc>
          <w:tcPr>
            <w:tcW w:w="2000" w:type="dxa"/>
            <w:gridSpan w:val="1"/>
          </w:tcPr>
          <w:p>
            <w:pPr/>
            <w:r>
              <w:rPr/>
              <w:t xml:space="preserve">6a. At least 10%  of new earthmoving projects require EA</w:t>
            </w:r>
          </w:p>
        </w:tc>
        <w:tc>
          <w:tcPr>
            <w:tcW w:w="2000" w:type="dxa"/>
            <w:gridSpan w:val="1"/>
          </w:tcPr>
          <w:p>
            <w:pPr/>
            <w:r>
              <w:rPr/>
              <w:t xml:space="preserve">6a. At least 15% of new earthmoving projects require EA</w:t>
            </w:r>
          </w:p>
        </w:tc>
        <w:tc>
          <w:tcPr>
            <w:tcW w:w="4000" w:type="dxa"/>
            <w:gridSpan w:val="1"/>
          </w:tcPr>
          <w:p>
            <w:pPr/>
            <w:r>
              <w:rPr/>
              <w:t xml:space="preserve">At a modified level looking only at larger Commercial and Government/NGO permits, this indicator is on track.</w:t>
            </w:r>
          </w:p>
          <w:p>
            <w:pPr/>
            <w:r>
              <w:rPr/>
              <w:t xml:space="preserve"/>
            </w:r>
          </w:p>
          <w:p>
            <w:pPr/>
            <w:r>
              <w:rPr/>
              <w:t xml:space="preserve">As of March 2021 (FY 2021):</w:t>
            </w:r>
          </w:p>
          <w:p>
            <w:pPr/>
            <w:r>
              <w:rPr/>
              <w:t xml:space="preserve"/>
            </w:r>
          </w:p>
          <w:p>
            <w:pPr/>
            <w:r>
              <w:rPr/>
              <w:t xml:space="preserve">•	4% of ALL projects required an EA. This is still an undesirable trend, as tighter regulations would trigger more EAs.</w:t>
            </w:r>
          </w:p>
          <w:p>
            <w:pPr/>
            <w:r>
              <w:rPr/>
              <w:t xml:space="preserve">•	However, the majority of the permits in 2020 were for residential development (including renovations to existing structures) which are smaller projects and thus exempt from EA requirements.</w:t>
            </w:r>
          </w:p>
          <w:p>
            <w:pPr/>
            <w:r>
              <w:rPr/>
              <w:t xml:space="preserve">•	In 2019, 53% of the permits were for residential permits and in 2020 69% were for residential permits.</w:t>
            </w:r>
          </w:p>
          <w:p>
            <w:pPr/>
            <w:r>
              <w:rPr/>
              <w:t xml:space="preserve">•	Only the commercial and government/NGO projects are likely to trigger EA requirements, if large enough.</w:t>
            </w:r>
          </w:p>
          <w:p>
            <w:pPr/>
            <w:r>
              <w:rPr/>
              <w:t xml:space="preserve">o	Looking only at Commercial and Government/NGO permits, in 2019, EQPB required 11% of applicants to produce an EA; and in 2020 EQPB required 18% of applicants to produce an EA. This is the expected, desirable trend. See spreadsheet: https://docs.google.com/spreadsheets/d/1zo7x2ZN3QCy0nDeoQNIYRS7YaSGMDK3EPL7-0prYoGM/edit?usp=sharing</w:t>
            </w:r>
          </w:p>
          <w:p>
            <w:pPr/>
            <w:r>
              <w:rPr/>
              <w:t xml:space="preserve">Indeed, in 2021 EQPB was called in front of the Palau Senate to respond to claims about making the EA/EIS Regulations too stringent. This was after EQPB added biodiversity criteria and cumulative impacts criteria.</w:t>
            </w:r>
          </w:p>
          <w:p>
            <w:pPr/>
            <w:r>
              <w:rPr/>
              <w:t xml:space="preserve"/>
            </w:r>
          </w:p>
          <w:p>
            <w:pPr/>
            <w:r>
              <w:rPr/>
              <w:t xml:space="preserve">The new and more stringent water quality regulations were communicated widely in the last year. Riparian zones were fully integrated into housing subdivision criteria and into the Babeldaob land use guide.</w:t>
            </w:r>
          </w:p>
          <w:p>
            <w:pPr/>
            <w:r>
              <w:rPr/>
              <w:t xml:space="preserve"/>
            </w:r>
          </w:p>
          <w:p>
            <w:pPr/>
            <w:r>
              <w:rPr/>
              <w:t xml:space="preserve">EQPB also updated its EA/EIS regulations to include specific criteria about biodiversity and endangered species, as well as cumulative effects. The addition of the language about biodiversity was as a direct results of GEF6 Project Partners. EQPB EA/EIS Regulations (2020).</w:t>
            </w:r>
          </w:p>
          <w:p>
            <w:pPr/>
            <w:r>
              <w:rPr/>
              <w:t xml:space="preserve"/>
            </w:r>
          </w:p>
          <w:p>
            <w:pPr/>
            <w:r>
              <w:rPr/>
              <w:t xml:space="preserve">This indicator may not be accurately capturing progress towards this outcome and may need to be REVISED. Regulations have become more stringent, but an increase in small projects makes it appear as if the indicator is trending in the wrong direction. When subsets of data are analyzed, it appears that the intent of the indicator is being achieved.</w:t>
            </w:r>
          </w:p>
        </w:tc>
        <w:tc>
          <w:tcPr>
            <w:tcW w:w="4000" w:type="dxa"/>
            <w:gridSpan w:val="1"/>
          </w:tcPr>
          <w:p>
            <w:pPr/>
            <w:r>
              <w:rPr/>
              <w:t xml:space="preserve">This indicator is on track.</w:t>
            </w:r>
          </w:p>
          <w:p>
            <w:pPr/>
            <w:r>
              <w:rPr/>
              <w:t xml:space="preserve"/>
            </w:r>
          </w:p>
          <w:p>
            <w:pPr/>
            <w:r>
              <w:rPr/>
              <w:t xml:space="preserve">The post MTR indicator was revised to focus only on commercial and government permits.</w:t>
            </w:r>
          </w:p>
          <w:p>
            <w:pPr/>
            <w:r>
              <w:rPr/>
              <w:t xml:space="preserve"/>
            </w:r>
          </w:p>
          <w:p>
            <w:pPr/>
            <w:r>
              <w:rPr/>
              <w:t xml:space="preserve">In FY 2021, 16 EIS/EAs were required from 134 Commercial and Government Projects (12%). This is an increase from prior to the updated EQPB regulations.</w:t>
            </w:r>
          </w:p>
          <w:p>
            <w:pPr/>
            <w:r>
              <w:rPr/>
              <w:t xml:space="preserve"/>
            </w:r>
          </w:p>
          <w:p>
            <w:pPr/>
            <w:r>
              <w:rPr/>
              <w:t xml:space="preserve">In June 2022 alone four (4) EAs have been required, which is a further drastic increase. Of those EAs that were produced, 75% of them directly referenced the newly added significance criteria (e.g. biodiversity criteria) or cumulative impact criteria in the EQPB Regulations (that were added through the project).</w:t>
            </w:r>
          </w:p>
          <w:p>
            <w:pPr/>
            <w:r>
              <w:rPr/>
              <w:t xml:space="preserve"/>
            </w:r>
          </w:p>
          <w:p>
            <w:pPr/>
            <w:r>
              <w:rPr/>
              <w:t xml:space="preserve">Evidence: Indicator 6 - EQPB Performance Report</w:t>
            </w:r>
          </w:p>
          <w:p>
            <w:pPr/>
            <w:r>
              <w:rPr/>
              <w:t xml:space="preserve"/>
            </w:r>
          </w:p>
          <w:p>
            <w:pPr/>
            <w:r>
              <w:rPr/>
              <w:t xml:space="preserve">Indicator 6a - Sample of EAs with Biodiversity Criteria</w:t>
            </w:r>
          </w:p>
        </w:tc>
      </w:tr>
      <w:tr>
        <w:trPr/>
        <w:tc>
          <w:tcPr>
            <w:tcW w:w="4000" w:type="dxa"/>
            <w:gridSpan w:val="1"/>
          </w:tcPr>
          <w:p>
            <w:pPr/>
            <w:r>
              <w:rPr/>
              <w:t xml:space="preserve">Indicator 6b: Percentage compliance with environmental safeguards for all permitted earthmoving projects that are exempt from EAs</w:t>
            </w:r>
          </w:p>
        </w:tc>
        <w:tc>
          <w:tcPr>
            <w:tcW w:w="2000" w:type="dxa"/>
            <w:gridSpan w:val="1"/>
          </w:tcPr>
          <w:p>
            <w:pPr/>
            <w:r>
              <w:rPr/>
              <w:t xml:space="preserve">6b: 85% of all permitted earthmoving projects that are exempt from EAs comply with prescribed environmental safeguards (2016)</w:t>
            </w:r>
          </w:p>
        </w:tc>
        <w:tc>
          <w:tcPr>
            <w:tcW w:w="2000" w:type="dxa"/>
            <w:gridSpan w:val="1"/>
          </w:tcPr>
          <w:p>
            <w:pPr/>
            <w:r>
              <w:rPr/>
              <w:t xml:space="preserve">6b: At least 90% of all permitted earthmoving projects that are exempt from EAs comply with prescribed environmental safeguards</w:t>
            </w:r>
          </w:p>
        </w:tc>
        <w:tc>
          <w:tcPr>
            <w:tcW w:w="2000" w:type="dxa"/>
            <w:gridSpan w:val="1"/>
          </w:tcPr>
          <w:p>
            <w:pPr/>
            <w:r>
              <w:rPr/>
              <w:t xml:space="preserve">6b: Full compliance of all permitted earthmoving projects that are exempt from EAs comply with prescribed environmental safeguards</w:t>
            </w:r>
          </w:p>
        </w:tc>
        <w:tc>
          <w:tcPr>
            <w:tcW w:w="4000" w:type="dxa"/>
            <w:gridSpan w:val="1"/>
          </w:tcPr>
          <w:p>
            <w:pPr/>
            <w:r>
              <w:rPr/>
              <w:t xml:space="preserve">This indicator is steady (and on track).</w:t>
            </w:r>
          </w:p>
          <w:p>
            <w:pPr/>
            <w:r>
              <w:rPr/>
              <w:t xml:space="preserve"/>
            </w:r>
          </w:p>
          <w:p>
            <w:pPr/>
            <w:r>
              <w:rPr/>
              <w:t xml:space="preserve">As of March 2021 (FY 2021):</w:t>
            </w:r>
          </w:p>
          <w:p>
            <w:pPr/>
            <w:r>
              <w:rPr/>
              <w:t xml:space="preserve"/>
            </w:r>
          </w:p>
          <w:p>
            <w:pPr/>
            <w:r>
              <w:rPr/>
              <w:t xml:space="preserve">•	5% violation rate, or 95% compliance rate. This is holding steady.</w:t>
            </w:r>
          </w:p>
          <w:p>
            <w:pPr/>
            <w:r>
              <w:rPr/>
              <w:t xml:space="preserve">o	The 2020 number was 15 violations:313 earthmoving permits;</w:t>
            </w:r>
          </w:p>
          <w:p>
            <w:pPr/>
            <w:r>
              <w:rPr/>
              <w:t xml:space="preserve">o	The 2021 number is 21 violations:382 permits.</w:t>
            </w:r>
          </w:p>
          <w:p>
            <w:pPr/>
            <w:r>
              <w:rPr/>
              <w:t xml:space="preserve">•	The number of permit applications increased by 22% between the two years, while staffing at EQPB declined from 17 to 16 (including having no Executive Director for part of 2021).</w:t>
            </w:r>
          </w:p>
          <w:p>
            <w:pPr/>
            <w:r>
              <w:rPr/>
              <w:t xml:space="preserve"/>
            </w:r>
          </w:p>
          <w:p>
            <w:pPr/>
            <w:r>
              <w:rPr/>
              <w:t xml:space="preserve">Evidence: Indicator 6 – EQPB.xlsx</w:t>
            </w:r>
          </w:p>
          <w:p>
            <w:pPr/>
            <w:r>
              <w:rPr/>
              <w:t xml:space="preserve"/>
            </w:r>
          </w:p>
          <w:p>
            <w:pPr/>
            <w:r>
              <w:rPr/>
              <w:t xml:space="preserve">Since the project started EQPB has updated its water quality and EA/EIS regulations and held workshops and trainings with developers, contractors, State governments, and other stakeholders to communicate the revisions. EQPB also produced a guidance document: Palau Marine and Freshwater Water Quality Regulations - Implementation Guidance Manual and training materials: Overview presentation on revised EA/EIS Regulations (2020). See photos from a workshop: https://www.flickr.com/photos/189071815@N08/albums/72157717212052307.</w:t>
            </w:r>
          </w:p>
          <w:p>
            <w:pPr/>
            <w:r>
              <w:rPr/>
              <w:t xml:space="preserve"/>
            </w:r>
          </w:p>
          <w:p>
            <w:pPr/>
            <w:r>
              <w:rPr/>
              <w:t xml:space="preserve">The KAP survey confirmed that knowledge of zoning is limited and thus education and outreach will be necessary if permit applications are to conform with land use plans that incorporate zones that are being developed with biodiversity safeguards in place. The KAP survey found:</w:t>
            </w:r>
          </w:p>
          <w:p>
            <w:pPr/>
            <w:r>
              <w:rPr/>
              <w:t xml:space="preserve"/>
            </w:r>
          </w:p>
          <w:p>
            <w:pPr/>
            <w:r>
              <w:rPr/>
              <w:t xml:space="preserve">•	Around 75% of respondents said that zoning is important and should be followed.</w:t>
            </w:r>
          </w:p>
          <w:p>
            <w:pPr/>
            <w:r>
              <w:rPr/>
              <w:t xml:space="preserve">•	Majority of the population disagrees that private lands should follow zoning rules, but disagrees differently by age that public lands should only be applied zoning rules.</w:t>
            </w:r>
          </w:p>
          <w:p>
            <w:pPr/>
            <w:r>
              <w:rPr/>
              <w:t xml:space="preserve">•	66.7% of the elderly subgroup, followed by 53.48% of adults and 48.84% of youth view the need for stringent zoning rules be applied to public lands.</w:t>
            </w:r>
          </w:p>
          <w:p>
            <w:pPr/>
            <w:r>
              <w:rPr/>
              <w:t xml:space="preserve">•	Only 20% of people had ever checked to map to see if certain types of development are allowed.</w:t>
            </w:r>
          </w:p>
          <w:p>
            <w:pPr/>
            <w:r>
              <w:rPr/>
              <w:t xml:space="preserve"/>
            </w:r>
          </w:p>
          <w:p>
            <w:pPr/>
            <w:r>
              <w:rPr/>
              <w:t xml:space="preserve">Evidence: Palau 2020 KAP - Baseline for IAS and LUP _ Data.pdf_</w:t>
            </w:r>
          </w:p>
          <w:p>
            <w:pPr/>
            <w:r>
              <w:rPr/>
              <w:t xml:space="preserve"/>
            </w:r>
          </w:p>
          <w:p>
            <w:pPr/>
            <w:r>
              <w:rPr/>
              <w:t xml:space="preserve">Project partners are also increasing awareness of regulations and biodiversity safeguards through master, action, and land use planning processes. For instance, state planning teams reviewed safeguards and restrictions before identifying 2021 Action Projects, and had to design projects that incorporated safeguards. See:</w:t>
            </w:r>
          </w:p>
          <w:p>
            <w:pPr/>
            <w:r>
              <w:rPr/>
              <w:t xml:space="preserve"/>
            </w:r>
          </w:p>
          <w:p>
            <w:pPr/>
            <w:r>
              <w:rPr/>
              <w:t xml:space="preserve">•	https://sites.google.com/view/gef6palau/governance/safeguards, plus</w:t>
            </w:r>
          </w:p>
          <w:p>
            <w:pPr/>
            <w:r>
              <w:rPr/>
              <w:t xml:space="preserve">•	https://sites.google.com/view/gef6palau/governance/endangered-species.</w:t>
            </w:r>
          </w:p>
          <w:p>
            <w:pPr/>
            <w:r>
              <w:rPr/>
              <w:t xml:space="preserve">•	This document that was reviewed in person with all planning teams prior to setting their 2021 AWPs: Funding Guidance and Requirements for 2021 State Funds</w:t>
            </w:r>
          </w:p>
        </w:tc>
        <w:tc>
          <w:tcPr>
            <w:tcW w:w="4000" w:type="dxa"/>
            <w:gridSpan w:val="1"/>
          </w:tcPr>
          <w:p>
            <w:pPr/>
            <w:r>
              <w:rPr/>
              <w:t xml:space="preserve">This indicator is on track.</w:t>
            </w:r>
          </w:p>
          <w:p>
            <w:pPr/>
            <w:r>
              <w:rPr/>
              <w:t xml:space="preserve"/>
            </w:r>
          </w:p>
          <w:p>
            <w:pPr/>
            <w:r>
              <w:rPr/>
              <w:t xml:space="preserve">In 2021 there were 10 violations out of a total 310 Earthmoving Permits, for a violation rate at 3%.</w:t>
            </w:r>
          </w:p>
          <w:p>
            <w:pPr/>
            <w:r>
              <w:rPr/>
              <w:t xml:space="preserve"/>
            </w:r>
          </w:p>
          <w:p>
            <w:pPr/>
            <w:r>
              <w:rPr/>
              <w:t xml:space="preserve">Evidence: Indicator 6 - EQPB Performance Report</w:t>
            </w:r>
          </w:p>
        </w:tc>
      </w:tr>
      <w:tr>
        <w:trPr/>
        <w:tc>
          <w:tcPr>
            <w:tcW w:w="4000" w:type="dxa"/>
            <w:gridSpan w:val="1"/>
          </w:tcPr>
          <w:p>
            <w:pPr/>
            <w:r>
              <w:rPr/>
              <w:t xml:space="preserve">Indicator 7: Comprehensiveness of national level IAS management framework and ability to prevent IAS of high risk to biodiversity from entering Palau, as measured by IAS Tracking Tool</w:t>
            </w:r>
          </w:p>
        </w:tc>
        <w:tc>
          <w:tcPr>
            <w:tcW w:w="2000" w:type="dxa"/>
            <w:gridSpan w:val="1"/>
          </w:tcPr>
          <w:p>
            <w:pPr/>
            <w:r>
              <w:rPr/>
              <w:t xml:space="preserve">IAS Tracking Tool Score of 9 (out of total of 27) due to lack of national coordinating mechanism; no national IAS strategy; detection surveys non-existent; priority pathways not actively managed, etc.</w:t>
            </w:r>
          </w:p>
        </w:tc>
        <w:tc>
          <w:tcPr>
            <w:tcW w:w="2000" w:type="dxa"/>
            <w:gridSpan w:val="1"/>
          </w:tcPr>
          <w:p>
            <w:pPr/>
            <w:r>
              <w:rPr/>
              <w:t xml:space="preserve">Improved policies and legislation for prevention of high risk IAS from entering Palau as measured by 20% increased score in the GEF IAS Tracking Tool (from baseline 9 to 11)</w:t>
            </w:r>
          </w:p>
        </w:tc>
        <w:tc>
          <w:tcPr>
            <w:tcW w:w="2000" w:type="dxa"/>
            <w:gridSpan w:val="1"/>
          </w:tcPr>
          <w:p>
            <w:pPr/>
            <w:r>
              <w:rPr/>
              <w:t xml:space="preserve">Improved surveillance and controls for prevention of high risk IAS from entering Palau as measured by 50% increased score in the GEF IAS Tracking Tool (from baseline 9 to 15)</w:t>
            </w:r>
          </w:p>
        </w:tc>
        <w:tc>
          <w:tcPr>
            <w:tcW w:w="4000" w:type="dxa"/>
            <w:gridSpan w:val="1"/>
          </w:tcPr>
          <w:p>
            <w:pPr/>
            <w:r>
              <w:rPr/>
              <w:t xml:space="preserve">This indicator is on track.</w:t>
            </w:r>
          </w:p>
          <w:p>
            <w:pPr/>
            <w:r>
              <w:rPr/>
              <w:t xml:space="preserve"/>
            </w:r>
          </w:p>
          <w:p>
            <w:pPr/>
            <w:r>
              <w:rPr/>
              <w:t xml:space="preserve">Continued Slight increase in the Tracking Tool. (This indicator is comprehensive; note there was significant improvement in biosecurity capacity – Indicator 5). IAS Tracking Tool Score of 12 (out of total of 27) due to improvement in management and monitoring of priority pathways (e.g. cargo at the airport and seaport).</w:t>
            </w:r>
          </w:p>
          <w:p>
            <w:pPr/>
            <w:r>
              <w:rPr/>
              <w:t xml:space="preserve"/>
            </w:r>
          </w:p>
          <w:p>
            <w:pPr/>
            <w:r>
              <w:rPr/>
              <w:t xml:space="preserve">The nationwide IAS framework continues to improve. Key achievements included production of a draft of the Biosecurity Regulations, which were reviewed in depth and sent back for revision. During the review process, a draft of aquatic species regulations were also reviewed by technical experts and recommended for adoption and inclusion into the final Biosecurity Regulations.</w:t>
            </w:r>
          </w:p>
          <w:p>
            <w:pPr/>
            <w:r>
              <w:rPr/>
              <w:t xml:space="preserve"/>
            </w:r>
          </w:p>
          <w:p>
            <w:pPr/>
            <w:r>
              <w:rPr/>
              <w:t xml:space="preserve">Despite the delays, the project finally began construction on a Biosecurity Quarantine Facility in Ngchesar.</w:t>
            </w:r>
          </w:p>
          <w:p>
            <w:pPr/>
            <w:r>
              <w:rPr/>
              <w:t xml:space="preserve"/>
            </w:r>
          </w:p>
          <w:p>
            <w:pPr/>
            <w:r>
              <w:rPr/>
              <w:t xml:space="preserve">The NISC was reconstituted, held its first meeting in more than 18 months, and even drafted a response to a national biosecurity action.</w:t>
            </w:r>
          </w:p>
          <w:p>
            <w:pPr/>
            <w:r>
              <w:rPr/>
              <w:t xml:space="preserve"/>
            </w:r>
          </w:p>
          <w:p>
            <w:pPr/>
            <w:r>
              <w:rPr/>
              <w:t xml:space="preserve">The Biosecurity Division was moved from the Bureau of Agriculture to the Bureau of Customs and Immigration. NISC organized a response to the proposal when it was first proposed: https://drive.google.com/file/d/1b6bgiXEO3lkKZ3Fs8P1niLEko9ahdkdl/view?usp=sharing. Although the move did ultimately go through, NISC’s concerns were brought up during negotiations for ensuring that Biosecurity’s functions would continue even while under Customs and Immigration.</w:t>
            </w:r>
          </w:p>
          <w:p>
            <w:pPr/>
            <w:r>
              <w:rPr/>
              <w:t xml:space="preserve"/>
            </w:r>
          </w:p>
          <w:p>
            <w:pPr/>
            <w:r>
              <w:rPr/>
              <w:t xml:space="preserve">The Biosecurity Division continued to inspect all incoming vessels regularly at the airport and seaport, and the occasional incoming yacht. Several of their forms and procedures (such as Risk Assessment) are under review.</w:t>
            </w:r>
          </w:p>
          <w:p>
            <w:pPr/>
            <w:r>
              <w:rPr/>
              <w:t xml:space="preserve"/>
            </w:r>
          </w:p>
          <w:p>
            <w:pPr/>
            <w:r>
              <w:rPr/>
              <w:t xml:space="preserve">Partners also did training of PAN Rangers to improve their ability to monitor and delimit invasive vines and crown-of-thorn starfish. A centralized database was also established and tested and is being refined: https://sites.google.com/view/gef6palau/data-portal.</w:t>
            </w:r>
          </w:p>
          <w:p>
            <w:pPr/>
            <w:r>
              <w:rPr/>
              <w:t xml:space="preserve"/>
            </w:r>
          </w:p>
          <w:p>
            <w:pPr/>
            <w:r>
              <w:rPr/>
              <w:t xml:space="preserve">A baseline was established with spatial data showing hotspots and monitoring spots for fruit flies and CRBs in Koror and Babeldaob:</w:t>
            </w:r>
          </w:p>
          <w:p>
            <w:pPr/>
            <w:r>
              <w:rPr/>
              <w:t xml:space="preserve"/>
            </w:r>
          </w:p>
          <w:p>
            <w:pPr/>
            <w:r>
              <w:rPr/>
              <w:t xml:space="preserve">	Koror CRB and Fruit Fly</w:t>
            </w:r>
          </w:p>
          <w:p>
            <w:pPr/>
            <w:r>
              <w:rPr/>
              <w:t xml:space="preserve"/>
            </w:r>
          </w:p>
          <w:p>
            <w:pPr/>
            <w:r>
              <w:rPr/>
              <w:t xml:space="preserve">	Babeldaob CRB and Fruit Fly</w:t>
            </w:r>
          </w:p>
          <w:p>
            <w:pPr/>
            <w:r>
              <w:rPr/>
              <w:t xml:space="preserve"/>
            </w:r>
          </w:p>
          <w:p>
            <w:pPr/>
            <w:r>
              <w:rPr/>
              <w:t xml:space="preserve">Project Partners produced sets of Black and White lists:</w:t>
            </w:r>
          </w:p>
          <w:p>
            <w:pPr/>
            <w:r>
              <w:rPr/>
              <w:t xml:space="preserve"/>
            </w:r>
          </w:p>
          <w:p>
            <w:pPr/>
            <w:r>
              <w:rPr/>
              <w:t xml:space="preserve">Official Black &amp; White List: Species to Avoid (BOA, 2020) consisting of:</w:t>
            </w:r>
          </w:p>
          <w:p>
            <w:pPr/>
            <w:r>
              <w:rPr/>
              <w:t xml:space="preserve"/>
            </w:r>
          </w:p>
          <w:p>
            <w:pPr/>
            <w:r>
              <w:rPr/>
              <w:t xml:space="preserve">•	Draft Black &amp; White List - Invasive Plants and Trees</w:t>
            </w:r>
          </w:p>
          <w:p>
            <w:pPr/>
            <w:r>
              <w:rPr/>
              <w:t xml:space="preserve">•	Draft Black &amp; White List - Marine and Aquatic Invasive Species</w:t>
            </w:r>
          </w:p>
          <w:p>
            <w:pPr/>
            <w:r>
              <w:rPr/>
              <w:t xml:space="preserve">•	Draft Black &amp; White List - Invasive Animals+Diseases</w:t>
            </w:r>
          </w:p>
          <w:p>
            <w:pPr/>
            <w:r>
              <w:rPr/>
              <w:t xml:space="preserve">Finally, a wealth of information on invasive species, including guidance and best practices, were compiled, organized, put online, and communicated: https://sites.google.com/view/gef6palau/gef6-key-sectors/invasive-species</w:t>
            </w:r>
          </w:p>
          <w:p>
            <w:pPr/>
            <w:r>
              <w:rPr/>
              <w:t xml:space="preserve"/>
            </w:r>
          </w:p>
          <w:p>
            <w:pPr/>
            <w:r>
              <w:rPr/>
              <w:t xml:space="preserve">The EDRR and Inter-island Biosecurity outputs are still behind, but partnerships to develop the systems have been established.</w:t>
            </w:r>
          </w:p>
          <w:p>
            <w:pPr/>
            <w:r>
              <w:rPr/>
              <w:t xml:space="preserve"/>
            </w:r>
          </w:p>
        </w:tc>
        <w:tc>
          <w:tcPr>
            <w:tcW w:w="4000" w:type="dxa"/>
            <w:gridSpan w:val="1"/>
          </w:tcPr>
          <w:p>
            <w:pPr/>
            <w:r>
              <w:rPr/>
              <w:t xml:space="preserve">This indicator has been achieved, with a score of 16 out of 27 (EOP target is 15).</w:t>
            </w:r>
          </w:p>
          <w:p>
            <w:pPr/>
            <w:r>
              <w:rPr/>
              <w:t xml:space="preserve"/>
            </w:r>
          </w:p>
          <w:p>
            <w:pPr/>
            <w:r>
              <w:rPr/>
              <w:t xml:space="preserve">Most notable was that the Invasive Species Program was institutionalized in the Palau Government, taking from an informal committee to a formal division in the government. With that comes a budget, authority, and performance measures. The MAFE IAS Program operates in parallel with the Biosecurity Division now. MAFE operates in country, and Biosecurity operates at the border. The two agencies work together to identify and implement priorities.</w:t>
            </w:r>
          </w:p>
          <w:p>
            <w:pPr/>
            <w:r>
              <w:rPr/>
              <w:t xml:space="preserve"/>
            </w:r>
          </w:p>
          <w:p>
            <w:pPr/>
            <w:r>
              <w:rPr/>
              <w:t xml:space="preserve">While progress on the update to the Biosecurity Regulations remains slow, the existing Animal and Plant Quarantine Regulations have been increasingly promoted for compliance and enforced. An awareness campaign is focusing on preventing entry of invasive species and spread.</w:t>
            </w:r>
          </w:p>
          <w:p>
            <w:pPr/>
            <w:r>
              <w:rPr/>
              <w:t xml:space="preserve"/>
            </w:r>
          </w:p>
          <w:p>
            <w:pPr/>
            <w:r>
              <w:rPr/>
              <w:t xml:space="preserve">The IAS Program has also undertaken systematic monitoring to delimit key species to the food systems (fruit flies and coconut rhinoceros beetles) and implementing best practices with partners and farmers to slow their spread or create invasive-free islands.</w:t>
            </w:r>
          </w:p>
          <w:p>
            <w:pPr/>
            <w:r>
              <w:rPr/>
              <w:t xml:space="preserve"/>
            </w:r>
          </w:p>
          <w:p>
            <w:pPr/>
            <w:r>
              <w:rPr/>
              <w:t xml:space="preserve">Evidence: Indicator 7: IAS Tracking Tool</w:t>
            </w:r>
          </w:p>
          <w:p>
            <w:pPr/>
            <w:r>
              <w:rPr/>
              <w:t xml:space="preserve"/>
            </w:r>
          </w:p>
          <w:p>
            <w:pPr/>
            <w:r>
              <w:rPr/>
              <w:t xml:space="preserve">A draft National IAS Policy has prioritized key species based on clear criteria. Evidence: https://sites.google.com/view/gef6palau/gef6-key-sectors/invasive-species/proposed-ias-priorities</w:t>
            </w:r>
          </w:p>
          <w:p>
            <w:pPr/>
            <w:r>
              <w:rPr/>
              <w:t xml:space="preserve">Indicator 7. Palau IAS Scoping Report</w:t>
            </w:r>
          </w:p>
          <w:p>
            <w:pPr/>
            <w:r>
              <w:rPr/>
              <w:t xml:space="preserve"/>
            </w:r>
          </w:p>
          <w:p>
            <w:pPr/>
            <w:r>
              <w:rPr/>
              <w:t xml:space="preserve">Finally, building of the Biosecurity and Quarantine Facility was finally finished and X-ray machines at the airport were installed to inspect incoming luggage for live organic materials, and plans to improve incoming passenger biosecurity awareness.</w:t>
            </w:r>
          </w:p>
          <w:p>
            <w:pPr/>
            <w:r>
              <w:rPr/>
              <w:t xml:space="preserve"/>
            </w:r>
          </w:p>
          <w:p>
            <w:pPr/>
            <w:r>
              <w:rPr/>
              <w:t xml:space="preserve">See pictures of building: https://flic.kr/s/aHsmX61MUS</w:t>
            </w:r>
          </w:p>
          <w:p>
            <w:pPr/>
            <w:r>
              <w:rPr/>
              <w:t xml:space="preserve"/>
            </w:r>
          </w:p>
          <w:p>
            <w:pPr/>
            <w:r>
              <w:rPr/>
              <w:t xml:space="preserve">See pictures of airport and X-ray: https://flic.kr/s/aHBqjzY3Ps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On track</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2</w:t>
            </w:r>
          </w:p>
          <w:p>
            <w:pPr/>
            <w:r>
              <w:rPr>
                <w:b w:val="1"/>
                <w:bCs w:val="1"/>
              </w:rPr>
              <w:t xml:space="preserve">Outcome 2</w:t>
            </w:r>
          </w:p>
          <w:p>
            <w:pPr/>
            <w:r>
              <w:rPr>
                <w:b w:val="1"/>
                <w:bCs w:val="1"/>
              </w:rPr>
              <w:t xml:space="preserve">Integrated multi-sector land and seascape “Ridge-to-Reef” planning and management operational in Babeldaob states  to reduce threats to biodiversity and improve ecosystem services to benefit communities and state economies</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2021</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8: Number of hectares of high conservation value ecosystems, including forests, mangroves and marine areas zoned/allocated for non-exhaustive use</w:t>
            </w:r>
          </w:p>
        </w:tc>
        <w:tc>
          <w:tcPr>
            <w:tcW w:w="2000" w:type="dxa"/>
            <w:gridSpan w:val="1"/>
          </w:tcPr>
          <w:p>
            <w:pPr/>
            <w:r>
              <w:rPr/>
              <w:t xml:space="preserve">High Conservation Value Forests  (dispersal corridors, biodiversity rich areas and buffer areas) outside protected area network lack appropriate management regimes</w:t>
            </w:r>
          </w:p>
        </w:tc>
        <w:tc>
          <w:tcPr>
            <w:tcW w:w="2000" w:type="dxa"/>
            <w:gridSpan w:val="1"/>
          </w:tcPr>
          <w:p>
            <w:pPr/>
            <w:r>
              <w:rPr/>
              <w:t xml:space="preserve">High Conservation forests including mangroves and marine areas for non-exhaustive use mapped and at least 2,500 ha, allocated for non-exhaustive use</w:t>
            </w:r>
          </w:p>
        </w:tc>
        <w:tc>
          <w:tcPr>
            <w:tcW w:w="2000" w:type="dxa"/>
            <w:gridSpan w:val="1"/>
          </w:tcPr>
          <w:p>
            <w:pPr/>
            <w:r>
              <w:rPr/>
              <w:t xml:space="preserve">High conservation value forests, (including mangroves and marine areas) allocated for non-exhaustive use of at least 15,500 ha, resulting in total avoided 435,492 tCO2 over 20 years</w:t>
            </w:r>
          </w:p>
        </w:tc>
        <w:tc>
          <w:tcPr>
            <w:tcW w:w="4000" w:type="dxa"/>
            <w:gridSpan w:val="1"/>
          </w:tcPr>
          <w:p>
            <w:pPr/>
            <w:r>
              <w:rPr/>
              <w:t xml:space="preserve">This indicator is on track.</w:t>
            </w:r>
          </w:p>
          <w:p>
            <w:pPr/>
            <w:r>
              <w:rPr/>
              <w:t xml:space="preserve"/>
            </w:r>
          </w:p>
          <w:p>
            <w:pPr/>
            <w:r>
              <w:rPr/>
              <w:t xml:space="preserve">CUMULATIVE: 2,944 hectares of upland forest on Babeldaob currently regulated or identified and potentially set aside for non-exhaustive use on Babeldaob. Values from:</w:t>
            </w:r>
          </w:p>
          <w:p>
            <w:pPr/>
            <w:r>
              <w:rPr/>
              <w:t xml:space="preserve"/>
            </w:r>
          </w:p>
          <w:p>
            <w:pPr/>
            <w:r>
              <w:rPr/>
              <w:t xml:space="preserve">•	1,460 hectares of riparian forest regulated by EQPB regulations.</w:t>
            </w:r>
          </w:p>
          <w:p>
            <w:pPr/>
            <w:r>
              <w:rPr/>
              <w:t xml:space="preserve">•	ADDED IN 2021: 1,484 hectares (OUTSIDE OF PROTECTED AREAS) potentially zoned for non-exhaustive use for water source protection; agreement from Babeldaob JCB but needs State agreement.</w:t>
            </w:r>
          </w:p>
          <w:p>
            <w:pPr/>
            <w:r>
              <w:rPr/>
              <w:t xml:space="preserve">See map: https://drive.google.com/file/d/1qOZdUUTMvSonWb7t0q4MGr20gFtNr1oq/view?usp=sharing See SPREADSHEET: https://docs.google.com/spreadsheets/d/1oBPGd6-ISDPL3YrLfqyYIwodIVNl1-t2uJ_ToryKip0/edit?usp=sharing</w:t>
            </w:r>
          </w:p>
          <w:p>
            <w:pPr/>
            <w:r>
              <w:rPr/>
              <w:t xml:space="preserve"/>
            </w:r>
          </w:p>
          <w:p>
            <w:pPr/>
            <w:r>
              <w:rPr/>
              <w:t xml:space="preserve">The Babeldaob Joint Coordination Body meets regularly and in the past year agreed to a Babeldaob-wide land use designation guide that incorporated biodiversity safeguards. This included agreeing to tentative housing subdivision areas as recommended by the SMCE (Spatial Multi-Criteria Evaluation) tool first developed by the KBRUDSAP and then localized for Babeldaob by the JCB. The SMCE criteria include avoiding important forest areas (identified in Palau’s Statewide Assessment of Forest Resources, SWARs) plus making high-value areas the lowest possible suitability (mangroves and upland forests). See:</w:t>
            </w:r>
          </w:p>
          <w:p>
            <w:pPr/>
            <w:r>
              <w:rPr/>
              <w:t xml:space="preserve"/>
            </w:r>
          </w:p>
          <w:p>
            <w:pPr/>
            <w:r>
              <w:rPr/>
              <w:t xml:space="preserve">•  Final Housing Subdivision Criteria</w:t>
            </w:r>
          </w:p>
          <w:p>
            <w:pPr/>
            <w:r>
              <w:rPr/>
              <w:t xml:space="preserve">•  Babeldaob Map with proposed Housing Subdivision Restrictions</w:t>
            </w:r>
          </w:p>
          <w:p>
            <w:pPr/>
            <w:r>
              <w:rPr/>
              <w:t xml:space="preserve"/>
            </w:r>
          </w:p>
          <w:p>
            <w:pPr/>
            <w:r>
              <w:rPr/>
              <w:t xml:space="preserve">The Babeldaob JCB also agreed that water sources should be protected and agreed to the drawing of tentative borders around entire watersheds draining into public water systems. JCB Members agreed that these areas would be proposed for non-exhaustive use in the State Master Plans. One State, Ngatpang, is considering turning its watershed above a public water source into a Terrestrial Protected Area and thus contributing to the Palau PAN.</w:t>
            </w:r>
          </w:p>
          <w:p>
            <w:pPr/>
            <w:r>
              <w:rPr/>
              <w:t xml:space="preserve"/>
            </w:r>
          </w:p>
          <w:p>
            <w:pPr/>
            <w:r>
              <w:rPr/>
              <w:t xml:space="preserve">Work is also underway to identify marine areas for non-exhaustive use. In Koror’s waters, the entire Southern Lagoon has been mapped with proposed fisheries management areas, which include new protected areas. Similar efforts are underway on the west and east coasts of Babeldaob.</w:t>
            </w:r>
          </w:p>
          <w:p>
            <w:pPr/>
            <w:r>
              <w:rPr/>
              <w:t xml:space="preserve"/>
            </w:r>
          </w:p>
          <w:p>
            <w:pPr/>
            <w:r>
              <w:rPr/>
              <w:t xml:space="preserve">All 10 States on Babeldaob participate in the Babeldaob JCB and have agreed to comprehensive land use planning and master planning. In this way, entire States will be zoned in a ridge-to-reef systematic manner.</w:t>
            </w:r>
          </w:p>
          <w:p>
            <w:pPr/>
            <w:r>
              <w:rPr/>
              <w:t xml:space="preserve"/>
            </w:r>
          </w:p>
        </w:tc>
        <w:tc>
          <w:tcPr>
            <w:tcW w:w="4000" w:type="dxa"/>
            <w:gridSpan w:val="1"/>
          </w:tcPr>
          <w:p>
            <w:pPr/>
            <w:r>
              <w:rPr/>
              <w:t xml:space="preserve">This indicator is on track.</w:t>
            </w:r>
          </w:p>
          <w:p>
            <w:pPr/>
            <w:r>
              <w:rPr/>
              <w:t xml:space="preserve"/>
            </w:r>
          </w:p>
          <w:p>
            <w:pPr/>
            <w:r>
              <w:rPr/>
              <w:t xml:space="preserve">Total area potentially set aside for exclusive non-extractive use as a Conservation Area or zoned for conservation is now 100,505 hectares. The introduction of zoning has allowed for a regulatory approach to conservation that does not need to go through a political process, thus enabling high value areas to be zoned for non-extractive use without requiring a law.</w:t>
            </w:r>
          </w:p>
          <w:p>
            <w:pPr/>
            <w:r>
              <w:rPr/>
              <w:t xml:space="preserve"/>
            </w:r>
          </w:p>
          <w:p>
            <w:pPr/>
            <w:r>
              <w:rPr/>
              <w:t xml:space="preserve">Evidence: Indicator 8 - Map of New HCVAs</w:t>
            </w:r>
          </w:p>
          <w:p>
            <w:pPr/>
            <w:r>
              <w:rPr/>
              <w:t xml:space="preserve">Evidence: Indicator 8 - HCVF+M Areas Table</w:t>
            </w:r>
          </w:p>
          <w:p>
            <w:pPr/>
            <w:r>
              <w:rPr/>
              <w:t xml:space="preserve"/>
            </w:r>
          </w:p>
          <w:p>
            <w:pPr/>
            <w:r>
              <w:rPr/>
              <w:t xml:space="preserve">In addition, new spatial data and development suitability analyses have indicated that large percentages of each state are not suitable for development, leaving states will few options other than zoning them for conservation and thus accessing conservation financing. The introduction of new innovative financing such as carbon mitigation is also spurring growth in conservation zoning.</w:t>
            </w:r>
          </w:p>
          <w:p>
            <w:pPr/>
            <w:r>
              <w:rPr/>
              <w:t xml:space="preserve"/>
            </w:r>
          </w:p>
          <w:p>
            <w:pPr/>
            <w:r>
              <w:rPr/>
              <w:t xml:space="preserve">Indicator 8 - Development Suitability Analysis</w:t>
            </w:r>
          </w:p>
          <w:p>
            <w:pPr/>
            <w:r>
              <w:rPr/>
              <w:t xml:space="preserve"/>
            </w:r>
          </w:p>
          <w:p>
            <w:pPr/>
            <w:r>
              <w:rPr/>
              <w:t xml:space="preserve">Carbon has not yet been calculated.</w:t>
            </w:r>
          </w:p>
        </w:tc>
      </w:tr>
      <w:tr>
        <w:trPr/>
        <w:tc>
          <w:tcPr>
            <w:tcW w:w="4000" w:type="dxa"/>
            <w:gridSpan w:val="1"/>
          </w:tcPr>
          <w:p>
            <w:pPr/>
            <w:r>
              <w:rPr/>
              <w:t xml:space="preserve">Indicator 9: Number of hectares of degraded forests and grasslands and coastal and marine areas outside PAN network rehabilitated</w:t>
            </w:r>
          </w:p>
        </w:tc>
        <w:tc>
          <w:tcPr>
            <w:tcW w:w="2000" w:type="dxa"/>
            <w:gridSpan w:val="1"/>
          </w:tcPr>
          <w:p>
            <w:pPr/>
            <w:r>
              <w:rPr/>
              <w:t xml:space="preserve">Over 12,500 hectares of forests, grasslands and coastal and marine ecosystems under continued degradation through overuse</w:t>
            </w:r>
          </w:p>
        </w:tc>
        <w:tc>
          <w:tcPr>
            <w:tcW w:w="2000" w:type="dxa"/>
            <w:gridSpan w:val="1"/>
          </w:tcPr>
          <w:p>
            <w:pPr/>
            <w:r>
              <w:rPr/>
              <w:t xml:space="preserve">At least 100 ha of degraded forests, grasslands and marine ecosystems under restoration through community actions</w:t>
            </w:r>
          </w:p>
        </w:tc>
        <w:tc>
          <w:tcPr>
            <w:tcW w:w="2000" w:type="dxa"/>
            <w:gridSpan w:val="1"/>
          </w:tcPr>
          <w:p>
            <w:pPr/>
            <w:r>
              <w:rPr/>
              <w:t xml:space="preserve">At least 1,000 ha of degraded forests, grasslands and marine ecosystems restored through community actions resulting in total sequestration of 562,133 tCO2  over 20 year period</w:t>
            </w:r>
          </w:p>
        </w:tc>
        <w:tc>
          <w:tcPr>
            <w:tcW w:w="4000" w:type="dxa"/>
            <w:gridSpan w:val="1"/>
          </w:tcPr>
          <w:p>
            <w:pPr/>
            <w:r>
              <w:rPr/>
              <w:t xml:space="preserve">This indicator is off-track.</w:t>
            </w:r>
          </w:p>
          <w:p>
            <w:pPr/>
            <w:r>
              <w:rPr/>
              <w:t xml:space="preserve"/>
            </w:r>
          </w:p>
          <w:p>
            <w:pPr/>
            <w:r>
              <w:rPr/>
              <w:t xml:space="preserve">In the 2020 PIR, this indicator was deemed on-track because Action Plans were developed for enough land to meet the target. However, when plans were actually implemented it was quickly realized that the plans were over-ambitious and that the labor was much more intensive than planned. Palau's soils are so poor and hard that they need much more effort to replant than was originally planned.</w:t>
            </w:r>
          </w:p>
          <w:p>
            <w:pPr/>
            <w:r>
              <w:rPr/>
              <w:t xml:space="preserve"/>
            </w:r>
          </w:p>
          <w:p>
            <w:pPr/>
            <w:r>
              <w:rPr/>
              <w:t xml:space="preserve">There is no way this Indicator can be achieved. Work is labor-intensive and soils are very poor. Suggestions include: 1) reduce the target, 2) tracking a different indicator such as number of trees requested, 3) change the indicator so that we are measuring hectares of land converted from degraded land to some better use (e.g. agriculture).</w:t>
            </w:r>
          </w:p>
          <w:p>
            <w:pPr/>
            <w:r>
              <w:rPr/>
              <w:t xml:space="preserve"/>
            </w:r>
          </w:p>
          <w:p>
            <w:pPr/>
            <w:r>
              <w:rPr/>
              <w:t xml:space="preserve">As of June 2021, 26.68 hectares had been restored. See online Table: https://drive.google.com/file/d/1SiCOHXnHqtuac_x4OmbMjPDeptC2Z1g2/view?usp=sharing</w:t>
            </w:r>
          </w:p>
          <w:p>
            <w:pPr/>
            <w:r>
              <w:rPr/>
              <w:t xml:space="preserve"/>
            </w:r>
          </w:p>
          <w:p>
            <w:pPr/>
            <w:r>
              <w:rPr/>
              <w:t xml:space="preserve">See map: https://drive.google.com/file/d/1qOZdUUTMvSonWb7t0q4MGr20gFtNr1oq/view?usp=sharing</w:t>
            </w:r>
          </w:p>
          <w:p>
            <w:pPr/>
            <w:r>
              <w:rPr/>
              <w:t xml:space="preserve"/>
            </w:r>
          </w:p>
          <w:p>
            <w:pPr/>
            <w:r>
              <w:rPr/>
              <w:t xml:space="preserve">Prior to accessing funds, Project Partners had to write Action Plans that incorporated biodiversity and social safeguards and using Best Practices, including using native species or otherwise following a GEF6 Native and Non-native Plant Policy. Restoration activities included tree planting to control erosion, removal of eroded sediments from streams to allow for natural water flow, and removal of invasive vines along roads. The GEF6 directly financed efforts in 7 States on Babeldaob plus Peleliu, and there were additional partner-led efforts by BOA, EQPB, and Ebiil Society.</w:t>
            </w:r>
          </w:p>
          <w:p>
            <w:pPr/>
            <w:r>
              <w:rPr/>
              <w:t xml:space="preserve"/>
            </w:r>
          </w:p>
          <w:p>
            <w:pPr/>
            <w:r>
              <w:rPr/>
              <w:t xml:space="preserve">This indicator is off-track and may need to be REVISED. Restoration of degraded forests and grasslands is very labor intensive and progress is incremental. The Project may need to identify technical assistance to identify a more realistic target.</w:t>
            </w:r>
          </w:p>
        </w:tc>
        <w:tc>
          <w:tcPr>
            <w:tcW w:w="4000" w:type="dxa"/>
            <w:gridSpan w:val="1"/>
          </w:tcPr>
          <w:p>
            <w:pPr/>
            <w:r>
              <w:rPr/>
              <w:t xml:space="preserve">This indicator is on track, and have achieved the Mid-Term target. However, the EOP target is too ambitious.</w:t>
            </w:r>
          </w:p>
          <w:p>
            <w:pPr/>
            <w:r>
              <w:rPr/>
              <w:t xml:space="preserve"/>
            </w:r>
          </w:p>
          <w:p>
            <w:pPr/>
            <w:r>
              <w:rPr/>
              <w:t xml:space="preserve">The MTR identified this indicator as too ambitious, and the post-MTR management finding was to continue with incremental and sustained progress, knowing that very difficult field conditions means that 1,000 hectares of restoration are not possible in the timeframe of this project.</w:t>
            </w:r>
          </w:p>
          <w:p>
            <w:pPr/>
            <w:r>
              <w:rPr/>
              <w:t xml:space="preserve"/>
            </w:r>
          </w:p>
          <w:p>
            <w:pPr/>
            <w:r>
              <w:rPr/>
              <w:t xml:space="preserve">218 hectares were restored in 2021-2022, making for a total of 245 hectares.</w:t>
            </w:r>
          </w:p>
          <w:p>
            <w:pPr/>
            <w:r>
              <w:rPr/>
              <w:t xml:space="preserve"/>
            </w:r>
          </w:p>
          <w:p>
            <w:pPr/>
            <w:r>
              <w:rPr/>
              <w:t xml:space="preserve">The Project made more than incremental progress, due to a large coastal rehabilitation project in Ngiwal that removed boulders and rubble strewn from typhoons from productive fishing and seagrass areas along the coast. Additionally, one state conducted a large river and stream restoration project, removing invasive species from the banks and canopies, and removing sediment washed in with storms.</w:t>
            </w:r>
          </w:p>
          <w:p>
            <w:pPr/>
            <w:r>
              <w:rPr/>
              <w:t xml:space="preserve"/>
            </w:r>
          </w:p>
          <w:p>
            <w:pPr/>
            <w:r>
              <w:rPr/>
              <w:t xml:space="preserve">Tree planting remains slow and incremental.</w:t>
            </w:r>
          </w:p>
          <w:p>
            <w:pPr/>
            <w:r>
              <w:rPr/>
              <w:t xml:space="preserve"/>
            </w:r>
          </w:p>
          <w:p>
            <w:pPr/>
            <w:r>
              <w:rPr/>
              <w:t xml:space="preserve">Evidence:</w:t>
            </w:r>
          </w:p>
          <w:p>
            <w:pPr/>
            <w:r>
              <w:rPr/>
              <w:t xml:space="preserve">Indicator 9+11 - MAP of Restored and Community Managed Areas</w:t>
            </w:r>
          </w:p>
          <w:p>
            <w:pPr/>
            <w:r>
              <w:rPr/>
              <w:t xml:space="preserve"/>
            </w:r>
          </w:p>
          <w:p>
            <w:pPr/>
            <w:r>
              <w:rPr/>
              <w:t xml:space="preserve">Indicator 9+11 - TABLE - Restoration and Community Managed Areas</w:t>
            </w:r>
          </w:p>
        </w:tc>
      </w:tr>
      <w:tr>
        <w:trPr/>
        <w:tc>
          <w:tcPr>
            <w:tcW w:w="4000" w:type="dxa"/>
            <w:gridSpan w:val="1"/>
          </w:tcPr>
          <w:p>
            <w:pPr/>
            <w:r>
              <w:rPr/>
              <w:t xml:space="preserve">Indicator 10: Change in status of populations of Micronesian Imperial Pigeon and Palauan Fruit Dove</w:t>
            </w:r>
          </w:p>
        </w:tc>
        <w:tc>
          <w:tcPr>
            <w:tcW w:w="2000" w:type="dxa"/>
            <w:gridSpan w:val="1"/>
          </w:tcPr>
          <w:p>
            <w:pPr/>
            <w:r>
              <w:rPr/>
              <w:t xml:space="preserve">Declining populations of Micronesian Imperial Pigeon and Palaaun Fruit Dove with baseline of 3,000 and 1,600 individuals respectively (2014)</w:t>
            </w:r>
          </w:p>
        </w:tc>
        <w:tc>
          <w:tcPr>
            <w:tcW w:w="2000" w:type="dxa"/>
            <w:gridSpan w:val="1"/>
          </w:tcPr>
          <w:p>
            <w:pPr/>
            <w:r>
              <w:rPr/>
              <w:t xml:space="preserve">Maintained populations of Micronesian Imperial Pigeon and Palauan Fruit Dove from current baselines</w:t>
            </w:r>
          </w:p>
        </w:tc>
        <w:tc>
          <w:tcPr>
            <w:tcW w:w="2000" w:type="dxa"/>
            <w:gridSpan w:val="1"/>
          </w:tcPr>
          <w:p>
            <w:pPr/>
            <w:r>
              <w:rPr/>
              <w:t xml:space="preserve">Maintained or improved populations of Micronesian Imperial Pigeon and Palaaun Fruit Dove from current baselines</w:t>
            </w:r>
          </w:p>
        </w:tc>
        <w:tc>
          <w:tcPr>
            <w:tcW w:w="4000" w:type="dxa"/>
            <w:gridSpan w:val="1"/>
          </w:tcPr>
          <w:p>
            <w:pPr/>
            <w:r>
              <w:rPr/>
              <w:t xml:space="preserve">This indicator appears to be on track, although data is not clear.</w:t>
            </w:r>
          </w:p>
          <w:p>
            <w:pPr/>
            <w:r>
              <w:rPr/>
              <w:t xml:space="preserve"/>
            </w:r>
          </w:p>
          <w:p>
            <w:pPr/>
            <w:r>
              <w:rPr/>
              <w:t xml:space="preserve">Although data is collected regularly (monthly), it was not analyzed in time to update the PIR. Activities to achieve this indicator are underway.</w:t>
            </w:r>
          </w:p>
          <w:p>
            <w:pPr/>
            <w:r>
              <w:rPr/>
              <w:t xml:space="preserve"/>
            </w:r>
          </w:p>
          <w:p>
            <w:pPr/>
            <w:r>
              <w:rPr/>
              <w:t xml:space="preserve">However, a new report analyzed bird data from 2005 in preparation for new surveys in 2021.</w:t>
            </w:r>
          </w:p>
          <w:p>
            <w:pPr/>
            <w:r>
              <w:rPr/>
              <w:t xml:space="preserve"/>
            </w:r>
          </w:p>
          <w:p>
            <w:pPr/>
            <w:r>
              <w:rPr/>
              <w:t xml:space="preserve">The Project has mainstreamed protection of terrestrial biodiversity into its outputs, including protection or avoidance of upland forests in the Babeldaob land use guidance maps and improved IAS frameworks, including monitoring for brown tree snakes at the border. Awareness of biodiversity has increased, and project partners have reviewed the laws protecting native birds and at least one NGO (PCS) has included in its Strategy the goal of updating the Protected Land Life act to better protect birds. Partnerships with the PAN are in place to improve monitoring of IAS in protected areas and thus avoid new threats to birds.</w:t>
            </w:r>
          </w:p>
          <w:p>
            <w:pPr/>
            <w:r>
              <w:rPr/>
              <w:t xml:space="preserve"/>
            </w:r>
          </w:p>
          <w:p>
            <w:pPr/>
            <w:r>
              <w:rPr/>
              <w:t xml:space="preserve">Enforcement partners also started a species review. Out of the ongoing Enforcement Partners assessment and review, DFWP identified the need for and then began working with the Attorney General’s office to be able to issue citations. (Currently DFWP has to elevate every enforcement action to a criminal case, which is difficult and thus many infractions are not pursued.). Beyond birds, the Enforcement Partnership led to improved enforcement of a Hawksbill Sea Turtle law, thereby better protected an endangered species that uses land and sea.</w:t>
            </w:r>
          </w:p>
          <w:p>
            <w:pPr/>
            <w:r>
              <w:rPr/>
              <w:t xml:space="preserve"/>
            </w:r>
          </w:p>
          <w:p>
            <w:pPr/>
            <w:r>
              <w:rPr/>
              <w:t xml:space="preserve">Project partners mapped terrestrial tourism locations, most of which included some forest. The JCB agreed to zone tourism are for non-exhaustive use, further protecting the habitats of birds.</w:t>
            </w:r>
          </w:p>
        </w:tc>
        <w:tc>
          <w:tcPr>
            <w:tcW w:w="4000" w:type="dxa"/>
            <w:gridSpan w:val="1"/>
          </w:tcPr>
          <w:p>
            <w:pPr/>
            <w:r>
              <w:rPr/>
              <w:t xml:space="preserve">This indicator is on track.</w:t>
            </w:r>
          </w:p>
          <w:p>
            <w:pPr/>
            <w:r>
              <w:rPr/>
              <w:t xml:space="preserve"/>
            </w:r>
          </w:p>
          <w:p>
            <w:pPr/>
            <w:r>
              <w:rPr/>
              <w:t xml:space="preserve">The Micronesian Imperial Pigeon appeared to increase on Babeldaob (Ngeremeskang). Total population has not been calculated, but the trend line in the sampling sites is positive with a slope of +0.4. The average birds per station in 2014 was 12.5 birds. In 2021 the average birds per station was 29.1 birds.</w:t>
            </w:r>
          </w:p>
          <w:p>
            <w:pPr/>
            <w:r>
              <w:rPr/>
              <w:t xml:space="preserve"/>
            </w:r>
          </w:p>
          <w:p>
            <w:pPr/>
            <w:r>
              <w:rPr/>
              <w:t xml:space="preserve">Pigeon data from the Rock Islands was mixed. Birds per station increased from 2020 to 2021 from 4.4 to 4.8 birds per station, although this was less than 6.6 birds per station in 2019.</w:t>
            </w:r>
          </w:p>
          <w:p>
            <w:pPr/>
            <w:r>
              <w:rPr/>
              <w:t xml:space="preserve"/>
            </w:r>
          </w:p>
          <w:p>
            <w:pPr/>
            <w:r>
              <w:rPr/>
              <w:t xml:space="preserve">Fruit Doves in the Rock Islands increased from 2020 to 2021 from an average of 11.7 to 12.1 birds per station, but this was lower than in 2019 with an average of 13.5 birds per station. However, the declining trend was driven by one location, Babelomekang, whereas all other locations monitored showed an increase in Fruit Doves.</w:t>
            </w:r>
          </w:p>
          <w:p>
            <w:pPr/>
            <w:r>
              <w:rPr/>
              <w:t xml:space="preserve"/>
            </w:r>
          </w:p>
          <w:p>
            <w:pPr/>
            <w:r>
              <w:rPr/>
              <w:t xml:space="preserve">Evidence:</w:t>
            </w:r>
          </w:p>
          <w:p>
            <w:pPr/>
            <w:r>
              <w:rPr/>
              <w:t xml:space="preserve">Indicator 10 - 2019-2021 RISL Bird Monitoring.</w:t>
            </w:r>
          </w:p>
          <w:p>
            <w:pPr/>
            <w:r>
              <w:rPr/>
              <w:t xml:space="preserve">Indicator 10 - 2021 SOPB Ngeremeskang</w:t>
            </w:r>
          </w:p>
          <w:p>
            <w:pPr/>
            <w:r>
              <w:rPr/>
              <w:t xml:space="preserve"/>
            </w:r>
          </w:p>
          <w:p>
            <w:pPr/>
            <w:r>
              <w:rPr/>
              <w:t xml:space="preserve">Regarding the revised indicator, the Ministry of Agriculture, Fisheries, and Environment (MAFE)'s new Strategic Plan includes an indicator about "Population Trends of Indicator Species" among its performance indicators. Birds had already been adopted as the indicators species for forest health and coastal health.</w:t>
            </w:r>
          </w:p>
          <w:p>
            <w:pPr/>
            <w:r>
              <w:rPr/>
              <w:t xml:space="preserve"/>
            </w:r>
          </w:p>
          <w:p>
            <w:pPr/>
            <w:r>
              <w:rPr/>
              <w:t xml:space="preserve">Evidence: MAFE Strategy.</w:t>
            </w:r>
          </w:p>
        </w:tc>
      </w:tr>
      <w:tr>
        <w:trPr/>
        <w:tc>
          <w:tcPr>
            <w:tcW w:w="4000" w:type="dxa"/>
            <w:gridSpan w:val="1"/>
          </w:tcPr>
          <w:p>
            <w:pPr/>
            <w:r>
              <w:rPr/>
              <w:t xml:space="preserve">Indicator 11:  Extent of community-based land, forest, coastal and marine management regimes applied, including resultant changes in community incomes from current levels</w:t>
            </w:r>
          </w:p>
        </w:tc>
        <w:tc>
          <w:tcPr>
            <w:tcW w:w="2000" w:type="dxa"/>
            <w:gridSpan w:val="1"/>
          </w:tcPr>
          <w:p>
            <w:pPr/>
            <w:r>
              <w:rPr/>
              <w:t xml:space="preserve">Current extent of area under community land, forest, coastal and marine management regimes in target project states (to be determined in Year 1)</w:t>
            </w:r>
          </w:p>
        </w:tc>
        <w:tc>
          <w:tcPr>
            <w:tcW w:w="2000" w:type="dxa"/>
            <w:gridSpan w:val="1"/>
          </w:tcPr>
          <w:p>
            <w:pPr/>
            <w:r>
              <w:rPr/>
              <w:t xml:space="preserve">Areas for community-based management totaling at least 500 ha identified and agreed through a consensus building process, as part of the community-based planning process.</w:t>
            </w:r>
          </w:p>
        </w:tc>
        <w:tc>
          <w:tcPr>
            <w:tcW w:w="2000" w:type="dxa"/>
            <w:gridSpan w:val="1"/>
          </w:tcPr>
          <w:p>
            <w:pPr/>
            <w:r>
              <w:rPr/>
              <w:t xml:space="preserve">Community-based land, forest, coastal and marine management regimes applied in at least 500 ha of additional areas, resulting in sequestration of 460,681 tCO2eq over 20-year period and in 25% increase in community incomes from current levels, of which at least 50% of beneficiaries are women.</w:t>
            </w:r>
          </w:p>
        </w:tc>
        <w:tc>
          <w:tcPr>
            <w:tcW w:w="4000" w:type="dxa"/>
            <w:gridSpan w:val="1"/>
          </w:tcPr>
          <w:p>
            <w:pPr/>
            <w:r>
              <w:rPr/>
              <w:t xml:space="preserve">This indicator is on track.</w:t>
            </w:r>
          </w:p>
          <w:p>
            <w:pPr/>
            <w:r>
              <w:rPr/>
              <w:t xml:space="preserve"/>
            </w:r>
          </w:p>
          <w:p>
            <w:pPr/>
            <w:r>
              <w:rPr/>
              <w:t xml:space="preserve">Project partners have identified 1,437 hectares across 160 sites and achieved initial agreement (either within the JCB or within State Governments) to manage these areas for low-impact uses, especially with income opportunities. These include access to and improvements to taro patches or farming in Ngarchelong and Ngiwal, access and best practices for aquaculture in Ngeremlengui, and State, village, or community-run tourism in Ngaraard, Ngardmau, Ngchesar, Aimeliik, and Peleliu.</w:t>
            </w:r>
          </w:p>
          <w:p>
            <w:pPr/>
            <w:r>
              <w:rPr/>
              <w:t xml:space="preserve"/>
            </w:r>
          </w:p>
          <w:p>
            <w:pPr/>
            <w:r>
              <w:rPr/>
              <w:t xml:space="preserve">1)	28.38 hectares in 2021 Action Projects</w:t>
            </w:r>
          </w:p>
          <w:p>
            <w:pPr/>
            <w:r>
              <w:rPr/>
              <w:t xml:space="preserve">2)	1,004 hectares from tourism sites (agreed by JCB for non-exhaustive use; sites were identified by State representatives).</w:t>
            </w:r>
          </w:p>
          <w:p>
            <w:pPr/>
            <w:r>
              <w:rPr/>
              <w:t xml:space="preserve">3)	405 hectares from tourism buffers (a 300-foot buffer around tourism sites).</w:t>
            </w:r>
          </w:p>
          <w:p>
            <w:pPr/>
            <w:r>
              <w:rPr/>
              <w:t xml:space="preserve">See map of action sites: https://drive.google.com/file/d/1qOZdUUTMvSonWb7t0q4MGr20gFtNr1oq/view?usp=sharing</w:t>
            </w:r>
          </w:p>
          <w:p>
            <w:pPr/>
            <w:r>
              <w:rPr/>
              <w:t xml:space="preserve"/>
            </w:r>
          </w:p>
          <w:p>
            <w:pPr/>
            <w:r>
              <w:rPr/>
              <w:t xml:space="preserve">See map of Tourist sites (scroll to page 5): https://drive.google.com/file/d/1YIk75wJTkQ1d4zlHgZ51FvnoYcKuqgbI/edit</w:t>
            </w:r>
          </w:p>
          <w:p>
            <w:pPr/>
            <w:r>
              <w:rPr/>
              <w:t xml:space="preserve"/>
            </w:r>
          </w:p>
          <w:p>
            <w:pPr/>
            <w:r>
              <w:rPr/>
              <w:t xml:space="preserve">See Spreadsheet Table: https://docs.google.com/spreadsheets/d/1TEu5P5TnTZ1iFzk_crK2mnnJxXpOYS60jZAlUE3cV9Y/edit?usp=sharing</w:t>
            </w:r>
          </w:p>
        </w:tc>
        <w:tc>
          <w:tcPr>
            <w:tcW w:w="4000" w:type="dxa"/>
            <w:gridSpan w:val="1"/>
          </w:tcPr>
          <w:p>
            <w:pPr/>
            <w:r>
              <w:rPr/>
              <w:t xml:space="preserve">This indicator has been achieved and exceeded.</w:t>
            </w:r>
          </w:p>
          <w:p>
            <w:pPr/>
            <w:r>
              <w:rPr/>
              <w:t xml:space="preserve"/>
            </w:r>
          </w:p>
          <w:p>
            <w:pPr/>
            <w:r>
              <w:rPr/>
              <w:t xml:space="preserve">Total area set aside for community management for the purposes of income generation or food security are 1,525 hectares, with 88 of those hectares added in 2021-2022.</w:t>
            </w:r>
          </w:p>
          <w:p>
            <w:pPr/>
            <w:r>
              <w:rPr/>
              <w:t xml:space="preserve"/>
            </w:r>
          </w:p>
          <w:p>
            <w:pPr/>
            <w:r>
              <w:rPr/>
              <w:t xml:space="preserve">Community managed areas fall under community-based tourism on public lands, including on cultural sites, or community-based food production areas for farming or aquaculture.</w:t>
            </w:r>
          </w:p>
          <w:p>
            <w:pPr/>
            <w:r>
              <w:rPr/>
              <w:t xml:space="preserve"/>
            </w:r>
          </w:p>
          <w:p>
            <w:pPr/>
            <w:r>
              <w:rPr/>
              <w:t xml:space="preserve">Carbon has not been calculated.</w:t>
            </w:r>
          </w:p>
          <w:p>
            <w:pPr/>
            <w:r>
              <w:rPr/>
              <w:t xml:space="preserve"/>
            </w:r>
          </w:p>
          <w:p>
            <w:pPr/>
            <w:r>
              <w:rPr/>
              <w:t xml:space="preserve">Evidence:</w:t>
            </w:r>
          </w:p>
          <w:p>
            <w:pPr/>
            <w:r>
              <w:rPr/>
              <w:t xml:space="preserve">Indicator 9+11 - MAP of Restored and Community Managed Areas</w:t>
            </w:r>
          </w:p>
          <w:p>
            <w:pPr/>
            <w:r>
              <w:rPr/>
              <w:t xml:space="preserve"/>
            </w:r>
          </w:p>
          <w:p>
            <w:pPr/>
            <w:r>
              <w:rPr/>
              <w:t xml:space="preserve">Indicator 9+11 - TABLE - Restoration and Community Managed Areas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On track</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3</w:t>
            </w:r>
          </w:p>
          <w:p>
            <w:pPr/>
            <w:r>
              <w:rPr>
                <w:b w:val="1"/>
                <w:bCs w:val="1"/>
              </w:rPr>
              <w:t xml:space="preserve">Outcome 3</w:t>
            </w:r>
          </w:p>
          <w:p>
            <w:pPr/>
            <w:r>
              <w:rPr>
                <w:b w:val="1"/>
                <w:bCs w:val="1"/>
              </w:rPr>
              <w:t xml:space="preserve">Integrated multi-sector planning and management operational in 264,686 ha of seascapes and coastal areas  in the Southern Lagoon to reduce threats to biodiversity and improve ecosystem services to benefit communities and state economies</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2021</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12: Change in status of fish stocks in designated reef and sea grass areas based on biomass indices</w:t>
            </w:r>
          </w:p>
        </w:tc>
        <w:tc>
          <w:tcPr>
            <w:tcW w:w="2000" w:type="dxa"/>
            <w:gridSpan w:val="1"/>
          </w:tcPr>
          <w:p>
            <w:pPr/>
            <w:r>
              <w:rPr/>
              <w:t xml:space="preserve">Protected exposed reefs (outer reefs and channels) of 714kg/ha (with unprotected exposed reefs having 63% of this figure compared with MPAs) and 258kg/ha in protected inner reefs (black reefs and patch reefs/reef flats) with unprotected reefs having 57% of this figure compared with MPAs</w:t>
            </w:r>
          </w:p>
        </w:tc>
        <w:tc>
          <w:tcPr>
            <w:tcW w:w="2000" w:type="dxa"/>
            <w:gridSpan w:val="1"/>
          </w:tcPr>
          <w:p>
            <w:pPr/>
            <w:r>
              <w:rPr/>
              <w:t xml:space="preserve">Maintained fish stocks in designated zones from existing baselines in unprotected exposed outer and inner reefs</w:t>
            </w:r>
          </w:p>
        </w:tc>
        <w:tc>
          <w:tcPr>
            <w:tcW w:w="2000" w:type="dxa"/>
            <w:gridSpan w:val="1"/>
          </w:tcPr>
          <w:p>
            <w:pPr/>
            <w:r>
              <w:rPr/>
              <w:t xml:space="preserve">Maintained or improved fish stocks in designated zones from existing baselines in unprotected exposed outer and inner reefs</w:t>
            </w:r>
          </w:p>
        </w:tc>
        <w:tc>
          <w:tcPr>
            <w:tcW w:w="4000" w:type="dxa"/>
            <w:gridSpan w:val="1"/>
          </w:tcPr>
          <w:p>
            <w:pPr/>
            <w:r>
              <w:rPr/>
              <w:t xml:space="preserve">This indicator appears to be on track, although data is not clear.</w:t>
            </w:r>
          </w:p>
          <w:p>
            <w:pPr/>
            <w:r>
              <w:rPr/>
              <w:t xml:space="preserve"/>
            </w:r>
          </w:p>
          <w:p>
            <w:pPr/>
            <w:r>
              <w:rPr/>
              <w:t xml:space="preserve">Project partners have updated their monitoring protocol to be more scientifically and thus the Project can no longer measure progress with these measurements. However, Project Activities are underway to achieve this work (especially zoning in Koror for fisheries).</w:t>
            </w:r>
          </w:p>
          <w:p>
            <w:pPr/>
            <w:r>
              <w:rPr/>
              <w:t xml:space="preserve"/>
            </w:r>
          </w:p>
          <w:p>
            <w:pPr/>
            <w:r>
              <w:rPr/>
              <w:t xml:space="preserve">PICRC has completely changed the way it monitors fish stocks, so as to implement a monitoring program that focuses on fish that are harvested - the previously used indicator monitored fish as an indicator of coral reef health and this information could not be used accurately to determine fish stock status. PICRC established a new baseline in 2020 based on data collected in 2017. This program does not monitor fish stocks in seagrass. PICRC will monitor fish every two years.</w:t>
            </w:r>
          </w:p>
          <w:p>
            <w:pPr/>
            <w:r>
              <w:rPr/>
              <w:t xml:space="preserve"/>
            </w:r>
          </w:p>
          <w:p>
            <w:pPr/>
            <w:r>
              <w:rPr/>
              <w:t xml:space="preserve">NEW BASELINE:</w:t>
            </w:r>
          </w:p>
          <w:p>
            <w:pPr/>
            <w:r>
              <w:rPr/>
              <w:t xml:space="preserve"/>
            </w:r>
          </w:p>
          <w:p>
            <w:pPr/>
            <w:r>
              <w:rPr/>
              <w:t xml:space="preserve">•	Mean biomass across all sites = 17.06 + 2.51 g/square meter.</w:t>
            </w:r>
          </w:p>
          <w:p>
            <w:pPr/>
            <w:r>
              <w:rPr/>
              <w:t xml:space="preserve">•	Mean biomass on Fore Reef West = 30.38 +/- 5.55 g/square meter.</w:t>
            </w:r>
          </w:p>
          <w:p>
            <w:pPr/>
            <w:r>
              <w:rPr/>
              <w:t xml:space="preserve">•	Mean biomass on Fore Reef West = ~19 g/square meter.</w:t>
            </w:r>
          </w:p>
          <w:p>
            <w:pPr/>
            <w:r>
              <w:rPr/>
              <w:t xml:space="preserve">•	Mean biomass on Channel = ~15 g/square meter.</w:t>
            </w:r>
          </w:p>
          <w:p>
            <w:pPr/>
            <w:r>
              <w:rPr/>
              <w:t xml:space="preserve">•	Mean biomass on Fringing Inner Reef = ~6 g/square meter.</w:t>
            </w:r>
          </w:p>
          <w:p>
            <w:pPr/>
            <w:r>
              <w:rPr/>
              <w:t xml:space="preserve">•	Mean biomass on Patch Reef = 4.76 +/- 0.69 g/square meter.</w:t>
            </w:r>
          </w:p>
          <w:p>
            <w:pPr/>
            <w:r>
              <w:rPr/>
              <w:t xml:space="preserve">See 2020 PICRC Report on 2017 Fish Survey: https://drive.google.com/file/d/19lhIgu6UyH0iGobnBgczbPwezaEPT-cf/view?usp=sharing The report does not assess change over time but sets a new baseline.</w:t>
            </w:r>
          </w:p>
          <w:p>
            <w:pPr/>
            <w:r>
              <w:rPr/>
              <w:t xml:space="preserve"/>
            </w:r>
          </w:p>
          <w:p>
            <w:pPr/>
            <w:r>
              <w:rPr/>
              <w:t xml:space="preserve">Prior to Covid, all anecdotal reports suggested a repeated decline in nearshore fisheries stocks. Since the borders closed due to Covid, reports are mixed, with some reports of increased fish stocks and some of decreased fish stocks. There will be no data to compare over time until PICRC repeats its fishery survey. Partners validate – anecdotal reports vary.</w:t>
            </w:r>
          </w:p>
          <w:p>
            <w:pPr/>
            <w:r>
              <w:rPr/>
              <w:t xml:space="preserve"/>
            </w:r>
          </w:p>
          <w:p>
            <w:pPr/>
            <w:r>
              <w:rPr/>
              <w:t xml:space="preserve">Regardless of the data, significant progress on fisheries was made in Koror and the Southern Lagoon. Koror State completed revisions of its Rock Island Southern Lagoon Protected Area Management Plan and sent it to leaders for the final approval. It included actions to improve fisheries protections. Immediately after, Koror began a comprehensive mapping and zoning project. The project is co-financed and led by PCS, but other GEF6 Project Partners have been heavily involved and GEF6 funding enabled spatial mapping and zoning of the entire lagoon. Through this project Koror is planning for the sustainable use of 60 species of fish.</w:t>
            </w:r>
          </w:p>
          <w:p>
            <w:pPr/>
            <w:r>
              <w:rPr/>
              <w:t xml:space="preserve"/>
            </w:r>
          </w:p>
          <w:p>
            <w:pPr/>
            <w:r>
              <w:rPr/>
              <w:t xml:space="preserve">See:</w:t>
            </w:r>
          </w:p>
          <w:p>
            <w:pPr/>
            <w:r>
              <w:rPr/>
              <w:t xml:space="preserve"/>
            </w:r>
          </w:p>
          <w:p>
            <w:pPr/>
            <w:r>
              <w:rPr/>
              <w:t xml:space="preserve">•	Zoning that has been proposed for the entire Southern Lagoon, based on fisheries management zones</w:t>
            </w:r>
          </w:p>
          <w:p>
            <w:pPr/>
            <w:r>
              <w:rPr/>
              <w:t xml:space="preserve">•	Meeting agenda showing partnership of PALARIS and MAFE EPCU (GEF6)</w:t>
            </w:r>
          </w:p>
          <w:p>
            <w:pPr/>
            <w:r>
              <w:rPr/>
              <w:t xml:space="preserve">•	Species of Fish that are being planned for</w:t>
            </w:r>
          </w:p>
          <w:p>
            <w:pPr/>
            <w:r>
              <w:rPr/>
              <w:t xml:space="preserve">•	Presentation on update of RISL Management Plan</w:t>
            </w:r>
          </w:p>
          <w:p>
            <w:pPr/>
            <w:r>
              <w:rPr/>
              <w:t xml:space="preserve">•	Photos of mapping in Koror</w:t>
            </w:r>
          </w:p>
          <w:p>
            <w:pPr/>
            <w:r>
              <w:rPr/>
              <w:t xml:space="preserve"/>
            </w:r>
          </w:p>
          <w:p>
            <w:pPr/>
            <w:r>
              <w:rPr/>
              <w:t xml:space="preserve">Because it is not possible to compare this indicator over time using prior data, this indicator may need to be REVISED.</w:t>
            </w:r>
          </w:p>
        </w:tc>
        <w:tc>
          <w:tcPr>
            <w:tcW w:w="4000" w:type="dxa"/>
            <w:gridSpan w:val="1"/>
          </w:tcPr>
          <w:p>
            <w:pPr/>
            <w:r>
              <w:rPr/>
              <w:t xml:space="preserve">This indicator is on track.</w:t>
            </w:r>
          </w:p>
          <w:p>
            <w:pPr/>
            <w:r>
              <w:rPr/>
              <w:t xml:space="preserve"/>
            </w:r>
          </w:p>
          <w:p>
            <w:pPr/>
            <w:r>
              <w:rPr/>
              <w:t xml:space="preserve">A 2021 report showed that across multiple sites there was no change in overall biomass over time, but at the trophic level there was a significant increase in herbivore biomass from 2017 to 2019; and 6 out of 8 species had a SPR between 20% and 40%, with an increase from 2017 to 2019 seen for four out of six species. These are signs that overexploited fish populations are in recovery.</w:t>
            </w:r>
          </w:p>
          <w:p>
            <w:pPr/>
            <w:r>
              <w:rPr/>
              <w:t xml:space="preserve"/>
            </w:r>
          </w:p>
          <w:p>
            <w:pPr/>
            <w:r>
              <w:rPr/>
              <w:t xml:space="preserve">Significant progress was achieved in 2021-2022 through an effort to develop a Fisheries Management Plan for the Southern lagoon. This included new research and mapping of spatial areas, identification of size limits for key commercial species, multiple spatial closures, gear restrictions, and promotion and education of best practices. The Fisheries Plan was adopted by the Koror State Division of Conservation and Law Enforcement and by the Office of the Governor. It has been submitted to the legislature for their endorsement. Many of the measures require changes to laws, so a draft law, that aligns all of Koror's fisheries-related and environmental laws, was drafted and submitted to the legislature for their review.</w:t>
            </w:r>
          </w:p>
          <w:p>
            <w:pPr/>
            <w:r>
              <w:rPr/>
              <w:t xml:space="preserve"/>
            </w:r>
          </w:p>
          <w:p>
            <w:pPr/>
            <w:r>
              <w:rPr/>
              <w:t xml:space="preserve">Evidence: Koror Fisheries Plan and Draft Koror Fisheries Legislation</w:t>
            </w:r>
          </w:p>
        </w:tc>
      </w:tr>
      <w:tr>
        <w:trPr/>
        <w:tc>
          <w:tcPr>
            <w:tcW w:w="4000" w:type="dxa"/>
            <w:gridSpan w:val="1"/>
          </w:tcPr>
          <w:p>
            <w:pPr/>
            <w:r>
              <w:rPr/>
              <w:t xml:space="preserve">Indicator 13: Change in status of coral cover at designated sites</w:t>
            </w:r>
          </w:p>
        </w:tc>
        <w:tc>
          <w:tcPr>
            <w:tcW w:w="2000" w:type="dxa"/>
            <w:gridSpan w:val="1"/>
          </w:tcPr>
          <w:p>
            <w:pPr/>
            <w:r>
              <w:rPr/>
              <w:t xml:space="preserve">27% of reefs have “medium” coral cover (25-50% cover), while 13% of reefs have “low” coral cover (&lt;10% cover)</w:t>
            </w:r>
          </w:p>
        </w:tc>
        <w:tc>
          <w:tcPr>
            <w:tcW w:w="2000" w:type="dxa"/>
            <w:gridSpan w:val="1"/>
          </w:tcPr>
          <w:p>
            <w:pPr/>
            <w:r>
              <w:rPr/>
              <w:t xml:space="preserve">Maintained percentage coral cover at designated sites from existing baseline</w:t>
            </w:r>
          </w:p>
        </w:tc>
        <w:tc>
          <w:tcPr>
            <w:tcW w:w="2000" w:type="dxa"/>
            <w:gridSpan w:val="1"/>
          </w:tcPr>
          <w:p>
            <w:pPr/>
            <w:r>
              <w:rPr/>
              <w:t xml:space="preserve">Maintained or increased percentage coral cover at designated sites from existing baseline</w:t>
            </w:r>
          </w:p>
        </w:tc>
        <w:tc>
          <w:tcPr>
            <w:tcW w:w="4000" w:type="dxa"/>
            <w:gridSpan w:val="1"/>
          </w:tcPr>
          <w:p>
            <w:pPr/>
            <w:r>
              <w:rPr/>
              <w:t xml:space="preserve">This indicator is off-track, although data is not clear.</w:t>
            </w:r>
          </w:p>
          <w:p>
            <w:pPr/>
            <w:r>
              <w:rPr/>
              <w:t xml:space="preserve"/>
            </w:r>
          </w:p>
          <w:p>
            <w:pPr/>
            <w:r>
              <w:rPr/>
              <w:t xml:space="preserve">Work on this indicator is behind, although through fisheries zoning in Koror, significant progress has been made to identify high value coral reef sites and protect them (as fisheries habitat or valuable reefs (see Shark City bathymetry)). Planning for multiple sectors in Koror (beyond fisheries) was included in the RISL Management Plan update but still needs spatial planning. Work with Peleliu is slow. The Joint Planning process with Koror and Peleliu has been paused indefinitely due to political difficulties.</w:t>
            </w:r>
          </w:p>
          <w:p>
            <w:pPr/>
            <w:r>
              <w:rPr/>
              <w:t xml:space="preserve"/>
            </w:r>
          </w:p>
          <w:p>
            <w:pPr/>
            <w:r>
              <w:rPr/>
              <w:t xml:space="preserve">Project partners have updated their monitoring protocol to be more scientifically and thus the Project can no longer measure progress with these measurements. PICRC has stopped measuring "Areas of High Coral Cover" and instead monitors live coral cover. A revised baseline is possible. In addition, this indicator does not measure project progress as climate change has an overwhelming influence.</w:t>
            </w:r>
          </w:p>
          <w:p>
            <w:pPr/>
            <w:r>
              <w:rPr/>
              <w:t xml:space="preserve"/>
            </w:r>
          </w:p>
          <w:p>
            <w:pPr/>
            <w:r>
              <w:rPr/>
              <w:t xml:space="preserve">In PICRC’s most recent report the following baselines can be established:</w:t>
            </w:r>
          </w:p>
          <w:p>
            <w:pPr/>
            <w:r>
              <w:rPr/>
              <w:t xml:space="preserve"/>
            </w:r>
          </w:p>
          <w:p>
            <w:pPr/>
            <w:r>
              <w:rPr/>
              <w:t xml:space="preserve">•	Outer Reef West live coral cover at 3 and 10 m: 23 and 44%;</w:t>
            </w:r>
          </w:p>
          <w:p>
            <w:pPr/>
            <w:r>
              <w:rPr/>
              <w:t xml:space="preserve">•	Outer Reef East at 3 and 0 m: 10 and 12.8%;</w:t>
            </w:r>
          </w:p>
          <w:p>
            <w:pPr/>
            <w:r>
              <w:rPr/>
              <w:t xml:space="preserve">•	Patch reefs at 3 and 10 m: 30 and 17%;</w:t>
            </w:r>
          </w:p>
          <w:p>
            <w:pPr/>
            <w:r>
              <w:rPr/>
              <w:t xml:space="preserve">•	Inner Reefs at 3 and 10 m: 45 and 39%.</w:t>
            </w:r>
          </w:p>
          <w:p>
            <w:pPr/>
            <w:r>
              <w:rPr/>
              <w:t xml:space="preserve">Compared to the previous monitoring period (2016):</w:t>
            </w:r>
          </w:p>
          <w:p>
            <w:pPr/>
            <w:r>
              <w:rPr/>
              <w:t xml:space="preserve"/>
            </w:r>
          </w:p>
          <w:p>
            <w:pPr/>
            <w:r>
              <w:rPr/>
              <w:t xml:space="preserve">•	Live Coral Cover increased at both 3 meters and 10 meters depth on the Outer Reef West and Outer Reef East;</w:t>
            </w:r>
          </w:p>
          <w:p>
            <w:pPr/>
            <w:r>
              <w:rPr/>
              <w:t xml:space="preserve">•	Decreased at both 3 meters and 10 meters depth on Patch Reefs; and</w:t>
            </w:r>
          </w:p>
          <w:p>
            <w:pPr/>
            <w:r>
              <w:rPr/>
              <w:t xml:space="preserve">•	Decreased at 3 meters and increased at 10 meters on Inner Bay Reefs.</w:t>
            </w:r>
          </w:p>
          <w:p>
            <w:pPr/>
            <w:r>
              <w:rPr/>
              <w:t xml:space="preserve"/>
            </w:r>
          </w:p>
          <w:p>
            <w:pPr/>
            <w:r>
              <w:rPr/>
              <w:t xml:space="preserve">Compared to a revised baseline, live coral cover decreased in one location due to tropical storm impacts, increased in one location as recovery from a previous storm, was stable in one location, and had mixed increases/decreases in another location.</w:t>
            </w:r>
          </w:p>
          <w:p>
            <w:pPr/>
            <w:r>
              <w:rPr/>
              <w:t xml:space="preserve"/>
            </w:r>
          </w:p>
          <w:p>
            <w:pPr/>
            <w:r>
              <w:rPr/>
              <w:t xml:space="preserve">2020 PICRC Report on 2018 Coral Reef Status: https://drive.google.com/file/d/1i_ccqDUdUoGKqEPlysAkBlEQXjaQYPbk/view?usp=sharing They conclude that "coral reefs in Palau are in relatively good state apart from the eastern outer reefs that are still recovering, four to five years after typhoon disturbances"</w:t>
            </w:r>
          </w:p>
          <w:p>
            <w:pPr/>
            <w:r>
              <w:rPr/>
              <w:t xml:space="preserve"/>
            </w:r>
          </w:p>
          <w:p>
            <w:pPr/>
            <w:r>
              <w:rPr/>
              <w:t xml:space="preserve">Climate change has more of an impact on this indicator than management. Reefs are in good health, except where storm impacts have reduced coral cover. Live Coral Cover does not appear to be impacted by the project.</w:t>
            </w:r>
          </w:p>
          <w:p>
            <w:pPr/>
            <w:r>
              <w:rPr/>
              <w:t xml:space="preserve"/>
            </w:r>
          </w:p>
          <w:p>
            <w:pPr/>
            <w:r>
              <w:rPr/>
              <w:t xml:space="preserve">In terms of action, this Project has so far focused attention on land and terrestrial planning and mainstreaming and has not yet changed its focus to marine areas, especially on Babeldaob. However, zoning in the Koror Southern Lagoon is further protecting critical fish habitats, including coral reefs. Many of these areas already have high coral cover.</w:t>
            </w:r>
          </w:p>
          <w:p>
            <w:pPr/>
            <w:r>
              <w:rPr/>
              <w:t xml:space="preserve"/>
            </w:r>
          </w:p>
          <w:p>
            <w:pPr/>
            <w:r>
              <w:rPr/>
              <w:t xml:space="preserve">Work in Peleliu this year is  behind schedule, thus the indicator is deemed off-track.</w:t>
            </w:r>
          </w:p>
          <w:p>
            <w:pPr/>
            <w:r>
              <w:rPr/>
              <w:t xml:space="preserve"/>
            </w:r>
          </w:p>
          <w:p>
            <w:pPr/>
            <w:r>
              <w:rPr/>
              <w:t xml:space="preserve">Because it is not possible to compare this indicator over time using prior data and the indicator may need to be REVISED.</w:t>
            </w:r>
          </w:p>
        </w:tc>
        <w:tc>
          <w:tcPr>
            <w:tcW w:w="4000" w:type="dxa"/>
            <w:gridSpan w:val="1"/>
          </w:tcPr>
          <w:p>
            <w:pPr/>
            <w:r>
              <w:rPr/>
              <w:t xml:space="preserve">This indicator was collapsed into Indicator 12. There have been no reef-wide surveys since the new baseline was established last year.</w:t>
            </w:r>
          </w:p>
          <w:p>
            <w:pPr/>
            <w:r>
              <w:rPr/>
              <w:t xml:space="preserve"/>
            </w:r>
          </w:p>
          <w:p>
            <w:pPr/>
            <w:r>
              <w:rPr/>
              <w:t xml:space="preserve">However, this indicator is on track.</w:t>
            </w:r>
          </w:p>
          <w:p>
            <w:pPr/>
            <w:r>
              <w:rPr/>
              <w:t xml:space="preserve"/>
            </w:r>
          </w:p>
          <w:p>
            <w:pPr/>
            <w:r>
              <w:rPr/>
              <w:t xml:space="preserve">There has been much work focused on reefs or reducing impact on reefs. The Koror Fisheries Management Plan includes several new Marine Protected Areas set aside to protect reefs.</w:t>
            </w:r>
          </w:p>
          <w:p>
            <w:pPr/>
            <w:r>
              <w:rPr/>
              <w:t xml:space="preserve"/>
            </w:r>
          </w:p>
          <w:p>
            <w:pPr/>
            <w:r>
              <w:rPr/>
              <w:t xml:space="preserve">Evidence: Indicator 13 - Final All Fisheries Map</w:t>
            </w:r>
          </w:p>
          <w:p>
            <w:pPr/>
            <w:r>
              <w:rPr/>
              <w:t xml:space="preserve"/>
            </w:r>
          </w:p>
          <w:p>
            <w:pPr/>
            <w:r>
              <w:rPr/>
              <w:t xml:space="preserve">Koror State began a Resilient Reefs project to design a strategy to reduce vulnerabilities of reefs to climate change.</w:t>
            </w:r>
          </w:p>
          <w:p>
            <w:pPr/>
            <w:r>
              <w:rPr/>
              <w:t xml:space="preserve"/>
            </w:r>
          </w:p>
          <w:p>
            <w:pPr/>
            <w:r>
              <w:rPr/>
              <w:t xml:space="preserve">Evidence: Indicator 13. Resilient Reefs Guide.</w:t>
            </w:r>
          </w:p>
          <w:p>
            <w:pPr/>
            <w:r>
              <w:rPr/>
              <w:t xml:space="preserve"/>
            </w:r>
          </w:p>
          <w:p>
            <w:pPr/>
            <w:r>
              <w:rPr/>
              <w:t xml:space="preserve">Koror also completed and released a Carrying Capacity Report that confirmed that sites were overly congested and recommended a decline in overall visitation. As a result, Koror began an initiative to diversify its tourism offerings to non-reef locations, including a Medicinal Garden and two trails.</w:t>
            </w:r>
          </w:p>
          <w:p>
            <w:pPr/>
            <w:r>
              <w:rPr/>
              <w:t xml:space="preserve"/>
            </w:r>
          </w:p>
          <w:p>
            <w:pPr/>
            <w:r>
              <w:rPr/>
              <w:t xml:space="preserve">Evidence: Indicator 13 Carrying Capacity Summary Report</w:t>
            </w:r>
          </w:p>
          <w:p>
            <w:pPr/>
            <w:r>
              <w:rPr/>
              <w:t xml:space="preserve">Indicator 13 - Map of Ngermalk -Long Island Trail</w:t>
            </w:r>
          </w:p>
          <w:p>
            <w:pPr/>
            <w:r>
              <w:rPr/>
              <w:t xml:space="preserve">Indicator 13 - Map of Mechutremdiu-Ngeremdiu Rock Island Trail</w:t>
            </w:r>
          </w:p>
          <w:p>
            <w:pPr/>
            <w:r>
              <w:rPr/>
              <w:t xml:space="preserve">Ngeremdiu Trail photos: https://flic.kr/s/aHBqjzGbhc</w:t>
            </w:r>
          </w:p>
          <w:p>
            <w:pPr/>
            <w:r>
              <w:rPr/>
              <w:t xml:space="preserve"/>
            </w:r>
          </w:p>
          <w:p>
            <w:pPr/>
            <w:r>
              <w:rPr/>
              <w:t xml:space="preserve">Indicator 13 - Picture of Medicinal Garden.</w:t>
            </w:r>
          </w:p>
          <w:p>
            <w:pPr/>
            <w:r>
              <w:rPr/>
              <w:t xml:space="preserve">Medicinal Garden photos: https://flic.kr/s/aHsmW6DG7G</w:t>
            </w:r>
          </w:p>
          <w:p>
            <w:pPr/>
            <w:r>
              <w:rPr/>
              <w:t xml:space="preserve"/>
            </w:r>
          </w:p>
          <w:p>
            <w:pPr/>
            <w:r>
              <w:rPr/>
              <w:t xml:space="preserve">In Peleliu, the Forest of Hope Trail was completed and signs were developed and installed, created an alternative tourism destination with no impact on Peleliu's reefs.</w:t>
            </w:r>
          </w:p>
          <w:p>
            <w:pPr/>
            <w:r>
              <w:rPr/>
              <w:t xml:space="preserve"/>
            </w:r>
          </w:p>
          <w:p>
            <w:pPr/>
            <w:r>
              <w:rPr/>
              <w:t xml:space="preserve">Evidence: Indicator 13 - Combined Signs</w:t>
            </w:r>
          </w:p>
          <w:p>
            <w:pPr/>
            <w:r>
              <w:rPr/>
              <w:t xml:space="preserve">Indicator 13 - Peleliu Trail Ceremony Program and Acknowledgements</w:t>
            </w:r>
          </w:p>
        </w:tc>
      </w:tr>
      <w:tr>
        <w:trPr/>
        <w:tc>
          <w:tcPr>
            <w:tcW w:w="4000" w:type="dxa"/>
            <w:gridSpan w:val="1"/>
          </w:tcPr>
          <w:p>
            <w:pPr/>
            <w:r>
              <w:rPr/>
              <w:t xml:space="preserve">Indicator 14: Change in nesting success rates (number of nests, number of eggs, hatchlings and survival rates) for Micronesian megapodes in selected sites previously occupied by rats</w:t>
            </w:r>
          </w:p>
        </w:tc>
        <w:tc>
          <w:tcPr>
            <w:tcW w:w="2000" w:type="dxa"/>
            <w:gridSpan w:val="1"/>
          </w:tcPr>
          <w:p>
            <w:pPr/>
            <w:r>
              <w:rPr/>
              <w:t xml:space="preserve">Current status of Micronesian megapodes nesting success in selected islands established in Year 1</w:t>
            </w:r>
          </w:p>
        </w:tc>
        <w:tc>
          <w:tcPr>
            <w:tcW w:w="2000" w:type="dxa"/>
            <w:gridSpan w:val="1"/>
          </w:tcPr>
          <w:p>
            <w:pPr/>
            <w:r>
              <w:rPr/>
              <w:t xml:space="preserve">Maintained population of Micronesian megapodes from selected sites previously occupied by rats from current baseline values</w:t>
            </w:r>
          </w:p>
        </w:tc>
        <w:tc>
          <w:tcPr>
            <w:tcW w:w="2000" w:type="dxa"/>
            <w:gridSpan w:val="1"/>
          </w:tcPr>
          <w:p>
            <w:pPr/>
            <w:r>
              <w:rPr/>
              <w:t xml:space="preserve">Increased nesting success rates of Micronesian megapodes from selected sites previously occupied by rats from current baseline values</w:t>
            </w:r>
          </w:p>
        </w:tc>
        <w:tc>
          <w:tcPr>
            <w:tcW w:w="4000" w:type="dxa"/>
            <w:gridSpan w:val="1"/>
          </w:tcPr>
          <w:p>
            <w:pPr/>
            <w:r>
              <w:rPr/>
              <w:t xml:space="preserve">There is no new data on this indicator and activities, and thus it appears to be off-track.</w:t>
            </w:r>
          </w:p>
          <w:p>
            <w:pPr/>
            <w:r>
              <w:rPr/>
              <w:t xml:space="preserve"/>
            </w:r>
          </w:p>
          <w:p>
            <w:pPr/>
            <w:r>
              <w:rPr/>
              <w:t xml:space="preserve">Koror State has continued with enforcement and Biosecurity, but during this Covid-era, the risk of re-introduction from tourist activity has been low.</w:t>
            </w:r>
          </w:p>
          <w:p>
            <w:pPr/>
            <w:r>
              <w:rPr/>
              <w:t xml:space="preserve"/>
            </w:r>
          </w:p>
          <w:p>
            <w:pPr/>
            <w:r>
              <w:rPr/>
              <w:t xml:space="preserve">The project is behind in terms of Early Detection and Response and Inter-island Biosecurity at the nationwide level, and thus has not been able to implement actions in Koror or Peleliu.</w:t>
            </w:r>
          </w:p>
          <w:p>
            <w:pPr/>
            <w:r>
              <w:rPr/>
              <w:t xml:space="preserve"/>
            </w:r>
          </w:p>
          <w:p>
            <w:pPr/>
            <w:r>
              <w:rPr/>
              <w:t xml:space="preserve">Work in Peleliu this year has focused on trail development in a sustainable manner, so that runoff is minimized and birds and biodiversity are protected and promoted. This includes avoidance of any megapode nests in the area. The trail passes through a private sanctuary set aside for birds, so it will utilize best practices. This work is proceeding very slowly and is behind schedule, thus the indicator is deemed off-track.</w:t>
            </w:r>
          </w:p>
        </w:tc>
        <w:tc>
          <w:tcPr>
            <w:tcW w:w="4000" w:type="dxa"/>
            <w:gridSpan w:val="1"/>
          </w:tcPr>
          <w:p>
            <w:pPr/>
            <w:r>
              <w:rPr/>
              <w:t xml:space="preserve">This indicator is on track.</w:t>
            </w:r>
          </w:p>
          <w:p>
            <w:pPr/>
            <w:r>
              <w:rPr/>
              <w:t xml:space="preserve"/>
            </w:r>
          </w:p>
          <w:p>
            <w:pPr/>
            <w:r>
              <w:rPr/>
              <w:t xml:space="preserve">Although a megapode nest survey has not been updated in the Southern Lagoon, the number of megapodes appears to be steady or increasing from 4.4 birds per station in 2019 and 4.2 birds per station in 2020 to 4.9 birds per station in 2021.</w:t>
            </w:r>
          </w:p>
          <w:p>
            <w:pPr/>
            <w:r>
              <w:rPr/>
              <w:t xml:space="preserve"/>
            </w:r>
          </w:p>
          <w:p>
            <w:pPr/>
            <w:r>
              <w:rPr/>
              <w:t xml:space="preserve">Evidence: Indicator 10 - 2019-2021 RISL Bird Monitoring.</w:t>
            </w:r>
          </w:p>
          <w:p>
            <w:pPr/>
            <w:r>
              <w:rPr/>
              <w:t xml:space="preserve"/>
            </w:r>
          </w:p>
          <w:p>
            <w:pPr/>
            <w:r>
              <w:rPr/>
              <w:t xml:space="preserve">There have been many IAS activities designed and implemented to improve the conservation status of the endangered megapode.</w:t>
            </w:r>
          </w:p>
          <w:p>
            <w:pPr/>
            <w:r>
              <w:rPr/>
              <w:t xml:space="preserve"/>
            </w:r>
          </w:p>
          <w:p>
            <w:pPr/>
            <w:r>
              <w:rPr/>
              <w:t xml:space="preserve">Rats returned to Ngeanges Island, but control efforts are underway. In an effort to prepare the community for future rodent eradications, biosecurity materials were developed to create awareness about interisland IAS transfer.</w:t>
            </w:r>
          </w:p>
          <w:p>
            <w:pPr/>
            <w:r>
              <w:rPr/>
              <w:t xml:space="preserve"/>
            </w:r>
          </w:p>
          <w:p>
            <w:pPr/>
            <w:r>
              <w:rPr/>
              <w:t xml:space="preserve">Evidence: Indicator 14 Tour Operators and Visitors Guidelines,</w:t>
            </w:r>
          </w:p>
          <w:p>
            <w:pPr/>
            <w:r>
              <w:rPr/>
              <w:t xml:space="preserve">Indicator 14 Boat Stickers</w:t>
            </w:r>
          </w:p>
          <w:p>
            <w:pPr/>
            <w:r>
              <w:rPr/>
              <w:t xml:space="preserve">INdicator 14 Posters</w:t>
            </w:r>
          </w:p>
          <w:p>
            <w:pPr/>
            <w:r>
              <w:rPr/>
              <w:t xml:space="preserve"/>
            </w:r>
          </w:p>
          <w:p>
            <w:pPr/>
            <w:r>
              <w:rPr/>
              <w:t xml:space="preserve">Koror also began planning for a future eradication on the island of Ulong, which is more isolated than Ngeanges.</w:t>
            </w:r>
          </w:p>
          <w:p>
            <w:pPr/>
            <w:r>
              <w:rPr/>
              <w:t xml:space="preserve"/>
            </w:r>
          </w:p>
          <w:p>
            <w:pPr/>
            <w:r>
              <w:rPr/>
              <w:t xml:space="preserve">Evidence: Indicator 14. KSG Costs, Ulong Eradication.</w:t>
            </w:r>
          </w:p>
          <w:p>
            <w:pPr/>
            <w:r>
              <w:rPr/>
              <w:t xml:space="preserve"/>
            </w:r>
          </w:p>
          <w:p>
            <w:pPr/>
            <w:r>
              <w:rPr/>
              <w:t xml:space="preserve">To formalize technical support and Palau's commitment to IAS management, the Ministry of Agriculture, Fisheries, and the Environment signed a MOU with Island Conservation to partner on eradications for biodiversity conservation.</w:t>
            </w:r>
          </w:p>
          <w:p>
            <w:pPr/>
            <w:r>
              <w:rPr/>
              <w:t xml:space="preserve"/>
            </w:r>
          </w:p>
          <w:p>
            <w:pPr/>
            <w:r>
              <w:rPr/>
              <w:t xml:space="preserve">Evidence: Palau_IC MOU</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On track</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4</w:t>
            </w:r>
          </w:p>
          <w:p>
            <w:pPr/>
            <w:r>
              <w:rPr>
                <w:b w:val="1"/>
                <w:bCs w:val="1"/>
              </w:rPr>
              <w:t xml:space="preserve">Outcome 4</w:t>
            </w:r>
          </w:p>
          <w:p>
            <w:pPr/>
            <w:r>
              <w:rPr>
                <w:b w:val="1"/>
                <w:bCs w:val="1"/>
              </w:rPr>
              <w:t xml:space="preserve">Knowledge management, monitoring and evaluation support, equitable gender benefits and biodiversity conservation in Palau</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2021</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15: Increase in percentage of sampled community members, tour operators and sector agency staff aware of potential conservation threats and adverse impacts of IAS</w:t>
            </w:r>
          </w:p>
        </w:tc>
        <w:tc>
          <w:tcPr>
            <w:tcW w:w="2000" w:type="dxa"/>
            <w:gridSpan w:val="1"/>
          </w:tcPr>
          <w:p>
            <w:pPr/>
            <w:r>
              <w:rPr/>
              <w:t xml:space="preserve">Coordinated outreach on conservation threats and biosecurity lacking. Limited awareness of impact IAS among general public. Baseline survey established in Year 1</w:t>
            </w:r>
          </w:p>
        </w:tc>
        <w:tc>
          <w:tcPr>
            <w:tcW w:w="2000" w:type="dxa"/>
            <w:gridSpan w:val="1"/>
          </w:tcPr>
          <w:p>
            <w:pPr/>
            <w:r>
              <w:rPr/>
              <w:t xml:space="preserve">At least 5% of sampled community members and 20% of, tour operators and sector agency staff aware of potential conservation threats and adverse impacts of IAS</w:t>
            </w:r>
          </w:p>
        </w:tc>
        <w:tc>
          <w:tcPr>
            <w:tcW w:w="2000" w:type="dxa"/>
            <w:gridSpan w:val="1"/>
          </w:tcPr>
          <w:p>
            <w:pPr/>
            <w:r>
              <w:rPr/>
              <w:t xml:space="preserve">At least 25% of sampled community members and 75% of tour operators and sector agency staff aware of potential conservation threats and adverse impacts of IAS with equitable knowledge among genders and social groups of which at least 50% are women.</w:t>
            </w:r>
          </w:p>
        </w:tc>
        <w:tc>
          <w:tcPr>
            <w:tcW w:w="4000" w:type="dxa"/>
            <w:gridSpan w:val="1"/>
          </w:tcPr>
          <w:p>
            <w:pPr/>
            <w:r>
              <w:rPr/>
              <w:t xml:space="preserve">In terms of activities, this indicator is ON TRACK.</w:t>
            </w:r>
          </w:p>
          <w:p>
            <w:pPr/>
            <w:r>
              <w:rPr/>
              <w:t xml:space="preserve"/>
            </w:r>
          </w:p>
          <w:p>
            <w:pPr/>
            <w:r>
              <w:rPr/>
              <w:t xml:space="preserve">The KAP report was finally completed. See the report, data, and presentations.</w:t>
            </w:r>
          </w:p>
          <w:p>
            <w:pPr/>
            <w:r>
              <w:rPr/>
              <w:t xml:space="preserve"/>
            </w:r>
          </w:p>
          <w:p>
            <w:pPr/>
            <w:r>
              <w:rPr/>
              <w:t xml:space="preserve">The newly established Baseline shows that 46-65% of tour operators are aware of potential conservation threats and impacts of IAS. (Green Fins had already been implemented by the time survey was conducted). Baseline also indicates that 63-84% of community members are aware of conservation threats and impacts of IAS.</w:t>
            </w:r>
          </w:p>
          <w:p>
            <w:pPr/>
            <w:r>
              <w:rPr/>
              <w:t xml:space="preserve"/>
            </w:r>
          </w:p>
          <w:p>
            <w:pPr/>
            <w:r>
              <w:rPr/>
              <w:t xml:space="preserve">Given the existing high numbers of awareness about adverse impacts, this indicator does not seem to be relevant. In terms of activities, this indicator is ON TRACK.</w:t>
            </w:r>
          </w:p>
          <w:p>
            <w:pPr/>
            <w:r>
              <w:rPr/>
              <w:t xml:space="preserve"/>
            </w:r>
          </w:p>
          <w:p>
            <w:pPr/>
            <w:r>
              <w:rPr/>
              <w:t xml:space="preserve">Suggested changes that use the existing KAP data include:</w:t>
            </w:r>
          </w:p>
          <w:p>
            <w:pPr/>
            <w:r>
              <w:rPr/>
              <w:t xml:space="preserve"/>
            </w:r>
          </w:p>
          <w:p>
            <w:pPr/>
            <w:r>
              <w:rPr/>
              <w:t xml:space="preserve">1)	% of survey respondents who report "knowing how to minimize the impact of IAS"</w:t>
            </w:r>
          </w:p>
          <w:p>
            <w:pPr/>
            <w:r>
              <w:rPr/>
              <w:t xml:space="preserve">a.	Baseline would be 34% YES, 37% NO, 29% NO ANSWER.</w:t>
            </w:r>
          </w:p>
          <w:p>
            <w:pPr/>
            <w:r>
              <w:rPr/>
              <w:t xml:space="preserve">2)	Average number of Invasive Alien Species (IAS) listed by respondents.</w:t>
            </w:r>
          </w:p>
          <w:p>
            <w:pPr/>
            <w:r>
              <w:rPr/>
              <w:t xml:space="preserve">a.	Baseline would be 1.5.</w:t>
            </w:r>
          </w:p>
          <w:p>
            <w:pPr/>
            <w:r>
              <w:rPr/>
              <w:t xml:space="preserve">3)	% of respondents incorrectly identifying native species as Invasive Alien Species.</w:t>
            </w:r>
          </w:p>
          <w:p>
            <w:pPr/>
            <w:r>
              <w:rPr/>
              <w:t xml:space="preserve">a.	Baseline would be 65%.</w:t>
            </w:r>
          </w:p>
          <w:p>
            <w:pPr/>
            <w:r>
              <w:rPr/>
              <w:t xml:space="preserve">See spreadsheet: https://drive.google.com/file/d/15u-jP9hQi1-UoiiEtZdddfcQwWuDU1Ej/view?usp=sharing</w:t>
            </w:r>
          </w:p>
          <w:p>
            <w:pPr/>
            <w:r>
              <w:rPr/>
              <w:t xml:space="preserve"/>
            </w:r>
          </w:p>
          <w:p>
            <w:pPr/>
            <w:r>
              <w:rPr/>
              <w:t xml:space="preserve">New Indicators would need stakeholder input and Board approval, but the EPCU suggests the following Targets:</w:t>
            </w:r>
          </w:p>
          <w:p>
            <w:pPr/>
            <w:r>
              <w:rPr/>
              <w:t xml:space="preserve">1)	% of survey respondents who answer YES to knowing how to minimizing impact by EOP increases to 75%.</w:t>
            </w:r>
          </w:p>
          <w:p>
            <w:pPr/>
            <w:r>
              <w:rPr/>
              <w:t xml:space="preserve">2)	Average number of IAS listed by respondents increases to 5 out of 20 priority IAS plants and 20 priority IAS animals.</w:t>
            </w:r>
          </w:p>
          <w:p>
            <w:pPr/>
            <w:r>
              <w:rPr/>
              <w:t xml:space="preserve">3)	% incorrectly identifying native species as IAS declines to less than 25%.</w:t>
            </w:r>
          </w:p>
          <w:p>
            <w:pPr/>
            <w:r>
              <w:rPr/>
              <w:t xml:space="preserve">In terms of action, the Project has collated information on invasive species and begun communicating it to the public and to partners. Project partners (PCS) are also improving IAS awareness and technical skills among PAN Rangers.</w:t>
            </w:r>
          </w:p>
          <w:p>
            <w:pPr/>
            <w:r>
              <w:rPr/>
              <w:t xml:space="preserve"/>
            </w:r>
          </w:p>
          <w:p>
            <w:pPr/>
            <w:r>
              <w:rPr/>
              <w:t xml:space="preserve">In terms of Sustainable Tourism, a framework for a Sustainable Tourism Certification program was developed, but it has not yet been reviewed. See: https://docs.google.com/document/d/1GqAwyhpYPBPad1XofxnftZnXyFFfinURGOOm5PsNG2Q/edit</w:t>
            </w:r>
          </w:p>
          <w:p>
            <w:pPr/>
            <w:r>
              <w:rPr/>
              <w:t xml:space="preserve"/>
            </w:r>
          </w:p>
          <w:p>
            <w:pPr/>
            <w:r>
              <w:rPr/>
              <w:t xml:space="preserve">This indicator may need to be REVISED to reflect the actual awareness needs, since knowledge of conservation impacts of IAS is already high. Also, this survey will not be repeated until EOP.</w:t>
            </w:r>
          </w:p>
        </w:tc>
        <w:tc>
          <w:tcPr>
            <w:tcW w:w="4000" w:type="dxa"/>
            <w:gridSpan w:val="1"/>
          </w:tcPr>
          <w:p>
            <w:pPr/>
            <w:r>
              <w:rPr/>
              <w:t xml:space="preserve">This indicator is on track.</w:t>
            </w:r>
          </w:p>
          <w:p>
            <w:pPr/>
            <w:r>
              <w:rPr/>
              <w:t xml:space="preserve"/>
            </w:r>
          </w:p>
          <w:p>
            <w:pPr/>
            <w:r>
              <w:rPr/>
              <w:t xml:space="preserve">As this indicator had already been met before the project started, post MTR, this indicator was revised to: Indicator 15-r: 1) % of survey respondents who answer YES to knowing how to minimizing impact by EOP. 2) Average number of IAS listed by respondents. 3) % incorrectly identifying native species as IAS</w:t>
            </w:r>
          </w:p>
          <w:p>
            <w:pPr/>
            <w:r>
              <w:rPr/>
              <w:t xml:space="preserve"/>
            </w:r>
          </w:p>
          <w:p>
            <w:pPr/>
            <w:r>
              <w:rPr/>
              <w:t xml:space="preserve">Outreach on Invasive Species was expanded drastically, with the development of a policy to identify key species, the creation of a Palau Invasive Species Program social media channel, weekly email newsletter, and creation of two hashtags #MondaysMostWanted and #WeedsonWednesday.</w:t>
            </w:r>
          </w:p>
          <w:p>
            <w:pPr/>
            <w:r>
              <w:rPr/>
              <w:t xml:space="preserve"/>
            </w:r>
          </w:p>
          <w:p>
            <w:pPr/>
            <w:r>
              <w:rPr/>
              <w:t xml:space="preserve">See Indicator 15. BTS Graphic</w:t>
            </w:r>
          </w:p>
          <w:p>
            <w:pPr/>
            <w:r>
              <w:rPr/>
              <w:t xml:space="preserve">Indicator 15. FruitFly Infographic</w:t>
            </w:r>
          </w:p>
          <w:p>
            <w:pPr/>
            <w:r>
              <w:rPr/>
              <w:t xml:space="preserve">Indicator 15. MondaysMostWanted -Fruit Fly</w:t>
            </w:r>
          </w:p>
          <w:p>
            <w:pPr/>
            <w:r>
              <w:rPr/>
              <w:t xml:space="preserve">Indicator 15. Sample WeedsonWednesday newsletter</w:t>
            </w:r>
          </w:p>
          <w:p>
            <w:pPr/>
            <w:r>
              <w:rPr/>
              <w:t xml:space="preserve"/>
            </w:r>
          </w:p>
          <w:p>
            <w:pPr/>
            <w:r>
              <w:rPr/>
              <w:t xml:space="preserve">See also pictures of IAS plants: https://flic.kr/s/aHsmX8b6Yk</w:t>
            </w:r>
          </w:p>
          <w:p>
            <w:pPr/>
            <w:r>
              <w:rPr/>
              <w:t xml:space="preserve"/>
            </w:r>
          </w:p>
          <w:p>
            <w:pPr/>
            <w:r>
              <w:rPr/>
              <w:t xml:space="preserve">Pictures of alternative native or non-invasive plants: https://flic.kr/s/aHsmX8EoS1</w:t>
            </w:r>
          </w:p>
        </w:tc>
      </w:tr>
      <w:tr>
        <w:trPr/>
        <w:tc>
          <w:tcPr>
            <w:tcW w:w="4000" w:type="dxa"/>
            <w:gridSpan w:val="1"/>
          </w:tcPr>
          <w:p>
            <w:pPr/>
            <w:r>
              <w:rPr/>
              <w:t xml:space="preserve">Indicator 16: Percentage of fifth-grade students received updated “ridge to reef” curriculum, including IAS</w:t>
            </w:r>
          </w:p>
        </w:tc>
        <w:tc>
          <w:tcPr>
            <w:tcW w:w="2000" w:type="dxa"/>
            <w:gridSpan w:val="1"/>
          </w:tcPr>
          <w:p>
            <w:pPr/>
            <w:r>
              <w:rPr/>
              <w:t xml:space="preserve">Fifth-grade curriculum lacks emphasis on integrated landscape and seascape planning and threats of IAS</w:t>
            </w:r>
          </w:p>
        </w:tc>
        <w:tc>
          <w:tcPr>
            <w:tcW w:w="2000" w:type="dxa"/>
            <w:gridSpan w:val="1"/>
          </w:tcPr>
          <w:p>
            <w:pPr/>
            <w:r>
              <w:rPr/>
              <w:t xml:space="preserve">Curriculum updated to include biosecurity and IAS</w:t>
            </w:r>
          </w:p>
        </w:tc>
        <w:tc>
          <w:tcPr>
            <w:tcW w:w="2000" w:type="dxa"/>
            <w:gridSpan w:val="1"/>
          </w:tcPr>
          <w:p>
            <w:pPr/>
            <w:r>
              <w:rPr/>
              <w:t xml:space="preserve">At least 90% of fifth-grade students received updated “ridge to reef” curriculum, including IAS of which 50% are females</w:t>
            </w:r>
          </w:p>
        </w:tc>
        <w:tc>
          <w:tcPr>
            <w:tcW w:w="4000" w:type="dxa"/>
            <w:gridSpan w:val="1"/>
          </w:tcPr>
          <w:p>
            <w:pPr/>
            <w:r>
              <w:rPr/>
              <w:t xml:space="preserve">This indicator is on track.</w:t>
            </w:r>
          </w:p>
          <w:p>
            <w:pPr/>
            <w:r>
              <w:rPr/>
              <w:t xml:space="preserve"/>
            </w:r>
          </w:p>
          <w:p>
            <w:pPr/>
            <w:r>
              <w:rPr/>
              <w:t xml:space="preserve">Educational activities with the Ministry of Education have not begun in earnest and the curriculum has not been updated yet.</w:t>
            </w:r>
          </w:p>
          <w:p>
            <w:pPr/>
            <w:r>
              <w:rPr/>
              <w:t xml:space="preserve"/>
            </w:r>
          </w:p>
          <w:p>
            <w:pPr/>
            <w:r>
              <w:rPr/>
              <w:t xml:space="preserve">However, there have been an increase in the number of invasive species outreach programs offered by PMU and by Project Partners, both to students, resource managers, and the public. See the PowerPoint for example of public outreach.</w:t>
            </w:r>
          </w:p>
          <w:p>
            <w:pPr/>
            <w:r>
              <w:rPr/>
              <w:t xml:space="preserve"/>
            </w:r>
          </w:p>
          <w:p>
            <w:pPr/>
            <w:r>
              <w:rPr/>
              <w:t xml:space="preserve">Partners conducted organized outreach programs on Invasive Alien Species that reached almost every student last year. See agenda and photos.</w:t>
            </w:r>
          </w:p>
          <w:p>
            <w:pPr/>
            <w:r>
              <w:rPr/>
              <w:t xml:space="preserve"/>
            </w:r>
          </w:p>
          <w:p>
            <w:pPr/>
            <w:r>
              <w:rPr/>
              <w:t xml:space="preserve">Public outreach on native species and invasive species has increased through weekly emails, public presentations, and community events. The KAP survey will help refine the curriculum so that it meets specific needs.</w:t>
            </w:r>
          </w:p>
          <w:p>
            <w:pPr/>
            <w:r>
              <w:rPr/>
              <w:t xml:space="preserve"/>
            </w:r>
          </w:p>
        </w:tc>
        <w:tc>
          <w:tcPr>
            <w:tcW w:w="4000" w:type="dxa"/>
            <w:gridSpan w:val="1"/>
          </w:tcPr>
          <w:p>
            <w:pPr/>
            <w:r>
              <w:rPr/>
              <w:t xml:space="preserve">Post MTR, this indicator was revised to: At least 3 institutionalized programs, with at least 2 targeting Terrestrial and Marine IAS, and at least 3 targeting Youth, Policymakers or Resource Managers, and the Public.          Specifically targeting: BNM Terrestrial IAS program for the public; PICRC Marine IAS program for youth; CRRF Marine Invasive Program for Resource Managers; MAFE BOE Outreach Program for Policymakers, Schools, and Businesses (through PAN, Forestry, and NISC); PCS IAS Programs for Schools.</w:t>
            </w:r>
          </w:p>
          <w:p>
            <w:pPr/>
            <w:r>
              <w:rPr/>
              <w:t xml:space="preserve"/>
            </w:r>
          </w:p>
          <w:p>
            <w:pPr/>
            <w:r>
              <w:rPr/>
              <w:t xml:space="preserve">This indicator is on track.</w:t>
            </w:r>
          </w:p>
          <w:p>
            <w:pPr/>
            <w:r>
              <w:rPr/>
              <w:t xml:space="preserve"/>
            </w:r>
          </w:p>
          <w:p>
            <w:pPr/>
            <w:r>
              <w:rPr/>
              <w:t xml:space="preserve">Implementation of this revised Indicator is progressing well. MAFE and the Belau National Museum (BNM) signed a MOU for the Museum to develop a display about endangered species and how they are impacted by invasive species. A similar MOU was in development with the Palau International Coral Reef Center for marine invasive species.</w:t>
            </w:r>
          </w:p>
          <w:p>
            <w:pPr/>
            <w:r>
              <w:rPr/>
              <w:t xml:space="preserve"/>
            </w:r>
          </w:p>
          <w:p>
            <w:pPr/>
            <w:r>
              <w:rPr/>
              <w:t xml:space="preserve">Evidence: Indicator 16. MAFE-BNM MOU</w:t>
            </w:r>
          </w:p>
          <w:p>
            <w:pPr/>
            <w:r>
              <w:rPr/>
              <w:t xml:space="preserve"/>
            </w:r>
          </w:p>
          <w:p>
            <w:pPr/>
            <w:r>
              <w:rPr/>
              <w:t xml:space="preserve">MAFE's new Invasive Species Program outlined its 2022-2023 IAS Awareness Program, including desired outcomes, as part of institutionalizing the IAS Program. The new MAFE Strategic Plan includes an indicator about stabilizing or decreasing invasive species.</w:t>
            </w:r>
          </w:p>
          <w:p>
            <w:pPr/>
            <w:r>
              <w:rPr/>
              <w:t xml:space="preserve"/>
            </w:r>
          </w:p>
          <w:p>
            <w:pPr/>
            <w:r>
              <w:rPr/>
              <w:t xml:space="preserve">Evidence: Indicator 10 - MAFE Strategy</w:t>
            </w:r>
          </w:p>
          <w:p>
            <w:pPr/>
            <w:r>
              <w:rPr/>
              <w:t xml:space="preserve">Indicator 16 - MAFE IAS Awareness Program Plan</w:t>
            </w:r>
          </w:p>
          <w:p>
            <w:pPr/>
            <w:r>
              <w:rPr/>
              <w:t xml:space="preserve"/>
            </w:r>
          </w:p>
          <w:p>
            <w:pPr/>
            <w:r>
              <w:rPr/>
              <w:t xml:space="preserve">Partner organization The Palau Conservation Society institutionalized IAS outreach in its new Strategy and immediately began implementing with IAS awareness activities.</w:t>
            </w:r>
          </w:p>
          <w:p>
            <w:pPr/>
            <w:r>
              <w:rPr/>
              <w:t xml:space="preserve"/>
            </w:r>
          </w:p>
          <w:p>
            <w:pPr/>
            <w:r>
              <w:rPr/>
              <w:t xml:space="preserve">Evidence: Indicator 16. PCS Strategy with IAS pages.</w:t>
            </w:r>
          </w:p>
          <w:p>
            <w:pPr/>
            <w:r>
              <w:rPr/>
              <w:t xml:space="preserve">Indicator 16. All about invasives poster-PCS</w:t>
            </w:r>
          </w:p>
        </w:tc>
      </w:tr>
      <w:tr>
        <w:trPr/>
        <w:tc>
          <w:tcPr>
            <w:tcW w:w="4000" w:type="dxa"/>
            <w:gridSpan w:val="1"/>
          </w:tcPr>
          <w:p>
            <w:pPr/>
            <w:r>
              <w:rPr/>
              <w:t xml:space="preserve">Indicator 17: Number of best practices of sustainable land, coastal and marine resource use up-scaled by communities/households</w:t>
            </w:r>
          </w:p>
        </w:tc>
        <w:tc>
          <w:tcPr>
            <w:tcW w:w="2000" w:type="dxa"/>
            <w:gridSpan w:val="1"/>
          </w:tcPr>
          <w:p>
            <w:pPr/>
            <w:r>
              <w:rPr/>
              <w:t xml:space="preserve">Best practice and lessons from GEF 5 available, but currently resources do not exists for their implementation</w:t>
            </w:r>
          </w:p>
        </w:tc>
        <w:tc>
          <w:tcPr>
            <w:tcW w:w="2000" w:type="dxa"/>
            <w:gridSpan w:val="1"/>
          </w:tcPr>
          <w:p>
            <w:pPr/>
            <w:r>
              <w:rPr/>
              <w:t xml:space="preserve">At least 1 Best Practice per sector being implemented (total of 5: agriculture, aquaculture, fisheries, forestry, sustainable tourism)</w:t>
            </w:r>
          </w:p>
        </w:tc>
        <w:tc>
          <w:tcPr>
            <w:tcW w:w="2000" w:type="dxa"/>
            <w:gridSpan w:val="1"/>
          </w:tcPr>
          <w:p>
            <w:pPr/>
            <w:r>
              <w:rPr/>
              <w:t xml:space="preserve">At least 18 best practices of sustainable land, coastal and marine resource use up-scaled by 9 communities and used by both genders and multiple social groups.</w:t>
            </w:r>
          </w:p>
        </w:tc>
        <w:tc>
          <w:tcPr>
            <w:tcW w:w="4000" w:type="dxa"/>
            <w:gridSpan w:val="1"/>
          </w:tcPr>
          <w:p>
            <w:pPr/>
            <w:r>
              <w:rPr/>
              <w:t xml:space="preserve">This indicator is on track.</w:t>
            </w:r>
          </w:p>
          <w:p>
            <w:pPr/>
            <w:r>
              <w:rPr/>
              <w:t xml:space="preserve"/>
            </w:r>
          </w:p>
          <w:p>
            <w:pPr/>
            <w:r>
              <w:rPr/>
              <w:t xml:space="preserve">18 Best Practices developed or advocated by the Project or GEF6 Partners, all being implemented in at least one location in each sector. Those being scaled up (to multiple locations):</w:t>
            </w:r>
          </w:p>
          <w:p>
            <w:pPr/>
            <w:r>
              <w:rPr/>
              <w:t xml:space="preserve"/>
            </w:r>
          </w:p>
          <w:p>
            <w:pPr/>
            <w:r>
              <w:rPr/>
              <w:t xml:space="preserve">•	1 in Agriculture,</w:t>
            </w:r>
          </w:p>
          <w:p>
            <w:pPr/>
            <w:r>
              <w:rPr/>
              <w:t xml:space="preserve">•	3 in Forestry, and</w:t>
            </w:r>
          </w:p>
          <w:p>
            <w:pPr/>
            <w:r>
              <w:rPr/>
              <w:t xml:space="preserve">•	3 in Sustainable Tourism = 7.</w:t>
            </w:r>
          </w:p>
          <w:p>
            <w:pPr/>
            <w:r>
              <w:rPr/>
              <w:t xml:space="preserve">See spreadsheet: https://docs.google.com/spreadsheets/d/1aXiKJWpLeSyZUNQwAYlYcZ2LprgfC3pxk__5dexzFWc/edit?usp=sharing</w:t>
            </w:r>
          </w:p>
          <w:p>
            <w:pPr/>
            <w:r>
              <w:rPr/>
              <w:t xml:space="preserve"/>
            </w:r>
          </w:p>
          <w:p>
            <w:pPr/>
            <w:r>
              <w:rPr/>
              <w:t xml:space="preserve">The 2020 Natural Resource Study, which was completed to enable gender mainstreaming in this indicator, examined which best practices are used by different gender and social groups.</w:t>
            </w:r>
          </w:p>
        </w:tc>
        <w:tc>
          <w:tcPr>
            <w:tcW w:w="4000" w:type="dxa"/>
            <w:gridSpan w:val="1"/>
          </w:tcPr>
          <w:p>
            <w:pPr/>
            <w:r>
              <w:rPr/>
              <w:t xml:space="preserve">This indicator is on track.</w:t>
            </w:r>
          </w:p>
          <w:p>
            <w:pPr/>
            <w:r>
              <w:rPr/>
              <w:t xml:space="preserve"/>
            </w:r>
          </w:p>
          <w:p>
            <w:pPr/>
            <w:r>
              <w:rPr/>
              <w:t xml:space="preserve">At least 24 best practices are in use across all key sectors.</w:t>
            </w:r>
          </w:p>
          <w:p>
            <w:pPr/>
            <w:r>
              <w:rPr/>
              <w:t xml:space="preserve"/>
            </w:r>
          </w:p>
          <w:p>
            <w:pPr/>
            <w:r>
              <w:rPr/>
              <w:t xml:space="preserve">Best practices in use include:</w:t>
            </w:r>
          </w:p>
          <w:p>
            <w:pPr/>
            <w:r>
              <w:rPr/>
              <w:t xml:space="preserve">Agriculture (5) - Contour plowing, Organic fertilizers and pesticides for organic certification, native plants, removal of invasive species, restoration of taro.</w:t>
            </w:r>
          </w:p>
          <w:p>
            <w:pPr/>
            <w:r>
              <w:rPr/>
              <w:t xml:space="preserve"/>
            </w:r>
          </w:p>
          <w:p>
            <w:pPr/>
            <w:r>
              <w:rPr/>
              <w:t xml:space="preserve">Fisheries (7) - Minimum size, permanent MPAs, rotating spatial closures, temporal closures, gear restrictions (no J hooks), catch-and-release practices, promotion of pelagic fish over reef fish</w:t>
            </w:r>
          </w:p>
          <w:p>
            <w:pPr/>
            <w:r>
              <w:rPr/>
              <w:t xml:space="preserve"/>
            </w:r>
          </w:p>
          <w:p>
            <w:pPr/>
            <w:r>
              <w:rPr/>
              <w:t xml:space="preserve">Aquaculture (2) - Sea cucumber propagation, giant clam farms</w:t>
            </w:r>
          </w:p>
          <w:p>
            <w:pPr/>
            <w:r>
              <w:rPr/>
              <w:t xml:space="preserve"/>
            </w:r>
          </w:p>
          <w:p>
            <w:pPr/>
            <w:r>
              <w:rPr/>
              <w:t xml:space="preserve">Forestry (3) - Invasive species removal, composting and ground cover, native species planting along bare exposed roads.</w:t>
            </w:r>
          </w:p>
          <w:p>
            <w:pPr/>
            <w:r>
              <w:rPr/>
              <w:t xml:space="preserve"/>
            </w:r>
          </w:p>
          <w:p>
            <w:pPr/>
            <w:r>
              <w:rPr/>
              <w:t xml:space="preserve">Evidence: Indicator 17. Forest restoration field guide.</w:t>
            </w:r>
          </w:p>
          <w:p>
            <w:pPr/>
            <w:r>
              <w:rPr/>
              <w:t xml:space="preserve"/>
            </w:r>
          </w:p>
          <w:p>
            <w:pPr/>
            <w:r>
              <w:rPr/>
              <w:t xml:space="preserve">Sustainable Tourism (7) - Low-impact trails, landscaping with native plants, biodiversity signage and public education, biodiversity-friendly production, recycling and waste segregation, plastic reduction, reef safe sunscreen</w:t>
            </w:r>
          </w:p>
          <w:p>
            <w:pPr/>
            <w:r>
              <w:rPr/>
              <w:t xml:space="preserve"/>
            </w:r>
          </w:p>
          <w:p>
            <w:pPr/>
            <w:r>
              <w:rPr/>
              <w:t xml:space="preserve">The project website collects best practices and makes them available to the public. See: https://sites.google.com/view/gef6palau/best-practices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On track</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Implementation Progress</w:t>
      </w:r>
      <w:bookmarkEnd w:id="4"/>
    </w:p>
    <w:p>
      <w:pPr>
        <w:jc w:val="center"/>
      </w:pPr>
      <w:r>
        <w:pict>
          <v:shape type="#_x0000_t75" stroked="f" style="width:450pt; height:300pt; margin-left:0pt; margin-top:0pt; mso-position-horizontal:center; mso-position-vertical:top; mso-position-horizontal-relative:char; mso-position-vertical-relative:line;">
            <w10:wrap type="square"/>
            <v:imagedata r:id="rId9" o:title=""/>
          </v:shape>
        </w:pict>
      </w:r>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Cumulative GL delivery against total approved amount (in prodoc):</w:t>
            </w:r>
          </w:p>
        </w:tc>
        <w:tc>
          <w:tcPr>
            <w:tcW w:w="5000" w:type="dxa"/>
            <w:vAlign w:val="center"/>
            <w:gridSpan w:val="1"/>
          </w:tcPr>
          <w:p>
            <w:pPr>
              <w:jc w:val="right"/>
            </w:pPr>
            <w:r>
              <w:rPr/>
              <w:t xml:space="preserve">47.81%</w:t>
            </w:r>
          </w:p>
        </w:tc>
      </w:tr>
      <w:tr>
        <w:trPr/>
        <w:tc>
          <w:tcPr>
            <w:tcW w:w="5000" w:type="dxa"/>
            <w:gridSpan w:val="1"/>
          </w:tcPr>
          <w:p>
            <w:pPr/>
            <w:r>
              <w:rPr/>
              <w:t xml:space="preserve">Cumulative GL delivery against expected delivery as of this year:</w:t>
            </w:r>
          </w:p>
        </w:tc>
        <w:tc>
          <w:tcPr>
            <w:tcW w:w="5000" w:type="dxa"/>
            <w:vAlign w:val="center"/>
            <w:gridSpan w:val="1"/>
          </w:tcPr>
          <w:p>
            <w:pPr>
              <w:jc w:val="right"/>
            </w:pPr>
            <w:r>
              <w:rPr/>
              <w:t xml:space="preserve">51.18%</w:t>
            </w:r>
          </w:p>
        </w:tc>
      </w:tr>
      <w:tr>
        <w:trPr/>
        <w:tc>
          <w:tcPr>
            <w:tcW w:w="5000" w:type="dxa"/>
            <w:gridSpan w:val="1"/>
          </w:tcPr>
          <w:p>
            <w:pPr/>
            <w:r>
              <w:rPr/>
              <w:t xml:space="preserve">Cumulative disbursement as of 30 June:</w:t>
            </w:r>
          </w:p>
        </w:tc>
        <w:tc>
          <w:tcPr>
            <w:tcW w:w="5000" w:type="dxa"/>
            <w:vAlign w:val="center"/>
            <w:gridSpan w:val="1"/>
          </w:tcPr>
          <w:p>
            <w:pPr>
              <w:jc w:val="right"/>
            </w:pPr>
            <w:r>
              <w:rPr/>
              <w:t xml:space="preserve">2,024,231</w:t>
            </w:r>
          </w:p>
        </w:tc>
      </w:tr>
    </w:tbl>
    <w:p>
      <w:pPr>
        <w:pStyle w:val="Heading2"/>
      </w:pPr>
      <w:bookmarkStart w:id="5" w:name="_Toc5"/>
      <w:r>
        <w:t>Key Financing Amounts</w:t>
      </w:r>
      <w:bookmarkEnd w:id="5"/>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PPG Amount</w:t>
            </w:r>
          </w:p>
        </w:tc>
        <w:tc>
          <w:tcPr>
            <w:tcW w:w="5000" w:type="dxa"/>
            <w:vAlign w:val="center"/>
            <w:gridSpan w:val="1"/>
          </w:tcPr>
          <w:p>
            <w:pPr>
              <w:jc w:val="right"/>
            </w:pPr>
            <w:r>
              <w:rPr/>
              <w:t xml:space="preserve">150,000</w:t>
            </w:r>
          </w:p>
        </w:tc>
      </w:tr>
      <w:tr>
        <w:trPr/>
        <w:tc>
          <w:tcPr>
            <w:tcW w:w="5000" w:type="dxa"/>
            <w:gridSpan w:val="1"/>
          </w:tcPr>
          <w:p>
            <w:pPr/>
            <w:r>
              <w:rPr/>
              <w:t xml:space="preserve">GEF Grant Amount</w:t>
            </w:r>
          </w:p>
        </w:tc>
        <w:tc>
          <w:tcPr>
            <w:tcW w:w="5000" w:type="dxa"/>
            <w:vAlign w:val="center"/>
            <w:gridSpan w:val="1"/>
          </w:tcPr>
          <w:p>
            <w:pPr>
              <w:jc w:val="right"/>
            </w:pPr>
            <w:r>
              <w:rPr/>
              <w:t xml:space="preserve">4,233,562</w:t>
            </w:r>
          </w:p>
        </w:tc>
      </w:tr>
      <w:tr>
        <w:trPr/>
        <w:tc>
          <w:tcPr>
            <w:tcW w:w="5000" w:type="dxa"/>
            <w:gridSpan w:val="1"/>
          </w:tcPr>
          <w:p>
            <w:pPr/>
            <w:r>
              <w:rPr/>
              <w:t xml:space="preserve">Co-financing</w:t>
            </w:r>
          </w:p>
        </w:tc>
        <w:tc>
          <w:tcPr>
            <w:tcW w:w="5000" w:type="dxa"/>
            <w:vAlign w:val="center"/>
            <w:gridSpan w:val="1"/>
          </w:tcPr>
          <w:p>
            <w:pPr>
              <w:jc w:val="right"/>
            </w:pPr>
            <w:r>
              <w:rPr/>
              <w:t xml:space="preserve">22,671,306</w:t>
            </w:r>
          </w:p>
        </w:tc>
      </w:tr>
    </w:tbl>
    <w:p>
      <w:pPr>
        <w:pStyle w:val="Heading2"/>
      </w:pPr>
      <w:bookmarkStart w:id="6" w:name="_Toc6"/>
      <w:r>
        <w:t>Key Project Dates</w:t>
      </w:r>
      <w:bookmarkEnd w:id="6"/>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Project duration</w:t>
            </w:r>
          </w:p>
        </w:tc>
        <w:tc>
          <w:tcPr>
            <w:tcW w:w="5000" w:type="dxa"/>
            <w:vAlign w:val="center"/>
            <w:gridSpan w:val="1"/>
          </w:tcPr>
          <w:p>
            <w:pPr>
              <w:jc w:val="right"/>
            </w:pPr>
            <w:r>
              <w:rPr/>
              <w:t xml:space="preserve">72 months</w:t>
            </w:r>
          </w:p>
        </w:tc>
      </w:tr>
      <w:tr>
        <w:trPr/>
        <w:tc>
          <w:tcPr>
            <w:tcW w:w="5000" w:type="dxa"/>
            <w:gridSpan w:val="1"/>
          </w:tcPr>
          <w:p>
            <w:pPr/>
            <w:r>
              <w:rPr/>
              <w:t xml:space="preserve">PIF Approval Date</w:t>
            </w:r>
          </w:p>
        </w:tc>
        <w:tc>
          <w:tcPr>
            <w:tcW w:w="5000" w:type="dxa"/>
            <w:vAlign w:val="center"/>
            <w:gridSpan w:val="1"/>
          </w:tcPr>
          <w:p>
            <w:pPr>
              <w:jc w:val="right"/>
            </w:pPr>
            <w:r>
              <w:rPr/>
              <w:t xml:space="preserve">Apr 19, 2016</w:t>
            </w:r>
          </w:p>
        </w:tc>
      </w:tr>
      <w:tr>
        <w:trPr/>
        <w:tc>
          <w:tcPr>
            <w:tcW w:w="5000" w:type="dxa"/>
            <w:gridSpan w:val="1"/>
          </w:tcPr>
          <w:p>
            <w:pPr/>
            <w:r>
              <w:rPr/>
              <w:t xml:space="preserve">CEO Endorsement Date</w:t>
            </w:r>
          </w:p>
        </w:tc>
        <w:tc>
          <w:tcPr>
            <w:tcW w:w="5000" w:type="dxa"/>
            <w:vAlign w:val="center"/>
            <w:gridSpan w:val="1"/>
          </w:tcPr>
          <w:p>
            <w:pPr>
              <w:jc w:val="right"/>
            </w:pPr>
            <w:r>
              <w:rPr/>
              <w:t xml:space="preserve">May 25, 2018</w:t>
            </w:r>
          </w:p>
        </w:tc>
      </w:tr>
      <w:tr>
        <w:trPr/>
        <w:tc>
          <w:tcPr>
            <w:tcW w:w="5000" w:type="dxa"/>
            <w:gridSpan w:val="1"/>
          </w:tcPr>
          <w:p>
            <w:pPr/>
            <w:r>
              <w:rPr/>
              <w:t xml:space="preserve">Project Document Signature Date (project start date):</w:t>
            </w:r>
          </w:p>
        </w:tc>
        <w:tc>
          <w:tcPr>
            <w:tcW w:w="5000" w:type="dxa"/>
            <w:vAlign w:val="center"/>
            <w:gridSpan w:val="1"/>
          </w:tcPr>
          <w:p>
            <w:pPr>
              <w:jc w:val="right"/>
            </w:pPr>
            <w:r>
              <w:rPr/>
              <w:t xml:space="preserve">Jul 16, 2018</w:t>
            </w:r>
          </w:p>
        </w:tc>
      </w:tr>
      <w:tr>
        <w:trPr/>
        <w:tc>
          <w:tcPr>
            <w:tcW w:w="5000" w:type="dxa"/>
            <w:gridSpan w:val="1"/>
          </w:tcPr>
          <w:p>
            <w:pPr/>
            <w:r>
              <w:rPr/>
              <w:t xml:space="preserve">Date of Inception Workshop</w:t>
            </w:r>
          </w:p>
        </w:tc>
        <w:tc>
          <w:tcPr>
            <w:tcW w:w="5000" w:type="dxa"/>
            <w:vAlign w:val="center"/>
            <w:gridSpan w:val="1"/>
          </w:tcPr>
          <w:p>
            <w:pPr>
              <w:jc w:val="right"/>
            </w:pPr>
            <w:r>
              <w:rPr/>
              <w:t xml:space="preserve">Nov 6, 2018</w:t>
            </w:r>
          </w:p>
        </w:tc>
      </w:tr>
      <w:tr>
        <w:trPr/>
        <w:tc>
          <w:tcPr>
            <w:tcW w:w="5000" w:type="dxa"/>
            <w:gridSpan w:val="1"/>
          </w:tcPr>
          <w:p>
            <w:pPr/>
            <w:r>
              <w:rPr/>
              <w:t xml:space="preserve">First Disbursement Date</w:t>
            </w:r>
          </w:p>
        </w:tc>
        <w:tc>
          <w:tcPr>
            <w:tcW w:w="5000" w:type="dxa"/>
            <w:vAlign w:val="center"/>
            <w:gridSpan w:val="1"/>
          </w:tcPr>
          <w:p>
            <w:pPr>
              <w:jc w:val="right"/>
            </w:pPr>
            <w:r>
              <w:rPr/>
              <w:t xml:space="preserve">Sep 21, 2018</w:t>
            </w:r>
          </w:p>
        </w:tc>
      </w:tr>
      <w:tr>
        <w:trPr/>
        <w:tc>
          <w:tcPr>
            <w:tcW w:w="5000" w:type="dxa"/>
            <w:gridSpan w:val="1"/>
          </w:tcPr>
          <w:p>
            <w:pPr/>
            <w:r>
              <w:rPr/>
              <w:t xml:space="preserve">Expected Date of Mid-term Review</w:t>
            </w:r>
          </w:p>
        </w:tc>
        <w:tc>
          <w:tcPr>
            <w:tcW w:w="5000" w:type="dxa"/>
            <w:vAlign w:val="center"/>
            <w:gridSpan w:val="1"/>
          </w:tcPr>
          <w:p>
            <w:pPr>
              <w:jc w:val="right"/>
            </w:pPr>
            <w:r>
              <w:rPr/>
              <w:t xml:space="preserve">Jul 16, 2021</w:t>
            </w:r>
          </w:p>
        </w:tc>
      </w:tr>
      <w:tr>
        <w:trPr/>
        <w:tc>
          <w:tcPr>
            <w:tcW w:w="5000" w:type="dxa"/>
            <w:gridSpan w:val="1"/>
          </w:tcPr>
          <w:p>
            <w:pPr/>
            <w:r>
              <w:rPr/>
              <w:t xml:space="preserve">Actual Date of Mid-term Review</w:t>
            </w:r>
          </w:p>
        </w:tc>
        <w:tc>
          <w:tcPr>
            <w:tcW w:w="5000" w:type="dxa"/>
            <w:vAlign w:val="center"/>
            <w:gridSpan w:val="1"/>
          </w:tcPr>
          <w:p>
            <w:pPr>
              <w:jc w:val="right"/>
            </w:pPr>
            <w:r>
              <w:rPr/>
              <w:t xml:space="preserve">Sep 1, 2021</w:t>
            </w:r>
          </w:p>
        </w:tc>
      </w:tr>
      <w:tr>
        <w:trPr/>
        <w:tc>
          <w:tcPr>
            <w:tcW w:w="5000" w:type="dxa"/>
            <w:gridSpan w:val="1"/>
          </w:tcPr>
          <w:p>
            <w:pPr/>
            <w:r>
              <w:rPr/>
              <w:t xml:space="preserve">Expected Date of Terminal Evaluation</w:t>
            </w:r>
          </w:p>
        </w:tc>
        <w:tc>
          <w:tcPr>
            <w:tcW w:w="5000" w:type="dxa"/>
            <w:vAlign w:val="center"/>
            <w:gridSpan w:val="1"/>
          </w:tcPr>
          <w:p>
            <w:pPr>
              <w:jc w:val="right"/>
            </w:pPr>
            <w:r>
              <w:rPr/>
              <w:t xml:space="preserve">Apr 16, 2024</w:t>
            </w:r>
          </w:p>
        </w:tc>
      </w:tr>
      <w:tr>
        <w:trPr/>
        <w:tc>
          <w:tcPr>
            <w:tcW w:w="5000" w:type="dxa"/>
            <w:gridSpan w:val="1"/>
          </w:tcPr>
          <w:p>
            <w:pPr/>
            <w:r>
              <w:rPr/>
              <w:t xml:space="preserve">Original Planned Closing Date</w:t>
            </w:r>
          </w:p>
        </w:tc>
        <w:tc>
          <w:tcPr>
            <w:tcW w:w="5000" w:type="dxa"/>
            <w:vAlign w:val="center"/>
            <w:gridSpan w:val="1"/>
          </w:tcPr>
          <w:p>
            <w:pPr>
              <w:jc w:val="right"/>
            </w:pPr>
            <w:r>
              <w:rPr/>
              <w:t xml:space="preserve">Jul 16, 2024</w:t>
            </w:r>
          </w:p>
        </w:tc>
      </w:tr>
      <w:tr>
        <w:trPr/>
        <w:tc>
          <w:tcPr>
            <w:tcW w:w="5000" w:type="dxa"/>
            <w:gridSpan w:val="1"/>
          </w:tcPr>
          <w:p>
            <w:pPr/>
            <w:r>
              <w:rPr/>
              <w:t xml:space="preserve">Revised Planned Closing Date</w:t>
            </w:r>
          </w:p>
        </w:tc>
        <w:tc>
          <w:tcPr>
            <w:tcW w:w="5000" w:type="dxa"/>
            <w:vAlign w:val="center"/>
            <w:gridSpan w:val="1"/>
          </w:tcPr>
          <w:p>
            <w:pPr>
              <w:jc w:val="right"/>
            </w:pPr>
            <w:r>
              <w:rPr>
                <w:i w:val="1"/>
                <w:iCs w:val="1"/>
              </w:rPr>
              <w:t xml:space="preserve">(not set or not applicable)</w:t>
            </w:r>
          </w:p>
        </w:tc>
      </w:tr>
    </w:tbl>
    <w:p>
      <w:pPr/>
      <w:r>
        <w:rPr/>
        <w:t xml:space="preserve"/>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gridSpan w:val="1"/>
          </w:tcPr>
          <w:p>
            <w:pPr/>
            <w:r>
              <w:rPr>
                <w:b w:val="1"/>
                <w:bCs w:val="1"/>
              </w:rPr>
              <w:t xml:space="preserve">Dates of Project Steering Committee/Board Meetings during reporting period (30 June 2021 to 1 July 2022)</w:t>
            </w:r>
          </w:p>
        </w:tc>
      </w:tr>
      <w:tr>
        <w:trPr/>
        <w:tc>
          <w:tcPr>
            <w:tcW w:w="10000" w:type="dxa"/>
            <w:gridSpan w:val="1"/>
          </w:tcPr>
          <w:p>
            <w:pPr/>
            <w:r>
              <w:rPr/>
              <w:t xml:space="preserve">2021-06-17</w:t>
            </w:r>
          </w:p>
        </w:tc>
      </w:tr>
      <w:tr>
        <w:trPr/>
        <w:tc>
          <w:tcPr>
            <w:tcW w:w="10000" w:type="dxa"/>
            <w:gridSpan w:val="1"/>
          </w:tcPr>
          <w:p>
            <w:pPr/>
            <w:r>
              <w:rPr/>
              <w:t xml:space="preserve">2021-09-21</w:t>
            </w:r>
          </w:p>
        </w:tc>
      </w:tr>
      <w:tr>
        <w:trPr/>
        <w:tc>
          <w:tcPr>
            <w:tcW w:w="10000" w:type="dxa"/>
            <w:gridSpan w:val="1"/>
          </w:tcPr>
          <w:p>
            <w:pPr/>
            <w:r>
              <w:rPr/>
              <w:t xml:space="preserve">2021-12-28</w:t>
            </w:r>
          </w:p>
        </w:tc>
      </w:tr>
      <w:tr>
        <w:trPr/>
        <w:tc>
          <w:tcPr>
            <w:tcW w:w="10000" w:type="dxa"/>
            <w:gridSpan w:val="1"/>
          </w:tcPr>
          <w:p>
            <w:pPr/>
            <w:r>
              <w:rPr/>
              <w:t xml:space="preserve">2022-04-19</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Project Manager: Please provide comments on delays this reporting period in achieving any of the following key project milestones outlined in the above 'Key Project Dates' table.  Include comments on COVID-19 related challenges, delays and impact.  If there are no delays, please indicated 'not applicable'.</w:t>
            </w:r>
          </w:p>
        </w:tc>
      </w:tr>
      <w:tr>
        <w:trPr/>
        <w:tc>
          <w:tcPr>
            <w:tcW w:w="10000" w:type="dxa"/>
            <w:gridSpan w:val="1"/>
          </w:tcPr>
          <w:p>
            <w:pPr/>
            <w:r>
              <w:rPr/>
              <w:t xml:space="preserve">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tcPr>
          <w:p>
            <w:pPr/>
            <w:r>
              <w:rPr/>
              <w:t xml:space="preserve">A rating of Satisfactory is assigned for both development objective and implementation progress. Initial findings of the midterm review report and an internal UNDP review indicate that the overall project progress  to moderately satisfactory. In support the project manager has assigned a satisfactory rating towards development objectives. UNDP Pacific Office recognizes implementation and activities taking place in the 11 states that will support progress towards targets. The continued efforts of the Project Implementation Unit is encouraging despite the challenges experienced to date. Key for now is adopting a strategic approach in the remainder of project life and considering reflections of the Mid Term Review.</w:t>
            </w:r>
          </w:p>
          <w:p>
            <w:pPr/>
            <w:r>
              <w:rPr/>
              <w:t xml:space="preserve"/>
            </w:r>
          </w:p>
          <w:p>
            <w:pPr/>
            <w:r>
              <w:rPr/>
              <w:t xml:space="preserve">a)	Progress towards development objective</w:t>
            </w:r>
          </w:p>
          <w:p>
            <w:pPr/>
            <w:r>
              <w:rPr/>
              <w:t xml:space="preserve">Outcome 1: Enhanced national institutional framework for integrated planning and management of land and seascapes</w:t>
            </w:r>
          </w:p>
          <w:p>
            <w:pPr/>
            <w:r>
              <w:rPr/>
              <w:t xml:space="preserve"/>
            </w:r>
          </w:p>
          <w:p>
            <w:pPr/>
            <w:r>
              <w:rPr/>
              <w:t xml:space="preserve">Highlights the groundwork to support institutional framework analysis, review of policy framework, potentially upgrading policy tools, as well as generating plans for biodiversity management, land use planning, and other such plans, to impel sustainable development processes in Palau is being carried out.  Capacity enhanced at different levels.</w:t>
            </w:r>
          </w:p>
          <w:p>
            <w:pPr/>
            <w:r>
              <w:rPr/>
              <w:t xml:space="preserve"/>
            </w:r>
          </w:p>
          <w:p>
            <w:pPr/>
            <w:r>
              <w:rPr/>
              <w:t xml:space="preserve">Outcome 2:: Integrated multi-sector land and seascape planning and management operational in Babeldaob states to reduce threats to biodiversity and improve ecosystem services to benefit communities and state economies</w:t>
            </w:r>
          </w:p>
          <w:p>
            <w:pPr/>
            <w:r>
              <w:rPr/>
              <w:t xml:space="preserve"/>
            </w:r>
          </w:p>
          <w:p>
            <w:pPr/>
            <w:r>
              <w:rPr/>
              <w:t xml:space="preserve">Identification of information for the development of planning tools underway, including mapping. Contributed thus far to upgrading and mainstreaming policies, plans, etc. Merged, mainstreamed policies in partnership with states and national government are also perceived to be helpful for enforcement.  Some expected outputs not on tracks either due to changing conditions or over ambitiousness upon design. Technical groundwork for several planning tools laid.  Contextual tools developed and evidence/data for informed decision making for planning gathered (GIS, etc.) and identifying needs and priorities. Concrete demonstration pilots being implemented.</w:t>
            </w:r>
          </w:p>
          <w:p>
            <w:pPr/>
            <w:r>
              <w:rPr/>
              <w:t xml:space="preserve"/>
            </w:r>
          </w:p>
          <w:p>
            <w:pPr/>
            <w:r>
              <w:rPr/>
              <w:t xml:space="preserve">Outcome 3: Integrated multi-sector planning and management operational in 264,686 ha of seascapes and coastal areas in the Southern Lagoon to reduce threats to biodiversity and improve ecosystem services to benefit communities and state economies.</w:t>
            </w:r>
          </w:p>
          <w:p>
            <w:pPr/>
            <w:r>
              <w:rPr/>
              <w:t xml:space="preserve"/>
            </w:r>
          </w:p>
          <w:p>
            <w:pPr/>
            <w:r>
              <w:rPr/>
              <w:t xml:space="preserve">In response to the issues with baseline, technical groundwork for several planning tools were developed and evidence data collated for decision making gathered for (GIS, etc.) and identifying needs and priorities. In addition, acknowledging externalities such as Climate Change that will hinder further progress.</w:t>
            </w:r>
          </w:p>
          <w:p>
            <w:pPr/>
            <w:r>
              <w:rPr/>
              <w:t xml:space="preserve"/>
            </w:r>
          </w:p>
          <w:p>
            <w:pPr/>
            <w:r>
              <w:rPr/>
              <w:t xml:space="preserve">Outcome 4: Knowledge management, monitoring and evaluation support, equitable gender benefits and biodiversity conservation in Palau</w:t>
            </w:r>
          </w:p>
          <w:p>
            <w:pPr/>
            <w:r>
              <w:rPr/>
              <w:t xml:space="preserve"/>
            </w:r>
          </w:p>
          <w:p>
            <w:pPr/>
            <w:r>
              <w:rPr/>
              <w:t xml:space="preserve">Communication and monitoring has been progressively reported with detailed generation of KM highlighted in Palau Invasive Species Program social media channel, weekly email newsletter and progress reports.</w:t>
            </w:r>
          </w:p>
          <w:p>
            <w:pPr/>
            <w:r>
              <w:rPr/>
              <w:t xml:space="preserve">To note that the indicator was revised post MTR  and has been progressing in terms of monitoring</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NCE RTA: Please include specific measures to manage the project's implementation performance.</w:t>
            </w:r>
          </w:p>
        </w:tc>
      </w:tr>
      <w:tr>
        <w:trPr/>
        <w:tc>
          <w:tcPr>
            <w:tcW w:w="10000" w:type="dxa"/>
            <w:gridSpan w:val="1"/>
          </w:tcPr>
          <w:p>
            <w:pPr/>
            <w:r>
              <w:rPr/>
              <w:t xml:space="preserve">The project is rated as “moderately satisfactory” for implementation progress – implementation is proceeding as planned with minor deviation. The primary reason for the deviation is due to the low delivery. The project has entered the fourth year of implementation. Yet, financial delivery remains at around 52% which is lower than where it should be. Nonetheless, in response to the MTR finding of slow funding flow, lack of sufficient staff, and unclear roles &amp; responsibilities are key implementation issues, the project has implemented several adaptive management measures including sourcing labour locally as required. The project achieved a 26% increase in delivery compared to the last reporting period. Outcome 3 should be noted for a very low financial delivery and must receive the project team’s attention.  As for co-financing, the project made notable achievements. While different bureaus under MNRET -Bureau of Agriculture &amp; Bureau of Marine Resources has already delivered more than 80% against the committed amount, e.g. Bureau of Marine Resources, there are new co-financiers from new government units, CSOs, and other agencies that are yet to be realized. During the next reporting period, the project should identify ways to expedite delivery so that by the end of the reporting period at least 80% of the project cumulative financial delivery targets are met.</w:t>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Project Governance</w:t>
      </w:r>
      <w:bookmarkEnd w:id="7"/>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Dates of Project Board Meetings during reporting period (1 July 2021 to 30 June 2022).  Please also upload all meeting minutes using the FILE LIBRARY button.</w:t>
            </w:r>
          </w:p>
        </w:tc>
      </w:tr>
      <w:tr>
        <w:trPr/>
        <w:tc>
          <w:tcPr>
            <w:tcW w:w="10000" w:type="dxa"/>
            <w:gridSpan w:val="1"/>
          </w:tcPr>
          <w:p>
            <w:pPr/>
            <w:r>
              <w:rPr/>
              <w:t xml:space="preserve">2021-06-17</w:t>
            </w:r>
          </w:p>
        </w:tc>
      </w:tr>
      <w:tr>
        <w:trPr/>
        <w:tc>
          <w:tcPr>
            <w:tcW w:w="10000" w:type="dxa"/>
            <w:gridSpan w:val="1"/>
          </w:tcPr>
          <w:p>
            <w:pPr/>
            <w:r>
              <w:rPr/>
              <w:t xml:space="preserve">2021-09-21</w:t>
            </w:r>
          </w:p>
        </w:tc>
      </w:tr>
      <w:tr>
        <w:trPr/>
        <w:tc>
          <w:tcPr>
            <w:tcW w:w="10000" w:type="dxa"/>
            <w:gridSpan w:val="1"/>
          </w:tcPr>
          <w:p>
            <w:pPr/>
            <w:r>
              <w:rPr/>
              <w:t xml:space="preserve">2021-12-28</w:t>
            </w:r>
          </w:p>
        </w:tc>
      </w:tr>
      <w:tr>
        <w:trPr/>
        <w:tc>
          <w:tcPr>
            <w:tcW w:w="10000" w:type="dxa"/>
            <w:gridSpan w:val="1"/>
          </w:tcPr>
          <w:p>
            <w:pPr/>
            <w:r>
              <w:rPr/>
              <w:t xml:space="preserve">2022-04-19</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Ratings and Overall Assessments</w:t>
      </w:r>
      <w:bookmarkEnd w:id="8"/>
    </w:p>
    <w:tbl>
      <w:tblGrid>
        <w:gridCol w:w="5000" w:type="dxa"/>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5000" w:type="dxa"/>
            <w:gridSpan w:val="1"/>
          </w:tcPr>
          <w:p>
            <w:pPr/>
            <w:r>
              <w:rPr>
                <w:b w:val="1"/>
                <w:bCs w:val="1"/>
              </w:rPr>
              <w:t xml:space="preserve">2022 Development Objective Progress Rating</w:t>
            </w:r>
          </w:p>
        </w:tc>
        <w:tc>
          <w:tcPr>
            <w:tcW w:w="5000" w:type="dxa"/>
            <w:gridSpan w:val="1"/>
          </w:tcPr>
          <w:p>
            <w:pPr/>
            <w:r>
              <w:rPr>
                <w:b w:val="1"/>
                <w:bCs w:val="1"/>
              </w:rPr>
              <w:t xml:space="preserve">2022 Implementation Progress Rating</w:t>
            </w:r>
          </w:p>
        </w:tc>
      </w:tr>
      <w:tr>
        <w:trPr/>
        <w:tc>
          <w:tcPr>
            <w:tcW w:w="5000" w:type="dxa"/>
            <w:gridSpan w:val="1"/>
          </w:tcPr>
          <w:p>
            <w:pPr/>
            <w:r>
              <w:rPr>
                <w:b w:val="1"/>
                <w:bCs w:val="1"/>
              </w:rPr>
              <w:t xml:space="preserve">UNDP-NCE Technical Adviser</w:t>
            </w:r>
          </w:p>
        </w:tc>
        <w:tc>
          <w:tcPr>
            <w:tcW w:w="5000" w:type="dxa"/>
            <w:gridSpan w:val="1"/>
          </w:tcPr>
          <w:p>
            <w:pPr/>
            <w:r>
              <w:rPr/>
              <w:t xml:space="preserve">Moderately Satisfactory</w:t>
            </w:r>
          </w:p>
        </w:tc>
        <w:tc>
          <w:tcPr>
            <w:tcW w:w="5000" w:type="dxa"/>
            <w:gridSpan w:val="1"/>
          </w:tcPr>
          <w:p>
            <w:pPr/>
            <w:r>
              <w:rPr/>
              <w:t xml:space="preserve">Moderately Satisfactory</w:t>
            </w:r>
          </w:p>
        </w:tc>
      </w:tr>
      <w:tr>
        <w:trPr/>
        <w:tc>
          <w:tcPr>
            <w:tcW w:w="5000" w:type="dxa"/>
            <w:gridSpan w:val="1"/>
          </w:tcPr>
          <w:p>
            <w:pPr/>
            <w:r>
              <w:rPr>
                <w:b w:val="1"/>
                <w:bCs w:val="1"/>
              </w:rPr>
              <w:t xml:space="preserve">UNDP Country Office Programme Officer</w:t>
            </w:r>
          </w:p>
        </w:tc>
        <w:tc>
          <w:tcPr>
            <w:tcW w:w="5000" w:type="dxa"/>
            <w:gridSpan w:val="1"/>
          </w:tcPr>
          <w:p>
            <w:pPr/>
            <w:r>
              <w:rPr/>
              <w:t xml:space="preserve">Satisfactory</w:t>
            </w:r>
          </w:p>
        </w:tc>
        <w:tc>
          <w:tcPr>
            <w:tcW w:w="5000" w:type="dxa"/>
            <w:gridSpan w:val="1"/>
          </w:tcPr>
          <w:p>
            <w:pPr/>
            <w:r>
              <w:rPr/>
              <w:t xml:space="preserve">Satisfactory</w:t>
            </w:r>
          </w:p>
        </w:tc>
      </w:tr>
    </w:tbl>
    <w:p>
      <w:pPr/>
      <w:r>
        <w:rPr/>
        <w:t xml:space="preserve"/>
      </w:r>
    </w:p>
    <w:tbl>
      <w:tblGrid>
        <w:gridCol w:w="5000" w:type="dxa"/>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10000" w:type="dxa"/>
            <w:gridSpan w:val="1"/>
          </w:tcPr>
          <w:p>
            <w:pPr/>
            <w:r>
              <w:rPr>
                <w:b w:val="1"/>
                <w:bCs w:val="1"/>
              </w:rPr>
              <w:t xml:space="preserve">2022 Overall Assessment</w:t>
            </w:r>
          </w:p>
        </w:tc>
      </w:tr>
      <w:tr>
        <w:trPr/>
        <w:tc>
          <w:tcPr>
            <w:tcW w:w="5000" w:type="dxa"/>
            <w:gridSpan w:val="1"/>
          </w:tcPr>
          <w:p>
            <w:pPr/>
            <w:r>
              <w:rPr>
                <w:b w:val="1"/>
                <w:bCs w:val="1"/>
              </w:rPr>
              <w:t xml:space="preserve">UNDP-NCE Technical Adviser</w:t>
            </w:r>
          </w:p>
        </w:tc>
        <w:tc>
          <w:tcPr>
            <w:tcW w:w="10000" w:type="dxa"/>
            <w:gridSpan w:val="1"/>
          </w:tcPr>
          <w:p>
            <w:pPr/>
            <w:r>
              <w:rPr/>
              <w:t xml:space="preserve">Overview: This is the third PIR for the project. The project aims to manage the negative impacts of different production sectors on the rich biodiversity of Palua, including its productive marine and coastal sector while considering climate change adaptation needs and inclusive and equitable social and economic development for dependent communities. To do so, the project will integrate biodiversity conservation objectives into landscape and seascape planning and governance, promote biodiversity friendly, sustainable practices including securing sustainable livelihoods for the large number of local communities that depend on land and seascape.  The project is structured around four outcomes focusing on improving capacities for integrated planning and management, operationalizing integrated landscape and seascape planning at the national and state level, wider replication through knowledge management, dissemination of good practices supported by effective monitoring and evaluation. As a mainstreaming project, the scope of the project is appropriately broad and its approach in engaging all relevant sectors and actors is the right way. Emphasis on local decision making and adopting locally appropriate models and mechanisms for multi-stakeholder planning and decision making is also a good practice.</w:t>
            </w:r>
          </w:p>
          <w:p>
            <w:pPr/>
            <w:r>
              <w:rPr/>
              <w:t xml:space="preserve"/>
            </w:r>
          </w:p>
          <w:p>
            <w:pPr/>
            <w:r>
              <w:rPr/>
              <w:t xml:space="preserve">An independent mid-term review (MTR) was completed in July 2021, coinciding with the COVID-19 pandemic. As a result, the MTR team highlighted certain challenges that limited the evaluation approach and methodology. This included mission travel being canceled for the international evaluator, while a national evaluator carried out all the in-country consultations and field visits supported by different engagement and access instruments, including on-line remote consultations wherever possible. While the MTR assessed that the project was on-track to achieve most of the outputs as planned, considering initial start-up delays and complexities and challenges in operating in a SIDS environment, the MTR report concluded that the project was overly ambitious and would benefit from a re-design and an adapted implementation strategy that would preserve the possibility of achieving its objectives.</w:t>
            </w:r>
          </w:p>
          <w:p>
            <w:pPr/>
            <w:r>
              <w:rPr/>
              <w:t xml:space="preserve"/>
            </w:r>
          </w:p>
          <w:p>
            <w:pPr/>
            <w:r>
              <w:rPr/>
              <w:t xml:space="preserve">The MTR recommendations are summarized below:</w:t>
            </w:r>
          </w:p>
          <w:p>
            <w:pPr/>
            <w:r>
              <w:rPr/>
              <w:t xml:space="preserve">1.	Review project scope and undertake a broad scope analysis of indicators to further refine and aid formulation.</w:t>
            </w:r>
          </w:p>
          <w:p>
            <w:pPr/>
            <w:r>
              <w:rPr/>
              <w:t xml:space="preserve">2.	Strengthen implementation capacity by hiring additional personnel and improving project management structure.</w:t>
            </w:r>
          </w:p>
          <w:p>
            <w:pPr/>
            <w:r>
              <w:rPr/>
              <w:t xml:space="preserve">3.	Intensify focus on technical work while continuing outreach and awareness efforts.</w:t>
            </w:r>
          </w:p>
          <w:p>
            <w:pPr/>
            <w:r>
              <w:rPr/>
              <w:t xml:space="preserve">4.	Elaborate a sustainability/exit strategy including considerations on institutionalization and resourcing for project activities after the project ends</w:t>
            </w:r>
          </w:p>
          <w:p>
            <w:pPr/>
            <w:r>
              <w:rPr/>
              <w:t xml:space="preserve">5.	Enhance support from UNDP to project</w:t>
            </w:r>
          </w:p>
          <w:p>
            <w:pPr/>
            <w:r>
              <w:rPr/>
              <w:t xml:space="preserve"/>
            </w:r>
          </w:p>
          <w:p>
            <w:pPr/>
            <w:r>
              <w:rPr/>
              <w:t xml:space="preserve">During the reporting period, the project has been proactive implementing the recommendations of the MTR, including revising the project indicators. At least 11 indicators were redesigned to sharpen focus and reflect M&amp;E approach in the field while others that measure project’s spatial and other state indicators have been retained. All these changes are reported during the current PIR. The Project Board approved the changes.</w:t>
            </w:r>
          </w:p>
          <w:p>
            <w:pPr/>
            <w:r>
              <w:rPr/>
              <w:t xml:space="preserve"/>
            </w:r>
          </w:p>
          <w:p>
            <w:pPr/>
            <w:r>
              <w:rPr/>
              <w:t xml:space="preserve">Development progress rating: The RTA assesses the DO progress of the project as “moderately satisfactory” during the reporting period. This rating is the same as the RTA rating from the last reporting period but slightly lower than that of the UNDP CO who assessed the progress towards achieving development outcomes as satisfactory. This is because I feel that while the project will achieve most of its objective and outcome level indicators, there will be some minor shortcomings owing primarily to the need to make up for initial delays and challenges due to COVID-19 pandemic. I would like to commend the efforts of the project team and UNDP CO for accomplishing this despite the implementation challenges. I want to also thank them for providing detailed narrative assessment of the project’s progress and for including extensive evidence to support the results reported.</w:t>
            </w:r>
          </w:p>
          <w:p>
            <w:pPr/>
            <w:r>
              <w:rPr/>
              <w:t xml:space="preserve"/>
            </w:r>
          </w:p>
          <w:p>
            <w:pPr/>
            <w:r>
              <w:rPr/>
              <w:t xml:space="preserve">The following describes the specific achievements under the objective and under each outcome. At the objective level, the project achieved more than 75% of its target for sustainably managed landscapes and seascapes (target is 240,000 ha), which is at least an increase of 10% from the last reporting period, while considerable progress has been made towards institutionalizing the multiple use sustainable land and seascape management approach. Under outcome 1, institutional capacities for planning, implementation and monitoring integrated land/seascapes has increased with a 5% increase in UNDP capacity scorecard. Other indicators such as increase in extractive activities subject to environmental assessment and compliance with environmental safeguards, national level awareness of the risks of IAS are all on-track. The outcome 2 is concerned with implementing the integrated planning and management approach in Babeldaob to make it operational in the country. The area set aside for high conservation value ecosystems has surpassed the target while the carbon benefit from the protection of these ecosystems though expected to be significant has not been assessed now. The project has restored a total of 245 hectares of degraded ecosystems while the population of Micronesian imperial pigeon and Palauan fruit dove remained stable or increased. Under outcome 3, integrated planning and management is expected to reduce threats to biodiversity. For example, an assessment in 2021 indicator that there was no change in overall biomass and fish stocks and nesting success rates for Micronesian megapodes have increased in several sites. The project continued with its knowledge management and outreach under outcome 4 with the policy to identify key species, creation of the Palau IAS social media channel, weekly email newsletter and twitter #campaigns. Several infographics were also produced while the project is working with schools to revise programs on terrestrial and marine IAS for different stakeholder groups. Best practices in different sectors have been promoted and being utilized.</w:t>
            </w:r>
          </w:p>
          <w:p>
            <w:pPr/>
            <w:r>
              <w:rPr/>
              <w:t xml:space="preserve"/>
            </w:r>
          </w:p>
          <w:p>
            <w:pPr/>
            <w:r>
              <w:rPr/>
              <w:t xml:space="preserve">Overall, this project is well managed, with a team who on a regular basis applies adaptive management, innovative thinking, partnership buildings, facilitates stakeholder involvement in decision-making, and assesses risks and develops mitigation strategies. As a result, despite the setback face during the initial period and the also considering the challenges due to the pandemic, the project has managed to deliver significant results against its planned targets. During the pandemic, the project also employed several tools and mechanisms including digital communication measures. Project governance is adequate – the Project Board have met three times during the reporting year. The project currently enjoys strong national ownership and support. Thus the project is rated as “moderately satisfactory” for implementation progress – implementation is proceeding as planned with minor deviation. While the project achieved a 26% increase in financial delivery as compared to the last reporting period, certain work packages (e.g. outcome 3 and outcome 4) lagged behind with delivery below 50%. As a result, despite entering the fourth year of implementation, the project financial delivery remains at below 55%.</w:t>
            </w:r>
          </w:p>
          <w:p>
            <w:pPr/>
            <w:r>
              <w:rPr/>
              <w:t xml:space="preserve"/>
            </w:r>
          </w:p>
          <w:p>
            <w:pPr/>
            <w:r>
              <w:rPr/>
              <w:t xml:space="preserve">In the next reporting period, the project should design and implement an acceleration plan that consists of the following: (i) early work planning including budgeting and procurement to ensure that these activities can be expedited; (ii) plan and engage stakeholder early in the consultations to ensure broad support and push adoption of key policies and guidance to make integrated planning and management of land/seascape operational; (iii) develop TORs, recruit experts (both locally and internationally) early for key technical activities such as carbon benefit assessment, IAS related risk assessment etc. (iv) in addition, the project team should maintain close and regular communication with the UNDP CO (and in turn with the RTA) for quick implementation of adaptive management measures. In addition to the acceleration plan to secure the achievement of its development objective and outcomes, as recommended by the MTR, the project should also initiate work on developing a sustainability / exit plan during the next reporting period. Given the rich lessons spawned by this project, a special focus needs to be placed on mining good practices including proactive efforts to link the project successes to changing the trajectory of the production sector practices towards more biodiversity friendly sustainable ones. This is an important part of the sustainability plan to ensure that the project outcomes are sustained beyond the term of the current project.</w:t>
            </w:r>
          </w:p>
          <w:p>
            <w:pPr/>
            <w:r>
              <w:rPr/>
              <w:t xml:space="preserve"/>
            </w:r>
          </w:p>
        </w:tc>
      </w:tr>
      <w:tr>
        <w:trPr/>
        <w:tc>
          <w:tcPr>
            <w:tcW w:w="5000" w:type="dxa"/>
            <w:gridSpan w:val="1"/>
          </w:tcPr>
          <w:p>
            <w:pPr/>
            <w:r>
              <w:rPr>
                <w:b w:val="1"/>
                <w:bCs w:val="1"/>
              </w:rPr>
              <w:t xml:space="preserve">UNDP Country Office Programme Officer</w:t>
            </w:r>
          </w:p>
        </w:tc>
        <w:tc>
          <w:tcPr>
            <w:tcW w:w="10000" w:type="dxa"/>
            <w:gridSpan w:val="1"/>
          </w:tcPr>
          <w:p>
            <w:pPr/>
            <w:r>
              <w:rPr/>
              <w:t xml:space="preserve">This is the third PIR for the project .The objective of this project is to mainstream biodiversity conservation into integrated land and seascape governance, planning and management in Palau. This project has now past its mid-term review and conscientiously adapted to the recommendations of the MTR. In light of the of the efforts and improvements observed, this reporting period's implementation progress is assessed as  Satisfactory While there are still some challenges in financial delivery, overall improvement and consistency in monitoring  has been reflected as  project is managed well.</w:t>
            </w:r>
          </w:p>
          <w:p>
            <w:pPr/>
            <w:r>
              <w:rPr/>
              <w:t xml:space="preserve"/>
            </w:r>
          </w:p>
          <w:p>
            <w:pPr/>
            <w:r>
              <w:rPr/>
              <w:t xml:space="preserve">To highlight some key achievements at the objectives level:</w:t>
            </w:r>
          </w:p>
          <w:p>
            <w:pPr/>
            <w:r>
              <w:rPr/>
              <w:t xml:space="preserve"/>
            </w:r>
          </w:p>
          <w:p>
            <w:pPr/>
            <w:r>
              <w:rPr/>
              <w:t xml:space="preserve">(i) With zoning, sustainable use planning, new conservation areas, and community-managed areas, the total hectares of land and water set aside for effective management is 188,051 hectares.</w:t>
            </w:r>
          </w:p>
          <w:p>
            <w:pPr/>
            <w:r>
              <w:rPr/>
              <w:t xml:space="preserve"/>
            </w:r>
          </w:p>
          <w:p>
            <w:pPr/>
            <w:r>
              <w:rPr/>
              <w:t xml:space="preserve">(ii) 30,155 hectares added in in 2021-2022 includes zoning for conservation, historical/cultural preservation areas, watersheds, recreation areas, and other non-extractive uses on LAND in Ngiwal and Ngeremlengui (2 of the 11 and Ngeremlengui (2 of the 11 states doing land use planning progressed to the point of zoning in 2022).</w:t>
            </w:r>
          </w:p>
          <w:p>
            <w:pPr/>
            <w:r>
              <w:rPr/>
              <w:t xml:space="preserve"/>
            </w:r>
          </w:p>
          <w:p>
            <w:pPr/>
            <w:r>
              <w:rPr/>
              <w:t xml:space="preserve">(iii)8 out of 10 States on Babeldaob also began zoning nearshore MARINE areas for low-impact uses such as gleaning, tourism, clam aquaculture, shoreline protection by mangroves, and community-based fishing as part of marine spatial planning (msp). A few new conservation areas or expansion of conservation areas were also included in state plans in 2022.</w:t>
            </w:r>
          </w:p>
          <w:p>
            <w:pPr/>
            <w:r>
              <w:rPr/>
              <w:t xml:space="preserve"/>
            </w:r>
          </w:p>
          <w:p>
            <w:pPr/>
            <w:r>
              <w:rPr/>
              <w:t xml:space="preserve">(iv)For indicator on Number of households benefiting from strengthened livelihoods through solutions for improved management of natural resources and provision of ecosystem services, projected reflected more than 50% beneficiaries were women  an increase form 27% percent form last year in terms of receiving stipend.</w:t>
            </w:r>
          </w:p>
          <w:p>
            <w:pPr/>
            <w:r>
              <w:rPr/>
              <w:t xml:space="preserve"/>
            </w:r>
          </w:p>
          <w:p>
            <w:pPr/>
            <w:r>
              <w:rPr/>
              <w:t xml:space="preserve">(v) In addition to the the Babeldaob-Koror Regional Urban Development Strategic Plan (KBRUDSAP), adopted by the Ministry of Finance in 2021, in development are the following national documents;</w:t>
            </w:r>
          </w:p>
          <w:p>
            <w:pPr/>
            <w:r>
              <w:rPr/>
              <w:t xml:space="preserve">-a National Environmental Management Strategy (NEMS) that incorporates biodiversity policies and which includes data and priorities set through this project.</w:t>
            </w:r>
          </w:p>
          <w:p>
            <w:pPr/>
            <w:r>
              <w:rPr/>
              <w:t xml:space="preserve">-  a Sustainable Food Systems Pathway Document that incorporates biodiversity and which encourages cross-sector integrated collaboration that ties production on land to production at sea.</w:t>
            </w:r>
          </w:p>
          <w:p>
            <w:pPr/>
            <w:r>
              <w:rPr/>
              <w:t xml:space="preserve"/>
            </w:r>
          </w:p>
          <w:p>
            <w:pPr/>
            <w:r>
              <w:rPr/>
              <w:t xml:space="preserve">Regionally, 11 States participating in master planning are  incorporating the Babeldaob Land Use Guides developed last year, and which integrate biodiversity projections.</w:t>
            </w:r>
          </w:p>
          <w:p>
            <w:pPr/>
            <w:r>
              <w:rPr/>
              <w:t xml:space="preserve"/>
            </w:r>
          </w:p>
          <w:p>
            <w:pPr/>
            <w:r>
              <w:rPr/>
              <w:t xml:space="preserve">Outcome  1</w:t>
            </w:r>
          </w:p>
          <w:p>
            <w:pPr/>
            <w:r>
              <w:rPr/>
              <w:t xml:space="preserve">Enhanced national institutional framework for integrated planning and management of land and seascapes</w:t>
            </w:r>
          </w:p>
          <w:p>
            <w:pPr/>
            <w:r>
              <w:rPr/>
              <w:t xml:space="preserve"/>
            </w:r>
          </w:p>
          <w:p>
            <w:pPr/>
            <w:r>
              <w:rPr/>
              <w:t xml:space="preserve">- An increase in capacity scorecard reflecting improvements to both state and national planning frameworks, with state laws institutionalizing environmental management introduced or implemented in 8 out of the 12 states this project engages with</w:t>
            </w:r>
          </w:p>
          <w:p>
            <w:pPr/>
            <w:r>
              <w:rPr/>
              <w:t xml:space="preserve">- National plans were developed for food pathways and National Environmental Management</w:t>
            </w:r>
          </w:p>
          <w:p>
            <w:pPr/>
            <w:r>
              <w:rPr/>
              <w:t xml:space="preserve">- Continuous forged relationships between the Project Coordination Unit and National Environment Council ( NEPC) and state partners</w:t>
            </w:r>
          </w:p>
          <w:p>
            <w:pPr/>
            <w:r>
              <w:rPr/>
              <w:t xml:space="preserve"/>
            </w:r>
          </w:p>
          <w:p>
            <w:pPr/>
            <w:r>
              <w:rPr/>
              <w:t xml:space="preserve"/>
            </w:r>
          </w:p>
          <w:p>
            <w:pPr/>
            <w:r>
              <w:rPr/>
              <w:t xml:space="preserve">Outcome 2</w:t>
            </w:r>
          </w:p>
          <w:p>
            <w:pPr/>
            <w:r>
              <w:rPr/>
              <w:t xml:space="preserve">Integrated multi-sector land and seascape “Ridge-to-Reef” planning and management operational in Babeldaob states  to reduce threats to biodiversity and improve ecosystem services to benefit communities and state economies</w:t>
            </w:r>
          </w:p>
          <w:p>
            <w:pPr/>
            <w:r>
              <w:rPr/>
              <w:t xml:space="preserve"/>
            </w:r>
          </w:p>
          <w:p>
            <w:pPr/>
            <w:r>
              <w:rPr/>
              <w:t xml:space="preserve">-  With reference to the indicator on number of hectares of degraded forests and grasslands and coastal and marine areas outside PAN network rehabilitated, post MTR management finding was to continue with incremental and sustained progress. Noting the challenge of restoring 1000 hectares within the project time frame, 218 hectares were restored in 2021-2022, making for a total of 245 hectares.</w:t>
            </w:r>
          </w:p>
          <w:p>
            <w:pPr/>
            <w:r>
              <w:rPr/>
              <w:t xml:space="preserve"/>
            </w:r>
          </w:p>
          <w:p>
            <w:pPr/>
            <w:r>
              <w:rPr/>
              <w:t xml:space="preserve">- Community management area for the purposes of income generation or food security are 1,525 hectares, with 88 of those hectares added in 2021-2022.</w:t>
            </w:r>
          </w:p>
          <w:p>
            <w:pPr/>
            <w:r>
              <w:rPr/>
              <w:t xml:space="preserve"/>
            </w:r>
          </w:p>
          <w:p>
            <w:pPr/>
            <w:r>
              <w:rPr/>
              <w:t xml:space="preserve">Outcome 3</w:t>
            </w:r>
          </w:p>
          <w:p>
            <w:pPr/>
            <w:r>
              <w:rPr/>
              <w:t xml:space="preserve">Integrated multi-sector planning and management operational in 264,686 ha of seascapes and coastal areas  in the Southern Lagoon to reduce threats to biodiversity and improve ecosystem services to benefit communities and state economies</w:t>
            </w:r>
          </w:p>
          <w:p>
            <w:pPr/>
            <w:r>
              <w:rPr/>
              <w:t xml:space="preserve"/>
            </w:r>
          </w:p>
          <w:p>
            <w:pPr/>
            <w:r>
              <w:rPr/>
              <w:t xml:space="preserve">- Development of Fisheries Management Plan for the Southern lagoon with research and mapping of spatial areas, identification of size limits for key commercial species, multiple spatial closures, gear restrictions, and promotion and education of best practices.</w:t>
            </w:r>
          </w:p>
          <w:p>
            <w:pPr/>
            <w:r>
              <w:rPr/>
              <w:t xml:space="preserve"/>
            </w:r>
          </w:p>
          <w:p>
            <w:pPr/>
            <w:r>
              <w:rPr/>
              <w:t xml:space="preserve">-Design of strategy for Resilient Reefs project in Koror  to  reduce vulnerabilities of reefs to climate change and diversification of tourism</w:t>
            </w:r>
          </w:p>
          <w:p>
            <w:pPr/>
            <w:r>
              <w:rPr/>
              <w:t xml:space="preserve"/>
            </w:r>
          </w:p>
          <w:p>
            <w:pPr/>
            <w:r>
              <w:rPr/>
              <w:t xml:space="preserve">Outcome 4 Knowledge management, monitoring and evaluation support, equitable gender benefits and biodiversity conservation in Palau</w:t>
            </w:r>
          </w:p>
          <w:p>
            <w:pPr/>
            <w:r>
              <w:rPr/>
              <w:t xml:space="preserve"/>
            </w:r>
          </w:p>
          <w:p>
            <w:pPr/>
            <w:r>
              <w:rPr/>
              <w:t xml:space="preserve">-  Expansion of Outreach on Invasive Alien Species for coordinated outreach on conservation threats and biosecurity lacking with awareness of impact IAS among general public.</w:t>
            </w:r>
          </w:p>
          <w:p>
            <w:pPr/>
            <w:r>
              <w:rPr/>
              <w:t xml:space="preserve">-  Development of a policy to identify key species, the creation of a Palau Invasive Species Program social media channel, weekly email newsletter</w:t>
            </w:r>
          </w:p>
          <w:p>
            <w:pPr/>
            <w:r>
              <w:rPr/>
              <w:t xml:space="preserve"/>
            </w:r>
          </w:p>
          <w:p>
            <w:pPr/>
            <w:r>
              <w:rPr/>
              <w:t xml:space="preserve">Implementation Progress:</w:t>
            </w:r>
          </w:p>
          <w:p>
            <w:pPr/>
            <w:r>
              <w:rPr/>
              <w:t xml:space="preserve"/>
            </w:r>
          </w:p>
          <w:p>
            <w:pPr/>
            <w:r>
              <w:rPr/>
              <w:t xml:space="preserve">In terms of implementation progress the project demonstrates a Satisfactory rating as per the notable outcomes listed above.  The Project Coordination Unit continues to demonstrates strong initiatives to strategically support implementation. This is demonstrative in the continued discussions with key partners, foraging relationships on the ground including the regular discussion with UNDP.</w:t>
            </w:r>
          </w:p>
          <w:p>
            <w:pPr/>
            <w:r>
              <w:rPr/>
              <w:t xml:space="preserve">To note that critical to the UNDP discussions  are regular  touch base on progress (both financial and technically), proactively anticipating issues and jointly proposing solutions.</w:t>
            </w:r>
          </w:p>
          <w:p>
            <w:pPr/>
            <w:r>
              <w:rPr/>
              <w:t xml:space="preserve"/>
            </w:r>
          </w:p>
          <w:p>
            <w:pPr/>
            <w:r>
              <w:rPr/>
              <w:t xml:space="preserve">In light of the pandemic and travel restrictions these discussions with the Project Coordination Unit were organized virtually i.e. zoom. Within this reporting period, two board meetings were held with supportive participation and proactiveness of project board in terms of decision . This is indicative of their commitment to ensuring successful realization of project objectives.  The new executing agency for Palau BD project is the Ministry of Agriculture, Fisheries, and Environment (MAFE) with the new minister as Mr. Steven Victor.</w:t>
            </w:r>
          </w:p>
          <w:p>
            <w:pPr/>
            <w:r>
              <w:rPr/>
              <w:t xml:space="preserve">As the project continues to adapt in the pandemic, the Project Coordination Unit continues to monitor and progress implementation with forged partnerships</w:t>
            </w:r>
          </w:p>
          <w:p>
            <w:pPr/>
            <w:r>
              <w:rPr/>
              <w:t xml:space="preserve"/>
            </w:r>
          </w:p>
          <w:p>
            <w:pPr/>
            <w:r>
              <w:rPr/>
              <w:t xml:space="preserve">Recommendations: the following are recommended to improve delivery in remaining project life:</w:t>
            </w:r>
          </w:p>
          <w:p>
            <w:pPr/>
            <w:r>
              <w:rPr/>
              <w:t xml:space="preserve"/>
            </w:r>
          </w:p>
          <w:p>
            <w:pPr/>
            <w:r>
              <w:rPr/>
              <w:t xml:space="preserve">- The development of an exit strategy in support of the project sustainability</w:t>
            </w:r>
          </w:p>
          <w:p>
            <w:pPr/>
            <w:r>
              <w:rPr/>
              <w:t xml:space="preserve">-The continuation of regular communication between Project Coordination Unit and UNDP in terms of project progress</w:t>
            </w:r>
          </w:p>
          <w:p>
            <w:pPr/>
            <w:r>
              <w:rPr/>
              <w:t xml:space="preserve">- Continuation of collaboration and partnership with other initiatives including other UNDP-GEF supported projects e.g. Palau National Marine Sanctuary Project with lessons learnt through implementation.</w:t>
            </w:r>
          </w:p>
          <w:p>
            <w:pPr/>
            <w:r>
              <w:rPr/>
              <w:t xml:space="preserve">- Improving communication and the project visibility noting the key achievements highlighted above.</w:t>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tc>
      </w:tr>
      <w:tr>
        <w:trPr/>
        <w:tc>
          <w:tcPr>
            <w:tcW w:w="5000" w:type="dxa"/>
            <w:gridSpan w:val="1"/>
          </w:tcPr>
          <w:p>
            <w:pPr/>
            <w:r>
              <w:rPr>
                <w:b w:val="1"/>
                <w:bCs w:val="1"/>
              </w:rPr>
              <w:t xml:space="preserve">Project Manager/Coordinator</w:t>
            </w:r>
          </w:p>
        </w:tc>
        <w:tc>
          <w:tcPr>
            <w:tcW w:w="10000" w:type="dxa"/>
            <w:gridSpan w:val="1"/>
          </w:tcPr>
          <w:p>
            <w:pPr/>
            <w:r>
              <w:rPr/>
              <w:t xml:space="preserve">If the system allowed us to input a rating, we would rate the project as Satisfactory.</w:t>
            </w:r>
          </w:p>
          <w:p>
            <w:pPr/>
            <w:r>
              <w:rPr/>
              <w:t xml:space="preserve"/>
            </w:r>
          </w:p>
          <w:p>
            <w:pPr/>
            <w:r>
              <w:rPr/>
              <w:t xml:space="preserve">All of the indicators are on track and many have been exceeded. The project is a model for partnership and has strengthened the capacities of its partners. Capacity at the community level has been built, enabling communities to access new forms of livelihoods. For example, at a recent meeting for an ADB project - not related in any way to this project - they noted that women who applied for seed grants who were involved in the GEF6 project had better applications, were better written, and had better project management indicators.</w:t>
            </w:r>
          </w:p>
          <w:p>
            <w:pPr/>
            <w:r>
              <w:rPr/>
              <w:t xml:space="preserve"/>
            </w:r>
          </w:p>
          <w:p>
            <w:pPr/>
            <w:r>
              <w:rPr/>
              <w:t xml:space="preserve">This project has excelled in findings ways around "problems." When funding is delayed from UNDP, it works on volunteer labor, established through good relationships.  It builds new partnerships in order to strengthen other partners. And it has served as the model for new GEF funds coming into the country. This year, the Project brought Outcome 3, with Koror's Southern Lagoon, back on track through enhanced partnerships with the Bureau of Tourism on sustainable tourism development in Koror; and through extensive partnership with the Palau Conservation Society and the nation's PALARIS (GIS Office) to work with Koror for zoning. High level meetings between the MAFE Minister, members of the Project Board, and Koror's new elected Governor also helped bring the outcome back on track.</w:t>
            </w:r>
          </w:p>
          <w:p>
            <w:pPr/>
            <w:r>
              <w:rPr/>
              <w:t xml:space="preserve"/>
            </w:r>
          </w:p>
          <w:p>
            <w:pPr/>
            <w:r>
              <w:rPr/>
              <w:t xml:space="preserve">Launched in October 2018, the Palau Biodiversity Project (funded by GEF-6) is 66% complete, but has already generated successes with real results for Palau’s population of 17,000.  The project is a mainstreaming project that targets both national policies and community-based activities for mainstreaming of biodiversity best practices. Accomplishments include:</w:t>
            </w:r>
          </w:p>
          <w:p>
            <w:pPr/>
            <w:r>
              <w:rPr/>
              <w:t xml:space="preserve"/>
            </w:r>
          </w:p>
          <w:p>
            <w:pPr/>
            <w:r>
              <w:rPr/>
              <w:t xml:space="preserve">Outcome 1: National</w:t>
            </w:r>
          </w:p>
          <w:p>
            <w:pPr/>
            <w:r>
              <w:rPr/>
              <w:t xml:space="preserve">•	Increased awareness about endangered species and existing laws led to the enforcement of the Hawksbill Sea Turtle Protection Act, which had been law since 2018. As a direct result of awareness-raising efforts by the Project, the law began to be enforced and turtle shell products that were still being sold were confiscated. There are now no turtle shell products being sold in any stores.</w:t>
            </w:r>
          </w:p>
          <w:p>
            <w:pPr/>
            <w:r>
              <w:rPr/>
              <w:t xml:space="preserve">•	As a direct result of the project, the nation’s Environmental Assessment and Environmental Impact Statement (EA/EIS) regulations were updated to include biodiversity impact requirements.</w:t>
            </w:r>
          </w:p>
          <w:p>
            <w:pPr/>
            <w:r>
              <w:rPr/>
              <w:t xml:space="preserve">•	The cross-governmental and multi-partner aspect of the Palau Biodiversity Project provided a strong foundation for the launch of an even much larger initiative geared towards society-wide Food Security, entitled Keled A Ngercheled (Our Food is Our Responsibility). A National Proclamation and Ministerial Directive have already adopted the initiative.</w:t>
            </w:r>
          </w:p>
          <w:p>
            <w:pPr/>
            <w:r>
              <w:rPr/>
              <w:t xml:space="preserve">•	The nation built safe, modern quarantine facilities to support Biosecurity and installed X-ray machines to inspect incoming baggage and cargo at the airport for live organic material.</w:t>
            </w:r>
          </w:p>
          <w:p>
            <w:pPr/>
            <w:r>
              <w:rPr/>
              <w:t xml:space="preserve"/>
            </w:r>
          </w:p>
          <w:p>
            <w:pPr/>
            <w:r>
              <w:rPr/>
              <w:t xml:space="preserve">Outcome 2: Babeldaob</w:t>
            </w:r>
          </w:p>
          <w:p>
            <w:pPr/>
            <w:r>
              <w:rPr/>
              <w:t xml:space="preserve">•	Through community-based action, 40 hectares of extremely degraded lands (80-100% bare or covered with Invasive vines) have been rehabilitated, 4 community upland farms have been improved and 1 aquaculture farm established, and 5 tourism sites with community income generation have been improved with nature-based solutions.</w:t>
            </w:r>
          </w:p>
          <w:p>
            <w:pPr/>
            <w:r>
              <w:rPr/>
              <w:t xml:space="preserve">•	3 States passed new laws mandating sustainable land use planning, and 5 states began implementing old land use planning laws that were already on the books.</w:t>
            </w:r>
          </w:p>
          <w:p>
            <w:pPr/>
            <w:r>
              <w:rPr/>
              <w:t xml:space="preserve"/>
            </w:r>
          </w:p>
          <w:p>
            <w:pPr/>
            <w:r>
              <w:rPr/>
              <w:t xml:space="preserve">Outcome 3: Southern Lagoon and Sustainable Tourism</w:t>
            </w:r>
          </w:p>
          <w:p>
            <w:pPr/>
            <w:r>
              <w:rPr/>
              <w:t xml:space="preserve">•	100% of Palau's Rock Islands Southern Lagoon, a World Heritage Site, was zoned through participatory processes for sustainable fisheries management. For the first time ever, areas used by women for gleaning and invertebrate aquaculture were included in zones.</w:t>
            </w:r>
          </w:p>
          <w:p>
            <w:pPr/>
            <w:r>
              <w:rPr/>
              <w:t xml:space="preserve">•	Palau held its first-ever Biodiversity-Friendly Local Product Showcase, explicitly linking economic development with environmental protection, which generating nearly $10,000 in sales (and some of the highest-ever daily sales for some of the artisanal vendors) and creating new business opportunities and sustained higher sales for at least 2 female vendors.</w:t>
            </w:r>
          </w:p>
          <w:p>
            <w:pPr/>
            <w:r>
              <w:rPr/>
              <w:t xml:space="preserve"/>
            </w:r>
          </w:p>
          <w:p>
            <w:pPr/>
            <w:r>
              <w:rPr/>
              <w:t xml:space="preserve">Outcome 4: KM, Communications, and Gender Mainstreaming</w:t>
            </w:r>
          </w:p>
          <w:p>
            <w:pPr/>
            <w:r>
              <w:rPr/>
              <w:t xml:space="preserve">•	A weekly emailed newsletter (#MainstreamingMondays) reaches an audience of over 260 people, including Ministers, and generates lively discussion. Anecdotal reports and feedback suggest that public awareness of environmental laws, status of endangered and endemic biodiversity, and understanding of best practices to minimize impact have increased. It has also spurred a series of similar efforts such as Invasive Alien Outreach (#WeedsOnWednesday) and Cultural and Economic Health (#WellnessWednesdays).</w:t>
            </w:r>
          </w:p>
          <w:p>
            <w:pPr/>
            <w:r>
              <w:rPr/>
              <w:t xml:space="preserve">•	A website created to house the project’s documents has become an important source of information, and is now accessed by 200+ users per month who access documents on national policies and best practices. The website has enabled full transparency of the project as a model for transparency in governance.</w:t>
            </w:r>
          </w:p>
          <w:p>
            <w:pPr/>
            <w:r>
              <w:rPr/>
              <w:t xml:space="preserve">•	The project has engaged over 2300 people with nearing gender parity (57% of are women; vulnerable men are targeted), and resulted in direct financial benefits for 800 people, with total gender parity (50% of were women in 2022, up from only 27% in 2021) and with purposeful inclusion of vulnerable young men.</w:t>
            </w:r>
          </w:p>
          <w:p>
            <w:pPr/>
            <w:r>
              <w:rPr/>
              <w:t xml:space="preserve">•	A Gender Study issued by the project improved national understanding of the use of resources by women, and led to adaptive management of the project. The project’s Gender and Social Mainstreaming approach is a model for other initiatives and projects throughout Palau.</w:t>
            </w:r>
          </w:p>
          <w:p>
            <w:pPr/>
            <w:r>
              <w:rPr/>
              <w:t xml:space="preserve"/>
            </w:r>
          </w:p>
          <w:p>
            <w:pPr/>
            <w:r>
              <w:rPr/>
              <w:t xml:space="preserve">The main priority for the upcoming year is to conclude master planning, land use planning, and zoning and to see zoning codes and plans adopted by law. Continued work on Invasive species prevention, including finalization of a policy and Biosecurity Regulations, will feed into an enhanced outreach program. Converting potential tourism sites away from a mass tourism model to niche, low-impact, terrestrial tourism that highlights ethnobotany and cultural links to biodiversity is a growing priority.</w:t>
            </w:r>
          </w:p>
          <w:p>
            <w:pPr/>
            <w:r>
              <w:rPr/>
              <w:t xml:space="preserve"/>
            </w:r>
          </w:p>
        </w:tc>
      </w:tr>
      <w:tr>
        <w:trPr/>
        <w:tc>
          <w:tcPr>
            <w:tcW w:w="5000" w:type="dxa"/>
            <w:gridSpan w:val="1"/>
          </w:tcPr>
          <w:p>
            <w:pPr/>
            <w:r>
              <w:rPr>
                <w:b w:val="1"/>
                <w:bCs w:val="1"/>
              </w:rPr>
              <w:t xml:space="preserve">GEF Operational Focal point</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Project Implementing Partner</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Other Partners</w:t>
            </w:r>
          </w:p>
        </w:tc>
        <w:tc>
          <w:tcPr>
            <w:tcW w:w="10000" w:type="dxa"/>
            <w:gridSpan w:val="1"/>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9" w:name="_Toc9"/>
      <w:r>
        <w:t>Minor Amendments</w:t>
      </w:r>
      <w:bookmarkEnd w:id="9"/>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A) Results Framework</w:t>
            </w:r>
          </w:p>
        </w:tc>
      </w:tr>
      <w:tr>
        <w:trPr/>
        <w:tc>
          <w:tcPr>
            <w:tcW w:w="10000" w:type="dxa"/>
            <w:gridSpan w:val="1"/>
          </w:tcPr>
          <w:p>
            <w:pPr/>
            <w:r>
              <w:rPr/>
              <w:t xml:space="preserve">Yes</w:t>
            </w:r>
          </w:p>
        </w:tc>
      </w:tr>
      <w:tr>
        <w:trPr/>
        <w:tc>
          <w:tcPr>
            <w:tcW w:w="10000" w:type="dxa"/>
            <w:shd w:val="clear" w:fill="#D9D9D9"/>
          </w:tcPr>
          <w:p>
            <w:pPr/>
            <w:r>
              <w:rPr>
                <w:b w:val="1"/>
                <w:bCs w:val="1"/>
              </w:rPr>
              <w:t xml:space="preserve">Provide a description of the change(s) to the 'Results framework'</w:t>
            </w:r>
          </w:p>
        </w:tc>
      </w:tr>
      <w:tr>
        <w:trPr/>
        <w:tc>
          <w:tcPr>
            <w:tcW w:w="10000" w:type="dxa"/>
            <w:gridSpan w:val="1"/>
          </w:tcPr>
          <w:p>
            <w:pPr/>
            <w:r>
              <w:rPr/>
              <w:t xml:space="preserve">Based on the MTR, indicators were proposed and adopted by the Board at the December 28, 2021 Board meeting. They were reviewed and adopted again at the April 19, 2022 Board meeting when the revised indicators were placed into the appropriate locations in the 2022 Annual Work Plan. The outcomes and objectives were not changed. Some outputs and indicators were proposed to be changed.</w:t>
            </w:r>
          </w:p>
          <w:p>
            <w:pPr/>
            <w:r>
              <w:rPr/>
              <w:t xml:space="preserve"/>
            </w:r>
          </w:p>
          <w:p>
            <w:pPr/>
            <w:r>
              <w:rPr/>
              <w:t xml:space="preserve">It was approved by the Project Board with the caveat that a new RTA would have to approve it. At the July 26, 2022 Board Meeting, it was agreed by the Board and the new RTA to keep indicators 12 and 14. Indicator 13, which measures coral cover, does not reflect actions of the project and instead has an outsized impact from climate change. Given new data received by the project, it can also keep Indicator 10.</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 Components and cost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'Components and cost'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 Institutional and implementation arrangements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'Institutional and implementation arrangements'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D) Financial management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'Financial Management'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E) Implementation schedule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'Implementation schedule'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F) Executing Entity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G) Executing Entity Category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 Category'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H) Minor project objective change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'minor project objective change'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 Safeguards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'Safeguards'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J) Risk Analysis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'Risk Analysis'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K) Increase of GEF project financing up to 5%</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 to GEF project financing up to 5%</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L) Co-financing</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'Co-financing'</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M) Location of project activity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project location activity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Other</w:t>
            </w:r>
          </w:p>
        </w:tc>
      </w:tr>
      <w:tr>
        <w:trPr/>
        <w:tc>
          <w:tcPr>
            <w:tcW w:w="10000" w:type="dxa"/>
            <w:gridSpan w:val="1"/>
          </w:tcPr>
          <w:p>
            <w:pPr/>
            <w:r>
              <w:rPr/>
              <w:t xml:space="preserve">No</w:t>
            </w:r>
          </w:p>
        </w:tc>
      </w:tr>
      <w:tr>
        <w:trPr/>
        <w:tc>
          <w:tcPr>
            <w:tcW w:w="10000" w:type="dxa"/>
            <w:shd w:val="clear" w:fill="#D9D9D9"/>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Upload any supporting documentation related to responses in this section.</w:t>
            </w:r>
          </w:p>
        </w:tc>
      </w:tr>
      <w:tr>
        <w:trPr/>
        <w:tc>
          <w:tcPr>
            <w:tcW w:w="10000" w:type="dxa"/>
          </w:tcPr>
          <w:p>
            <w:pPr>
              <w:spacing w:before="0" w:after="0"/>
            </w:pPr>
            <w:hyperlink r:id="rId10" w:history="1">
              <w:r>
                <w:rPr>
                  <w:color w:val="#0000FF"/>
                  <w:u w:val="single"/>
                </w:rPr>
                <w:t xml:space="preserve">RF - BOD Approved - Palau BD GEF6 Post-MTR Revised Results Framework.pdf</w:t>
              </w:r>
            </w:hyperlink>
          </w:p>
          <w:p>
            <w:pP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Gender</w:t>
      </w:r>
      <w:bookmarkEnd w:id="10"/>
    </w:p>
    <w:p>
      <w:pPr>
        <w:pStyle w:val="Heading2"/>
      </w:pPr>
      <w:bookmarkStart w:id="11" w:name="_Toc11"/>
      <w:r>
        <w:t>Progress in Advancing Gender Equality and Women's Empowerment</w:t>
      </w:r>
      <w:bookmarkEnd w:id="11"/>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Atlas Gender Marker Rating</w:t>
            </w:r>
          </w:p>
        </w:tc>
      </w:tr>
      <w:tr>
        <w:trPr/>
        <w:tc>
          <w:tcPr>
            <w:tcW w:w="10000" w:type="dxa"/>
          </w:tcPr>
          <w:p>
            <w:pPr/>
            <w:r>
              <w:rPr>
                <w:b w:val="1"/>
                <w:bCs w:val="1"/>
              </w:rPr>
              <w:t xml:space="preserve">GEN2: </w:t>
            </w:r>
            <w:r>
              <w:rPr/>
              <w:t xml:space="preserve">gender equality as significant objective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tcPr>
          <w:p>
            <w:pPr/>
            <w:r>
              <w:rPr/>
              <w:t xml:space="preserve">Contributing to closing gender gaps in access to and control over resources: Yes</w:t>
            </w:r>
          </w:p>
        </w:tc>
      </w:tr>
      <w:tr>
        <w:trPr/>
        <w:tc>
          <w:tcPr>
            <w:tcW w:w="10000" w:type="dxa"/>
            <w:gridSpan w:val="1"/>
          </w:tcPr>
          <w:p>
            <w:pPr/>
            <w:r>
              <w:rPr/>
              <w:t xml:space="preserve">Improving the participation and decision-making of women in natural resource governance: Yes</w:t>
            </w:r>
          </w:p>
        </w:tc>
      </w:tr>
      <w:tr>
        <w:trPr/>
        <w:tc>
          <w:tcPr>
            <w:tcW w:w="10000" w:type="dxa"/>
            <w:gridSpan w:val="1"/>
          </w:tcPr>
          <w:p>
            <w:pPr/>
            <w:r>
              <w:rPr/>
              <w:t xml:space="preserve">Targeting socio-economic benefits and services for women: Yes</w:t>
            </w:r>
          </w:p>
        </w:tc>
      </w:tr>
      <w:tr>
        <w:trPr/>
        <w:tc>
          <w:tcPr>
            <w:tcW w:w="10000" w:type="dxa"/>
            <w:gridSpan w:val="1"/>
          </w:tcPr>
          <w:p>
            <w:pPr/>
            <w:r>
              <w:rPr/>
              <w:t xml:space="preserve">Not applicable: 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tcPr>
          <w:p>
            <w:pPr/>
            <w:r>
              <w:rPr/>
              <w:t xml:space="preserve">Analysis of gender indicators last year showed that financial benefits from the project were not being distributed equitably - with the majority of donated or volunteered hours coming from women and the majority of stipends for community work (paid hours) coming from men. Last year 73% of stipends went to men. This year the project introduced new safeguards (such as equitable lotteries, purposeful design and promotion of activities to attract women), and the percentage of stipends paid reached 50/50%.</w:t>
            </w:r>
          </w:p>
          <w:p>
            <w:pPr/>
            <w:r>
              <w:rPr/>
              <w:t xml:space="preserve"/>
            </w:r>
          </w:p>
          <w:p>
            <w:pPr/>
            <w:r>
              <w:rPr/>
              <w:t xml:space="preserve">This project is well regarded in country as one of the few projects that implement the National Gender Mainstreaming Policy. In Palau there were two National Gender workshops in 2021-2022 - one offered by the Ministry of Justice for Family Protection and one offered by the project on tools to mainstream Gender.</w:t>
            </w:r>
          </w:p>
          <w:p>
            <w:pPr/>
            <w:r>
              <w:rPr/>
              <w:t xml:space="preserve"/>
            </w:r>
          </w:p>
          <w:p>
            <w:pPr/>
            <w:r>
              <w:rPr/>
              <w:t xml:space="preserve">The project has impacted Planning Groups and now State Legislated Planning Commissions by encouraging the participation of women. For instance, the Ngeremelengui Planning Commission, which had been established by law more than two decades ago but was never active, was originally comprised of only the male chiefs of Ngeremlengui's villages. When amended, the Planning Commission included a rule to be socially representative. Every single Planning Team or Planning Commission working with the project has at least one women as a formally designated member. In fact, among the 12 states working with the project, which among them have 17 planning groups (some are Planning Teams working on Best Practice projects, some are legislated Planning Commissions), 16 of them have multiple women representatives. (In fact the one remaining State with low women representation has been approached about revising its Commission to be more effective).</w:t>
            </w:r>
          </w:p>
          <w:p>
            <w:pPr/>
            <w:r>
              <w:rPr/>
              <w:t xml:space="preserve"/>
            </w:r>
          </w:p>
          <w:p>
            <w:pPr/>
            <w:r>
              <w:rPr/>
              <w:t xml:space="preserve">Gender mainstreaming in Palau is not only about women, as women have many managerial and Directorship positions and often set national policies. Young, at-risk men are also vulnerable and targeted by the project, especially for healthy active activities that contribute to their communities. Every single one of the Best Practices projects implemented has involved young men.</w:t>
            </w:r>
          </w:p>
          <w:p>
            <w:pPr/>
            <w:r>
              <w:rPr/>
              <w:t xml:space="preserve"/>
            </w:r>
          </w:p>
          <w:p>
            <w:pPr/>
            <w:r>
              <w:rPr/>
              <w:t xml:space="preserve">Through this project there is growing awareness about gender and social mainstreaming, including the need to define vulnerable people.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tcPr>
          <w:p>
            <w:pPr/>
            <w:r>
              <w:rPr/>
              <w:t xml:space="preserve">Promotion of women's agriculture sectors led to increases in Indicator 1.3.1 and Indicators 8 and 11 (area of sustainable use, conservation, or community management). The number of participants in the project also skyrocketed due to more equitable offerings that attracted both genders.</w:t>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Risk Management</w:t>
      </w:r>
      <w:bookmarkEnd w:id="12"/>
    </w:p>
    <w:p>
      <w:pPr>
        <w:pStyle w:val="Heading2"/>
      </w:pPr>
      <w:bookmarkStart w:id="13" w:name="_Toc13"/>
      <w:r>
        <w:t>A) Review of Risks outlined in Risk Register and PIMS+ risk tab</w:t>
      </w:r>
      <w:bookmarkEnd w:id="13"/>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CO Programme Officer: Has the Atlas Risk Register been updated during this reporting period?</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NCE RTA:</w:t>
            </w:r>
          </w:p>
          <w:p>
            <w:pPr/>
            <w:r>
              <w:rPr/>
              <w:t xml:space="preserve">Please provide an assessment of project risk management (including risks reported in  Risk Register and risks included in the project’s risk tab in  PIMS+ ) undertaken in the reporting period  and summarize the key risk management measures to be taken in the coming year. This text will be pulled into the risk management action plan in this project’s risk tab in PIMS+.</w:t>
            </w:r>
          </w:p>
        </w:tc>
      </w:tr>
      <w:tr>
        <w:trPr/>
        <w:tc>
          <w:tcPr>
            <w:tcW w:w="10000" w:type="dxa"/>
            <w:gridSpan w:val="1"/>
          </w:tcPr>
          <w:p>
            <w:pPr/>
            <w:r>
              <w:rPr/>
              <w:t xml:space="preserve">The RTA concurs with the assessment of the project risk as low. This is because the project successfully implemented majority of the risk mitigation measures that were identified during the last reporting period to address the moderate risk that the project received during the last period. However, the project team and UNDP CO is encouraged to continue to assess, monitor and respond to risks related to implementation challenges, COVID-19 related risks and overall alignment of the project strategy to achieve its development objective. The only risks pertain to limited focus of the project to align project actions with broader objectives to transform the trajectory of production and other sectors towards biodiversity friendly sustainable practices. Please see overall rating comments for recommendations to address the implementation challenges.</w:t>
            </w:r>
          </w:p>
        </w:tc>
      </w:tr>
    </w:tbl>
    <w:p>
      <w:pPr>
        <w:pStyle w:val="Heading2"/>
      </w:pPr>
      <w:bookmarkStart w:id="14" w:name="_Toc14"/>
      <w:r>
        <w:t>B) Social and Environmental Standards (Safeguards) Risks</w:t>
      </w:r>
      <w:bookmarkEnd w:id="14"/>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For reference, please find below the project's safeguards screening (Social and Environmental Screening Procedure (SESP) or the old ESSP tool); management plans (if any); and its SESP categorization above.  Please note that the SESP categorization might have been corrected during a centralized review.</w:t>
            </w:r>
          </w:p>
          <w:p>
            <w:pPr/>
            <w:r>
              <w:rPr/>
              <w:t xml:space="preserve">If the project has updated its SESP during implementation, then please upload that file below.</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Have any new social and/or environmental risks been identified during the reporting period?</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If any new social and/or environmental risks have been identified during the reporting period please describe the new risk(s) and the response to it.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Have any existing social and/or environmental risks become more severe and/or has the project's SESP categorization changed during the reporting period? For example, when a low risk increased to moderate, or a moderate risk increased to substantial/high.</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If any existing social and/or environmental risks have become more severe and/or if the project's SESP categorization has changed during implementation please describe the change(s) and the response to it. Note that any change to the project's SESP categorization should be confirmed by the Project Board and by the NCE PTA (and potentially cleared by the NCE safeguards team).</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Have any social and environmental assessments and/or management plans been prepared or updated, and/or has the SESP been updated in the reporting period, as required? For example, an updated Stakeholder Engagement Plan, Environmental and Social Impact Assessment (ESIA) or Indigenous Peoples Plan.</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If yes, please upload the document(s) above using the FILE LIBRARY button. If no, please explain when the required documents will be prepared.</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4) Has the project received complaints related to social and/or environmental impacts (actual or potential ) during the reporting period?</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If yes,  please describe the complaint(s) or grievance(s) in detail including the status, significance, who was involved and what action was taken.</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5) Is this project on track with the preparation and/or implementation of all safeguards measures required for compliance with the UNDP SES?</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If no, please explain:</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5" w:name="_Toc15"/>
      <w:r>
        <w:t>Knowledge Management &amp; Communications</w:t>
      </w:r>
      <w:bookmarkEnd w:id="15"/>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tcPr>
          <w:p>
            <w:pPr/>
            <w:r>
              <w:rPr/>
              <w:t xml:space="preserve">The project website and social media channels continue to be important forums for storing knowledge. In addition, partnership meetings are regular and data collection includes lessons learned. The project generates a weekly newsletter (#MainstreamingMondays) that disseminates information about documents produced and shares it widely.</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tcPr>
          <w:p>
            <w:pPr/>
            <w:r>
              <w:rPr/>
              <w:t xml:space="preserve">The Project is implementing the Communications Strategy in the Project Document and awareness of the project and its content is very high. The project continues to be “popular” and referenced at high level events. Communications and knowledge dissemination activities continued, including updates of the website, regular meetings, #MainstreamingMondays newsletter, and social media. Additional social media channels were created for invasive species and for the Ministry.</w:t>
            </w:r>
          </w:p>
          <w:p>
            <w:pPr/>
            <w:r>
              <w:rPr/>
              <w:t xml:space="preserve"/>
            </w:r>
          </w:p>
          <w:p>
            <w:pPr/>
            <w:r>
              <w:rPr/>
              <w:t xml:space="preserve">The Project and its many partners are very visible in most public awareness events carried out by partners, including field activities (planting), Earth Day events, and meetings. The project is also promoting several hashtags which are being used across many social media channels and by both formal and informal partners:</w:t>
            </w:r>
          </w:p>
          <w:p>
            <w:pPr/>
            <w:r>
              <w:rPr/>
              <w:t xml:space="preserve">#KeledANgercheled (food security)</w:t>
            </w:r>
          </w:p>
          <w:p>
            <w:pPr/>
            <w:r>
              <w:rPr/>
              <w:t xml:space="preserve">#BuyLocalByLocal (biodiversity- and climate-friendly products)</w:t>
            </w:r>
          </w:p>
          <w:p>
            <w:pPr/>
            <w:r>
              <w:rPr/>
              <w:t xml:space="preserve">#RespectProducers (food security)</w:t>
            </w:r>
          </w:p>
          <w:p>
            <w:pPr/>
            <w:r>
              <w:rPr/>
              <w:t xml:space="preserve"/>
            </w:r>
          </w:p>
          <w:p>
            <w:pPr/>
            <w:r>
              <w:rPr/>
              <w:t xml:space="preserve">Project Website: https://sites.google.com/view/gef6palau</w:t>
            </w:r>
          </w:p>
          <w:p>
            <w:pPr/>
            <w:r>
              <w:rPr/>
              <w:t xml:space="preserve">UNDP: https://www.pacific.undp.org/content/pacific/en/home/countryinfo/palau.html</w:t>
            </w:r>
          </w:p>
          <w:p>
            <w:pPr/>
            <w:r>
              <w:rPr/>
              <w:t xml:space="preserve">UNDP: https://open.undp.org/profile/PW/recipientprofile</w:t>
            </w:r>
          </w:p>
          <w:p>
            <w:pPr/>
            <w:r>
              <w:rPr/>
              <w:t xml:space="preserve"/>
            </w:r>
          </w:p>
          <w:p>
            <w:pPr/>
            <w:r>
              <w:rPr/>
              <w:t xml:space="preserve">Social Media:</w:t>
            </w:r>
          </w:p>
          <w:p>
            <w:pPr/>
            <w:r>
              <w:rPr/>
              <w:t xml:space="preserve">Facebook (@GEF-6-PALAU)</w:t>
            </w:r>
          </w:p>
          <w:p>
            <w:pPr/>
            <w:r>
              <w:rPr/>
              <w:t xml:space="preserve">Instagram (@gef6palau)</w:t>
            </w:r>
          </w:p>
          <w:p>
            <w:pPr/>
            <w:r>
              <w:rPr/>
              <w:t xml:space="preserve">Twitter (@GEF6_Palau)</w:t>
            </w:r>
          </w:p>
          <w:p>
            <w:pPr/>
            <w:r>
              <w:rPr/>
              <w:t xml:space="preserve">LinkedIn (gef6-mnret-palau)</w:t>
            </w:r>
          </w:p>
          <w:p>
            <w:pPr/>
            <w:r>
              <w:rPr/>
              <w:t xml:space="preserve">New Ministry Facebook: https://www.facebook.com/mafepalau</w:t>
            </w:r>
          </w:p>
          <w:p>
            <w:pPr/>
            <w:r>
              <w:rPr/>
              <w:t xml:space="preserve">New IAS Facebook: https://www.facebook.com/palauinvasives</w:t>
            </w:r>
          </w:p>
          <w:p>
            <w:pPr/>
            <w:r>
              <w:rPr/>
              <w:t xml:space="preserve"/>
            </w:r>
          </w:p>
          <w:p>
            <w:pPr/>
            <w:r>
              <w:rPr/>
              <w:t xml:space="preserve">Photos: Flickr: https://www.flickr.com/photos/189071815@N08/</w:t>
            </w:r>
          </w:p>
          <w:p>
            <w:pPr/>
            <w:r>
              <w:rPr/>
              <w:t xml:space="preserve">Media Coverage: https://sites.google.com/view/gef6palau/mainstreamingmondays/gef6-press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tcPr>
          <w:p>
            <w:pPr>
              <w:spacing w:before="0" w:after="0"/>
            </w:pPr>
            <w:hyperlink r:id="rId11" w:history="1">
              <w:r>
                <w:rPr>
                  <w:color w:val="#0000FF"/>
                  <w:u w:val="single"/>
                </w:rPr>
                <w:t xml:space="preserve">Palau GEF6 Communications and Knowledge Management Strategy.pdf</w:t>
              </w:r>
            </w:hyperlink>
          </w:p>
          <w:p>
            <w:pP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Stakeholder Engagement</w:t>
      </w:r>
      <w:bookmarkEnd w:id="16"/>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(A) Provide an update on progress, challenges and outcomes related to stakeholder engagement based on the description in the Stakeholder Engagement Plan or equivalent documentation submitted at CEO Endorsement/Approval.</w:t>
            </w:r>
          </w:p>
          <w:p>
            <w:pPr/>
            <w:r>
              <w:rPr>
                <w:b w:val="1"/>
                <w:bCs w:val="1"/>
              </w:rPr>
              <w:t xml:space="preserve"/>
            </w:r>
          </w:p>
          <w:p>
            <w:pPr/>
            <w:r>
              <w:rPr>
                <w:b w:val="1"/>
                <w:bCs w:val="1"/>
              </w:rPr>
              <w:t xml:space="preserve">(B) Upload all available documentation of the project's stakeholder engagement, including surveys, FPIC reports and others using the FILE LIBRARY button in the upper right corner of the PIR.</w:t>
            </w:r>
          </w:p>
          <w:p>
            <w:pPr/>
            <w:r>
              <w:rPr>
                <w:b w:val="1"/>
                <w:bCs w:val="1"/>
              </w:rPr>
              <w:t xml:space="preserve"/>
            </w:r>
          </w:p>
          <w:p>
            <w:pPr/>
            <w:r>
              <w:rPr>
                <w:b w:val="1"/>
                <w:bCs w:val="1"/>
              </w:rPr>
              <w:t xml:space="preserve">(C) If the project's Stakeholder Engagement Plan has been updated during the reporting period, please upload that file using the FILE LIBRARY button above.</w:t>
            </w:r>
          </w:p>
        </w:tc>
      </w:tr>
      <w:tr>
        <w:trPr/>
        <w:tc>
          <w:tcPr>
            <w:tcW w:w="10000" w:type="dxa"/>
            <w:gridSpan w:val="1"/>
          </w:tcPr>
          <w:p>
            <w:pPr/>
            <w:r>
              <w:rPr/>
              <w:t xml:space="preserve">The project improved several struggling stakeholder relationships, including with the Bureau of Tourism and Koror State, that had been hindering the achievement of objectives. This came from a number of meetings, including high level meetings between the Koror Governor and Project Board (including the Minister and Governor). The project also continues to give time to these partners to strengthen the relationship and show commitment. Also in Koror, the project supported additional work by PCS and PALARIS on the fisheries planning and reform, which helped Koror improve fisheries management without having to deal with the complex project finances that had been hindering it. As a direct result of this partner and third-party work, Outcome 3 is now back on track.</w:t>
            </w:r>
          </w:p>
          <w:p>
            <w:pPr/>
            <w:r>
              <w:rPr/>
              <w:t xml:space="preserve"/>
            </w:r>
          </w:p>
          <w:p>
            <w:pPr/>
            <w:r>
              <w:rPr/>
              <w:t xml:space="preserve">Project partners invest heavily on participatory processes in order to ensure in high stakeholder engagement. Planning teams are themselves participatory, and then the Technical team supports planning teams to hold community meetings, conduct village surveys, and hold public hearings to further engage stakeholders. This has built community-level stakeholder involvement and capacity. At the national level, the project involves a large and flexible technical team, with expertise sought from non-traditional forms outside of the environment sector. Through joint planning and priority-setting exercises, stakeholders from the Ministry of State and Ministry of Finance are now more engaged with the project and more likely to support its initiatives directly. For instance, the Ministry of Finance is partnering with the project to conduct awareness on tax reform with smallholder farmers and fishers, to reassure them that newly imposed taxes will provide benefits; this is to head off feared potential overfishing before the taxes go into effect.</w:t>
            </w:r>
          </w:p>
          <w:p>
            <w:pPr/>
            <w:r>
              <w:rPr/>
              <w:t xml:space="preserve"/>
            </w:r>
          </w:p>
          <w:p>
            <w:pPr/>
            <w:r>
              <w:rPr/>
              <w:t xml:space="preserve">Regular communications, such as the social media channels and #MainstreamingMondays emails, also celebrate and highlight the activities and outcomes of diverse partners, whether directly engaged with the project or not. Because of the diverse and relevant content, these communications also ensure a solid shared base of knowledge that keeps stakeholders engaged. We know that communications are shared - increasing registration for farmers markets from unknown sellers is a testament to these materials being shared with new stakeholders.</w:t>
            </w:r>
          </w:p>
          <w:p>
            <w:pPr/>
            <w:r>
              <w:rPr/>
              <w:t xml:space="preserve"/>
            </w:r>
          </w:p>
          <w:p>
            <w:pPr/>
            <w:r>
              <w:rPr/>
              <w:t xml:space="preserve">As a result of the good progress, the number of stakeholders who are engaged regularly continues to grow and is now in the hundreds.</w:t>
            </w:r>
          </w:p>
        </w:tc>
      </w:tr>
    </w:tbl>
    <w:p>
      <w:pPr>
        <w:sectPr>
          <w:pgSz w:orient="portrait" w:w="11905.511811023622" w:h="16837.79527559055"/>
          <w:pgMar w:top="1440" w:right="1440" w:bottom="1440" w:left="1440" w:header="720" w:footer="720" w:gutter="0"/>
          <w:cols w:num="1" w:space="720"/>
        </w:sectPr>
      </w:pPr>
    </w:p>
    <w:p>
      <w:pPr>
        <w:pStyle w:val="Heading1"/>
      </w:pPr>
      <w:bookmarkStart w:id="17" w:name="_Toc17"/>
      <w:r>
        <w:t>Annex - Ratings Definitions</w:t>
      </w:r>
      <w:bookmarkEnd w:id="17"/>
    </w:p>
    <w:p>
      <w:pPr/>
      <w:r>
        <w:rPr>
          <w:b w:val="1"/>
          <w:bCs w:val="1"/>
        </w:rPr>
        <w:t xml:space="preserve">Development Objective Progress Ratings Definitions</w:t>
      </w:r>
    </w:p>
    <w:p>
      <w:pPr/>
      <w:r>
        <w:rPr/>
        <w:t xml:space="preserve">(HS) Highly Satisfactory: Project is on track to exceed its end-of-project targets, and is likely to achieve transformational change by project closure. The project can be presented as 'outstanding practice'.</w:t>
      </w:r>
    </w:p>
    <w:p>
      <w:pPr/>
      <w:r>
        <w:rPr/>
        <w:t xml:space="preserve">(S) Satisfactory: Project is on track to fully achieve its end-of-project targets by project closure. The project can be presented as 'good practice'.</w:t>
      </w:r>
    </w:p>
    <w:p>
      <w:pPr/>
      <w:r>
        <w:rPr/>
        <w:t xml:space="preserve">(MS) Moderately Satisfactory: Project is on track to achieve its end-of-project targets by project closure with minor shortcomings only.</w:t>
      </w:r>
    </w:p>
    <w:p>
      <w:pPr/>
      <w:r>
        <w:rPr/>
        <w:t xml:space="preserve">(MU) Moderately Unsatisfactory: Project is off track and is expected to partially achieve its end-of-project targets by project closure with significant shortcomings. Project results might be fully achieved by project closure if adaptive management is undertaken immediately.</w:t>
      </w:r>
    </w:p>
    <w:p>
      <w:pPr/>
      <w:r>
        <w:rPr/>
        <w:t xml:space="preserve">(U) Unsatisfactory: Project is off track and is not expected to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without major restructuring.</w:t>
      </w:r>
    </w:p>
    <w:p/>
    <w:p>
      <w:pPr/>
      <w:r>
        <w:rPr>
          <w:b w:val="1"/>
          <w:bCs w:val="1"/>
        </w:rPr>
        <w:t xml:space="preserve">Implementation Progress Ratings Definitions</w:t>
      </w:r>
    </w:p>
    <w:p>
      <w:pPr/>
      <w:r>
        <w:rPr/>
        <w:t xml:space="preserve">(HS) Highly Satisfactory: Implementation is exceeding expectations. Cumulative financial delivery, timing of key implementation milestones, and risk management are fully on track. The project is managed extremely efficiently and effectively. The implementation of the project can be presented as 'outstanding practice'.</w:t>
      </w:r>
    </w:p>
    <w:p>
      <w:pPr/>
      <w:r>
        <w:rPr/>
        <w:t xml:space="preserve">(S) Satisfactory: Implementation is proceeding as planned. Cumulative financial delivery, timing of key implementation milestones, and risk management are on track. The project is managed efficiently and effectively. The implementation of the project can be presented as 'good practice'.</w:t>
      </w:r>
    </w:p>
    <w:p>
      <w:pPr/>
      <w:r>
        <w:rPr/>
        <w:t xml:space="preserve">(MS) Moderately Satisfactory: Implementation is proceeding as planned with minor deviations. Cumulative financial delivery and management of risks are mostly on track, with minor delays. The project is managed well.</w:t>
      </w:r>
    </w:p>
    <w:p>
      <w:pPr/>
      <w:r>
        <w:rPr/>
        <w:t xml:space="preserve">(MU) Moderately Unsatisfactory: Implementation is not proceeding as planned and faces significant implementation issues. Implementation progress could be improved if adaptive management is undertaken immediately. Cumulative financial delivery, timing of key implementation milestones, and/or management of critical risks are significantly off track. The project is not fully or well supported. </w:t>
      </w:r>
    </w:p>
    <w:p>
      <w:pPr/>
      <w:r>
        <w:rPr/>
        <w:t xml:space="preserve">(U) Unsatisfactory: Implementation is not proceeding as planned and faces major implementation issues and restructuring may be necessary. Cumulative financial delivery, timing of key implementation milestones, and/or management of critical risks are off track with major issues and/or concerns. The project is not fully or well supported. </w:t>
      </w:r>
    </w:p>
    <w:p>
      <w:pPr/>
      <w:r>
        <w:rPr/>
        <w:t xml:space="preserve">(HU) Highly Unsatisfactory: Implementation is seriously under performing and major restructuring is required. Cumulative financial delivery, timing of key implementation milestones (e.g. start of activities), and management of critical risks are severely off track with severe issues and/or concerns.  The project is not effectively or efficiently supported.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2022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6CA16"/>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yperlink" Target="https://pims.undp.org/attachments/5645/215387/1756769/1805729/Palau%20GEF6%20Communications%20and%20Knowledge%20Management%20Strategy.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pims.undp.org/attachments/5645/215387/1756767/1805727/RF%20-%20BOD%20Approved%20-%20Palau%20BD%20GEF6%20Post-MTR%20Revised%20Results%20Framework.pdf" TargetMode="External"/><Relationship Id="rId4" Type="http://schemas.openxmlformats.org/officeDocument/2006/relationships/theme" Target="theme/theme1.xml"/><Relationship Id="rId9" Type="http://schemas.openxmlformats.org/officeDocument/2006/relationships/image" Target="media/section_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B0423 - Palau - Cty Pgmm</OfficeCountry>
    <DocumentStatus xmlns="d9cf0e28-81d2-4dc7-8b10-820d80ed680d">Final</DocumentStatus>
    <DocCoverageEndDate xmlns="d9cf0e28-81d2-4dc7-8b10-820d80ed680d">2022-06-30T04:00:00+00:00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Project Implementation Report</FileNameDescription>
    <ProjectNumber xmlns="d9cf0e28-81d2-4dc7-8b10-820d80ed680d">00105164</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UNDP-FJI</OperatingUnit>
    <lcf76f155ced4ddcb4097134ff3c332f xmlns="d9cf0e28-81d2-4dc7-8b10-820d80ed680d">
      <Terms xmlns="http://schemas.microsoft.com/office/infopath/2007/PartnerControls"/>
    </lcf76f155ced4ddcb4097134ff3c332f>
    <FocusArea xmlns="d9cf0e28-81d2-4dc7-8b10-820d80ed680d">Projects</FocusArea>
    <DocCoverageStartDate xmlns="d9cf0e28-81d2-4dc7-8b10-820d80ed680d">2021-07-01T04:00:00+00:00</DocCoverageStartDate>
    <FileClassificationMode xmlns="d9cf0e28-81d2-4dc7-8b10-820d80ed680d">Public</FileClassificationMode>
    <OutputNumber xmlns="d9cf0e28-81d2-4dc7-8b10-820d80ed680d">00106389</OutputNumber>
  </documentManagement>
</p:properties>
</file>

<file path=customXml/itemProps1.xml><?xml version="1.0" encoding="utf-8"?>
<ds:datastoreItem xmlns:ds="http://schemas.openxmlformats.org/officeDocument/2006/customXml" ds:itemID="{06AFFD13-32FC-4145-977B-BAFA321C8C2A}"/>
</file>

<file path=customXml/itemProps2.xml><?xml version="1.0" encoding="utf-8"?>
<ds:datastoreItem xmlns:ds="http://schemas.openxmlformats.org/officeDocument/2006/customXml" ds:itemID="{1C28FA2E-E14D-4C11-B137-DB9D5E3CFEA4}"/>
</file>

<file path=customXml/itemProps3.xml><?xml version="1.0" encoding="utf-8"?>
<ds:datastoreItem xmlns:ds="http://schemas.openxmlformats.org/officeDocument/2006/customXml" ds:itemID="{87A3CFCF-E07F-492C-AB46-A4BD29D2A18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Report</dc:title>
  <dc:subject/>
  <dc:creator/>
  <cp:keywords/>
  <dc:description/>
  <cp:lastModifiedBy/>
  <dcterms:created xsi:type="dcterms:W3CDTF">2022-09-14T05:25:32Z</dcterms:created>
  <dcterms:modified xsi:type="dcterms:W3CDTF">2022-09-14T05:25:32Z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