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pict>
          <v:shape type="#_x0000_t75" stroked="f" style="width:83.149606299213pt; height:91.086614173228pt; margin-left:0pt; margin-top:0pt; position:absolute; mso-position-horizontal:left; mso-position-vertical:top; mso-position-horizontal-relative:margin; mso-position-vertical-relative:line;">
            <w10:wrap type="square" anchorx="page" anchory="page"/>
            <v:imagedata r:id="rId7" o:title=""/>
          </v:shape>
        </w:pict>
      </w:r>
      <w:r>
        <w:pict>
          <v:shape type="#_x0000_t75" stroked="f" style="width:67.275590551181pt; height:120.18897637795pt; margin-left:0pt; margin-top:0pt; position:absolute; mso-position-horizontal:right; mso-position-vertical:top; mso-position-horizontal-relative:margin; mso-position-vertical-relative:line;">
            <w10:wrap type="square" anchorx="page" anchory="page"/>
            <v:imagedata r:id="rId8" o:title=""/>
          </v:shape>
        </w:pict>
      </w:r>
    </w:p>
    <w:p>
      <w:pPr>
        <w:jc w:val="center"/>
      </w:pPr>
      <w:r>
        <w:rPr>
          <w:sz w:val="28"/>
          <w:szCs w:val="28"/>
        </w:rPr>
        <w:t xml:space="preserve">2025</w:t>
      </w:r>
    </w:p>
    <w:p>
      <w:pPr>
        <w:jc w:val="center"/>
      </w:pPr>
      <w:r>
        <w:rPr>
          <w:sz w:val="28"/>
          <w:szCs w:val="28"/>
        </w:rPr>
        <w:t xml:space="preserve">Project Implementation Report (PIR)</w:t>
      </w:r>
    </w:p>
    <w:p>
      <w:pPr/>
      <w:r>
        <w:rPr/>
        <w:t xml:space="preserve"/>
      </w:r>
    </w:p>
    <w:p>
      <w:pPr/>
      <w:r>
        <w:rPr/>
        <w:t xml:space="preserve"/>
      </w:r>
    </w:p>
    <w:p>
      <w:pPr/>
      <w:r>
        <w:rPr/>
        <w:t xml:space="preserve"/>
      </w:r>
    </w:p>
    <w:p>
      <w:pPr>
        <w:jc w:val="center"/>
      </w:pPr>
      <w:r>
        <w:rPr>
          <w:sz w:val="28"/>
          <w:szCs w:val="28"/>
          <w:b w:val="1"/>
          <w:bCs w:val="1"/>
        </w:rPr>
        <w:t xml:space="preserve">Prut River Basin</w:t>
      </w:r>
    </w:p>
    <w:p>
      <w:pPr>
        <w:tabs>
          <w:tab w:val="right" w:leader="dot" w:pos="9062"/>
        </w:tabs>
      </w:pPr>
      <w:r>
        <w:fldChar w:fldCharType="begin"/>
      </w:r>
      <w:r>
        <w:instrText xml:space="preserve">TOC \o 1-1 \h \z \u</w:instrText>
      </w:r>
      <w:r>
        <w:fldChar w:fldCharType="separate"/>
      </w:r>
      <w:hyperlink w:anchor="_Toc0" w:history="1">
        <w:r>
          <w:t>Basic Data</w:t>
        </w:r>
        <w:r>
          <w:tab/>
        </w:r>
        <w:r>
          <w:fldChar w:fldCharType="begin"/>
        </w:r>
        <w:r>
          <w:instrText xml:space="preserve">PAGEREF 0 \h</w:instrText>
        </w:r>
        <w:r>
          <w:fldChar w:fldCharType="end"/>
        </w:r>
      </w:hyperlink>
    </w:p>
    <w:p>
      <w:pPr>
        <w:tabs>
          <w:tab w:val="right" w:leader="dot" w:pos="9062"/>
        </w:tabs>
      </w:pPr>
      <w:hyperlink w:anchor="_Toc1" w:history="1">
        <w:r>
          <w:t>Key project dates</w:t>
        </w:r>
        <w:r>
          <w:tab/>
        </w:r>
        <w:r>
          <w:fldChar w:fldCharType="begin"/>
        </w:r>
        <w:r>
          <w:instrText xml:space="preserve">PAGEREF 1 \h</w:instrText>
        </w:r>
        <w:r>
          <w:fldChar w:fldCharType="end"/>
        </w:r>
      </w:hyperlink>
    </w:p>
    <w:p>
      <w:pPr>
        <w:tabs>
          <w:tab w:val="right" w:leader="dot" w:pos="9062"/>
        </w:tabs>
      </w:pPr>
      <w:hyperlink w:anchor="_Toc2" w:history="1">
        <w:r>
          <w:t>Overall ratings</w:t>
        </w:r>
        <w:r>
          <w:tab/>
        </w:r>
        <w:r>
          <w:fldChar w:fldCharType="begin"/>
        </w:r>
        <w:r>
          <w:instrText xml:space="preserve">PAGEREF 2 \h</w:instrText>
        </w:r>
        <w:r>
          <w:fldChar w:fldCharType="end"/>
        </w:r>
      </w:hyperlink>
    </w:p>
    <w:p>
      <w:pPr>
        <w:tabs>
          <w:tab w:val="right" w:leader="dot" w:pos="9062"/>
        </w:tabs>
      </w:pPr>
      <w:hyperlink w:anchor="_Toc3" w:history="1">
        <w:r>
          <w:t>Development Objective Progress</w:t>
        </w:r>
        <w:r>
          <w:tab/>
        </w:r>
        <w:r>
          <w:fldChar w:fldCharType="begin"/>
        </w:r>
        <w:r>
          <w:instrText xml:space="preserve">PAGEREF 3 \h</w:instrText>
        </w:r>
        <w:r>
          <w:fldChar w:fldCharType="end"/>
        </w:r>
      </w:hyperlink>
    </w:p>
    <w:p>
      <w:pPr>
        <w:tabs>
          <w:tab w:val="right" w:leader="dot" w:pos="9062"/>
        </w:tabs>
      </w:pPr>
      <w:hyperlink w:anchor="_Toc5" w:history="1">
        <w:r>
          <w:t>Finance/Co-Finance</w:t>
        </w:r>
        <w:r>
          <w:tab/>
        </w:r>
        <w:r>
          <w:fldChar w:fldCharType="begin"/>
        </w:r>
        <w:r>
          <w:instrText xml:space="preserve">PAGEREF 5 \h</w:instrText>
        </w:r>
        <w:r>
          <w:fldChar w:fldCharType="end"/>
        </w:r>
      </w:hyperlink>
    </w:p>
    <w:p>
      <w:pPr>
        <w:tabs>
          <w:tab w:val="right" w:leader="dot" w:pos="9062"/>
        </w:tabs>
      </w:pPr>
      <w:hyperlink w:anchor="_Toc7" w:history="1">
        <w:r>
          <w:t>Implementation Progress</w:t>
        </w:r>
        <w:r>
          <w:tab/>
        </w:r>
        <w:r>
          <w:fldChar w:fldCharType="begin"/>
        </w:r>
        <w:r>
          <w:instrText xml:space="preserve">PAGEREF 7 \h</w:instrText>
        </w:r>
        <w:r>
          <w:fldChar w:fldCharType="end"/>
        </w:r>
      </w:hyperlink>
    </w:p>
    <w:p>
      <w:pPr>
        <w:tabs>
          <w:tab w:val="right" w:leader="dot" w:pos="9062"/>
        </w:tabs>
      </w:pPr>
      <w:hyperlink w:anchor="_Toc8" w:history="1">
        <w:r>
          <w:t>Project Governance</w:t>
        </w:r>
        <w:r>
          <w:tab/>
        </w:r>
        <w:r>
          <w:fldChar w:fldCharType="begin"/>
        </w:r>
        <w:r>
          <w:instrText xml:space="preserve">PAGEREF 8 \h</w:instrText>
        </w:r>
        <w:r>
          <w:fldChar w:fldCharType="end"/>
        </w:r>
      </w:hyperlink>
    </w:p>
    <w:p>
      <w:pPr>
        <w:tabs>
          <w:tab w:val="right" w:leader="dot" w:pos="9062"/>
        </w:tabs>
      </w:pPr>
      <w:hyperlink w:anchor="_Toc9" w:history="1">
        <w:r>
          <w:t>Ratings and Overall Assessments</w:t>
        </w:r>
        <w:r>
          <w:tab/>
        </w:r>
        <w:r>
          <w:fldChar w:fldCharType="begin"/>
        </w:r>
        <w:r>
          <w:instrText xml:space="preserve">PAGEREF 9 \h</w:instrText>
        </w:r>
        <w:r>
          <w:fldChar w:fldCharType="end"/>
        </w:r>
      </w:hyperlink>
    </w:p>
    <w:p>
      <w:pPr>
        <w:tabs>
          <w:tab w:val="right" w:leader="dot" w:pos="9062"/>
        </w:tabs>
      </w:pPr>
      <w:hyperlink w:anchor="_Toc10" w:history="1">
        <w:r>
          <w:t>Minor Amendments</w:t>
        </w:r>
        <w:r>
          <w:tab/>
        </w:r>
        <w:r>
          <w:fldChar w:fldCharType="begin"/>
        </w:r>
        <w:r>
          <w:instrText xml:space="preserve">PAGEREF 10 \h</w:instrText>
        </w:r>
        <w:r>
          <w:fldChar w:fldCharType="end"/>
        </w:r>
      </w:hyperlink>
    </w:p>
    <w:p>
      <w:pPr>
        <w:tabs>
          <w:tab w:val="right" w:leader="dot" w:pos="9062"/>
        </w:tabs>
      </w:pPr>
      <w:hyperlink w:anchor="_Toc11" w:history="1">
        <w:r>
          <w:t>Gender</w:t>
        </w:r>
        <w:r>
          <w:tab/>
        </w:r>
        <w:r>
          <w:fldChar w:fldCharType="begin"/>
        </w:r>
        <w:r>
          <w:instrText xml:space="preserve">PAGEREF 11 \h</w:instrText>
        </w:r>
        <w:r>
          <w:fldChar w:fldCharType="end"/>
        </w:r>
      </w:hyperlink>
    </w:p>
    <w:p>
      <w:pPr>
        <w:tabs>
          <w:tab w:val="right" w:leader="dot" w:pos="9062"/>
        </w:tabs>
      </w:pPr>
      <w:hyperlink w:anchor="_Toc13" w:history="1">
        <w:r>
          <w:t>Risk Management</w:t>
        </w:r>
        <w:r>
          <w:tab/>
        </w:r>
        <w:r>
          <w:fldChar w:fldCharType="begin"/>
        </w:r>
        <w:r>
          <w:instrText xml:space="preserve">PAGEREF 13 \h</w:instrText>
        </w:r>
        <w:r>
          <w:fldChar w:fldCharType="end"/>
        </w:r>
      </w:hyperlink>
    </w:p>
    <w:p>
      <w:pPr>
        <w:tabs>
          <w:tab w:val="right" w:leader="dot" w:pos="9062"/>
        </w:tabs>
      </w:pPr>
      <w:hyperlink w:anchor="_Toc16" w:history="1">
        <w:r>
          <w:t>Knowledge Management &amp; Communications</w:t>
        </w:r>
        <w:r>
          <w:tab/>
        </w:r>
        <w:r>
          <w:fldChar w:fldCharType="begin"/>
        </w:r>
        <w:r>
          <w:instrText xml:space="preserve">PAGEREF 16 \h</w:instrText>
        </w:r>
        <w:r>
          <w:fldChar w:fldCharType="end"/>
        </w:r>
      </w:hyperlink>
    </w:p>
    <w:p>
      <w:pPr>
        <w:tabs>
          <w:tab w:val="right" w:leader="dot" w:pos="9062"/>
        </w:tabs>
      </w:pPr>
      <w:hyperlink w:anchor="_Toc17" w:history="1">
        <w:r>
          <w:t>Annex - Ratings Definitions</w:t>
        </w:r>
        <w:r>
          <w:tab/>
        </w:r>
        <w:r>
          <w:fldChar w:fldCharType="begin"/>
        </w:r>
        <w:r>
          <w:instrText xml:space="preserve">PAGEREF 17 \h</w:instrText>
        </w:r>
        <w:r>
          <w:fldChar w:fldCharType="end"/>
        </w:r>
      </w:hyperlink>
    </w:p>
    <w:p>
      <w:r>
        <w:fldChar w:fldCharType="end"/>
      </w:r>
    </w:p>
    <w:p>
      <w:pPr>
        <w:sectPr>
          <w:headerReference w:type="default" r:id="rId11"/>
          <w:footerReference w:type="default" r:id="rId12"/>
          <w:pgSz w:orient="portrait" w:w="11905.511811023622" w:h="16837.79527559055"/>
          <w:pgMar w:top="1440" w:right="1440" w:bottom="1440" w:left="1440" w:header="720" w:footer="720" w:gutter="0"/>
          <w:cols w:num="1" w:space="720"/>
        </w:sectPr>
      </w:pPr>
    </w:p>
    <w:p>
      <w:pPr>
        <w:pStyle w:val="Heading1"/>
      </w:pPr>
      <w:bookmarkStart w:id="0" w:name="_Toc0"/>
      <w:r>
        <w:t>Basic Data</w:t>
      </w:r>
      <w:bookmarkEnd w:id="0"/>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Information</w:t>
            </w:r>
          </w:p>
        </w:tc>
      </w:tr>
      <w:tr>
        <w:trPr/>
        <w:tc>
          <w:tcPr>
            <w:tcW w:w="5000" w:type="dxa"/>
            <w:gridSpan w:val="1"/>
            <w:noWrap/>
          </w:tcPr>
          <w:p>
            <w:pPr/>
            <w:r>
              <w:rPr/>
              <w:t xml:space="preserve">UNDP PIMS ID</w:t>
            </w:r>
          </w:p>
        </w:tc>
        <w:tc>
          <w:tcPr>
            <w:tcW w:w="5000" w:type="dxa"/>
            <w:gridSpan w:val="1"/>
            <w:noWrap/>
          </w:tcPr>
          <w:p>
            <w:pPr/>
            <w:r>
              <w:rPr/>
              <w:t xml:space="preserve">6551</w:t>
            </w:r>
          </w:p>
        </w:tc>
      </w:tr>
      <w:tr>
        <w:trPr/>
        <w:tc>
          <w:tcPr>
            <w:tcW w:w="5000" w:type="dxa"/>
            <w:gridSpan w:val="1"/>
            <w:noWrap/>
          </w:tcPr>
          <w:p>
            <w:pPr/>
            <w:r>
              <w:rPr/>
              <w:t xml:space="preserve">GEF ID</w:t>
            </w:r>
          </w:p>
        </w:tc>
        <w:tc>
          <w:tcPr>
            <w:tcW w:w="5000" w:type="dxa"/>
            <w:gridSpan w:val="1"/>
            <w:noWrap/>
          </w:tcPr>
          <w:p>
            <w:pPr/>
            <w:r>
              <w:rPr/>
              <w:t xml:space="preserve">10650</w:t>
            </w:r>
          </w:p>
        </w:tc>
      </w:tr>
      <w:tr>
        <w:trPr/>
        <w:tc>
          <w:tcPr>
            <w:tcW w:w="5000" w:type="dxa"/>
            <w:gridSpan w:val="1"/>
            <w:noWrap/>
          </w:tcPr>
          <w:p>
            <w:pPr/>
            <w:r>
              <w:rPr/>
              <w:t xml:space="preserve">Title</w:t>
            </w:r>
          </w:p>
        </w:tc>
        <w:tc>
          <w:tcPr>
            <w:tcW w:w="5000" w:type="dxa"/>
            <w:gridSpan w:val="1"/>
            <w:noWrap/>
          </w:tcPr>
          <w:p>
            <w:pPr/>
            <w:r>
              <w:rPr/>
              <w:t xml:space="preserve">Conservation and sustainable management of wetlands with focus on high-nature value areas in the Prut River basin</w:t>
            </w:r>
          </w:p>
        </w:tc>
      </w:tr>
      <w:tr>
        <w:trPr/>
        <w:tc>
          <w:tcPr>
            <w:tcW w:w="5000" w:type="dxa"/>
            <w:gridSpan w:val="1"/>
            <w:noWrap/>
          </w:tcPr>
          <w:p>
            <w:pPr/>
            <w:r>
              <w:rPr/>
              <w:t xml:space="preserve">Country(ies)</w:t>
            </w:r>
          </w:p>
        </w:tc>
        <w:tc>
          <w:tcPr>
            <w:tcW w:w="5000" w:type="dxa"/>
            <w:gridSpan w:val="1"/>
            <w:noWrap/>
          </w:tcPr>
          <w:p>
            <w:pPr/>
            <w:r>
              <w:rPr/>
              <w:t xml:space="preserve">Moldova Republic, Moldova Republic</w:t>
            </w:r>
          </w:p>
        </w:tc>
      </w:tr>
      <w:tr>
        <w:trPr/>
        <w:tc>
          <w:tcPr>
            <w:tcW w:w="5000" w:type="dxa"/>
            <w:gridSpan w:val="1"/>
            <w:noWrap/>
          </w:tcPr>
          <w:p>
            <w:pPr/>
            <w:r>
              <w:rPr/>
              <w:t xml:space="preserve">UNDP Technical Team</w:t>
            </w:r>
          </w:p>
        </w:tc>
        <w:tc>
          <w:tcPr>
            <w:tcW w:w="5000" w:type="dxa"/>
            <w:gridSpan w:val="1"/>
            <w:noWrap/>
          </w:tcPr>
          <w:p>
            <w:pPr/>
            <w:r>
              <w:rPr/>
              <w:t xml:space="preserve">Ecosystems and Biodiversity</w:t>
            </w:r>
          </w:p>
        </w:tc>
      </w:tr>
      <w:tr>
        <w:trPr/>
        <w:tc>
          <w:tcPr>
            <w:tcW w:w="5000" w:type="dxa"/>
            <w:gridSpan w:val="1"/>
            <w:noWrap/>
          </w:tcPr>
          <w:p>
            <w:pPr/>
            <w:r>
              <w:rPr/>
              <w:t xml:space="preserve">Management Arrangements</w:t>
            </w:r>
          </w:p>
        </w:tc>
        <w:tc>
          <w:tcPr>
            <w:tcW w:w="5000" w:type="dxa"/>
            <w:gridSpan w:val="1"/>
            <w:noWrap/>
          </w:tcPr>
          <w:p>
            <w:pPr/>
            <w:r>
              <w:rPr/>
              <w:t xml:space="preserve">NIM</w:t>
            </w:r>
          </w:p>
        </w:tc>
      </w:tr>
      <w:tr>
        <w:trPr/>
        <w:tc>
          <w:tcPr>
            <w:tcW w:w="5000" w:type="dxa"/>
            <w:gridSpan w:val="1"/>
            <w:noWrap/>
          </w:tcPr>
          <w:p>
            <w:pPr/>
            <w:r>
              <w:rPr/>
              <w:t xml:space="preserve">Project Implementing Partner</w:t>
            </w:r>
          </w:p>
        </w:tc>
        <w:tc>
          <w:tcPr>
            <w:tcW w:w="5000" w:type="dxa"/>
            <w:gridSpan w:val="1"/>
            <w:noWrap/>
          </w:tcPr>
          <w:p>
            <w:pPr/>
            <w:r>
              <w:rPr/>
              <w:t xml:space="preserve">Ministry of Environment of the Republic of Moldova</w:t>
            </w:r>
          </w:p>
        </w:tc>
      </w:tr>
      <w:tr>
        <w:trPr/>
        <w:tc>
          <w:tcPr>
            <w:tcW w:w="5000" w:type="dxa"/>
            <w:gridSpan w:val="1"/>
            <w:noWrap/>
          </w:tcPr>
          <w:p>
            <w:pPr/>
            <w:r>
              <w:rPr/>
              <w:t xml:space="preserve">Joint Agencies</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Project Type</w:t>
            </w:r>
          </w:p>
        </w:tc>
        <w:tc>
          <w:tcPr>
            <w:tcW w:w="5000" w:type="dxa"/>
            <w:gridSpan w:val="1"/>
            <w:noWrap/>
          </w:tcPr>
          <w:p>
            <w:pPr/>
            <w:r>
              <w:rPr/>
              <w:t xml:space="preserve">Medium Size - 2 steps</w:t>
            </w:r>
          </w:p>
        </w:tc>
      </w:tr>
      <w:tr>
        <w:trPr/>
        <w:tc>
          <w:tcPr>
            <w:tcW w:w="5000" w:type="dxa"/>
            <w:gridSpan w:val="1"/>
            <w:noWrap/>
          </w:tcPr>
          <w:p>
            <w:pPr/>
            <w:r>
              <w:rPr/>
              <w:t xml:space="preserve">Implementation Status</w:t>
            </w:r>
          </w:p>
        </w:tc>
        <w:tc>
          <w:tcPr>
            <w:tcW w:w="5000" w:type="dxa"/>
            <w:gridSpan w:val="1"/>
            <w:noWrap/>
          </w:tcPr>
          <w:p>
            <w:pPr/>
            <w:r>
              <w:rPr/>
              <w:t xml:space="preserve">2nd PIR</w:t>
            </w:r>
          </w:p>
        </w:tc>
      </w:tr>
      <w:tr>
        <w:trPr/>
        <w:tc>
          <w:tcPr>
            <w:tcW w:w="5000" w:type="dxa"/>
            <w:gridSpan w:val="1"/>
            <w:noWrap/>
          </w:tcPr>
          <w:p>
            <w:pPr/>
            <w:r>
              <w:rPr/>
              <w:t xml:space="preserve">GEF Fiscal Year</w:t>
            </w:r>
          </w:p>
        </w:tc>
        <w:tc>
          <w:tcPr>
            <w:tcW w:w="5000" w:type="dxa"/>
            <w:gridSpan w:val="1"/>
            <w:noWrap/>
          </w:tcPr>
          <w:p>
            <w:pPr/>
            <w:r>
              <w:rPr/>
              <w:t xml:space="preserve">FY25</w:t>
            </w:r>
          </w:p>
        </w:tc>
      </w:tr>
      <w:tr>
        <w:trPr/>
        <w:tc>
          <w:tcPr>
            <w:tcW w:w="5000" w:type="dxa"/>
            <w:gridSpan w:val="1"/>
            <w:noWrap/>
          </w:tcPr>
          <w:p>
            <w:pPr/>
            <w:r>
              <w:rPr/>
              <w:t xml:space="preserve">Trust Fund</w:t>
            </w:r>
          </w:p>
        </w:tc>
        <w:tc>
          <w:tcPr>
            <w:tcW w:w="5000" w:type="dxa"/>
            <w:gridSpan w:val="1"/>
            <w:noWrap/>
          </w:tcPr>
          <w:p>
            <w:pPr/>
            <w:r>
              <w:rPr/>
              <w:t xml:space="preserve">GEF Trust Fund</w:t>
            </w:r>
          </w:p>
        </w:tc>
      </w:tr>
    </w:tbl>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Project Description</w:t>
            </w:r>
          </w:p>
        </w:tc>
      </w:tr>
      <w:tr>
        <w:trPr/>
        <w:tc>
          <w:tcPr>
            <w:tcW w:w="10000" w:type="dxa"/>
            <w:gridSpan w:val="1"/>
            <w:noWrap/>
          </w:tcPr>
          <w:p>
            <w:pPr/>
            <w:r>
              <w:rPr/>
              <w:t xml:space="preserve">The objective of the project is to achieve ecological integrity of key floodplain wetlands in the Prut river basin, ensuring positive status of biodiversity, land and water resources, as well as ecosystem services. This will be achieved through provisions for the minimum environmental flow and hydrological repair of declining wetlands and strengthening the PAs management hosting valuable wetlands habitats and key species. The GEF investment will be based on an integrated river basin management approach that ensures the continuity of wetland ecosystem services sustaining livelihoods in the Prut river basin at approximately 20,803 ha of high value wetlands in the Lower Prut Biosphere Reserve, the Royal Forest Nature Reserve and surrounding floodplain. The project-driven hydrological repair of Camenca river’s floodplain, will bring an additional 8.3 million m3 of water annually to nourish declining wetlands in the Prut river mid-section, ensuring the survival of approximately 11,175 ha of valuable floodplain habitat even under a severe climate induced water scarcity scenario. The project-supported improvements of legal and financing frameworks for wetlands and protected areas will enable sustainable management of Prut basin’s wetlands, hosting globally important migratory aquatic birds species such as herons, egrets, spoonbills, ibises nesting and feeding in these areas. The project’s demonstration activities and strengthened regulatory framework will pave the way for a more systematic approaches to improving wetlands condition. Involving private sector and strengthening knowledge about voluntary environment certification and “greening” businesses as well as strengthening regulatory framework and legal enforcement will reduce the threats to biodiversity values coming from sectoral land and resource use (agriculture, forestry, food industry, oil exploitation). Supporting local communities accessing affordable financing for their local businesses will help alleviate the pressure on natural resources.</w:t>
            </w:r>
          </w:p>
        </w:tc>
      </w:tr>
    </w:tbl>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Contacts</w:t>
            </w:r>
          </w:p>
        </w:tc>
      </w:tr>
      <w:tr>
        <w:trPr/>
        <w:tc>
          <w:tcPr>
            <w:tcW w:w="5000" w:type="dxa"/>
            <w:gridSpan w:val="1"/>
            <w:noWrap/>
          </w:tcPr>
          <w:p>
            <w:pPr/>
            <w:r>
              <w:rPr/>
              <w:t xml:space="preserve">UNDP BPPS Technical Advisor</w:t>
            </w:r>
          </w:p>
        </w:tc>
        <w:tc>
          <w:tcPr>
            <w:tcW w:w="5000" w:type="dxa"/>
            <w:gridSpan w:val="1"/>
            <w:noWrap/>
          </w:tcPr>
          <w:p>
            <w:pPr/>
            <w:r>
              <w:rPr/>
              <w:t xml:space="preserve">Mr. Carlos Montenegro Pinto (carlos.montenegro.pinto@undp.org)</w:t>
            </w:r>
          </w:p>
        </w:tc>
      </w:tr>
      <w:tr>
        <w:trPr/>
        <w:tc>
          <w:tcPr>
            <w:tcW w:w="5000" w:type="dxa"/>
            <w:gridSpan w:val="1"/>
            <w:noWrap/>
          </w:tcPr>
          <w:p>
            <w:pPr/>
            <w:r>
              <w:rPr/>
              <w:t xml:space="preserve">UNDP BPPS Programme Associate</w:t>
            </w:r>
          </w:p>
        </w:tc>
        <w:tc>
          <w:tcPr>
            <w:tcW w:w="5000" w:type="dxa"/>
            <w:gridSpan w:val="1"/>
            <w:noWrap/>
          </w:tcPr>
          <w:p>
            <w:pPr/>
            <w:r>
              <w:rPr/>
              <w:t xml:space="preserve">Ms. Yeliz Oymen (yeliz.oymen@undp.org)</w:t>
            </w:r>
          </w:p>
        </w:tc>
      </w:tr>
      <w:tr>
        <w:trPr/>
        <w:tc>
          <w:tcPr>
            <w:tcW w:w="5000" w:type="dxa"/>
            <w:gridSpan w:val="1"/>
            <w:noWrap/>
          </w:tcPr>
          <w:p>
            <w:pPr/>
            <w:r>
              <w:rPr/>
              <w:t xml:space="preserve">UNDP BPPS SES Technical Advisor</w:t>
            </w:r>
          </w:p>
        </w:tc>
        <w:tc>
          <w:tcPr>
            <w:tcW w:w="5000" w:type="dxa"/>
            <w:gridSpan w:val="1"/>
            <w:noWrap/>
          </w:tcPr>
          <w:p>
            <w:pPr/>
            <w:r>
              <w:rPr/>
              <w:t xml:space="preserve">Mr. Jiri DUSIK (jiri.dusik@undp.org)</w:t>
            </w:r>
          </w:p>
        </w:tc>
      </w:tr>
      <w:tr>
        <w:trPr/>
        <w:tc>
          <w:tcPr>
            <w:tcW w:w="5000" w:type="dxa"/>
            <w:gridSpan w:val="1"/>
            <w:noWrap/>
          </w:tcPr>
          <w:p>
            <w:pPr/>
            <w:r>
              <w:rPr/>
              <w:t xml:space="preserve">Project Manager/Coordinator</w:t>
            </w:r>
          </w:p>
        </w:tc>
        <w:tc>
          <w:tcPr>
            <w:tcW w:w="5000" w:type="dxa"/>
            <w:gridSpan w:val="1"/>
            <w:noWrap/>
          </w:tcPr>
          <w:p>
            <w:pPr/>
            <w:r>
              <w:rPr/>
              <w:t xml:space="preserve">Victoria Covali (forestrywomen80@gmail.com)</w:t>
            </w:r>
          </w:p>
        </w:tc>
      </w:tr>
      <w:tr>
        <w:trPr/>
        <w:tc>
          <w:tcPr>
            <w:tcW w:w="5000" w:type="dxa"/>
            <w:gridSpan w:val="1"/>
            <w:noWrap/>
          </w:tcPr>
          <w:p>
            <w:pPr/>
            <w:r>
              <w:rPr/>
              <w:t xml:space="preserve">UNDP Country Office Programme Officer</w:t>
            </w:r>
          </w:p>
        </w:tc>
        <w:tc>
          <w:tcPr>
            <w:tcW w:w="5000" w:type="dxa"/>
            <w:gridSpan w:val="1"/>
            <w:noWrap/>
          </w:tcPr>
          <w:p>
            <w:pPr/>
            <w:r>
              <w:rPr/>
              <w:t xml:space="preserve">Ms. Silvia PANA-CARP (silvia.pana-carp@undp.org)</w:t>
            </w:r>
          </w:p>
        </w:tc>
      </w:tr>
      <w:tr>
        <w:trPr/>
        <w:tc>
          <w:tcPr>
            <w:tcW w:w="5000" w:type="dxa"/>
            <w:gridSpan w:val="1"/>
            <w:noWrap/>
          </w:tcPr>
          <w:p>
            <w:pPr/>
            <w:r>
              <w:rPr/>
              <w:t xml:space="preserve">UNDP Country Office Deputy Resident Representative</w:t>
            </w:r>
          </w:p>
        </w:tc>
        <w:tc>
          <w:tcPr>
            <w:tcW w:w="5000" w:type="dxa"/>
            <w:gridSpan w:val="1"/>
            <w:noWrap/>
          </w:tcPr>
          <w:p>
            <w:pPr/>
            <w:r>
              <w:rPr/>
              <w:t xml:space="preserve">Ms. Seher ALACACI ARINER (seher.alacaci@undp.org)</w:t>
            </w:r>
          </w:p>
        </w:tc>
      </w:tr>
      <w:tr>
        <w:trPr/>
        <w:tc>
          <w:tcPr>
            <w:tcW w:w="5000" w:type="dxa"/>
            <w:gridSpan w:val="1"/>
            <w:noWrap/>
          </w:tcPr>
          <w:p>
            <w:pPr/>
            <w:r>
              <w:rPr/>
              <w:t xml:space="preserve">UNDP Regional Bureau Desk Officer</w:t>
            </w:r>
          </w:p>
        </w:tc>
        <w:tc>
          <w:tcPr>
            <w:tcW w:w="5000" w:type="dxa"/>
            <w:gridSpan w:val="1"/>
            <w:noWrap/>
          </w:tcPr>
          <w:p>
            <w:pPr/>
            <w:r>
              <w:rPr/>
              <w:t xml:space="preserve">Mr. Rovshen NURMUHAMEDOV (rovshen.nurmuhamedov@undp.org)</w:t>
            </w:r>
          </w:p>
        </w:tc>
      </w:tr>
      <w:tr>
        <w:trPr/>
        <w:tc>
          <w:tcPr>
            <w:tcW w:w="5000" w:type="dxa"/>
            <w:gridSpan w:val="1"/>
            <w:noWrap/>
          </w:tcPr>
          <w:p>
            <w:pPr/>
            <w:r>
              <w:rPr/>
              <w:t xml:space="preserve">GEF Operational Focal Point</w:t>
            </w:r>
          </w:p>
        </w:tc>
        <w:tc>
          <w:tcPr>
            <w:tcW w:w="5000" w:type="dxa"/>
            <w:gridSpan w:val="1"/>
            <w:noWrap/>
          </w:tcPr>
          <w:p>
            <w:pPr/>
            <w:r>
              <w:rPr/>
              <w:t xml:space="preserve">Mr. Petru Tataru (petru.tataru@mediu.gov.md)</w:t>
            </w:r>
          </w:p>
        </w:tc>
      </w:tr>
      <w:tr>
        <w:trPr/>
        <w:tc>
          <w:tcPr>
            <w:tcW w:w="5000" w:type="dxa"/>
            <w:gridSpan w:val="1"/>
            <w:noWrap/>
          </w:tcPr>
          <w:p>
            <w:pPr/>
            <w:r>
              <w:rPr/>
              <w:t xml:space="preserve">Project Implementing Partner</w:t>
            </w:r>
          </w:p>
        </w:tc>
        <w:tc>
          <w:tcPr>
            <w:tcW w:w="5000" w:type="dxa"/>
            <w:gridSpan w:val="1"/>
            <w:noWrap/>
          </w:tcPr>
          <w:p>
            <w:pPr/>
            <w:r>
              <w:rPr/>
              <w:t xml:space="preserve">Mr. Petru Tataru (petru.tataru@mediu.gov.md)</w:t>
            </w:r>
          </w:p>
        </w:tc>
      </w:tr>
      <w:tr>
        <w:trPr/>
        <w:tc>
          <w:tcPr>
            <w:tcW w:w="5000" w:type="dxa"/>
            <w:gridSpan w:val="1"/>
            <w:noWrap/>
          </w:tcPr>
          <w:p>
            <w:pPr/>
            <w:r>
              <w:rPr/>
              <w:t xml:space="preserve">Other Partners</w:t>
            </w:r>
          </w:p>
        </w:tc>
        <w:tc>
          <w:tcPr>
            <w:tcW w:w="5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 w:name="_Toc1"/>
      <w:r>
        <w:t>Key project dates</w:t>
      </w:r>
      <w:bookmarkEnd w:id="1"/>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Project duration</w:t>
            </w:r>
          </w:p>
        </w:tc>
        <w:tc>
          <w:tcPr>
            <w:tcW w:w="5000" w:type="dxa"/>
            <w:vAlign w:val="center"/>
            <w:gridSpan w:val="1"/>
            <w:noWrap/>
          </w:tcPr>
          <w:p>
            <w:pPr>
              <w:jc w:val="right"/>
            </w:pPr>
            <w:r>
              <w:rPr/>
              <w:t xml:space="preserve">60 months</w:t>
            </w:r>
          </w:p>
        </w:tc>
      </w:tr>
      <w:tr>
        <w:trPr/>
        <w:tc>
          <w:tcPr>
            <w:tcW w:w="5000" w:type="dxa"/>
            <w:gridSpan w:val="1"/>
            <w:noWrap/>
          </w:tcPr>
          <w:p>
            <w:pPr/>
            <w:r>
              <w:rPr/>
              <w:t xml:space="preserve">PIF Approval Date</w:t>
            </w:r>
          </w:p>
        </w:tc>
        <w:tc>
          <w:tcPr>
            <w:tcW w:w="5000" w:type="dxa"/>
            <w:vAlign w:val="center"/>
            <w:gridSpan w:val="1"/>
            <w:noWrap/>
          </w:tcPr>
          <w:p>
            <w:pPr>
              <w:jc w:val="right"/>
            </w:pPr>
            <w:r>
              <w:rPr/>
              <w:t xml:space="preserve">Oct 2, 2020</w:t>
            </w:r>
          </w:p>
        </w:tc>
      </w:tr>
      <w:tr>
        <w:trPr/>
        <w:tc>
          <w:tcPr>
            <w:tcW w:w="5000" w:type="dxa"/>
            <w:gridSpan w:val="1"/>
            <w:noWrap/>
          </w:tcPr>
          <w:p>
            <w:pPr/>
            <w:r>
              <w:rPr/>
              <w:t xml:space="preserve">CEO Endorsement Date</w:t>
            </w:r>
          </w:p>
        </w:tc>
        <w:tc>
          <w:tcPr>
            <w:tcW w:w="5000" w:type="dxa"/>
            <w:vAlign w:val="center"/>
            <w:gridSpan w:val="1"/>
            <w:noWrap/>
          </w:tcPr>
          <w:p>
            <w:pPr>
              <w:jc w:val="right"/>
            </w:pPr>
            <w:r>
              <w:rPr/>
              <w:t xml:space="preserve">Feb 9, 2022</w:t>
            </w:r>
          </w:p>
        </w:tc>
      </w:tr>
      <w:tr>
        <w:trPr/>
        <w:tc>
          <w:tcPr>
            <w:tcW w:w="5000" w:type="dxa"/>
            <w:gridSpan w:val="1"/>
            <w:noWrap/>
          </w:tcPr>
          <w:p>
            <w:pPr/>
            <w:r>
              <w:rPr/>
              <w:t xml:space="preserve">Project Document Signature Date (project start date):</w:t>
            </w:r>
          </w:p>
        </w:tc>
        <w:tc>
          <w:tcPr>
            <w:tcW w:w="5000" w:type="dxa"/>
            <w:vAlign w:val="center"/>
            <w:gridSpan w:val="1"/>
            <w:noWrap/>
          </w:tcPr>
          <w:p>
            <w:pPr>
              <w:jc w:val="right"/>
            </w:pPr>
            <w:r>
              <w:rPr/>
              <w:t xml:space="preserve">Aug 23, 2022</w:t>
            </w:r>
          </w:p>
        </w:tc>
      </w:tr>
      <w:tr>
        <w:trPr/>
        <w:tc>
          <w:tcPr>
            <w:tcW w:w="5000" w:type="dxa"/>
            <w:gridSpan w:val="1"/>
            <w:noWrap/>
          </w:tcPr>
          <w:p>
            <w:pPr/>
            <w:r>
              <w:rPr/>
              <w:t xml:space="preserve">Date of Inception Workshop</w:t>
            </w:r>
          </w:p>
        </w:tc>
        <w:tc>
          <w:tcPr>
            <w:tcW w:w="5000" w:type="dxa"/>
            <w:vAlign w:val="center"/>
            <w:gridSpan w:val="1"/>
            <w:noWrap/>
          </w:tcPr>
          <w:p>
            <w:pPr>
              <w:jc w:val="right"/>
            </w:pPr>
            <w:r>
              <w:rPr/>
              <w:t xml:space="preserve">Jun 7, 2023</w:t>
            </w:r>
          </w:p>
        </w:tc>
      </w:tr>
      <w:tr>
        <w:trPr/>
        <w:tc>
          <w:tcPr>
            <w:tcW w:w="5000" w:type="dxa"/>
            <w:gridSpan w:val="1"/>
            <w:noWrap/>
          </w:tcPr>
          <w:p>
            <w:pPr/>
            <w:r>
              <w:rPr/>
              <w:t xml:space="preserve">First Disbursement Date</w:t>
            </w:r>
          </w:p>
        </w:tc>
        <w:tc>
          <w:tcPr>
            <w:tcW w:w="5000" w:type="dxa"/>
            <w:vAlign w:val="center"/>
            <w:gridSpan w:val="1"/>
            <w:noWrap/>
          </w:tcPr>
          <w:p>
            <w:pPr>
              <w:jc w:val="right"/>
            </w:pPr>
            <w:r>
              <w:rPr/>
              <w:t xml:space="preserve">Jun 17, 2023</w:t>
            </w:r>
          </w:p>
        </w:tc>
      </w:tr>
      <w:tr>
        <w:trPr/>
        <w:tc>
          <w:tcPr>
            <w:tcW w:w="5000" w:type="dxa"/>
            <w:gridSpan w:val="1"/>
            <w:noWrap/>
          </w:tcPr>
          <w:p>
            <w:pPr/>
            <w:r>
              <w:rPr/>
              <w:t xml:space="preserve">Expected Date of Mid-term Review</w:t>
            </w:r>
          </w:p>
        </w:tc>
        <w:tc>
          <w:tcPr>
            <w:tcW w:w="5000" w:type="dxa"/>
            <w:vAlign w:val="center"/>
            <w:gridSpan w:val="1"/>
            <w:noWrap/>
          </w:tcPr>
          <w:p>
            <w:pPr>
              <w:jc w:val="right"/>
            </w:pPr>
            <w:r>
              <w:rPr/>
              <w:t xml:space="preserve">Feb 23, 2025</w:t>
            </w:r>
          </w:p>
        </w:tc>
      </w:tr>
      <w:tr>
        <w:trPr/>
        <w:tc>
          <w:tcPr>
            <w:tcW w:w="5000" w:type="dxa"/>
            <w:gridSpan w:val="1"/>
            <w:noWrap/>
          </w:tcPr>
          <w:p>
            <w:pPr/>
            <w:r>
              <w:rPr/>
              <w:t xml:space="preserve">Actual Date of Mid-term Review</w:t>
            </w:r>
          </w:p>
        </w:tc>
        <w:tc>
          <w:tcPr>
            <w:tcW w:w="5000" w:type="dxa"/>
            <w:vAlign w:val="center"/>
            <w:gridSpan w:val="1"/>
            <w:noWrap/>
          </w:tcPr>
          <w:p>
            <w:pPr>
              <w:jc w:val="right"/>
            </w:pPr>
            <w:r>
              <w:rPr/>
              <w:t xml:space="preserve">Jul 25, 2025</w:t>
            </w:r>
          </w:p>
        </w:tc>
      </w:tr>
      <w:tr>
        <w:trPr/>
        <w:tc>
          <w:tcPr>
            <w:tcW w:w="5000" w:type="dxa"/>
            <w:gridSpan w:val="1"/>
            <w:noWrap/>
          </w:tcPr>
          <w:p>
            <w:pPr/>
            <w:r>
              <w:rPr/>
              <w:t xml:space="preserve">Expected Date of Terminal Evaluation</w:t>
            </w:r>
          </w:p>
        </w:tc>
        <w:tc>
          <w:tcPr>
            <w:tcW w:w="5000" w:type="dxa"/>
            <w:vAlign w:val="center"/>
            <w:gridSpan w:val="1"/>
            <w:noWrap/>
          </w:tcPr>
          <w:p>
            <w:pPr>
              <w:jc w:val="right"/>
            </w:pPr>
            <w:r>
              <w:rPr/>
              <w:t xml:space="preserve">May 23, 2027</w:t>
            </w:r>
          </w:p>
        </w:tc>
      </w:tr>
      <w:tr>
        <w:trPr/>
        <w:tc>
          <w:tcPr>
            <w:tcW w:w="5000" w:type="dxa"/>
            <w:gridSpan w:val="1"/>
            <w:noWrap/>
          </w:tcPr>
          <w:p>
            <w:pPr/>
            <w:r>
              <w:rPr/>
              <w:t xml:space="preserve">Original Planned Closing Date</w:t>
            </w:r>
          </w:p>
        </w:tc>
        <w:tc>
          <w:tcPr>
            <w:tcW w:w="5000" w:type="dxa"/>
            <w:vAlign w:val="center"/>
            <w:gridSpan w:val="1"/>
            <w:noWrap/>
          </w:tcPr>
          <w:p>
            <w:pPr>
              <w:jc w:val="right"/>
            </w:pPr>
            <w:r>
              <w:rPr/>
              <w:t xml:space="preserve">Aug 23, 2027</w:t>
            </w:r>
          </w:p>
        </w:tc>
      </w:tr>
      <w:tr>
        <w:trPr/>
        <w:tc>
          <w:tcPr>
            <w:tcW w:w="5000" w:type="dxa"/>
            <w:gridSpan w:val="1"/>
            <w:noWrap/>
          </w:tcPr>
          <w:p>
            <w:pPr/>
            <w:r>
              <w:rPr/>
              <w:t xml:space="preserve">Revised Planned Closing Date</w:t>
            </w:r>
          </w:p>
        </w:tc>
        <w:tc>
          <w:tcPr>
            <w:tcW w:w="5000" w:type="dxa"/>
            <w:vAlign w:val="center"/>
            <w:gridSpan w:val="1"/>
            <w:noWrap/>
          </w:tcPr>
          <w:p>
            <w:pPr>
              <w:jc w:val="right"/>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2" w:name="_Toc2"/>
      <w:r>
        <w:t>Overall ratings</w:t>
      </w:r>
      <w:bookmarkEnd w:id="2"/>
    </w:p>
    <w:tbl>
      <w:tblGrid>
        <w:gridCol w:w="8000" w:type="dxa"/>
        <w:gridCol w:w="8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8000" w:type="dxa"/>
            <w:gridSpan w:val="1"/>
            <w:noWrap/>
          </w:tcPr>
          <w:p>
            <w:pPr/>
            <w:r>
              <w:rPr/>
              <w:t xml:space="preserve">Overall DO Rating</w:t>
            </w:r>
          </w:p>
        </w:tc>
        <w:tc>
          <w:tcPr>
            <w:tcW w:w="8000" w:type="dxa"/>
            <w:gridSpan w:val="1"/>
            <w:noWrap/>
          </w:tcPr>
          <w:p>
            <w:pPr/>
            <w:r>
              <w:rPr/>
              <w:t xml:space="preserve">Moderately Unsatisfactory</w:t>
            </w:r>
          </w:p>
        </w:tc>
      </w:tr>
      <w:tr>
        <w:trPr/>
        <w:tc>
          <w:tcPr>
            <w:tcW w:w="8000" w:type="dxa"/>
            <w:gridSpan w:val="1"/>
            <w:noWrap/>
          </w:tcPr>
          <w:p>
            <w:pPr/>
            <w:r>
              <w:rPr/>
              <w:t xml:space="preserve">Overall IP Rating</w:t>
            </w:r>
          </w:p>
        </w:tc>
        <w:tc>
          <w:tcPr>
            <w:tcW w:w="8000" w:type="dxa"/>
            <w:gridSpan w:val="1"/>
            <w:noWrap/>
          </w:tcPr>
          <w:p>
            <w:pPr/>
            <w:r>
              <w:rPr/>
              <w:t xml:space="preserve">Moderately Unsatisfactory</w:t>
            </w:r>
          </w:p>
        </w:tc>
      </w:tr>
      <w:tr>
        <w:trPr/>
        <w:tc>
          <w:tcPr>
            <w:tcW w:w="8000" w:type="dxa"/>
            <w:gridSpan w:val="1"/>
            <w:noWrap/>
          </w:tcPr>
          <w:p>
            <w:pPr/>
            <w:r>
              <w:rPr/>
              <w:t xml:space="preserve">Overall Risk Rating</w:t>
            </w:r>
          </w:p>
        </w:tc>
        <w:tc>
          <w:tcPr>
            <w:tcW w:w="8000" w:type="dxa"/>
            <w:gridSpan w:val="1"/>
            <w:noWrap/>
          </w:tcPr>
          <w:p>
            <w:pPr/>
            <w:r>
              <w:rPr/>
              <w:t xml:space="preserve">low</w:t>
            </w:r>
          </w:p>
        </w:tc>
      </w:tr>
    </w:tbl>
    <w:p>
      <w:pPr>
        <w:sectPr>
          <w:pgSz w:orient="portrait" w:w="11905.511811023622" w:h="16837.79527559055"/>
          <w:pgMar w:top="1440" w:right="1440" w:bottom="1440" w:left="1440" w:header="720" w:footer="720" w:gutter="0"/>
          <w:cols w:num="1" w:space="720"/>
        </w:sectPr>
      </w:pPr>
    </w:p>
    <w:p>
      <w:pPr>
        <w:pStyle w:val="Heading1"/>
      </w:pPr>
      <w:bookmarkStart w:id="3" w:name="_Toc3"/>
      <w:r>
        <w:t>Development Objective Progress</w:t>
      </w:r>
      <w:bookmarkEnd w:id="3"/>
    </w:p>
    <w:p>
      <w:pPr/>
      <w:r>
        <w:rP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Grid>
        <w:gridCol w:w="4000" w:type="dxa"/>
        <w:gridCol w:w="2000" w:type="dxa"/>
        <w:gridCol w:w="2000" w:type="dxa"/>
        <w:gridCol w:w="2000" w:type="dxa"/>
        <w:gridCol w:w="4000" w:type="dxa"/>
        <w:gridCol w:w="4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6000" w:type="dxa"/>
            <w:gridSpan w:val="7"/>
            <w:noWrap/>
          </w:tcPr>
          <w:p>
            <w:pPr/>
            <w:r>
              <w:rPr>
                <w:b w:val="1"/>
                <w:bCs w:val="1"/>
              </w:rPr>
              <w:t xml:space="preserve">Description</w:t>
            </w:r>
          </w:p>
        </w:tc>
      </w:tr>
      <w:tr>
        <w:trPr/>
        <w:tc>
          <w:tcPr>
            <w:tcW w:w="16000" w:type="dxa"/>
            <w:shd w:val="clear" w:fill="#D9D9D9"/>
            <w:gridSpan w:val="7"/>
            <w:noWrap/>
          </w:tcPr>
          <w:p>
            <w:pPr/>
            <w:r>
              <w:rPr>
                <w:b w:val="1"/>
                <w:bCs w:val="1"/>
              </w:rPr>
              <w:t xml:space="preserve">Objective</w:t>
            </w:r>
          </w:p>
          <w:p>
            <w:pPr/>
            <w:r>
              <w:rPr>
                <w:b w:val="1"/>
                <w:bCs w:val="1"/>
              </w:rPr>
              <w:t xml:space="preserve">Project Objective:</w:t>
            </w:r>
          </w:p>
          <w:p>
            <w:pPr/>
            <w:r>
              <w:rPr>
                <w:b w:val="1"/>
                <w:bCs w:val="1"/>
              </w:rPr>
              <w:t xml:space="preserve">To achieve ecological integrity of key floodplain wetlands ensuring positive status of biodiversity, land and water resources, as well as ecosystem services</w:t>
            </w:r>
          </w:p>
          <w:p>
            <w:pPr/>
            <w:r>
              <w:rPr>
                <w:b w:val="1"/>
                <w:bCs w:val="1"/>
              </w:rPr>
              <w:t xml:space="preserve"/>
            </w:r>
          </w:p>
          <w:p>
            <w:pPr/>
            <w:r>
              <w:rPr>
                <w:b w:val="1"/>
                <w:bCs w:val="1"/>
              </w:rPr>
              <w:t xml:space="preserve"/>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2024</w:t>
            </w:r>
          </w:p>
        </w:tc>
        <w:tc>
          <w:tcPr>
            <w:tcW w:w="4000" w:type="dxa"/>
            <w:gridSpan w:val="1"/>
            <w:noWrap/>
          </w:tcPr>
          <w:p>
            <w:pPr/>
            <w:r>
              <w:rPr>
                <w:b w:val="1"/>
                <w:bCs w:val="1"/>
              </w:rPr>
              <w:t xml:space="preserve">Cumulative progress since project start as of Jun 30, 2025</w:t>
            </w:r>
          </w:p>
        </w:tc>
      </w:tr>
      <w:tr>
        <w:trPr/>
        <w:tc>
          <w:tcPr>
            <w:tcW w:w="4000" w:type="dxa"/>
            <w:gridSpan w:val="1"/>
            <w:noWrap/>
          </w:tcPr>
          <w:p>
            <w:pPr/>
            <w:r>
              <w:rPr/>
              <w:t xml:space="preserve">Indicator 1 (GEF Core Indicator 11):  # direct project beneficiaries disaggregated by gender (individual people)</w:t>
            </w:r>
          </w:p>
          <w:p>
            <w:pPr/>
            <w:r>
              <w:rPr/>
              <w:t xml:space="preserve"/>
            </w:r>
          </w:p>
          <w:p>
            <w:pPr/>
            <w:r>
              <w:rPr/>
              <w:t xml:space="preserve"/>
            </w:r>
          </w:p>
        </w:tc>
        <w:tc>
          <w:tcPr>
            <w:tcW w:w="2000" w:type="dxa"/>
            <w:gridSpan w:val="1"/>
            <w:noWrap/>
          </w:tcPr>
          <w:p>
            <w:pPr/>
            <w:r>
              <w:rPr/>
              <w:t xml:space="preserve">0</w:t>
            </w:r>
          </w:p>
        </w:tc>
        <w:tc>
          <w:tcPr>
            <w:tcW w:w="2000" w:type="dxa"/>
            <w:gridSpan w:val="1"/>
            <w:noWrap/>
          </w:tcPr>
          <w:p>
            <w:pPr/>
            <w:r>
              <w:rPr/>
              <w:t xml:space="preserve">20,000</w:t>
            </w:r>
          </w:p>
          <w:p>
            <w:pPr/>
            <w:r>
              <w:rPr/>
              <w:t xml:space="preserve">(10,000 women)</w:t>
            </w:r>
          </w:p>
          <w:p>
            <w:pPr/>
            <w:r>
              <w:rPr/>
              <w:t xml:space="preserve"/>
            </w:r>
          </w:p>
        </w:tc>
        <w:tc>
          <w:tcPr>
            <w:tcW w:w="2000" w:type="dxa"/>
            <w:gridSpan w:val="1"/>
            <w:noWrap/>
          </w:tcPr>
          <w:p>
            <w:pPr/>
            <w:r>
              <w:rPr/>
              <w:t xml:space="preserve">40,000</w:t>
            </w:r>
          </w:p>
          <w:p>
            <w:pPr/>
            <w:r>
              <w:rPr/>
              <w:t xml:space="preserve">(21,000 women)</w:t>
            </w:r>
          </w:p>
          <w:p>
            <w:pPr/>
            <w:r>
              <w:rPr/>
              <w:t xml:space="preserve"/>
            </w:r>
          </w:p>
        </w:tc>
        <w:tc>
          <w:tcPr>
            <w:tcW w:w="4000" w:type="dxa"/>
            <w:gridSpan w:val="1"/>
            <w:noWrap/>
          </w:tcPr>
          <w:p>
            <w:pPr/>
            <w:r>
              <w:rPr/>
              <w:t xml:space="preserve">Due to significant delays with project implementation, no measurable progress has been made against this indicator during the reporting period. Due to issues on the governance mechanism with project implementation team and Ministry of Environment</w:t>
            </w:r>
          </w:p>
        </w:tc>
        <w:tc>
          <w:tcPr>
            <w:tcW w:w="4000" w:type="dxa"/>
            <w:gridSpan w:val="1"/>
            <w:noWrap/>
          </w:tcPr>
          <w:p>
            <w:pPr/>
            <w:r>
              <w:rPr/>
              <w:t xml:space="preserve">Off track.</w:t>
            </w:r>
          </w:p>
          <w:p>
            <w:pPr/>
            <w:r>
              <w:rPr/>
              <w:t xml:space="preserve">Cumulative progress as of 30 June 2025: 28 direct beneficiaries less than 0.01% of EOP target), 15 men (than 0.01% of EOP target) and 13 women (than 0.01 of EOP target).</w:t>
            </w:r>
          </w:p>
          <w:p>
            <w:pPr/>
            <w:r>
              <w:rPr/>
              <w:t xml:space="preserve">During the reporting period, the project did not reach any direct beneficiaries   due the ineligible expenditure that was charged to the project.</w:t>
            </w:r>
          </w:p>
          <w:p>
            <w:pPr/>
            <w:r>
              <w:rPr/>
              <w:t xml:space="preserve">This delay was caused by a misinterpretation of the taxation regime, which led to the erroneous withholding of approximately USD 31,500. Resolving this issue required further clarification and delayed disbursements, however, the issues are currently being resolved, and the next tranche of funds will be disbursement in the coming weeks after the submission of this report.</w:t>
            </w:r>
          </w:p>
          <w:p>
            <w:pPr/>
            <w:r>
              <w:rPr/>
              <w:t xml:space="preserve">Despite these challenges, the project is now positioned to recover lost time and accelerate implementation in 2025. The following key activities are planned:</w:t>
            </w:r>
          </w:p>
          <w:p>
            <w:pPr/>
            <w:r>
              <w:rPr/>
              <w:t xml:space="preserve">•	Component 1: Finalize and integrate wetland-related regulations into national systems, including through the National Ecological Fund. Estimated beneficiaries: 0</w:t>
            </w:r>
          </w:p>
          <w:p>
            <w:pPr/>
            <w:r>
              <w:rPr/>
              <w:t xml:space="preserve">•	Component 2: Finalize protected area management plans, activate management units, and restore riparian forest strips. Estimated beneficiaries: 0</w:t>
            </w:r>
          </w:p>
          <w:p>
            <w:pPr/>
            <w:r>
              <w:rPr/>
              <w:t xml:space="preserve">•	Component 3: Support local action groups and entrepreneurs in biodiversity-friendly development initiatives. Estimated beneficiaries: 0</w:t>
            </w:r>
          </w:p>
          <w:p>
            <w:pPr/>
            <w:r>
              <w:rPr/>
              <w:t xml:space="preserve">•	Component 4: Launch awareness campaigns, train stakeholders, and disseminate knowledge products.    Estimated beneficiaries: 0</w:t>
            </w:r>
          </w:p>
          <w:p>
            <w:pPr/>
            <w:r>
              <w:rPr/>
              <w:t xml:space="preserve">These actions are designed to directly engage communities and contribute to the achievement of project indicators.</w:t>
            </w:r>
          </w:p>
          <w:p>
            <w:pPr/>
            <w:r>
              <w:rPr/>
              <w:t xml:space="preserve">To promote Gender Equality and Women’s Inclusion, gender-related activities will be conducted:</w:t>
            </w:r>
          </w:p>
          <w:p>
            <w:pPr/>
            <w:r>
              <w:rPr/>
              <w:t xml:space="preserve">•	Gender-sensitive knowledge products, training modules, awareness campaigns, and monitoring systems have not yet been developed.</w:t>
            </w:r>
          </w:p>
          <w:p>
            <w:pPr/>
            <w:r>
              <w:rPr/>
              <w:t xml:space="preserve">•	There is no record of gender-disaggregated participation in project activities, nor has an impact assessment on women in target communities been conducted.</w:t>
            </w:r>
          </w:p>
          <w:p>
            <w:pPr/>
            <w:r>
              <w:rPr/>
              <w:t xml:space="preserve">All project activities will be gathering information disaggregated by gender (individual people) and will be reported in the reporting period.</w:t>
            </w:r>
          </w:p>
          <w:p>
            <w:pPr/>
            <w:r>
              <w:rPr/>
              <w:t xml:space="preserve"/>
            </w:r>
          </w:p>
        </w:tc>
      </w:tr>
      <w:tr>
        <w:trPr/>
        <w:tc>
          <w:tcPr>
            <w:tcW w:w="4000" w:type="dxa"/>
            <w:gridSpan w:val="1"/>
            <w:noWrap/>
          </w:tcPr>
          <w:p>
            <w:pPr/>
            <w:r>
              <w:rPr/>
              <w:t xml:space="preserve">Indicator 2 (GEF Core Indicator 1 Sub-Indicator1.2): Terrestrial protected areas under improved management for conservation and sustainable use (Hectares)</w:t>
            </w:r>
          </w:p>
        </w:tc>
        <w:tc>
          <w:tcPr>
            <w:tcW w:w="2000" w:type="dxa"/>
            <w:gridSpan w:val="1"/>
            <w:noWrap/>
          </w:tcPr>
          <w:p>
            <w:pPr/>
            <w:r>
              <w:rPr/>
              <w:t xml:space="preserve">0</w:t>
            </w:r>
          </w:p>
        </w:tc>
        <w:tc>
          <w:tcPr>
            <w:tcW w:w="2000" w:type="dxa"/>
            <w:gridSpan w:val="1"/>
            <w:noWrap/>
          </w:tcPr>
          <w:p>
            <w:pPr/>
            <w:r>
              <w:rPr/>
              <w:t xml:space="preserve">20,803 ha</w:t>
            </w:r>
          </w:p>
          <w:p>
            <w:pPr/>
            <w:r>
              <w:rPr/>
              <w:t xml:space="preserve"/>
            </w:r>
          </w:p>
        </w:tc>
        <w:tc>
          <w:tcPr>
            <w:tcW w:w="2000" w:type="dxa"/>
            <w:gridSpan w:val="1"/>
            <w:noWrap/>
          </w:tcPr>
          <w:p>
            <w:pPr/>
            <w:r>
              <w:rPr/>
              <w:t xml:space="preserve">20,803 ha</w:t>
            </w:r>
          </w:p>
        </w:tc>
        <w:tc>
          <w:tcPr>
            <w:tcW w:w="4000" w:type="dxa"/>
            <w:gridSpan w:val="1"/>
            <w:noWrap/>
          </w:tcPr>
          <w:p>
            <w:pPr/>
            <w:r>
              <w:rPr/>
              <w:t xml:space="preserve">Due to significant delays with project implementation, no measurable progress has been made against this indicator during the reporting period.</w:t>
            </w:r>
          </w:p>
        </w:tc>
        <w:tc>
          <w:tcPr>
            <w:tcW w:w="4000" w:type="dxa"/>
            <w:gridSpan w:val="1"/>
            <w:noWrap/>
          </w:tcPr>
          <w:p>
            <w:pPr/>
            <w:r>
              <w:rPr/>
              <w:t xml:space="preserve">Off track.</w:t>
            </w:r>
          </w:p>
          <w:p>
            <w:pPr/>
            <w:r>
              <w:rPr/>
              <w:t xml:space="preserve">Cumulative progress as of 30 June 2025: 0 hectares (0% of EOP target).</w:t>
            </w:r>
          </w:p>
          <w:p>
            <w:pPr/>
            <w:r>
              <w:rPr/>
              <w:t xml:space="preserve">During this reporting period, progress was delayed as previously outlined. As a result, key actions—including the METT assessment, updates to management plans, and the Ramsar designation—have not yet been completed to reach terrestrial protected areas under improvement management for conservation and sustainable use.</w:t>
            </w:r>
          </w:p>
          <w:p>
            <w:pPr/>
            <w:r>
              <w:rPr/>
              <w:t xml:space="preserve"/>
            </w:r>
          </w:p>
          <w:p>
            <w:pPr/>
            <w:r>
              <w:rPr/>
              <w:t xml:space="preserve">However, key activities planned once funds become available (to accelerate progress and reach EOP target):</w:t>
            </w:r>
          </w:p>
          <w:p>
            <w:pPr/>
            <w:r>
              <w:rPr/>
              <w:t xml:space="preserve"/>
            </w:r>
          </w:p>
          <w:p>
            <w:pPr/>
            <w:r>
              <w:rPr/>
              <w:t xml:space="preserve">1. Conduct METT (Management Effectiveness Tracking Tool) assessments for both protected areas;</w:t>
            </w:r>
          </w:p>
          <w:p>
            <w:pPr/>
            <w:r>
              <w:rPr/>
              <w:t xml:space="preserve">- To be carried out by an external partner facilitated by a national/international moderator, involving PA staff, Moldsilva, NGOs, and local authorities.</w:t>
            </w:r>
          </w:p>
          <w:p>
            <w:pPr/>
            <w:r>
              <w:rPr/>
              <w:t xml:space="preserve">- The results will generate an updated diagnosis, identify capacity gaps, and guide future planning.</w:t>
            </w:r>
          </w:p>
          <w:p>
            <w:pPr/>
            <w:r>
              <w:rPr/>
              <w:t xml:space="preserve"/>
            </w:r>
          </w:p>
          <w:p>
            <w:pPr/>
            <w:r>
              <w:rPr/>
              <w:t xml:space="preserve">2. Update and approve the management plans</w:t>
            </w:r>
          </w:p>
          <w:p>
            <w:pPr/>
            <w:r>
              <w:rPr/>
              <w:t xml:space="preserve">- Based on the METT outcomes, the project will facilitate a participatory review of management plans for:</w:t>
            </w:r>
          </w:p>
          <w:p>
            <w:pPr/>
            <w:r>
              <w:rPr/>
              <w:t xml:space="preserve">- Lower Prut Biosphere Reserve;</w:t>
            </w:r>
          </w:p>
          <w:p>
            <w:pPr/>
            <w:r>
              <w:rPr/>
              <w:t xml:space="preserve">- Royal Forest Nature Reserve.</w:t>
            </w:r>
          </w:p>
          <w:p>
            <w:pPr/>
            <w:r>
              <w:rPr/>
              <w:t xml:space="preserve">- The plans will include ecological zoning, conservation actions, species-focused interventions, and monitoring tools.</w:t>
            </w:r>
          </w:p>
          <w:p>
            <w:pPr/>
            <w:r>
              <w:rPr/>
              <w:t xml:space="preserve"/>
            </w:r>
          </w:p>
          <w:p>
            <w:pPr/>
            <w:r>
              <w:rPr/>
              <w:t xml:space="preserve">3. Strengthening the management units of the protected areas</w:t>
            </w:r>
          </w:p>
          <w:p>
            <w:pPr/>
            <w:r>
              <w:rPr/>
              <w:t xml:space="preserve">- Activity 2.1.2 planned for 2025 includes enhancing the capacity of PA administrative structures to apply conservation regimes, monitor biodiversity, and carry out effective patrols.</w:t>
            </w:r>
          </w:p>
          <w:p>
            <w:pPr/>
            <w:r>
              <w:rPr/>
              <w:t xml:space="preserve"/>
            </w:r>
          </w:p>
          <w:p>
            <w:pPr/>
            <w:r>
              <w:rPr/>
              <w:t xml:space="preserve">4. Discontinue activities lacking institutional backing (e.g., Ramsar designation for Royal Forest)</w:t>
            </w:r>
          </w:p>
          <w:p>
            <w:pPr/>
            <w:r>
              <w:rPr/>
              <w:t xml:space="preserve">- Instead, the project will focus on actions clearly supported by the Ministry of Environment and Moldsilva.</w:t>
            </w:r>
          </w:p>
          <w:p>
            <w:pPr/>
            <w:r>
              <w:rPr/>
              <w:t xml:space="preserve"/>
            </w:r>
          </w:p>
          <w:p>
            <w:pPr/>
            <w:r>
              <w:rPr/>
              <w:t xml:space="preserve">5. Integration into national financing mechanisms</w:t>
            </w:r>
          </w:p>
          <w:p>
            <w:pPr/>
            <w:r>
              <w:rPr/>
              <w:t xml:space="preserve">- Align project interventions with recent reforms related to the National Environmental Fund and BIOFIN, to ensure post-project sustainability.</w:t>
            </w:r>
          </w:p>
          <w:p>
            <w:pPr/>
            <w:r>
              <w:rPr/>
              <w:t xml:space="preserve"/>
            </w:r>
          </w:p>
          <w:p>
            <w:pPr/>
            <w:r>
              <w:rPr/>
              <w:t xml:space="preserve">By urgently implementing these actions – focusing on participatory METT assessments, updated management planning, and institutional capacity building – the project has a realistic chance of achieving the EOP target of 20,803 hectares of protected areas under improved management. These activities will happen if the funds are released and procurement processes are accelerated, which the project has a plan for that.</w:t>
            </w:r>
          </w:p>
          <w:p>
            <w:pPr/>
            <w:r>
              <w:rPr/>
              <w:t xml:space="preserve"/>
            </w:r>
          </w:p>
        </w:tc>
      </w:tr>
      <w:tr>
        <w:trPr/>
        <w:tc>
          <w:tcPr>
            <w:tcW w:w="4000" w:type="dxa"/>
            <w:gridSpan w:val="1"/>
            <w:noWrap/>
          </w:tcPr>
          <w:p>
            <w:pPr/>
            <w:r>
              <w:rPr/>
              <w:t xml:space="preserve">Indicator 3 (GEF Core Indicator 3 Sub-Indicator 3.4) (Sum of Indicators 9 and 10 below): Area of restored wetlands (Hectares)</w:t>
            </w:r>
          </w:p>
        </w:tc>
        <w:tc>
          <w:tcPr>
            <w:tcW w:w="2000" w:type="dxa"/>
            <w:gridSpan w:val="1"/>
            <w:noWrap/>
          </w:tcPr>
          <w:p>
            <w:pPr/>
            <w:r>
              <w:rPr/>
              <w:t xml:space="preserve">0</w:t>
            </w:r>
          </w:p>
        </w:tc>
        <w:tc>
          <w:tcPr>
            <w:tcW w:w="2000" w:type="dxa"/>
            <w:gridSpan w:val="1"/>
            <w:noWrap/>
          </w:tcPr>
          <w:p>
            <w:pPr/>
            <w:r>
              <w:rPr/>
              <w:t xml:space="preserve">Technical project of the envisaged reforestation work in Lower Prut Biosphere Reserve completed. Feasibility study of the envisaged Camenca River restoration work completed. All legal matters addressed.</w:t>
            </w:r>
          </w:p>
        </w:tc>
        <w:tc>
          <w:tcPr>
            <w:tcW w:w="2000" w:type="dxa"/>
            <w:gridSpan w:val="1"/>
            <w:noWrap/>
          </w:tcPr>
          <w:p>
            <w:pPr/>
            <w:r>
              <w:rPr/>
              <w:t xml:space="preserve">14,225 ha</w:t>
            </w:r>
          </w:p>
        </w:tc>
        <w:tc>
          <w:tcPr>
            <w:tcW w:w="4000" w:type="dxa"/>
            <w:gridSpan w:val="1"/>
            <w:noWrap/>
          </w:tcPr>
          <w:p>
            <w:pPr/>
            <w:r>
              <w:rPr/>
              <w:t xml:space="preserve">50,0 ha</w:t>
            </w:r>
          </w:p>
          <w:p>
            <w:pPr/>
            <w:r>
              <w:rPr/>
              <w:t xml:space="preserve"/>
            </w:r>
          </w:p>
          <w:p>
            <w:pPr/>
            <w:r>
              <w:rPr/>
              <w:t xml:space="preserve">The project will focus on restoring degraded riparian forest strips within the Lower Prut Biosphere Reserve. Reforestation activities will cover approximately 50 hectares around Manta and Beleu lakes, targeting strategic locations. The goal is not only to restore degraded land and reduce soil erosion but also to create a barrier against domestic waste and agricultural runoff, which currently threaten the 3,000 hectares of lake ecosystems in the Manta-Beleu lakes network. Addressing land degradation is a priority for Moldova, where intensive land use, poor adaptability of agricultural practices, and ineffective risk governance have contributed to severe soil fertility decline and reduced ecosystem resiliency.</w:t>
            </w:r>
          </w:p>
          <w:p>
            <w:pPr/>
            <w:r>
              <w:rPr/>
              <w:t xml:space="preserve"/>
            </w:r>
          </w:p>
          <w:p>
            <w:pPr/>
            <w:r>
              <w:rPr/>
              <w:t xml:space="preserve">A total of six technical projects for the afforestation/reforestation of 50.02 hectares were developed and consulted with local public authorities in six localities: Brînza, Colibași, Crihana Veche, Slobozia Mare, Vadul lui Isac, and Valeni. Complete terms of reference (TOR) and technical specifications for the reforestation/afforestation works have been prepared for the company that will  execute the technical designs and carrying out the reforestation efforts. Arrangements have been made to ensure the smooth progress of the afforestation works scheduled for fall 2024 (September-November). However, if the drought persists, the afforestation efforts may be extended into the spring of 2025.</w:t>
            </w:r>
          </w:p>
          <w:p>
            <w:pPr/>
            <w:r>
              <w:rPr/>
              <w:t xml:space="preserve"/>
            </w:r>
          </w:p>
          <w:p>
            <w:pPr/>
            <w:r>
              <w:rPr/>
              <w:t xml:space="preserve">This activity will be carried out in multiple stages as detailed below. The full feasibility study and execution of the hydrotechnical works should only proceed after comprehensive stakeholder consultations and the appropriate resolution of issues related to the existing illegal small earth dams on the Camenca River.</w:t>
            </w:r>
          </w:p>
          <w:p>
            <w:pPr/>
            <w:r>
              <w:rPr/>
              <w:t xml:space="preserve"/>
            </w:r>
          </w:p>
          <w:p>
            <w:pPr/>
            <w:r>
              <w:rPr/>
              <w:t xml:space="preserve">Due to significant delays in implementation, the project is now organizing the first round of comprehensive local-level consultations in the affected villages. These consultations will involve key stakeholders, including the Ministry of Agriculture and Food Industry, the Ministry of Environment, the Water Agency of Moldova, the Moldsilva Agency, and the staff of the Royal Pădurea Natural Reserve AP, as well as local environmental inspectors and authorities, particularly the mayors of villages near the planned hydrological works, such as Balatina, a village with approximately 3,815 residents.</w:t>
            </w:r>
          </w:p>
          <w:p>
            <w:pPr/>
            <w:r>
              <w:rPr/>
              <w:t xml:space="preserve"/>
            </w:r>
          </w:p>
          <w:p>
            <w:pPr/>
            <w:r>
              <w:rPr/>
              <w:t xml:space="preserve">The discussions will focus on informing the community about the planned works, evaluating local acceptance, raising awareness about the benefits of rehabilitating the old watercourse, and agreeing on the next steps. They will also involve identifying households located near the proposed hydrological intervention site, assessing the potential impact on these households, and addressing the issue of illegal earth dams on the old Camenca River watercourse, which is of utmost importance.</w:t>
            </w:r>
          </w:p>
          <w:p>
            <w:pPr/>
            <w:r>
              <w:rPr/>
              <w:t xml:space="preserve"/>
            </w:r>
          </w:p>
          <w:p>
            <w:pPr/>
            <w:r>
              <w:rPr/>
              <w:t xml:space="preserve">Simultaneously, the project team has developed the TOR and complete technical specifications for the NGO/company that will conduct the feasibility study on the restoration of the Camenca River, based on pre-feasibility findings and consultations with the Moldavian Water Agency.</w:t>
            </w:r>
          </w:p>
        </w:tc>
        <w:tc>
          <w:tcPr>
            <w:tcW w:w="4000" w:type="dxa"/>
            <w:gridSpan w:val="1"/>
            <w:noWrap/>
          </w:tcPr>
          <w:p>
            <w:pPr/>
            <w:r>
              <w:rPr/>
              <w:t xml:space="preserve">Off track.</w:t>
            </w:r>
          </w:p>
          <w:p>
            <w:pPr/>
            <w:r>
              <w:rPr/>
              <w:t xml:space="preserve">Cumulative progress as of 30 June 2025: 50 hectares (0.35%   of EOP target).  To ensure the achievement of the target of 14,175   ha of restored wetlands by the end of the project, the implementation team will focus on the following strategic and operational steps.</w:t>
            </w:r>
          </w:p>
          <w:p>
            <w:pPr/>
            <w:r>
              <w:rPr/>
              <w:t xml:space="preserve">1. Rapid launch of the feasibility study for the Camenca River floodplain</w:t>
            </w:r>
          </w:p>
          <w:p>
            <w:pPr/>
            <w:r>
              <w:rPr/>
              <w:t xml:space="preserve">•	Action: Immediate initiation of procurement for technical expertise to conduct the Camenca feasibility study and the Environmental and Social Impact Assessment (ESIA).</w:t>
            </w:r>
          </w:p>
          <w:p>
            <w:pPr/>
            <w:r>
              <w:rPr/>
              <w:t xml:space="preserve">•	Objective: Confirm the technical and financial feasibility of restoring 11,175 ha of floodplain wetlands.</w:t>
            </w:r>
          </w:p>
          <w:p>
            <w:pPr/>
            <w:r>
              <w:rPr/>
              <w:t xml:space="preserve">•	Timeline: Q3–Q4 2025 (as per MTR and the March 2025 Project Steering Committee decision).</w:t>
            </w:r>
          </w:p>
          <w:p>
            <w:pPr/>
            <w:r>
              <w:rPr/>
              <w:t xml:space="preserve">2.	Strengthening afforestation efforts</w:t>
            </w:r>
          </w:p>
          <w:p>
            <w:pPr/>
            <w:r>
              <w:rPr/>
              <w:t xml:space="preserve">•	Action: Implementation of afforestation activities based on site-specific projects developed by ICAS    (Forestry Research and Management Institute).</w:t>
            </w:r>
          </w:p>
          <w:p>
            <w:pPr/>
            <w:r>
              <w:rPr/>
              <w:t xml:space="preserve">•	Objective: Demonstrate the ecological benefits of restoration and attract co-financing by aligning with the National Forest Extension and Rehabilitation Program (NFERP).</w:t>
            </w:r>
          </w:p>
          <w:p>
            <w:pPr/>
            <w:r>
              <w:rPr/>
              <w:t xml:space="preserve">•	Timeline:   Q4, 2025 – Q1, 2026</w:t>
            </w:r>
          </w:p>
          <w:p>
            <w:pPr/>
            <w:r>
              <w:rPr/>
              <w:t xml:space="preserve">3.	Bundling of restoration-related contracts</w:t>
            </w:r>
          </w:p>
          <w:p>
            <w:pPr/>
            <w:r>
              <w:rPr/>
              <w:t xml:space="preserve">•	Action: Integrate feasibility, environmental assessment, and community consultation into a single Terms of Reference (ToR).</w:t>
            </w:r>
          </w:p>
          <w:p>
            <w:pPr/>
            <w:r>
              <w:rPr/>
              <w:t xml:space="preserve">•	Objective: Avoid fragmentation and accelerate implementation through efficient coordination.</w:t>
            </w:r>
          </w:p>
          <w:p>
            <w:pPr/>
            <w:r>
              <w:rPr/>
              <w:t xml:space="preserve">•	Timeline:    Q4, 2025 – Q1, 2026</w:t>
            </w:r>
          </w:p>
          <w:p>
            <w:pPr/>
            <w:r>
              <w:rPr/>
              <w:t xml:space="preserve">•</w:t>
            </w:r>
          </w:p>
          <w:p>
            <w:pPr/>
            <w:r>
              <w:rPr/>
              <w:t xml:space="preserve">4.	Activation of community consultations and local engagement</w:t>
            </w:r>
          </w:p>
          <w:p>
            <w:pPr/>
            <w:r>
              <w:rPr/>
              <w:t xml:space="preserve">•	Action: Launch structured consultations with communities in Camenca, Manta-Beleu, and Lower Prut.</w:t>
            </w:r>
          </w:p>
          <w:p>
            <w:pPr/>
            <w:r>
              <w:rPr/>
              <w:t xml:space="preserve">•	Objective: Increase local ownership, reduce resistance, and identify community-based maintenance mechanisms.</w:t>
            </w:r>
          </w:p>
          <w:p>
            <w:pPr/>
            <w:r>
              <w:rPr/>
              <w:t xml:space="preserve">•	Timeline:    Q4, 2025 – Q1, 2026</w:t>
            </w:r>
          </w:p>
          <w:p>
            <w:pPr/>
            <w:r>
              <w:rPr/>
              <w:t xml:space="preserve">5.	Activation of environmental safeguard protocols</w:t>
            </w:r>
          </w:p>
          <w:p>
            <w:pPr/>
            <w:r>
              <w:rPr/>
              <w:t xml:space="preserve">•	Action: Operationalize the Environmental and Social Management Framework (ESMF) and train project staff in UNDP’s Social and Environmental Standards (SES).</w:t>
            </w:r>
          </w:p>
          <w:p>
            <w:pPr/>
            <w:r>
              <w:rPr/>
              <w:t xml:space="preserve">•	Objective: Ensure that restoration activities are compliant with GEF requirements. This will be done with the support of UNDP as per Medium term evaluation recommendation.</w:t>
            </w:r>
          </w:p>
          <w:p>
            <w:pPr/>
            <w:r>
              <w:rPr/>
              <w:t xml:space="preserve">•	Timeline:   Q4, 2026</w:t>
            </w:r>
          </w:p>
          <w:p>
            <w:pPr/>
            <w:r>
              <w:rPr/>
              <w:t xml:space="preserve">6.	Updating the work plan and results framework</w:t>
            </w:r>
          </w:p>
          <w:p>
            <w:pPr/>
            <w:r>
              <w:rPr/>
              <w:t xml:space="preserve">•	Action: Incorporate the above measures into the revised 2025 work plan and explicitly link restoration actions to Indicator 3.</w:t>
            </w:r>
          </w:p>
          <w:p>
            <w:pPr/>
            <w:r>
              <w:rPr/>
              <w:t xml:space="preserve">•	Objective: Realign strategy with realistic, high-impact interventions measurable by 2026.</w:t>
            </w:r>
          </w:p>
          <w:p>
            <w:pPr/>
            <w:r>
              <w:rPr/>
              <w:t xml:space="preserve">•	Timeline: the approval of the workplan was done in July 2025 and it would be implemented from August ongoing.</w:t>
            </w:r>
          </w:p>
          <w:p>
            <w:pPr/>
            <w:r>
              <w:rPr/>
              <w:t xml:space="preserve">7.	Mobilizing co-financing through visible actions</w:t>
            </w:r>
          </w:p>
          <w:p>
            <w:pPr/>
            <w:r>
              <w:rPr/>
              <w:t xml:space="preserve">•	Action: Use the demonstration plot and feasibility study results to attract additional donors (e.g., BIOFIN, NEF, EU4Environment).</w:t>
            </w:r>
          </w:p>
          <w:p>
            <w:pPr/>
            <w:r>
              <w:rPr/>
              <w:t xml:space="preserve">•	Objective: Cover budget gaps and reduce reliance on GEF funds.</w:t>
            </w:r>
          </w:p>
          <w:p>
            <w:pPr/>
            <w:r>
              <w:rPr/>
              <w:t xml:space="preserve">•	Timeline:   Q3-Q4, 2025</w:t>
            </w:r>
          </w:p>
          <w:p>
            <w:pPr/>
            <w:r>
              <w:rPr/>
              <w:t xml:space="preserve">Monitoring milestone:</w:t>
            </w:r>
          </w:p>
          <w:p>
            <w:pPr/>
            <w:r>
              <w:rPr/>
              <w:t xml:space="preserve">Under this scenario by the end of Q1 2026, the project should:</w:t>
            </w:r>
          </w:p>
          <w:p>
            <w:pPr/>
            <w:r>
              <w:rPr/>
              <w:t xml:space="preserve">•	Finalize the feasibility and assessment package for the Camenca River;</w:t>
            </w:r>
          </w:p>
          <w:p>
            <w:pPr/>
            <w:r>
              <w:rPr/>
              <w:t xml:space="preserve">•	Launch the demonstration afforestation plot;</w:t>
            </w:r>
          </w:p>
          <w:p>
            <w:pPr/>
            <w:r>
              <w:rPr/>
              <w:t xml:space="preserve">•	Report the initiation of restoration activities at least 500+ ha (~3.5% of the total target).</w:t>
            </w:r>
          </w:p>
          <w:p>
            <w:pPr/>
            <w:r>
              <w:rPr/>
              <w:t xml:space="preserve">Next steps: the following activities are scheduled for 2025 and directly contribute to wetland restoration:</w:t>
            </w:r>
          </w:p>
          <w:p>
            <w:pPr/>
            <w:r>
              <w:rPr/>
              <w:t xml:space="preserve">•	Activity 2.2.1: Restoration of riparian forest strips acting as natural buffers against agricultural runoff and waste entering the Manta–Beleu lake system and Lower Prut. This activity is in progress and aims to improve the ecological condition of wetlands through reforestation and reduction of anthropogenic impact.</w:t>
            </w:r>
          </w:p>
          <w:p>
            <w:pPr/>
            <w:r>
              <w:rPr/>
              <w:t xml:space="preserve">•	Activity 2.1.1: Improved zoning, mapping, and development of management plans for the Lower Prut Biosphere Reserve and Royal Forest Nature Reserve. These measures will indirectly support ecological restoration through adaptive planning and targeted interventions.</w:t>
            </w:r>
          </w:p>
          <w:p>
            <w:pPr/>
            <w:r>
              <w:rPr/>
              <w:t xml:space="preserve">•	Activity 2.1.2: Strengthening the capacity of protected area management units to apply conservation regimes, monitor biodiversity, and conduct effective patrolling.</w:t>
            </w:r>
          </w:p>
          <w:p>
            <w:pPr/>
            <w:r>
              <w:rPr/>
              <w:t xml:space="preserve">These activities will lay the groundwork for broader ecological interventions and support achievement of the 14,225-ha restoration target through both direct interventions and enabling measures.</w:t>
            </w:r>
          </w:p>
          <w:p>
            <w:pPr/>
            <w:r>
              <w:rPr/>
              <w:t xml:space="preserve"/>
            </w:r>
          </w:p>
        </w:tc>
      </w:tr>
      <w:tr>
        <w:trPr/>
        <w:tc>
          <w:tcPr>
            <w:tcW w:w="4000" w:type="dxa"/>
            <w:gridSpan w:val="1"/>
            <w:noWrap/>
          </w:tcPr>
          <w:p>
            <w:pPr/>
            <w:r>
              <w:rPr/>
              <w:t xml:space="preserve">Indicator 4 (GEF Core Indicator 6.1): Greenhouse Gas Emissions Mitigated (metric tons of CO2 eq)</w:t>
            </w:r>
          </w:p>
        </w:tc>
        <w:tc>
          <w:tcPr>
            <w:tcW w:w="2000" w:type="dxa"/>
            <w:gridSpan w:val="1"/>
            <w:noWrap/>
          </w:tcPr>
          <w:p>
            <w:pPr/>
            <w:r>
              <w:rPr/>
              <w:t xml:space="preserve">0</w:t>
            </w:r>
          </w:p>
        </w:tc>
        <w:tc>
          <w:tcPr>
            <w:tcW w:w="2000" w:type="dxa"/>
            <w:gridSpan w:val="1"/>
            <w:noWrap/>
          </w:tcPr>
          <w:p>
            <w:pPr/>
            <w:r>
              <w:rPr/>
              <w:t xml:space="preserve">0</w:t>
            </w:r>
          </w:p>
        </w:tc>
        <w:tc>
          <w:tcPr>
            <w:tcW w:w="2000" w:type="dxa"/>
            <w:gridSpan w:val="1"/>
            <w:noWrap/>
          </w:tcPr>
          <w:p>
            <w:pPr/>
            <w:r>
              <w:rPr/>
              <w:t xml:space="preserve">556,806</w:t>
            </w:r>
          </w:p>
        </w:tc>
        <w:tc>
          <w:tcPr>
            <w:tcW w:w="4000" w:type="dxa"/>
            <w:gridSpan w:val="1"/>
            <w:noWrap/>
          </w:tcPr>
          <w:p>
            <w:pPr/>
            <w:r>
              <w:rPr/>
              <w:t xml:space="preserve">The estimation of sequestered or avoided GHG emissions will be carried out closer to the end of the project after the demonstration activities regarding the sustainable management of meadow ecosystems: forests, meadows and wetlands (Component 2, Result 2.2.) in the three target districts will have been launched and implemented.</w:t>
            </w:r>
          </w:p>
          <w:p>
            <w:pPr/>
            <w:r>
              <w:rPr/>
              <w:t xml:space="preserve"/>
            </w:r>
          </w:p>
          <w:p>
            <w:pPr/>
            <w:r>
              <w:rPr/>
              <w:t xml:space="preserve"/>
            </w:r>
          </w:p>
          <w:p>
            <w:pPr/>
            <w:r>
              <w:rPr/>
              <w:t xml:space="preserve">The experience of the UNDP biodiversity project portfolio supporting the country with carbon offsetting, GHG reduction, financial solutions and cooperation with private sector companies will serve as a good base and starting point for this project</w:t>
            </w:r>
          </w:p>
          <w:p>
            <w:pPr/>
            <w:r>
              <w:rPr/>
              <w:t xml:space="preserve"/>
            </w:r>
          </w:p>
        </w:tc>
        <w:tc>
          <w:tcPr>
            <w:tcW w:w="4000" w:type="dxa"/>
            <w:gridSpan w:val="1"/>
            <w:noWrap/>
          </w:tcPr>
          <w:p>
            <w:pPr/>
            <w:r>
              <w:rPr/>
              <w:t xml:space="preserve">Off track.</w:t>
            </w:r>
          </w:p>
          <w:p>
            <w:pPr/>
            <w:r>
              <w:rPr/>
              <w:t xml:space="preserve">Cumulative progress as of 30 June 2025: 0 Greenhouse Gas Emissions Mitigated (metric tons of CO2 eq) (0% of EOP target).</w:t>
            </w:r>
          </w:p>
          <w:p>
            <w:pPr/>
            <w:r>
              <w:rPr/>
              <w:t xml:space="preserve"/>
            </w:r>
          </w:p>
          <w:p>
            <w:pPr/>
            <w:r>
              <w:rPr/>
              <w:t xml:space="preserve">The final project target (EOP) is the reduction of 556,806 tCO₂e through wetland restoration activities, specifically:</w:t>
            </w:r>
          </w:p>
          <w:p>
            <w:pPr/>
            <w:r>
              <w:rPr/>
              <w:t xml:space="preserve">- Restoration of the Camenca River floodplain (~11,175 ha);</w:t>
            </w:r>
          </w:p>
          <w:p>
            <w:pPr/>
            <w:r>
              <w:rPr/>
              <w:t xml:space="preserve">- Afforestation (~50 ha) in degraded areas within the Lower Prut region.</w:t>
            </w:r>
          </w:p>
          <w:p>
            <w:pPr/>
            <w:r>
              <w:rPr/>
              <w:t xml:space="preserve"/>
            </w:r>
          </w:p>
          <w:p>
            <w:pPr/>
            <w:r>
              <w:rPr/>
              <w:t xml:space="preserve">During this period, no GHG emissions reductions have been officially accounted for as of the project’s midpoint. The only advanced activity has been the technical planning of afforestation plots by ICAS; however, these had not been physically implemented by the end of 2024 due to the reasons outlined above.</w:t>
            </w:r>
          </w:p>
          <w:p>
            <w:pPr/>
            <w:r>
              <w:rPr/>
              <w:t xml:space="preserve"/>
            </w:r>
          </w:p>
          <w:p>
            <w:pPr/>
            <w:r>
              <w:rPr/>
              <w:t xml:space="preserve">Once the funds will become available, a standard IPCC (2006) methodology will be applied to estimate emissions reductions through:</w:t>
            </w:r>
          </w:p>
          <w:p>
            <w:pPr/>
            <w:r>
              <w:rPr/>
              <w:t xml:space="preserve">- Carbon sequestration in tree biomass (for afforested areas);</w:t>
            </w:r>
          </w:p>
          <w:p>
            <w:pPr/>
            <w:r>
              <w:rPr/>
              <w:t xml:space="preserve">- Emission reductions from decreased organic matter decomposition and oxidation of drained soils (for restored wetlands).</w:t>
            </w:r>
          </w:p>
          <w:p>
            <w:pPr/>
            <w:r>
              <w:rPr/>
              <w:t xml:space="preserve"/>
            </w:r>
          </w:p>
          <w:p>
            <w:pPr/>
            <w:r>
              <w:rPr/>
              <w:t xml:space="preserve">Estimates will be produced post-implementation using:</w:t>
            </w:r>
          </w:p>
          <w:p>
            <w:pPr/>
            <w:r>
              <w:rPr/>
              <w:t xml:space="preserve">- Site-specific data collection (biomass, forest cover, soil type);</w:t>
            </w:r>
          </w:p>
          <w:p>
            <w:pPr/>
            <w:r>
              <w:rPr/>
              <w:t xml:space="preserve">- Modeling with IPCC Tier 1/Tier 2 emission factors.</w:t>
            </w:r>
          </w:p>
          <w:p>
            <w:pPr/>
            <w:r>
              <w:rPr/>
              <w:t xml:space="preserve"/>
            </w:r>
          </w:p>
          <w:p>
            <w:pPr/>
            <w:r>
              <w:rPr/>
              <w:t xml:space="preserve">Next Steps to achieve this indicator:</w:t>
            </w:r>
          </w:p>
          <w:p>
            <w:pPr/>
            <w:r>
              <w:rPr/>
              <w:t xml:space="preserve"/>
            </w:r>
          </w:p>
          <w:p>
            <w:pPr/>
            <w:r>
              <w:rPr/>
              <w:t xml:space="preserve">1. Completion of the feasibility study for the Camenca floodplain</w:t>
            </w:r>
          </w:p>
          <w:p>
            <w:pPr/>
            <w:r>
              <w:rPr/>
              <w:t xml:space="preserve">- Critical for initiating restoration of the 11,175 ha area and estimating the potential CO₂e avoided/sequestered.</w:t>
            </w:r>
          </w:p>
          <w:p>
            <w:pPr/>
            <w:r>
              <w:rPr/>
              <w:t xml:space="preserve">- Timeline: Q4 2025.</w:t>
            </w:r>
          </w:p>
          <w:p>
            <w:pPr/>
            <w:r>
              <w:rPr/>
              <w:t xml:space="preserve"/>
            </w:r>
          </w:p>
          <w:p>
            <w:pPr/>
            <w:r>
              <w:rPr/>
              <w:t xml:space="preserve">2. Implementation of afforestation plots    - Based on site-specific projects developed by ICAS (Forestry Research and Management Institute).</w:t>
            </w:r>
          </w:p>
          <w:p>
            <w:pPr/>
            <w:r>
              <w:rPr/>
              <w:t xml:space="preserve">- This will allow ex-ante calculation of carbon sequestration and initial reporting of CO₂e.</w:t>
            </w:r>
          </w:p>
          <w:p>
            <w:pPr/>
            <w:r>
              <w:rPr/>
              <w:t xml:space="preserve"/>
            </w:r>
          </w:p>
          <w:p>
            <w:pPr/>
            <w:r>
              <w:rPr/>
              <w:t xml:space="preserve">3. Identification of a technical partner for GHG calculation</w:t>
            </w:r>
          </w:p>
          <w:p>
            <w:pPr/>
            <w:r>
              <w:rPr/>
              <w:t xml:space="preserve">- Hiring of an expert or institution specializing in GHG accounting   (e.g., ICAS (Forestry Research and Management Institute), Institute for Environmental Research) in Q3-Q4, 2025.</w:t>
            </w:r>
          </w:p>
          <w:p>
            <w:pPr/>
            <w:r>
              <w:rPr/>
              <w:t xml:space="preserve">- Task: Calculate GHG reductions from pilot activities and extrapolate for the entire target area.</w:t>
            </w:r>
          </w:p>
          <w:p>
            <w:pPr/>
            <w:r>
              <w:rPr/>
              <w:t xml:space="preserve"/>
            </w:r>
          </w:p>
          <w:p>
            <w:pPr/>
            <w:r>
              <w:rPr/>
              <w:t xml:space="preserve">4. Primary data collection and monitoring</w:t>
            </w:r>
          </w:p>
          <w:p>
            <w:pPr/>
            <w:r>
              <w:rPr/>
              <w:t xml:space="preserve">- Begin on-site measurements for tree biomass, soil moisture and condition, and ecosystem type.</w:t>
            </w:r>
          </w:p>
          <w:p>
            <w:pPr/>
            <w:r>
              <w:rPr/>
              <w:t xml:space="preserve"/>
            </w:r>
          </w:p>
          <w:p>
            <w:pPr/>
            <w:r>
              <w:rPr/>
              <w:t xml:space="preserve">5. Integration of the indicator into the project’s M&amp;E system</w:t>
            </w:r>
          </w:p>
          <w:p>
            <w:pPr/>
            <w:r>
              <w:rPr/>
              <w:t xml:space="preserve">- Assign responsibility for monitoring to a designated expert within the PMU or via subcontracting.</w:t>
            </w:r>
          </w:p>
          <w:p>
            <w:pPr/>
            <w:r>
              <w:rPr/>
              <w:t xml:space="preserve"/>
            </w:r>
          </w:p>
          <w:p>
            <w:pPr/>
            <w:r>
              <w:rPr/>
              <w:t xml:space="preserve">Although no GHG reductions have been recorded as of mid-project, the methodology is established and integrated into technical planning. The key activities in 2025–2026 will be crucial for generating and reporting the first sequestered tCO₂e. Applying the IPCC methodology and launching physical restoration will enable reporting on Indicator 6.1 in upcoming PIRs</w:t>
            </w:r>
          </w:p>
          <w:p>
            <w:pPr/>
            <w:r>
              <w:rPr/>
              <w:t xml:space="preserve"/>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Off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1</w:t>
            </w:r>
          </w:p>
          <w:p>
            <w:pPr/>
            <w:r>
              <w:rPr>
                <w:b w:val="1"/>
                <w:bCs w:val="1"/>
              </w:rPr>
              <w:t xml:space="preserve">Outcome 1.1 Better fiduciary and financial environment for long-term resilience of wetland ecosystems</w:t>
            </w:r>
          </w:p>
          <w:p>
            <w:pPr/>
            <w:r>
              <w:rPr>
                <w:b w:val="1"/>
                <w:bCs w:val="1"/>
              </w:rPr>
              <w:t xml:space="preserve"/>
            </w:r>
          </w:p>
          <w:p>
            <w:pPr/>
            <w:r>
              <w:rPr>
                <w:b w:val="1"/>
                <w:bCs w:val="1"/>
              </w:rPr>
              <w:t xml:space="preserve"/>
            </w:r>
          </w:p>
          <w:p>
            <w:pPr/>
            <w:r>
              <w:rPr>
                <w:b w:val="1"/>
                <w:bCs w:val="1"/>
              </w:rPr>
              <w:t xml:space="preserve"/>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2024</w:t>
            </w:r>
          </w:p>
        </w:tc>
        <w:tc>
          <w:tcPr>
            <w:tcW w:w="4000" w:type="dxa"/>
            <w:gridSpan w:val="1"/>
            <w:noWrap/>
          </w:tcPr>
          <w:p>
            <w:pPr/>
            <w:r>
              <w:rPr>
                <w:b w:val="1"/>
                <w:bCs w:val="1"/>
              </w:rPr>
              <w:t xml:space="preserve">Cumulative progress since project start as of Jun 30, 2025</w:t>
            </w:r>
          </w:p>
        </w:tc>
      </w:tr>
      <w:tr>
        <w:trPr/>
        <w:tc>
          <w:tcPr>
            <w:tcW w:w="4000" w:type="dxa"/>
            <w:gridSpan w:val="1"/>
            <w:noWrap/>
          </w:tcPr>
          <w:p>
            <w:pPr/>
            <w:r>
              <w:rPr/>
              <w:t xml:space="preserve">Indicator 5:  Number of approved new/amended regulations/policies/laws directly related to improving status, management and financing regimes of wetlands</w:t>
            </w:r>
          </w:p>
          <w:p>
            <w:pPr/>
            <w:r>
              <w:rPr/>
              <w:t xml:space="preserve"/>
            </w:r>
          </w:p>
          <w:p>
            <w:pPr/>
            <w:r>
              <w:rPr/>
              <w:t xml:space="preserve"/>
            </w:r>
          </w:p>
        </w:tc>
        <w:tc>
          <w:tcPr>
            <w:tcW w:w="2000" w:type="dxa"/>
            <w:gridSpan w:val="1"/>
            <w:noWrap/>
          </w:tcPr>
          <w:p>
            <w:pPr/>
            <w:r>
              <w:rPr/>
              <w:t xml:space="preserve">0</w:t>
            </w:r>
          </w:p>
        </w:tc>
        <w:tc>
          <w:tcPr>
            <w:tcW w:w="2000" w:type="dxa"/>
            <w:gridSpan w:val="1"/>
            <w:noWrap/>
          </w:tcPr>
          <w:p>
            <w:pPr/>
            <w:r>
              <w:rPr/>
              <w:t xml:space="preserve">Draft regulations and amendments prepared and submitted for approval</w:t>
            </w:r>
          </w:p>
        </w:tc>
        <w:tc>
          <w:tcPr>
            <w:tcW w:w="2000" w:type="dxa"/>
            <w:gridSpan w:val="1"/>
            <w:noWrap/>
          </w:tcPr>
          <w:p>
            <w:pPr/>
            <w:r>
              <w:rPr/>
              <w:t xml:space="preserve">10</w:t>
            </w:r>
          </w:p>
        </w:tc>
        <w:tc>
          <w:tcPr>
            <w:tcW w:w="4000" w:type="dxa"/>
            <w:gridSpan w:val="1"/>
            <w:noWrap/>
          </w:tcPr>
          <w:p>
            <w:pPr/>
            <w:r>
              <w:rPr/>
              <w:t xml:space="preserve">18 draft amendments proposed but not yet submitted for approval; midterm target in progress.</w:t>
            </w:r>
          </w:p>
          <w:p>
            <w:pPr/>
            <w:r>
              <w:rPr/>
              <w:t xml:space="preserve"/>
            </w:r>
          </w:p>
          <w:p>
            <w:pPr/>
            <w:r>
              <w:rPr/>
              <w:t xml:space="preserve">The legal expert 18 amendments to the key legal framework regarding the improved management of wetlands and protected areas as follows:</w:t>
            </w:r>
          </w:p>
          <w:p>
            <w:pPr/>
            <w:r>
              <w:rPr/>
              <w:t xml:space="preserve">1. Land Code no. 828-XII of December 25, 1991</w:t>
            </w:r>
          </w:p>
          <w:p>
            <w:pPr/>
            <w:r>
              <w:rPr/>
              <w:t xml:space="preserve">2. Forestry Code no. 887-XIII of June 21, 1996</w:t>
            </w:r>
          </w:p>
          <w:p>
            <w:pPr/>
            <w:r>
              <w:rPr/>
              <w:t xml:space="preserve">3. Law no. 228/2010 on plant protection and phytosanitary quarantine</w:t>
            </w:r>
          </w:p>
          <w:p>
            <w:pPr/>
            <w:r>
              <w:rPr/>
              <w:t xml:space="preserve">4. Law no. 1515/1993 on the protection of the environment</w:t>
            </w:r>
          </w:p>
          <w:p>
            <w:pPr/>
            <w:r>
              <w:rPr/>
              <w:t xml:space="preserve">5. Law no. 1538/1998 regarding the fund of natural areas protected by the state</w:t>
            </w:r>
          </w:p>
          <w:p>
            <w:pPr/>
            <w:r>
              <w:rPr/>
              <w:t xml:space="preserve">6. Law no. 325/ 2005 regarding the Red Book of the Republic of Moldova</w:t>
            </w:r>
          </w:p>
          <w:p>
            <w:pPr/>
            <w:r>
              <w:rPr/>
              <w:t xml:space="preserve">7. Law no. 94/2007 regarding the ecological network</w:t>
            </w:r>
          </w:p>
          <w:p>
            <w:pPr/>
            <w:r>
              <w:rPr/>
              <w:t xml:space="preserve">8. Law no. 239/2007 of the vegetable kingdom</w:t>
            </w:r>
          </w:p>
          <w:p>
            <w:pPr/>
            <w:r>
              <w:rPr/>
              <w:t xml:space="preserve">9. Law no. 228/2010 on plant protection and phytosanitary quarantine</w:t>
            </w:r>
          </w:p>
          <w:p>
            <w:pPr/>
            <w:r>
              <w:rPr/>
              <w:t xml:space="preserve">10. Water Law no. 272/2011;</w:t>
            </w:r>
          </w:p>
          <w:p>
            <w:pPr/>
            <w:r>
              <w:rPr/>
              <w:t xml:space="preserve">11. Law no. 86/2014, regarding environmental impact assessment</w:t>
            </w:r>
          </w:p>
          <w:p>
            <w:pPr/>
            <w:r>
              <w:rPr/>
              <w:t xml:space="preserve">12. Law no. 29/2018, regarding the delimitation of public property</w:t>
            </w:r>
          </w:p>
          <w:p>
            <w:pPr/>
            <w:r>
              <w:rPr/>
              <w:t xml:space="preserve"/>
            </w:r>
          </w:p>
          <w:p>
            <w:pPr/>
            <w:r>
              <w:rPr/>
              <w:t xml:space="preserve">The amendment proposals were discussed with the legal section and relevant departments within the Ministry of the Environment and are set to be submitted for approval by the Parliament and the Government. Three working sessions were organized to facilitate this process.</w:t>
            </w:r>
          </w:p>
          <w:p>
            <w:pPr/>
            <w:r>
              <w:rPr/>
              <w:t xml:space="preserve"/>
            </w:r>
          </w:p>
          <w:p>
            <w:pPr/>
            <w:r>
              <w:rPr/>
              <w:t xml:space="preserve">The project continues to collaborate with the Ministry of the Environment to prioritize the financing of wetlands and include this issue among the funding priorities proposed annually for approval by the Ministry of Finance. The project also supports ongoing stakeholder consultation and approval of these changes.</w:t>
            </w:r>
          </w:p>
        </w:tc>
        <w:tc>
          <w:tcPr>
            <w:tcW w:w="4000" w:type="dxa"/>
            <w:gridSpan w:val="1"/>
            <w:noWrap/>
          </w:tcPr>
          <w:p>
            <w:pPr/>
            <w:r>
              <w:rPr/>
              <w:t xml:space="preserve">Cumulative progress as of 30 June 2025: 0 approved new/amended regulations/policies/laws directly related to improving status, management and financing regimes of wetlands (0% of EOP target).</w:t>
            </w:r>
          </w:p>
          <w:p>
            <w:pPr/>
            <w:r>
              <w:rPr/>
              <w:t xml:space="preserve">During the reporting period, the project continued to build on the comprehensive legislative review conducted in Year 2. A total of 18 proposed amendments and policy recommendations were developed to address legal and regulatory gaps related to wetland protection, including:</w:t>
            </w:r>
          </w:p>
          <w:p>
            <w:pPr/>
            <w:r>
              <w:rPr/>
              <w:t xml:space="preserve"/>
            </w:r>
          </w:p>
          <w:p>
            <w:pPr/>
            <w:r>
              <w:rPr/>
              <w:t xml:space="preserve">- Clarification of wetland status within national land classification systems;</w:t>
            </w:r>
          </w:p>
          <w:p>
            <w:pPr/>
            <w:r>
              <w:rPr/>
              <w:t xml:space="preserve">- Strengthening cross-sectoral governance frameworks for high-nature-value (HNV) areas;</w:t>
            </w:r>
          </w:p>
          <w:p>
            <w:pPr/>
            <w:r>
              <w:rPr/>
              <w:t xml:space="preserve">- Enhancing the eligibility of wetlands for financial support through national programs and subsidy schemes.</w:t>
            </w:r>
          </w:p>
          <w:p>
            <w:pPr/>
            <w:r>
              <w:rPr/>
              <w:t xml:space="preserve"/>
            </w:r>
          </w:p>
          <w:p>
            <w:pPr/>
            <w:r>
              <w:rPr/>
              <w:t xml:space="preserve">However, as of this reporting period, none of the 18 proposed amendments have been formally adopted. According to the Midterm Review (MTR), the approval process has been delayed due to:</w:t>
            </w:r>
          </w:p>
          <w:p>
            <w:pPr/>
            <w:r>
              <w:rPr/>
              <w:t xml:space="preserve">- Limited coordination mechanisms between key line ministries and lack of a formal inter-institutional platform;</w:t>
            </w:r>
          </w:p>
          <w:p>
            <w:pPr/>
            <w:r>
              <w:rPr/>
              <w:t xml:space="preserve">- Delays in securing endorsement from legal and environmental authorities;</w:t>
            </w:r>
          </w:p>
          <w:p>
            <w:pPr/>
            <w:r>
              <w:rPr/>
              <w:t xml:space="preserve">- Changes in institutional leadership and policy priorities at the national level;</w:t>
            </w:r>
          </w:p>
          <w:p>
            <w:pPr/>
            <w:r>
              <w:rPr/>
              <w:t xml:space="preserve">- The temporary suspension of key project activities due to budget disbursement delays in 2023–2024-2025.</w:t>
            </w:r>
          </w:p>
          <w:p>
            <w:pPr/>
            <w:r>
              <w:rPr/>
              <w:t xml:space="preserve"/>
            </w:r>
          </w:p>
          <w:p>
            <w:pPr/>
            <w:r>
              <w:rPr/>
              <w:t xml:space="preserve">Next steps for achieving this indicator:</w:t>
            </w:r>
          </w:p>
          <w:p>
            <w:pPr/>
            <w:r>
              <w:rPr/>
              <w:t xml:space="preserve"/>
            </w:r>
          </w:p>
          <w:p>
            <w:pPr/>
            <w:r>
              <w:rPr/>
              <w:t xml:space="preserve">1. Reactivate the legislative coordination platform:</w:t>
            </w:r>
          </w:p>
          <w:p>
            <w:pPr/>
            <w:r>
              <w:rPr/>
              <w:t xml:space="preserve">- Establish a multi-stakeholder legislative working group co-led by the Ministry of Environment, with technical support from the project team, to review, prioritize, and advance selected proposals.</w:t>
            </w:r>
          </w:p>
          <w:p>
            <w:pPr/>
            <w:r>
              <w:rPr/>
              <w:t xml:space="preserve"/>
            </w:r>
          </w:p>
          <w:p>
            <w:pPr/>
            <w:r>
              <w:rPr/>
              <w:t xml:space="preserve">2. Prioritize feasible regulatory proposals:</w:t>
            </w:r>
          </w:p>
          <w:p>
            <w:pPr/>
            <w:r>
              <w:rPr/>
              <w:t xml:space="preserve">- Select a core package of 5–7 high-impact amendments to be prepared for formal submission in 2025–2026, aligned with national policy updates (e.g. Biodiversity Strategy).</w:t>
            </w:r>
          </w:p>
          <w:p>
            <w:pPr/>
            <w:r>
              <w:rPr/>
              <w:t xml:space="preserve"/>
            </w:r>
          </w:p>
          <w:p>
            <w:pPr/>
            <w:r>
              <w:rPr/>
              <w:t xml:space="preserve">3. Provide technical support for documentation:</w:t>
            </w:r>
          </w:p>
          <w:p>
            <w:pPr/>
            <w:r>
              <w:rPr/>
              <w:t xml:space="preserve">- Finalize explanatory notes, legal justifications, and cost-benefit analyses to accompany each proposal.</w:t>
            </w:r>
          </w:p>
          <w:p>
            <w:pPr/>
            <w:r>
              <w:rPr/>
              <w:t xml:space="preserve"/>
            </w:r>
          </w:p>
          <w:p>
            <w:pPr/>
            <w:r>
              <w:rPr/>
              <w:t xml:space="preserve">4. Advocate for integration into existing legal initiatives:</w:t>
            </w:r>
          </w:p>
          <w:p>
            <w:pPr/>
            <w:r>
              <w:rPr/>
              <w:t xml:space="preserve">- Monitor relevant legislative processes and relevant initiatives (e.g. new environmental code, water law reform, BioFin finance plan) and engage with decision-makers to introduce wetland-relevant provisions.</w:t>
            </w:r>
          </w:p>
          <w:p>
            <w:pPr/>
            <w:r>
              <w:rPr/>
              <w:t xml:space="preserve">5. Alignment with National Biodiversity Strategy and Action Plan (NBSAP)</w:t>
            </w:r>
          </w:p>
          <w:p>
            <w:pPr/>
            <w:r>
              <w:rPr/>
              <w:t xml:space="preserve">All proposed legal and policy amendments will be cross-checked and adjusted to reinforce the priorities outlined in the NBSAP, particularly those aimed at wetland restoration, PA governance, and sustainable resource use in high-value biodiversity areas.</w:t>
            </w:r>
          </w:p>
          <w:p>
            <w:pPr/>
            <w:r>
              <w:rPr/>
              <w:t xml:space="preserve">6. Incorporation of Costești-Stânca Specific Regulations</w:t>
            </w:r>
          </w:p>
          <w:p>
            <w:pPr/>
            <w:r>
              <w:rPr/>
              <w:t xml:space="preserve">Draft legal instruments will reference and integrate relevant bilateral regulations governing the Costești-Stânca Dam and surrounding wetland areas, ensuring coherence with the ongoing bilateral water management dialogue between Moldova and Romania.</w:t>
            </w:r>
          </w:p>
          <w:p>
            <w:pPr/>
            <w:r>
              <w:rPr/>
              <w:t xml:space="preserve">7.Integration of BD-Sensitive Local Development Strategies</w:t>
            </w:r>
          </w:p>
          <w:p>
            <w:pPr/>
            <w:r>
              <w:rPr/>
              <w:t xml:space="preserve">The legal reform process will be synchronized with biodiversity-sensitive local development strategies currently being elaborated in the three target districts. This will ensure consistency between national policies and local land-use planning instruments.</w:t>
            </w:r>
          </w:p>
          <w:p>
            <w:pPr/>
            <w:r>
              <w:rPr/>
              <w:t xml:space="preserve">8. Coherence with Biodiversity Finance and National Environmental Fund (NEF)</w:t>
            </w:r>
          </w:p>
          <w:p>
            <w:pPr/>
            <w:r>
              <w:rPr/>
              <w:t xml:space="preserve">In coordination with the BIOFIN initiative and NEF reform efforts, the new/amended legal instruments will incorporate enabling provisions for sustainable financing of wetlands. The project will advocate for the prioritization of wetland ecosystems within national environmental budgeting processes.</w:t>
            </w:r>
          </w:p>
          <w:p>
            <w:pPr/>
            <w:r>
              <w:rPr/>
              <w:t xml:space="preserve"/>
            </w:r>
          </w:p>
          <w:p>
            <w:pPr/>
            <w:r>
              <w:rPr/>
              <w:t xml:space="preserve">9. Strengthen stakeholder engagement:</w:t>
            </w:r>
          </w:p>
          <w:p>
            <w:pPr/>
            <w:r>
              <w:rPr/>
              <w:t xml:space="preserve">- Mobilize support from CSOs, academia, and development partners (e.g. UNDP, EU, GIZ) to jointly promote the adoption of reforms.</w:t>
            </w:r>
          </w:p>
          <w:p>
            <w:pPr/>
            <w:r>
              <w:rPr/>
              <w:t xml:space="preserve"/>
            </w:r>
          </w:p>
          <w:p>
            <w:pPr/>
            <w:r>
              <w:rPr/>
              <w:t xml:space="preserve">These amendments remain highly relevant for the sustainability of wetland conservation efforts, and their adoption will directly contribute to achieving the project’s end-of-project (EOP) targets for enabling conditions.</w:t>
            </w:r>
          </w:p>
          <w:p>
            <w:pPr/>
            <w:r>
              <w:rPr/>
              <w:t xml:space="preserve"/>
            </w:r>
          </w:p>
        </w:tc>
      </w:tr>
      <w:tr>
        <w:trPr/>
        <w:tc>
          <w:tcPr>
            <w:tcW w:w="4000" w:type="dxa"/>
            <w:gridSpan w:val="1"/>
            <w:noWrap/>
          </w:tcPr>
          <w:p>
            <w:pPr/>
            <w:r>
              <w:rPr/>
              <w:t xml:space="preserve">Indicator 6: Number of approved new/amended regulations/policies/laws related to prioritization of the financing of wetlands  through the  National Ecological Fund.</w:t>
            </w:r>
          </w:p>
        </w:tc>
        <w:tc>
          <w:tcPr>
            <w:tcW w:w="2000" w:type="dxa"/>
            <w:gridSpan w:val="1"/>
            <w:noWrap/>
          </w:tcPr>
          <w:p>
            <w:pPr/>
            <w:r>
              <w:rPr/>
              <w:t xml:space="preserve">0</w:t>
            </w:r>
          </w:p>
        </w:tc>
        <w:tc>
          <w:tcPr>
            <w:tcW w:w="2000" w:type="dxa"/>
            <w:gridSpan w:val="1"/>
            <w:noWrap/>
          </w:tcPr>
          <w:p>
            <w:pPr/>
            <w:r>
              <w:rPr/>
              <w:t xml:space="preserve">Draft regulations and amendments prepared and submitted for approval</w:t>
            </w:r>
          </w:p>
        </w:tc>
        <w:tc>
          <w:tcPr>
            <w:tcW w:w="2000" w:type="dxa"/>
            <w:gridSpan w:val="1"/>
            <w:noWrap/>
          </w:tcPr>
          <w:p>
            <w:pPr/>
            <w:r>
              <w:rPr/>
              <w:t xml:space="preserve">5</w:t>
            </w:r>
          </w:p>
        </w:tc>
        <w:tc>
          <w:tcPr>
            <w:tcW w:w="4000" w:type="dxa"/>
            <w:gridSpan w:val="1"/>
            <w:noWrap/>
          </w:tcPr>
          <w:p>
            <w:pPr/>
            <w:r>
              <w:rPr/>
              <w:t xml:space="preserve">6 (or 10?) amendments were drafted but not yet submitted for approval; midterm target in progress.</w:t>
            </w:r>
          </w:p>
          <w:p>
            <w:pPr/>
            <w:r>
              <w:rPr/>
              <w:t xml:space="preserve"/>
            </w:r>
          </w:p>
          <w:p>
            <w:pPr/>
            <w:r>
              <w:rPr/>
              <w:t xml:space="preserve">The legal expert proposed changes and 10 amendments to the key legal framework concerning the financing of wetlands and protected areas through the National Ecological Fund/National Environmental Fund, as follows:</w:t>
            </w:r>
          </w:p>
          <w:p>
            <w:pPr/>
            <w:r>
              <w:rPr/>
              <w:t xml:space="preserve">1. Law no. 1515/1993 regarding the protection of the environment.</w:t>
            </w:r>
          </w:p>
          <w:p>
            <w:pPr/>
            <w:r>
              <w:rPr/>
              <w:t xml:space="preserve">2. Law 1538/1998 regarding the fund of natural areas protected by the state;</w:t>
            </w:r>
          </w:p>
          <w:p>
            <w:pPr/>
            <w:r>
              <w:rPr/>
              <w:t xml:space="preserve">3. Law no. 1540/1998 regarding payment for environmental pollution.</w:t>
            </w:r>
          </w:p>
          <w:p>
            <w:pPr/>
            <w:r>
              <w:rPr/>
              <w:t xml:space="preserve">4. Government Decision no. 711/2022 regarding the approval of the Regulation on the manner of administration of the National Fund for the Environment, in force from 04.11.2022;</w:t>
            </w:r>
          </w:p>
          <w:p>
            <w:pPr/>
            <w:r>
              <w:rPr/>
              <w:t xml:space="preserve">5. Government Decision no. 665 of 14.06.2007 for the approval of the Framework Regulation of Wetlands of International Importance;</w:t>
            </w:r>
          </w:p>
          <w:p>
            <w:pPr/>
            <w:r>
              <w:rPr/>
              <w:t xml:space="preserve">6. Government Decision no. 784/2000 for the approval of the Framework Regulation on multifunctional management areas, the Framework Regulation on nature reserves, the Framework Regulation on landscape reserves and the Framework Regulation on landscape architecture monuments;</w:t>
            </w:r>
          </w:p>
          <w:p>
            <w:pPr/>
            <w:r>
              <w:rPr/>
              <w:t xml:space="preserve">7. Government Decision no. 782/2000 for the approval of the framework regulations of national parks, nature monuments, resource reserves and biosphere reserves;</w:t>
            </w:r>
          </w:p>
          <w:p>
            <w:pPr/>
            <w:r>
              <w:rPr/>
              <w:t xml:space="preserve">8. Government Decision no. 414/2000 regarding the approval of the Regulation of the Cadastre of objects and complexes from the fund of natural areas protected by the state.</w:t>
            </w:r>
          </w:p>
          <w:p>
            <w:pPr/>
            <w:r>
              <w:rPr/>
              <w:t xml:space="preserve"/>
            </w:r>
          </w:p>
          <w:p>
            <w:pPr/>
            <w:r>
              <w:rPr/>
              <w:t xml:space="preserve">The amendment proposals were discussed with the legal section and relevant departments within the Ministry of the Environment and are set to be submitted for approval by Parliament and the Government. Three working sessions were organized for this purpose. The project continues to collaborate with the Ministry of the Environment to elevate the financing of wetlands on the Ministry's agenda, aiming to include this issue among the funding priorities proposed annually for approval by the Ministry of Finance. Additionally, the project continues to support stakeholder consultation and the approval of these changes.</w:t>
            </w:r>
          </w:p>
        </w:tc>
        <w:tc>
          <w:tcPr>
            <w:tcW w:w="4000" w:type="dxa"/>
            <w:gridSpan w:val="1"/>
            <w:noWrap/>
          </w:tcPr>
          <w:p>
            <w:pPr/>
            <w:r>
              <w:rPr/>
              <w:t xml:space="preserve">Cumulative progress as of 30 June 2025: 0 approved new/amended regulations/policies/laws related to prioritization of the financing of wetlands through the National (0% of EOP target).</w:t>
            </w:r>
          </w:p>
          <w:p>
            <w:pPr/>
            <w:r>
              <w:rPr/>
              <w:t xml:space="preserve">Due to the previously outlined issues related to ineligible expenditures, essential project resources and coordination mechanisms were suspended, resulting in significant delays in the advancement and formal submission of the proposed legal amendments. However, several measures will be taken into account in order to expedite this process a meet this indicator:</w:t>
            </w:r>
          </w:p>
          <w:p>
            <w:pPr/>
            <w:r>
              <w:rPr/>
              <w:t xml:space="preserve">Next Steps:</w:t>
            </w:r>
          </w:p>
          <w:p>
            <w:pPr/>
            <w:r>
              <w:rPr/>
              <w:t xml:space="preserve">1.	Finalization of policy proposals and legislative amendments</w:t>
            </w:r>
          </w:p>
          <w:p>
            <w:pPr/>
            <w:r>
              <w:rPr/>
              <w:t xml:space="preserve">Amendment proposals will be developed by the legal expert, to be hired Q3-Q4, 2025 and consulted   to explicitly allow the inclusion of wetland conservation and restoration in the eligibility and prioritization criteria of the National Ecological Fund (NEF).</w:t>
            </w:r>
          </w:p>
          <w:p>
            <w:pPr/>
            <w:r>
              <w:rPr/>
              <w:t xml:space="preserve">2.	Collaboration with BIOFIN and the Ministry of Environment</w:t>
            </w:r>
          </w:p>
          <w:p>
            <w:pPr/>
            <w:r>
              <w:rPr/>
              <w:t xml:space="preserve">The project will continue its collaboration with the BIOFIN   initiative which is doing the assessment of the legal and institutional framework, and identification of the financing gaps will start later this year, with the timeline till end 2026. Project is also coordinating with the Ministry of Environment to integrate the results of the biodiversity cost analysis into the NEF reform strategy, so that wetlands are reflected as a priority area for public investment.</w:t>
            </w:r>
          </w:p>
          <w:p>
            <w:pPr/>
            <w:r>
              <w:rPr/>
              <w:t xml:space="preserve">3.	Inter-institutional consultations with relevant authorities</w:t>
            </w:r>
          </w:p>
          <w:p>
            <w:pPr/>
            <w:r>
              <w:rPr/>
              <w:t xml:space="preserve">Technical working sessions will be organized between the PMU, NEF, Ministry of Finance, and Ministry of Environment to ensure alignment of the proposed provisions with the existing budgetary framework, NEF regulations, and funding directions of national plans (e.g., NBSAP, National Afforestation and Reforestation Program).</w:t>
            </w:r>
          </w:p>
          <w:p>
            <w:pPr/>
            <w:r>
              <w:rPr/>
              <w:t xml:space="preserve">4.	Integration into NEF strategic documents</w:t>
            </w:r>
          </w:p>
          <w:p>
            <w:pPr/>
            <w:r>
              <w:rPr/>
              <w:t xml:space="preserve">The legislative proposals will be accompanied by justification notes and cost-benefit analyses, highlighting the positive impact of investments in wetlands on reducing climate risks, conserving biodiversity, and supporting rural communities.</w:t>
            </w:r>
          </w:p>
          <w:p>
            <w:pPr/>
            <w:r>
              <w:rPr/>
              <w:t xml:space="preserve"/>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N/A</w:t>
            </w:r>
          </w:p>
        </w:tc>
      </w:tr>
      <w:tr>
        <w:trPr/>
        <w:tc>
          <w:tcPr>
            <w:tcW w:w="4000" w:type="dxa"/>
            <w:gridSpan w:val="1"/>
            <w:noWrap/>
          </w:tcPr>
          <w:p>
            <w:pPr/>
            <w:r>
              <w:rPr>
                <w:b w:val="1"/>
                <w:bCs w:val="1"/>
              </w:rPr>
              <w:t xml:space="preserve">Explanation why the evidence was not provided:</w:t>
            </w:r>
          </w:p>
        </w:tc>
        <w:tc>
          <w:tcPr>
            <w:tcW w:w="12000" w:type="dxa"/>
            <w:gridSpan w:val="5"/>
            <w:noWrap/>
          </w:tcPr>
          <w:p>
            <w:pPr>
              <w:spacing w:before="0" w:after="0"/>
            </w:pPr>
            <w:r>
              <w:rPr/>
              <w:t xml:space="preserve">n/a</w:t>
            </w:r>
          </w:p>
        </w:tc>
      </w:tr>
      <w:tr>
        <w:trPr/>
        <w:tc>
          <w:tcPr>
            <w:tcW w:w="16000" w:type="dxa"/>
            <w:shd w:val="clear" w:fill="#D9D9D9"/>
            <w:gridSpan w:val="7"/>
            <w:noWrap/>
          </w:tcPr>
          <w:p>
            <w:pPr/>
            <w:r>
              <w:rPr>
                <w:b w:val="1"/>
                <w:bCs w:val="1"/>
              </w:rPr>
              <w:t xml:space="preserve">Outcome 2</w:t>
            </w:r>
          </w:p>
          <w:p>
            <w:pPr/>
            <w:r>
              <w:rPr>
                <w:b w:val="1"/>
                <w:bCs w:val="1"/>
              </w:rPr>
              <w:t xml:space="preserve">Outcome 2.1 Positive status of wetland habitats and species at targeted Key Biodiversity Areas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2024</w:t>
            </w:r>
          </w:p>
        </w:tc>
        <w:tc>
          <w:tcPr>
            <w:tcW w:w="4000" w:type="dxa"/>
            <w:gridSpan w:val="1"/>
            <w:noWrap/>
          </w:tcPr>
          <w:p>
            <w:pPr/>
            <w:r>
              <w:rPr>
                <w:b w:val="1"/>
                <w:bCs w:val="1"/>
              </w:rPr>
              <w:t xml:space="preserve">Cumulative progress since project start as of Jun 30, 2025</w:t>
            </w:r>
          </w:p>
        </w:tc>
      </w:tr>
      <w:tr>
        <w:trPr/>
        <w:tc>
          <w:tcPr>
            <w:tcW w:w="4000" w:type="dxa"/>
            <w:gridSpan w:val="1"/>
            <w:noWrap/>
          </w:tcPr>
          <w:p>
            <w:pPr/>
            <w:r>
              <w:rPr/>
              <w:t xml:space="preserve">Indicator 7 Increase of METT score for the targeted national PAs</w:t>
            </w:r>
          </w:p>
        </w:tc>
        <w:tc>
          <w:tcPr>
            <w:tcW w:w="2000" w:type="dxa"/>
            <w:gridSpan w:val="1"/>
            <w:noWrap/>
          </w:tcPr>
          <w:p>
            <w:pPr/>
            <w:r>
              <w:rPr/>
              <w:t xml:space="preserve">Lower Prut Biosphere Reserve 31</w:t>
            </w:r>
          </w:p>
          <w:p>
            <w:pPr/>
            <w:r>
              <w:rPr/>
              <w:t xml:space="preserve">Royal Forest Nature Reserve 57</w:t>
            </w:r>
          </w:p>
          <w:p>
            <w:pPr/>
            <w:r>
              <w:rPr/>
              <w:t xml:space="preserve"/>
            </w:r>
          </w:p>
        </w:tc>
        <w:tc>
          <w:tcPr>
            <w:tcW w:w="2000" w:type="dxa"/>
            <w:gridSpan w:val="1"/>
            <w:noWrap/>
          </w:tcPr>
          <w:p>
            <w:pPr/>
            <w:r>
              <w:rPr/>
              <w:t xml:space="preserve">33</w:t>
            </w:r>
          </w:p>
          <w:p>
            <w:pPr/>
            <w:r>
              <w:rPr/>
              <w:t xml:space="preserve"/>
            </w:r>
          </w:p>
          <w:p>
            <w:pPr/>
            <w:r>
              <w:rPr/>
              <w:t xml:space="preserve">60</w:t>
            </w:r>
          </w:p>
          <w:p>
            <w:pPr/>
            <w:r>
              <w:rPr/>
              <w:t xml:space="preserve"/>
            </w:r>
          </w:p>
        </w:tc>
        <w:tc>
          <w:tcPr>
            <w:tcW w:w="2000" w:type="dxa"/>
            <w:gridSpan w:val="1"/>
            <w:noWrap/>
          </w:tcPr>
          <w:p>
            <w:pPr/>
            <w:r>
              <w:rPr/>
              <w:t xml:space="preserve">35</w:t>
            </w:r>
          </w:p>
          <w:p>
            <w:pPr/>
            <w:r>
              <w:rPr/>
              <w:t xml:space="preserve"/>
            </w:r>
          </w:p>
          <w:p>
            <w:pPr/>
            <w:r>
              <w:rPr/>
              <w:t xml:space="preserve">63</w:t>
            </w:r>
          </w:p>
          <w:p>
            <w:pPr/>
            <w:r>
              <w:rPr/>
              <w:t xml:space="preserve"/>
            </w:r>
          </w:p>
        </w:tc>
        <w:tc>
          <w:tcPr>
            <w:tcW w:w="4000" w:type="dxa"/>
            <w:gridSpan w:val="1"/>
            <w:noWrap/>
          </w:tcPr>
          <w:p>
            <w:pPr/>
            <w:r>
              <w:rPr/>
              <w:t xml:space="preserve">Due to significant delays with project implementation, no measurable progress has been made against this indicator during the reporting period.</w:t>
            </w:r>
          </w:p>
        </w:tc>
        <w:tc>
          <w:tcPr>
            <w:tcW w:w="4000" w:type="dxa"/>
            <w:gridSpan w:val="1"/>
            <w:noWrap/>
          </w:tcPr>
          <w:p>
            <w:pPr/>
            <w:r>
              <w:rPr/>
              <w:t xml:space="preserve">Cumulative progress as of 30 June 2025:</w:t>
            </w:r>
          </w:p>
          <w:p>
            <w:pPr/>
            <w:r>
              <w:rPr/>
              <w:t xml:space="preserve">31 METT score for Lower Prut Biosphere Reserve (0% of EOP target).</w:t>
            </w:r>
          </w:p>
          <w:p>
            <w:pPr/>
            <w:r>
              <w:rPr/>
              <w:t xml:space="preserve">55 METT score for Royal Forest Nature Reserve (0% of EOP Target)</w:t>
            </w:r>
          </w:p>
          <w:p>
            <w:pPr/>
            <w:r>
              <w:rPr/>
              <w:t xml:space="preserve">As no further progress has been made on the indicators that support an increase in the METT score, the score remains unchanged. Additionally, an observation has also been noted regarding the METT score for the Royal Forest.</w:t>
            </w:r>
          </w:p>
          <w:p>
            <w:pPr/>
            <w:r>
              <w:rPr/>
              <w:t xml:space="preserve">According to the Midterm Review (MTR), while baseline METT assessments were conducted and confirmed in Year 2, there has been no measurable improvement in management effectiveness to date.</w:t>
            </w:r>
          </w:p>
          <w:p>
            <w:pPr/>
            <w:r>
              <w:rPr/>
              <w:t xml:space="preserve">This is largely due to the same situation as previously outlined in the report, which caused delays in implementation of key interventions planned under Outcome 2. These included:</w:t>
            </w:r>
          </w:p>
          <w:p>
            <w:pPr/>
            <w:r>
              <w:rPr/>
              <w:t xml:space="preserve"/>
            </w:r>
          </w:p>
          <w:p>
            <w:pPr/>
            <w:r>
              <w:rPr/>
              <w:t xml:space="preserve">- Strengthening institutional capacity of PA management units;</w:t>
            </w:r>
          </w:p>
          <w:p>
            <w:pPr/>
            <w:r>
              <w:rPr/>
              <w:t xml:space="preserve">- Provision of essential equipment, transport, and technical tools;</w:t>
            </w:r>
          </w:p>
          <w:p>
            <w:pPr/>
            <w:r>
              <w:rPr/>
              <w:t xml:space="preserve">- Development and implementation of updated zoning and management plans.</w:t>
            </w:r>
          </w:p>
          <w:p>
            <w:pPr/>
            <w:r>
              <w:rPr/>
              <w:t xml:space="preserve"/>
            </w:r>
          </w:p>
          <w:p>
            <w:pPr/>
            <w:r>
              <w:rPr/>
              <w:t xml:space="preserve">Progress toward EOP targets is expected to begin in 2025, once the project resumes key field operations, see below further details for the implementation.</w:t>
            </w:r>
          </w:p>
          <w:p>
            <w:pPr/>
            <w:r>
              <w:rPr/>
              <w:t xml:space="preserve"/>
            </w:r>
          </w:p>
          <w:p>
            <w:pPr/>
            <w:r>
              <w:rPr/>
              <w:t xml:space="preserve">Next Steps:</w:t>
            </w:r>
          </w:p>
          <w:p>
            <w:pPr/>
            <w:r>
              <w:rPr/>
              <w:t xml:space="preserve">- Resume targeted capacity-building for PA staff, including training in monitoring, enforcement, and biodiversity data collection based on the needs assessment.</w:t>
            </w:r>
          </w:p>
          <w:p>
            <w:pPr/>
            <w:r>
              <w:rPr/>
              <w:t xml:space="preserve">- Finalize and begin implementing improved zoning plans for both sites (Activity 2.1.1).</w:t>
            </w:r>
          </w:p>
          <w:p>
            <w:pPr/>
            <w:r>
              <w:rPr/>
              <w:t xml:space="preserve">- Deliver delayed equipment and operational support, including GPS units, IT tools, uniforms, and transport means.</w:t>
            </w:r>
          </w:p>
          <w:p>
            <w:pPr/>
            <w:r>
              <w:rPr/>
              <w:t xml:space="preserve">- Initiate METT reassessment by Q4 2025 to measure early improvements and recalibrate support.</w:t>
            </w:r>
          </w:p>
          <w:p>
            <w:pPr/>
            <w:r>
              <w:rPr/>
              <w:t xml:space="preserve">- Coordinate with ANSE (Environmental Agency) and local management bodies to reinforce site governance and adaptive management practices.</w:t>
            </w:r>
          </w:p>
          <w:p>
            <w:pPr/>
            <w:r>
              <w:rPr/>
              <w:t xml:space="preserve"/>
            </w:r>
          </w:p>
          <w:p>
            <w:pPr/>
            <w:r>
              <w:rPr/>
              <w:t xml:space="preserve">- Additionally to these activities, project will follow-up actions on the Cross-border Dialogue for the Trilateral Biosphere Reserve Danube Delta – Lower Prut. Project will conduct the following activities to achieve this important milestone that has been highlighted in the project Mid-term review:</w:t>
            </w:r>
          </w:p>
          <w:p>
            <w:pPr/>
            <w:r>
              <w:rPr/>
              <w:t xml:space="preserve">•	Reactivate and facilitate trilateral dialogue between Moldova, Romania, and Ukraine, as recommended in the MTR</w:t>
            </w:r>
          </w:p>
          <w:p>
            <w:pPr/>
            <w:r>
              <w:rPr/>
              <w:t xml:space="preserve">•	Recruit an independent moderator to support technical and institutional discussions related to the inclusion of Moldovan PAs (especially Lower Prut) in the Trilateral Biosphere Reserve network.</w:t>
            </w:r>
          </w:p>
          <w:p>
            <w:pPr/>
            <w:r>
              <w:rPr/>
              <w:t xml:space="preserve">•	Align with existing working groups (e.g., Stânca-Costești technical committee, ICPDR group) to ensure institutional and diplomatic coherence.</w:t>
            </w:r>
          </w:p>
          <w:p>
            <w:pPr/>
            <w:r>
              <w:rPr/>
              <w:t xml:space="preserve">•	Integrate issues of integrated water management, biodiversity conservation, and participatory governance into the trilateral biosphere concept.</w:t>
            </w:r>
          </w:p>
          <w:p>
            <w:pPr/>
            <w:r>
              <w:rPr/>
              <w:t xml:space="preserve">•	Prepare a joint action plan and a trilateral memorandum of understanding as a preparatory step toward submitting a nomination to UNESCO.</w:t>
            </w:r>
          </w:p>
          <w:p>
            <w:pPr/>
            <w:r>
              <w:rPr/>
              <w:t xml:space="preserve">The current METT scores will serve as baselines for comparison in the final evaluation, and planned interventions under Component 2 are expected to lead to a significant increase in METT ratings by project end.</w:t>
            </w:r>
          </w:p>
          <w:p>
            <w:pPr/>
            <w:r>
              <w:rPr/>
              <w:t xml:space="preserve"/>
            </w:r>
          </w:p>
        </w:tc>
      </w:tr>
      <w:tr>
        <w:trPr/>
        <w:tc>
          <w:tcPr>
            <w:tcW w:w="4000" w:type="dxa"/>
            <w:gridSpan w:val="1"/>
            <w:noWrap/>
          </w:tcPr>
          <w:p>
            <w:pPr/>
            <w:r>
              <w:rPr/>
              <w:t xml:space="preserve">Indicator 8: Stable status/positive changes in the population of globally significant biodiversity at the targeted PAs.</w:t>
            </w:r>
          </w:p>
          <w:p>
            <w:pPr/>
            <w:r>
              <w:rPr/>
              <w:t xml:space="preserve"/>
            </w:r>
          </w:p>
          <w:p>
            <w:pPr/>
            <w:r>
              <w:rPr/>
              <w:t xml:space="preserve">Lower Prut Biosphere Reserve:</w:t>
            </w:r>
          </w:p>
          <w:p>
            <w:pPr/>
            <w:r>
              <w:rPr/>
              <w:t xml:space="preserve">Little Egret Egretta garzetta</w:t>
            </w:r>
          </w:p>
          <w:p>
            <w:pPr/>
            <w:r>
              <w:rPr/>
              <w:t xml:space="preserve">Glossy Ibis Plegadis falcinellus</w:t>
            </w:r>
          </w:p>
          <w:p>
            <w:pPr/>
            <w:r>
              <w:rPr/>
              <w:t xml:space="preserve">Black-crowned Night Heron Nycticorax</w:t>
            </w:r>
          </w:p>
          <w:p>
            <w:pPr/>
            <w:r>
              <w:rPr/>
              <w:t xml:space="preserve">Eurasian Spoonbill Platalea leurocorodia</w:t>
            </w:r>
          </w:p>
          <w:p>
            <w:pPr/>
            <w:r>
              <w:rPr/>
              <w:t xml:space="preserve">Grey heron Ardea cinerea</w:t>
            </w:r>
          </w:p>
          <w:p>
            <w:pPr/>
            <w:r>
              <w:rPr/>
              <w:t xml:space="preserve">Ferruginous Duck Aythya nyroca</w:t>
            </w:r>
          </w:p>
          <w:p>
            <w:pPr/>
            <w:r>
              <w:rPr/>
              <w:t xml:space="preserve">Mute Swan Cygnus olor</w:t>
            </w:r>
          </w:p>
          <w:p>
            <w:pPr/>
            <w:r>
              <w:rPr/>
              <w:t xml:space="preserve">Red-breasted Goose Branta rufficollis</w:t>
            </w:r>
          </w:p>
          <w:p>
            <w:pPr/>
            <w:r>
              <w:rPr/>
              <w:t xml:space="preserve">Kingfisher Alcedo atthis</w:t>
            </w:r>
          </w:p>
          <w:p>
            <w:pPr/>
            <w:r>
              <w:rPr/>
              <w:t xml:space="preserve"/>
            </w:r>
          </w:p>
          <w:p>
            <w:pPr/>
            <w:r>
              <w:rPr/>
              <w:t xml:space="preserve">Royal Forest Nature Reserve:</w:t>
            </w:r>
          </w:p>
          <w:p>
            <w:pPr/>
            <w:r>
              <w:rPr/>
              <w:t xml:space="preserve">Little Egret Egretta garzetta</w:t>
            </w:r>
          </w:p>
          <w:p>
            <w:pPr/>
            <w:r>
              <w:rPr/>
              <w:t xml:space="preserve">Black-crowned Night Heron Nycticorax</w:t>
            </w:r>
          </w:p>
          <w:p>
            <w:pPr/>
            <w:r>
              <w:rPr/>
              <w:t xml:space="preserve">Great Egret Ardea alba</w:t>
            </w:r>
          </w:p>
          <w:p>
            <w:pPr/>
            <w:r>
              <w:rPr/>
              <w:t xml:space="preserve">Grey Heron Ardea cinerea</w:t>
            </w:r>
          </w:p>
          <w:p>
            <w:pPr/>
            <w:r>
              <w:rPr/>
              <w:t xml:space="preserve">Mute Swan Cygnus olor</w:t>
            </w:r>
          </w:p>
          <w:p>
            <w:pPr/>
            <w:r>
              <w:rPr/>
              <w:t xml:space="preserve">White-tailed Eagle Haliaeethus albicilla</w:t>
            </w:r>
          </w:p>
          <w:p>
            <w:pPr/>
            <w:r>
              <w:rPr/>
              <w:t xml:space="preserve"/>
            </w:r>
          </w:p>
        </w:tc>
        <w:tc>
          <w:tcPr>
            <w:tcW w:w="2000" w:type="dxa"/>
            <w:gridSpan w:val="1"/>
            <w:noWrap/>
          </w:tcPr>
          <w:p>
            <w:pPr/>
            <w:r>
              <w:rPr/>
              <w:t xml:space="preserve">Baseline: as indicated in the METT scorecards</w:t>
            </w:r>
          </w:p>
          <w:p>
            <w:pPr/>
            <w:r>
              <w:rPr/>
              <w:t xml:space="preserve">Baseline to be validated during inventories</w:t>
            </w:r>
          </w:p>
          <w:p>
            <w:pPr/>
            <w:r>
              <w:rPr/>
              <w:t xml:space="preserve"/>
            </w:r>
          </w:p>
        </w:tc>
        <w:tc>
          <w:tcPr>
            <w:tcW w:w="2000" w:type="dxa"/>
            <w:gridSpan w:val="1"/>
            <w:noWrap/>
          </w:tcPr>
          <w:p>
            <w:pPr/>
            <w:r>
              <w:rPr/>
              <w:t xml:space="preserve">Midterm target:  As indicated in the METT scorecards</w:t>
            </w:r>
          </w:p>
        </w:tc>
        <w:tc>
          <w:tcPr>
            <w:tcW w:w="2000" w:type="dxa"/>
            <w:gridSpan w:val="1"/>
            <w:noWrap/>
          </w:tcPr>
          <w:p>
            <w:pPr/>
            <w:r>
              <w:rPr/>
              <w:t xml:space="preserve">End project target:  As indicated in the METT scorecards (at least 10% increase of METT score)</w:t>
            </w:r>
          </w:p>
        </w:tc>
        <w:tc>
          <w:tcPr>
            <w:tcW w:w="4000" w:type="dxa"/>
            <w:gridSpan w:val="1"/>
            <w:noWrap/>
          </w:tcPr>
          <w:p>
            <w:pPr/>
            <w:r>
              <w:rPr/>
              <w:t xml:space="preserve">Experts in biodiversity conducted a comprehensive inventory of flora and fauna species within the Lower Prut Biosphere Reserve and the Royal Forest Nature Reserve. This inventory included an assessment of the current state of biodiversity, rare species, and population trends. As a result, "Biodiversity Passports" were developed for key species, outlining related conservation measures and the sustainable management of biodiversity resources outside of protected areas.</w:t>
            </w:r>
          </w:p>
          <w:p>
            <w:pPr/>
            <w:r>
              <w:rPr/>
              <w:t xml:space="preserve"/>
            </w:r>
          </w:p>
          <w:p>
            <w:pPr/>
            <w:r>
              <w:rPr/>
              <w:t xml:space="preserve">According to the inventory data from the fauna expert, the populations of globally important species within the Pădurea Domneasca Reserve and the Prutul de Jos Biosphere Reserve are stable, with some species even showing a slight increase. For example, the populations of Egretta garzetta have increased by 3%, Ardea alba by 2%, and Nycticorax nycticorax by 2%.</w:t>
            </w:r>
          </w:p>
        </w:tc>
        <w:tc>
          <w:tcPr>
            <w:tcW w:w="4000" w:type="dxa"/>
            <w:gridSpan w:val="1"/>
            <w:noWrap/>
          </w:tcPr>
          <w:p>
            <w:pPr/>
            <w:r>
              <w:rPr/>
              <w:t xml:space="preserve"/>
            </w:r>
          </w:p>
          <w:p>
            <w:pPr/>
            <w:r>
              <w:rPr/>
              <w:t xml:space="preserve">Cumulative progress as of 30 June 2025: 0 % of METT scorecards for Stable status/positive changes in the population of globally significant biodiversity at the targeted PAs. (0% of EOP target).</w:t>
            </w:r>
          </w:p>
          <w:p>
            <w:pPr/>
            <w:r>
              <w:rPr/>
              <w:t xml:space="preserve">According to the Midterm Review (MTR), no measurable progress has been reported on this indicator due to several compounding factors:</w:t>
            </w:r>
          </w:p>
          <w:p>
            <w:pPr/>
            <w:r>
              <w:rPr/>
              <w:t xml:space="preserve">- Delays in implementing key conservation actions and biodiversity monitoring activities under Component 2;</w:t>
            </w:r>
          </w:p>
          <w:p>
            <w:pPr/>
            <w:r>
              <w:rPr/>
              <w:t xml:space="preserve">- Absence of updated baseline data on species populations in Lower Prut Biosphere Reserve and Royal Forest Nature Reserve;</w:t>
            </w:r>
          </w:p>
          <w:p>
            <w:pPr/>
            <w:r>
              <w:rPr/>
              <w:t xml:space="preserve">- Suspension of field-based ecological surveys during the 2023–2024 period due to funding blockages;</w:t>
            </w:r>
          </w:p>
          <w:p>
            <w:pPr/>
            <w:r>
              <w:rPr/>
              <w:t xml:space="preserve">- Lack of functional biodiversity monitoring protocols and trained staff within the PA management units.</w:t>
            </w:r>
          </w:p>
          <w:p>
            <w:pPr/>
            <w:r>
              <w:rPr/>
              <w:t xml:space="preserve"/>
            </w:r>
          </w:p>
          <w:p>
            <w:pPr/>
            <w:r>
              <w:rPr/>
              <w:t xml:space="preserve">As a result, the project has not been able to assess trends or status changes for species of global concern (e.g., red-listed waterfowl, aquatic flora, or mammals of conservation importance) within the target sites.</w:t>
            </w:r>
          </w:p>
          <w:p>
            <w:pPr/>
            <w:r>
              <w:rPr/>
              <w:t xml:space="preserve"/>
            </w:r>
          </w:p>
          <w:p>
            <w:pPr/>
            <w:r>
              <w:rPr/>
              <w:t xml:space="preserve">Next Steps:</w:t>
            </w:r>
          </w:p>
          <w:p>
            <w:pPr/>
            <w:r>
              <w:rPr/>
              <w:t xml:space="preserve">1. Resume field-based biodiversity surveys:</w:t>
            </w:r>
          </w:p>
          <w:p>
            <w:pPr/>
            <w:r>
              <w:rPr/>
              <w:t xml:space="preserve">- Launch comprehensive ecological assessments in both PAs by Q3-Q4 2025, with support from academic institutions and specialized consultants.</w:t>
            </w:r>
          </w:p>
          <w:p>
            <w:pPr/>
            <w:r>
              <w:rPr/>
              <w:t xml:space="preserve"/>
            </w:r>
          </w:p>
          <w:p>
            <w:pPr/>
            <w:r>
              <w:rPr/>
              <w:t xml:space="preserve">2. Establish and operationalize biodiversity monitoring protocols:</w:t>
            </w:r>
          </w:p>
          <w:p>
            <w:pPr/>
            <w:r>
              <w:rPr/>
              <w:t xml:space="preserve">- Develop site-specific monitoring plans aligned with global and national conservation priorities.</w:t>
            </w:r>
          </w:p>
          <w:p>
            <w:pPr/>
            <w:r>
              <w:rPr/>
              <w:t xml:space="preserve">- Train PA staff in species identification, data collection, and reporting standards.</w:t>
            </w:r>
          </w:p>
          <w:p>
            <w:pPr/>
            <w:r>
              <w:rPr/>
              <w:t xml:space="preserve"/>
            </w:r>
          </w:p>
          <w:p>
            <w:pPr/>
            <w:r>
              <w:rPr/>
              <w:t xml:space="preserve">3. Integrate biodiversity indicators into PA management frameworks:</w:t>
            </w:r>
          </w:p>
          <w:p>
            <w:pPr/>
            <w:r>
              <w:rPr/>
              <w:t xml:space="preserve">- Link species monitoring to adaptive management, zoning, and restoration activities.</w:t>
            </w:r>
          </w:p>
          <w:p>
            <w:pPr/>
            <w:r>
              <w:rPr/>
              <w:t xml:space="preserve"/>
            </w:r>
          </w:p>
          <w:p>
            <w:pPr/>
            <w:r>
              <w:rPr/>
              <w:t xml:space="preserve">4. Coordinate with Environmental Agency and scientific institutions:</w:t>
            </w:r>
          </w:p>
          <w:p>
            <w:pPr/>
            <w:r>
              <w:rPr/>
              <w:t xml:space="preserve">- Establish partnerships to ensure scientific rigor in data interpretation and trend analysis.</w:t>
            </w:r>
          </w:p>
          <w:p>
            <w:pPr/>
            <w:r>
              <w:rPr/>
              <w:t xml:space="preserve"/>
            </w:r>
          </w:p>
          <w:p>
            <w:pPr/>
            <w:r>
              <w:rPr/>
              <w:t xml:space="preserve">5. Report on early biodiversity trends by Q4 2025:</w:t>
            </w:r>
          </w:p>
          <w:p>
            <w:pPr/>
            <w:r>
              <w:rPr/>
              <w:t xml:space="preserve">- Generate initial status reports that can contribute to METT updates and EOP progress measurement.</w:t>
            </w:r>
          </w:p>
          <w:p>
            <w:pPr/>
            <w:r>
              <w:rPr/>
              <w:t xml:space="preserve"/>
            </w:r>
          </w:p>
          <w:p>
            <w:pPr/>
            <w:r>
              <w:rPr/>
              <w:t xml:space="preserve">Improved biodiversity outcomes are expected in conjunction with the restoration and enforcement efforts planned under Component 2.</w:t>
            </w:r>
          </w:p>
          <w:p>
            <w:pPr/>
            <w:r>
              <w:rPr/>
              <w:t xml:space="preserve"/>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Off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3</w:t>
            </w:r>
          </w:p>
          <w:p>
            <w:pPr/>
            <w:r>
              <w:rPr>
                <w:b w:val="1"/>
                <w:bCs w:val="1"/>
              </w:rPr>
              <w:t xml:space="preserve">Outcome 2.2. Viable wetland and forest ecosystem restoration options demonstrated</w:t>
            </w:r>
          </w:p>
          <w:p>
            <w:pPr/>
            <w:r>
              <w:rPr>
                <w:b w:val="1"/>
                <w:bCs w:val="1"/>
              </w:rPr>
              <w:t xml:space="preserve"/>
            </w:r>
          </w:p>
          <w:p>
            <w:pPr/>
            <w:r>
              <w:rPr>
                <w:b w:val="1"/>
                <w:bCs w:val="1"/>
              </w:rPr>
              <w:t xml:space="preserve"/>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2024</w:t>
            </w:r>
          </w:p>
        </w:tc>
        <w:tc>
          <w:tcPr>
            <w:tcW w:w="4000" w:type="dxa"/>
            <w:gridSpan w:val="1"/>
            <w:noWrap/>
          </w:tcPr>
          <w:p>
            <w:pPr/>
            <w:r>
              <w:rPr>
                <w:b w:val="1"/>
                <w:bCs w:val="1"/>
              </w:rPr>
              <w:t xml:space="preserve">Cumulative progress since project start as of Jun 30, 2025</w:t>
            </w:r>
          </w:p>
        </w:tc>
      </w:tr>
      <w:tr>
        <w:trPr/>
        <w:tc>
          <w:tcPr>
            <w:tcW w:w="4000" w:type="dxa"/>
            <w:gridSpan w:val="1"/>
            <w:noWrap/>
          </w:tcPr>
          <w:p>
            <w:pPr/>
            <w:r>
              <w:rPr/>
              <w:t xml:space="preserve">Indicator 9: Number of hectares of lakes and riparian ecosystems restored in the Lower Prut Biosphere Reserve</w:t>
            </w:r>
          </w:p>
        </w:tc>
        <w:tc>
          <w:tcPr>
            <w:tcW w:w="2000" w:type="dxa"/>
            <w:gridSpan w:val="1"/>
            <w:noWrap/>
          </w:tcPr>
          <w:p>
            <w:pPr/>
            <w:r>
              <w:rPr/>
              <w:t xml:space="preserve">Baseline to be established at project inception</w:t>
            </w:r>
          </w:p>
          <w:p>
            <w:pPr/>
            <w:r>
              <w:rPr/>
              <w:t xml:space="preserve"/>
            </w:r>
          </w:p>
          <w:p>
            <w:pPr/>
            <w:r>
              <w:rPr/>
              <w:t xml:space="preserve"/>
            </w:r>
          </w:p>
        </w:tc>
        <w:tc>
          <w:tcPr>
            <w:tcW w:w="2000" w:type="dxa"/>
            <w:gridSpan w:val="1"/>
            <w:noWrap/>
          </w:tcPr>
          <w:p>
            <w:pPr/>
            <w:r>
              <w:rPr/>
              <w:t xml:space="preserve">50 ha of riparian strips reforested</w:t>
            </w:r>
          </w:p>
          <w:p>
            <w:pPr/>
            <w:r>
              <w:rPr/>
              <w:t xml:space="preserve"/>
            </w:r>
          </w:p>
          <w:p>
            <w:pPr/>
            <w:r>
              <w:rPr/>
              <w:t xml:space="preserve"/>
            </w:r>
          </w:p>
        </w:tc>
        <w:tc>
          <w:tcPr>
            <w:tcW w:w="2000" w:type="dxa"/>
            <w:gridSpan w:val="1"/>
            <w:noWrap/>
          </w:tcPr>
          <w:p>
            <w:pPr/>
            <w:r>
              <w:rPr/>
              <w:t xml:space="preserve">Positive change in the conditions of the 3,000 ha lakes and 50 ha riparian ecosystems, compared to baseline</w:t>
            </w:r>
          </w:p>
        </w:tc>
        <w:tc>
          <w:tcPr>
            <w:tcW w:w="4000" w:type="dxa"/>
            <w:gridSpan w:val="1"/>
            <w:noWrap/>
          </w:tcPr>
          <w:p>
            <w:pPr/>
            <w:r>
              <w:rPr/>
              <w:t xml:space="preserve">The project will focus on restoring degraded riparian forest strips within the Lower Prut Biosphere Reserve. Reforestation activities will be carried out on approximately 50 hectares around Manta and Beleu lakes, strategically located to not only restore degraded land and reduce soil erosion but also to act as a barrier against domestic waste and agricultural runoff. These efforts aim to protect the 3,000 hectares of lake ecosystems in the Manta-Beleu lakes network from increased siltation. Addressing land degradation is a priority for Moldova, where intensive land use, poorly adapted agricultural practices, and ineffective risk governance have significantly contributed to soil fertility decline and reduced ecosystem resilience.</w:t>
            </w:r>
          </w:p>
          <w:p>
            <w:pPr/>
            <w:r>
              <w:rPr/>
              <w:t xml:space="preserve"/>
            </w:r>
          </w:p>
          <w:p>
            <w:pPr/>
            <w:r>
              <w:rPr/>
              <w:t xml:space="preserve">A total of six technical projects for the afforestation/reforestation of 50.02 hectares were developed and consulted with local public authorities in six localities: Brînza, Colibași, Crihana Veche, Slobozia Mare, Vadul lui Isac, and Valeni. Complete terms of reference (TOR) and technical specifications for the reforestation/afforestation works have been developed for the company that will execute the technical designs and carry out the reforestation activities. Arrangements have been made to ensure the smooth progress of the afforestation works scheduled for fall 2024 (September-November). However, if the drought persists, the afforestation works may be extended until spring 2025.</w:t>
            </w:r>
          </w:p>
        </w:tc>
        <w:tc>
          <w:tcPr>
            <w:tcW w:w="4000" w:type="dxa"/>
            <w:gridSpan w:val="1"/>
            <w:noWrap/>
          </w:tcPr>
          <w:p>
            <w:pPr/>
            <w:r>
              <w:rPr/>
              <w:t xml:space="preserve">Cumulative progress as of 30 June 2025: 0 lakes and 50 ha riparian ecosystems ha (0.35% of EOP target).</w:t>
            </w:r>
          </w:p>
          <w:p>
            <w:pPr/>
            <w:r>
              <w:rPr/>
              <w:t xml:space="preserve">Afforestation plans for the 50.2-ha area in the Lower Prut have been prepared by ICAS   Forestry Research and Management Institute. As a result of technical design and site selection activities were initiated, but no physical restoration has taken place.</w:t>
            </w:r>
          </w:p>
          <w:p>
            <w:pPr/>
            <w:r>
              <w:rPr/>
              <w:t xml:space="preserve"/>
            </w:r>
          </w:p>
          <w:p>
            <w:pPr/>
            <w:r>
              <w:rPr/>
              <w:t xml:space="preserve">According to the Midterm Review (MTR), the delays are primarily attributed to:</w:t>
            </w:r>
          </w:p>
          <w:p>
            <w:pPr/>
            <w:r>
              <w:rPr/>
              <w:t xml:space="preserve">- The prolonged suspension of project funding during 2023–2024;</w:t>
            </w:r>
          </w:p>
          <w:p>
            <w:pPr/>
            <w:r>
              <w:rPr/>
              <w:t xml:space="preserve">- Delays in launching technical feasibility studies and environmental/social impact assessments (ESIA);</w:t>
            </w:r>
          </w:p>
          <w:p>
            <w:pPr/>
            <w:r>
              <w:rPr/>
              <w:t xml:space="preserve">- Uncertainty regarding land tenure and institutional responsibilities for certain riparian zones;</w:t>
            </w:r>
          </w:p>
          <w:p>
            <w:pPr/>
            <w:r>
              <w:rPr/>
              <w:t xml:space="preserve">- Limited community engagement due to resource constraints.</w:t>
            </w:r>
          </w:p>
          <w:p>
            <w:pPr/>
            <w:r>
              <w:rPr/>
              <w:t xml:space="preserve"/>
            </w:r>
          </w:p>
          <w:p>
            <w:pPr/>
            <w:r>
              <w:rPr/>
              <w:t xml:space="preserve">Despite these delays, several preparatory activities were carried out prior to the funding suspension, including:</w:t>
            </w:r>
          </w:p>
          <w:p>
            <w:pPr/>
            <w:r>
              <w:rPr/>
              <w:t xml:space="preserve">- Drafting of restoration concepts for the Beleu-Manta lake system;</w:t>
            </w:r>
          </w:p>
          <w:p>
            <w:pPr/>
            <w:r>
              <w:rPr/>
              <w:t xml:space="preserve">- Consultations with local stakeholders and environmental authorities;</w:t>
            </w:r>
          </w:p>
          <w:p>
            <w:pPr/>
            <w:r>
              <w:rPr/>
              <w:t xml:space="preserve">- Preliminary delineation of degraded riparian buffer zones requiring intervention.</w:t>
            </w:r>
          </w:p>
          <w:p>
            <w:pPr/>
            <w:r>
              <w:rPr/>
              <w:t xml:space="preserve"/>
            </w:r>
          </w:p>
          <w:p>
            <w:pPr/>
            <w:r>
              <w:rPr/>
              <w:t xml:space="preserve">Next Steps:</w:t>
            </w:r>
          </w:p>
          <w:p>
            <w:pPr/>
            <w:r>
              <w:rPr/>
              <w:t xml:space="preserve">1. Initiate the feasibility and Environmental and Social Impact Assessment (ESIA) study for the Camenca floodplain: This includes the completion of a comprehensive feasibility study encompassing hydrological and technical assessments, intervention modeling, and cost estimations. The study is a critical step toward unlocking the restoration potential of 11,175 hectares of riparian habitat, as reflected under Indicator 3.</w:t>
            </w:r>
          </w:p>
          <w:p>
            <w:pPr/>
            <w:r>
              <w:rPr/>
              <w:t xml:space="preserve">2. Identification of co-financing opportunities from public and external sources</w:t>
            </w:r>
          </w:p>
          <w:p>
            <w:pPr/>
            <w:r>
              <w:rPr/>
              <w:t xml:space="preserve">•	Alignment of the Camenca restoration proposal with the priorities of the National Forest Extension and Rehabilitation Program (NFERP) and the National Adaptation Plan (NAP).</w:t>
            </w:r>
          </w:p>
          <w:p>
            <w:pPr/>
            <w:r>
              <w:rPr/>
              <w:t xml:space="preserve">•	Initiation of dialogue with potential donors (e.g., EU, World Bank, EBRD, ADA) to integrate Camenca’s ecological restoration components into upcoming green investment programs.</w:t>
            </w:r>
          </w:p>
          <w:p>
            <w:pPr/>
            <w:r>
              <w:rPr/>
              <w:t xml:space="preserve">•</w:t>
            </w:r>
          </w:p>
          <w:p>
            <w:pPr/>
            <w:r>
              <w:rPr/>
              <w:t xml:space="preserve">3. Promotion of the initiative within relevant platforms</w:t>
            </w:r>
          </w:p>
          <w:p>
            <w:pPr/>
            <w:r>
              <w:rPr/>
              <w:t xml:space="preserve">•	Presentation of the technical package and anticipated benefits (e.g., carbon sequestration, flood risk reduction, biodiversity conservation) to the Intersectoral Committee on Biodiversity Finance and BIOFIN ensuring visibility of the Camenca proposal within regional cooperation platforms (e.g., ICPDR, EU4Environment).</w:t>
            </w:r>
          </w:p>
          <w:p>
            <w:pPr/>
            <w:r>
              <w:rPr/>
              <w:t xml:space="preserve">•</w:t>
            </w:r>
          </w:p>
          <w:p>
            <w:pPr/>
            <w:r>
              <w:rPr/>
              <w:t xml:space="preserve">4. Mobilization of private sector contributions and partnerships</w:t>
            </w:r>
          </w:p>
          <w:p>
            <w:pPr/>
            <w:r>
              <w:rPr/>
              <w:t xml:space="preserve">•	Exploration of co-financing opportunities through Corporate Social Responsibility (CSR), particularly from companies operating in southern Moldova (energy, agriculture, tourism).</w:t>
            </w:r>
          </w:p>
          <w:p>
            <w:pPr/>
            <w:r>
              <w:rPr/>
              <w:t xml:space="preserve">Establishing partnerships with academic institutions, NGOs specialized in ecological restoration, and research institutes (e.g., ICAS Forestry Research and Management Institute), to attract thematic funding and applied research grants.</w:t>
            </w:r>
          </w:p>
          <w:p>
            <w:pPr/>
            <w:r>
              <w:rPr/>
              <w:t xml:space="preserve">•</w:t>
            </w:r>
          </w:p>
          <w:p>
            <w:pPr/>
            <w:r>
              <w:rPr/>
              <w:t xml:space="preserve">5. Promote the inclusion of Camenca activities in national budgets and environmental strategies. Advancement of discussions with the Ministry of Environment and Ministry of Finance to integrate Camenca restoration activities into the annual budget of the National Ecological Fund or other public green financing schemes.</w:t>
            </w:r>
          </w:p>
          <w:p>
            <w:pPr/>
            <w:r>
              <w:rPr/>
              <w:t xml:space="preserve"/>
            </w:r>
          </w:p>
          <w:p>
            <w:pPr/>
            <w:r>
              <w:rPr/>
              <w:t xml:space="preserve">6. Resume community consultations in target localities:</w:t>
            </w:r>
          </w:p>
          <w:p>
            <w:pPr/>
            <w:r>
              <w:rPr/>
              <w:t xml:space="preserve">- Strengthen buy-in and clarify land ownership, access rights, and future maintenance roles.</w:t>
            </w:r>
          </w:p>
          <w:p>
            <w:pPr/>
            <w:r>
              <w:rPr/>
              <w:t xml:space="preserve"/>
            </w:r>
          </w:p>
          <w:p>
            <w:pPr/>
            <w:r>
              <w:rPr/>
              <w:t xml:space="preserve">7. Finalize restoration action plans for Beleu-Manta and adjacent riparian belts:</w:t>
            </w:r>
          </w:p>
          <w:p>
            <w:pPr/>
            <w:r>
              <w:rPr/>
              <w:t xml:space="preserve">- Include technical designs, cost estimates, and site prioritization.</w:t>
            </w:r>
          </w:p>
          <w:p>
            <w:pPr/>
            <w:r>
              <w:rPr/>
              <w:t xml:space="preserve"/>
            </w:r>
          </w:p>
          <w:p>
            <w:pPr/>
            <w:r>
              <w:rPr/>
              <w:t xml:space="preserve">8. Mobilize technical partners and implementation teams:</w:t>
            </w:r>
          </w:p>
          <w:p>
            <w:pPr/>
            <w:r>
              <w:rPr/>
              <w:t xml:space="preserve">- Sign agreements with ICAS and/or other qualified entities to carry out reforestation, earthworks, and hydrological interventions.</w:t>
            </w:r>
          </w:p>
          <w:p>
            <w:pPr/>
            <w:r>
              <w:rPr/>
              <w:t xml:space="preserve"/>
            </w:r>
          </w:p>
          <w:p>
            <w:pPr/>
            <w:r>
              <w:rPr/>
              <w:t xml:space="preserve">9. Establish monitoring and verification protocols:</w:t>
            </w:r>
          </w:p>
          <w:p>
            <w:pPr/>
            <w:r>
              <w:rPr/>
              <w:t xml:space="preserve">- Ensure alignment with GEF results measurement requirements and environmental safeguards.</w:t>
            </w:r>
          </w:p>
          <w:p>
            <w:pPr/>
            <w:r>
              <w:rPr/>
              <w:t xml:space="preserve"/>
            </w:r>
          </w:p>
          <w:p>
            <w:pPr/>
            <w:r>
              <w:rPr/>
              <w:t xml:space="preserve">10. Integrate progress into Indicator 3 and 6.1 reporting:</w:t>
            </w:r>
          </w:p>
          <w:p>
            <w:pPr/>
            <w:r>
              <w:rPr/>
              <w:t xml:space="preserve">- Riparian restoration contributes to both ecosystem outcomes and GHG mitigation indicators.</w:t>
            </w:r>
          </w:p>
          <w:p>
            <w:pPr/>
            <w:r>
              <w:rPr/>
              <w:t xml:space="preserve"/>
            </w:r>
          </w:p>
          <w:p>
            <w:pPr/>
            <w:r>
              <w:rPr/>
              <w:t xml:space="preserve">Restoration activities in the Lower Prut Biosphere Reserve are central to achieving multiple project outcomes and will be prioritized once financial flows resume in 2025. At the same time adaptive management approaches will be explored to respond to the limitations in the available funding for achieving the respective indicator.</w:t>
            </w:r>
          </w:p>
          <w:p>
            <w:pPr/>
            <w:r>
              <w:rPr/>
              <w:t xml:space="preserve"/>
            </w:r>
          </w:p>
          <w:p>
            <w:pPr/>
            <w:r>
              <w:rPr/>
              <w:t xml:space="preserve"/>
            </w:r>
          </w:p>
        </w:tc>
      </w:tr>
      <w:tr>
        <w:trPr/>
        <w:tc>
          <w:tcPr>
            <w:tcW w:w="4000" w:type="dxa"/>
            <w:gridSpan w:val="1"/>
            <w:noWrap/>
          </w:tcPr>
          <w:p>
            <w:pPr/>
            <w:r>
              <w:rPr/>
              <w:t xml:space="preserve">Indicator 10: Number of hectares of floodplain areas restored in and around the Royal Forest Nature Reserve</w:t>
            </w:r>
          </w:p>
        </w:tc>
        <w:tc>
          <w:tcPr>
            <w:tcW w:w="2000" w:type="dxa"/>
            <w:gridSpan w:val="1"/>
            <w:noWrap/>
          </w:tcPr>
          <w:p>
            <w:pPr/>
            <w:r>
              <w:rPr/>
              <w:t xml:space="preserve">0 ha</w:t>
            </w:r>
          </w:p>
          <w:p>
            <w:pPr/>
            <w:r>
              <w:rPr/>
              <w:t xml:space="preserve"/>
            </w:r>
          </w:p>
          <w:p>
            <w:pPr/>
            <w:r>
              <w:rPr/>
              <w:t xml:space="preserve"/>
            </w:r>
          </w:p>
        </w:tc>
        <w:tc>
          <w:tcPr>
            <w:tcW w:w="2000" w:type="dxa"/>
            <w:gridSpan w:val="1"/>
            <w:noWrap/>
          </w:tcPr>
          <w:p>
            <w:pPr/>
            <w:r>
              <w:rPr/>
              <w:t xml:space="preserve">Feasibility study for the hydrotechnical works developed</w:t>
            </w:r>
          </w:p>
          <w:p>
            <w:pPr/>
            <w:r>
              <w:rPr/>
              <w:t xml:space="preserve">Local community consulted and supports the intervention</w:t>
            </w:r>
          </w:p>
          <w:p>
            <w:pPr/>
            <w:r>
              <w:rPr/>
              <w:t xml:space="preserve">All legal matters addressed</w:t>
            </w:r>
          </w:p>
          <w:p>
            <w:pPr/>
            <w:r>
              <w:rPr/>
              <w:t xml:space="preserve"/>
            </w:r>
          </w:p>
        </w:tc>
        <w:tc>
          <w:tcPr>
            <w:tcW w:w="2000" w:type="dxa"/>
            <w:gridSpan w:val="1"/>
            <w:noWrap/>
          </w:tcPr>
          <w:p>
            <w:pPr/>
            <w:r>
              <w:rPr/>
              <w:t xml:space="preserve">Positive change at 11,175 ha of floodplain ecosystems, compared to baseline</w:t>
            </w:r>
          </w:p>
        </w:tc>
        <w:tc>
          <w:tcPr>
            <w:tcW w:w="4000" w:type="dxa"/>
            <w:gridSpan w:val="1"/>
            <w:noWrap/>
          </w:tcPr>
          <w:p>
            <w:pPr/>
            <w:r>
              <w:rPr/>
              <w:t xml:space="preserve">This activity will be carried out in multiple stages, as explained below. The full feasibility study and execution of the hydrotechnical works should only proceed after comprehensive stakeholder consultations and the appropriate resolution of existing illegal small earth dam constructions on the Camenca River.</w:t>
            </w:r>
          </w:p>
          <w:p>
            <w:pPr/>
            <w:r>
              <w:rPr/>
              <w:t xml:space="preserve"/>
            </w:r>
          </w:p>
          <w:p>
            <w:pPr/>
            <w:r>
              <w:rPr/>
              <w:t xml:space="preserve">Due to significant delays, the project is in the process of organizing the first round of comprehensive consultations at the local level in the affected villages. These consultations will involve the Ministry of Agriculture and Food Industry, the Ministry of Environment, the Water Agency of Moldova, the Moldsilva Agency, the staff of the Royal Pădurea Natural Reserve AP, local environmental inspectors, and local authorities, including the mayors of villages near the planned hydrological works—especially the village of Balatina, which has approximately 3,815 residents. The discussions will focus on informing the community about the planned works, evaluating local acceptance, raising awareness about the benefits of rehabilitating the old watercourse, and agreeing on the next steps. Additionally, they will identify households near the proposed hydrological intervention site, assess the potential impact on these households, and develop appropriate measures to address the illegal construction of earth dams on the old Camenca River watercourse. Addressing these existing illegal constructions is of utmost importance.</w:t>
            </w:r>
          </w:p>
          <w:p>
            <w:pPr/>
            <w:r>
              <w:rPr/>
              <w:t xml:space="preserve"/>
            </w:r>
          </w:p>
          <w:p>
            <w:pPr/>
            <w:r>
              <w:rPr/>
              <w:t xml:space="preserve">Meanwhile, the project team has developed the terms of reference (TOR) and complete technical specifications for the NGO or company that will conduct the feasibility study on the restoration of the Camenca River, based on pre-feasibility findings and consultations with the Moldavian Water Agency.</w:t>
            </w:r>
          </w:p>
        </w:tc>
        <w:tc>
          <w:tcPr>
            <w:tcW w:w="4000" w:type="dxa"/>
            <w:gridSpan w:val="1"/>
            <w:noWrap/>
          </w:tcPr>
          <w:p>
            <w:pPr/>
            <w:r>
              <w:rPr/>
              <w:t xml:space="preserve">Cumulative progress as of 30 June 2025: 0 lakes and 50 ha of floodplain ecosystems (0% of EOP target).</w:t>
            </w:r>
          </w:p>
          <w:p>
            <w:pPr/>
            <w:r>
              <w:rPr/>
              <w:t xml:space="preserve">The Midterm Review (MTR) highlighted the following key bottlenecks:</w:t>
            </w:r>
          </w:p>
          <w:p>
            <w:pPr/>
            <w:r>
              <w:rPr/>
              <w:t xml:space="preserve">- Delayed technical and ecological assessments needed to guide restoration activities;</w:t>
            </w:r>
          </w:p>
          <w:p>
            <w:pPr/>
            <w:r>
              <w:rPr/>
              <w:t xml:space="preserve">- Financial suspension of the project during 2023–2024 halted all field operations;</w:t>
            </w:r>
          </w:p>
          <w:p>
            <w:pPr/>
            <w:r>
              <w:rPr/>
              <w:t xml:space="preserve">- Incomplete stakeholder consultations with local authorities and communities in Glodeni District;</w:t>
            </w:r>
          </w:p>
          <w:p>
            <w:pPr/>
            <w:r>
              <w:rPr/>
              <w:t xml:space="preserve">- Pending coordination with relevant landowners and regulatory agencies.</w:t>
            </w:r>
          </w:p>
          <w:p>
            <w:pPr/>
            <w:r>
              <w:rPr/>
              <w:t xml:space="preserve"/>
            </w:r>
          </w:p>
          <w:p>
            <w:pPr/>
            <w:r>
              <w:rPr/>
              <w:t xml:space="preserve">However, preliminary restoration plans were initiated before the funding issues, including:</w:t>
            </w:r>
          </w:p>
          <w:p>
            <w:pPr/>
            <w:r>
              <w:rPr/>
              <w:t xml:space="preserve"/>
            </w:r>
          </w:p>
          <w:p>
            <w:pPr/>
            <w:r>
              <w:rPr/>
              <w:t xml:space="preserve">- Identification of degraded floodplain sectors within the Reserve and buffer zones;</w:t>
            </w:r>
          </w:p>
          <w:p>
            <w:pPr/>
            <w:r>
              <w:rPr/>
              <w:t xml:space="preserve">- Collaboration with ICAS to propose initial reforestation and hydrological interventions;</w:t>
            </w:r>
          </w:p>
          <w:p>
            <w:pPr/>
            <w:r>
              <w:rPr/>
              <w:t xml:space="preserve">- Consultations with Environmental Agency on possible regulatory adjustments.</w:t>
            </w:r>
          </w:p>
          <w:p>
            <w:pPr/>
            <w:r>
              <w:rPr/>
              <w:t xml:space="preserve"/>
            </w:r>
          </w:p>
          <w:p>
            <w:pPr/>
            <w:r>
              <w:rPr/>
              <w:t xml:space="preserve">Next Steps:</w:t>
            </w:r>
          </w:p>
          <w:p>
            <w:pPr/>
            <w:r>
              <w:rPr/>
              <w:t xml:space="preserve">1. Resume ecological and hydrological assessments:</w:t>
            </w:r>
          </w:p>
          <w:p>
            <w:pPr/>
            <w:r>
              <w:rPr/>
              <w:t xml:space="preserve">- Complete biophysical site surveys to determine priority zones for intervention.</w:t>
            </w:r>
          </w:p>
          <w:p>
            <w:pPr/>
            <w:r>
              <w:rPr/>
              <w:t xml:space="preserve"/>
            </w:r>
          </w:p>
          <w:p>
            <w:pPr/>
            <w:r>
              <w:rPr/>
              <w:t xml:space="preserve">2. Launch community engagement and institutional coordination:</w:t>
            </w:r>
          </w:p>
          <w:p>
            <w:pPr/>
            <w:r>
              <w:rPr/>
              <w:t xml:space="preserve">- Re-engage with Glodeni local authorities and landowners to confirm access, use, and restoration responsibilities.</w:t>
            </w:r>
          </w:p>
          <w:p>
            <w:pPr/>
            <w:r>
              <w:rPr/>
              <w:t xml:space="preserve"/>
            </w:r>
          </w:p>
          <w:p>
            <w:pPr/>
            <w:r>
              <w:rPr/>
              <w:t xml:space="preserve">3. Finalize the floodplain restoration plan:</w:t>
            </w:r>
          </w:p>
          <w:p>
            <w:pPr/>
            <w:r>
              <w:rPr/>
              <w:t xml:space="preserve">- Include technical specifications for reforestation, channel rehabilitation, and wetland recovery.</w:t>
            </w:r>
          </w:p>
          <w:p>
            <w:pPr/>
            <w:r>
              <w:rPr/>
              <w:t xml:space="preserve"/>
            </w:r>
          </w:p>
          <w:p>
            <w:pPr/>
            <w:r>
              <w:rPr/>
              <w:t xml:space="preserve">4. Mobilize implementation teams and resources:</w:t>
            </w:r>
          </w:p>
          <w:p>
            <w:pPr/>
            <w:r>
              <w:rPr/>
              <w:t xml:space="preserve">- Activate Forestry Research and Management Institute (ICAS) or similar partners to initiate physical work once funding will be transferred.</w:t>
            </w:r>
          </w:p>
          <w:p>
            <w:pPr/>
            <w:r>
              <w:rPr/>
              <w:t xml:space="preserve"/>
            </w:r>
          </w:p>
          <w:p>
            <w:pPr/>
            <w:r>
              <w:rPr/>
              <w:t xml:space="preserve">5. Ensure alignment with GEF safeguards and biodiversity standards:</w:t>
            </w:r>
          </w:p>
          <w:p>
            <w:pPr/>
            <w:r>
              <w:rPr/>
              <w:t xml:space="preserve">- Apply the Environmental and Social Management Framework (ESMF) throughout the implementation.</w:t>
            </w:r>
          </w:p>
          <w:p>
            <w:pPr/>
            <w:r>
              <w:rPr/>
              <w:t xml:space="preserve"/>
            </w:r>
          </w:p>
          <w:p>
            <w:pPr/>
            <w:r>
              <w:rPr/>
              <w:t xml:space="preserve">6. Report progress under both Indicators 3 and 10:</w:t>
            </w:r>
          </w:p>
          <w:p>
            <w:pPr/>
            <w:r>
              <w:rPr/>
              <w:t xml:space="preserve">- Restoration in Pădurea Domnească contributes to multiple project outcomes, including carbon sequestration and METT improvement.</w:t>
            </w:r>
          </w:p>
          <w:p>
            <w:pPr/>
            <w:r>
              <w:rPr/>
              <w:t xml:space="preserve"/>
            </w:r>
          </w:p>
          <w:p>
            <w:pPr/>
            <w:r>
              <w:rPr/>
              <w:t xml:space="preserve">Full implementation of restoration in this PA is expected to be in Q3-Q4, 2025 in 2025  , subject to the reactivation of funding and field-level coordination.</w:t>
            </w:r>
          </w:p>
          <w:p>
            <w:pPr/>
            <w:r>
              <w:rPr/>
              <w:t xml:space="preserve"/>
            </w:r>
          </w:p>
          <w:p>
            <w:pPr/>
            <w:r>
              <w:rPr/>
              <w:t xml:space="preserve"/>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Off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4</w:t>
            </w:r>
          </w:p>
          <w:p>
            <w:pPr/>
            <w:r>
              <w:rPr>
                <w:b w:val="1"/>
                <w:bCs w:val="1"/>
              </w:rPr>
              <w:t xml:space="preserve">Outcome 3.1. New sustainable income streams created for communities and small size entrepreneurs from sustainable use of resources at wetlands</w:t>
            </w:r>
          </w:p>
          <w:p>
            <w:pPr/>
            <w:r>
              <w:rPr>
                <w:b w:val="1"/>
                <w:bCs w:val="1"/>
              </w:rPr>
              <w:t xml:space="preserve"/>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2024</w:t>
            </w:r>
          </w:p>
        </w:tc>
        <w:tc>
          <w:tcPr>
            <w:tcW w:w="4000" w:type="dxa"/>
            <w:gridSpan w:val="1"/>
            <w:noWrap/>
          </w:tcPr>
          <w:p>
            <w:pPr/>
            <w:r>
              <w:rPr>
                <w:b w:val="1"/>
                <w:bCs w:val="1"/>
              </w:rPr>
              <w:t xml:space="preserve">Cumulative progress since project start as of Jun 30, 2025</w:t>
            </w:r>
          </w:p>
        </w:tc>
      </w:tr>
      <w:tr>
        <w:trPr/>
        <w:tc>
          <w:tcPr>
            <w:tcW w:w="4000" w:type="dxa"/>
            <w:gridSpan w:val="1"/>
            <w:noWrap/>
          </w:tcPr>
          <w:p>
            <w:pPr/>
            <w:r>
              <w:rPr/>
              <w:t xml:space="preserve">Indicator 11: Percentage of increase in monetary income to targeted entrepreneurs derived from sustainable wetland use and facilitated tourism (gender disaggregated)</w:t>
            </w:r>
          </w:p>
        </w:tc>
        <w:tc>
          <w:tcPr>
            <w:tcW w:w="2000" w:type="dxa"/>
            <w:gridSpan w:val="1"/>
            <w:noWrap/>
          </w:tcPr>
          <w:p>
            <w:pPr/>
            <w:r>
              <w:rPr/>
              <w:t xml:space="preserve">Baseline to be established at project inception</w:t>
            </w:r>
          </w:p>
          <w:p>
            <w:pPr/>
            <w:r>
              <w:rPr/>
              <w:t xml:space="preserve"/>
            </w:r>
          </w:p>
          <w:p>
            <w:pPr/>
            <w:r>
              <w:rPr/>
              <w:t xml:space="preserve"/>
            </w:r>
          </w:p>
          <w:p>
            <w:pPr/>
            <w:r>
              <w:rPr/>
              <w:t xml:space="preserve"/>
            </w:r>
          </w:p>
        </w:tc>
        <w:tc>
          <w:tcPr>
            <w:tcW w:w="2000" w:type="dxa"/>
            <w:gridSpan w:val="1"/>
            <w:noWrap/>
          </w:tcPr>
          <w:p>
            <w:pPr/>
            <w:r>
              <w:rPr/>
              <w:t xml:space="preserve">Net Income men: $X + 10%</w:t>
            </w:r>
          </w:p>
          <w:p>
            <w:pPr/>
            <w:r>
              <w:rPr/>
              <w:t xml:space="preserve">Net income women: $X + 10%</w:t>
            </w:r>
          </w:p>
          <w:p>
            <w:pPr/>
            <w:r>
              <w:rPr/>
              <w:t xml:space="preserve"/>
            </w:r>
          </w:p>
          <w:p>
            <w:pPr/>
            <w:r>
              <w:rPr/>
              <w:t xml:space="preserve"/>
            </w:r>
          </w:p>
        </w:tc>
        <w:tc>
          <w:tcPr>
            <w:tcW w:w="2000" w:type="dxa"/>
            <w:gridSpan w:val="1"/>
            <w:noWrap/>
          </w:tcPr>
          <w:p>
            <w:pPr/>
            <w:r>
              <w:rPr/>
              <w:t xml:space="preserve">Net Income men: $X + 20%</w:t>
            </w:r>
          </w:p>
          <w:p>
            <w:pPr/>
            <w:r>
              <w:rPr/>
              <w:t xml:space="preserve">Net income women: $X + 20%</w:t>
            </w:r>
          </w:p>
          <w:p>
            <w:pPr/>
            <w:r>
              <w:rPr/>
              <w:t xml:space="preserve"/>
            </w:r>
          </w:p>
          <w:p>
            <w:pPr/>
            <w:r>
              <w:rPr/>
              <w:t xml:space="preserve"/>
            </w:r>
          </w:p>
        </w:tc>
        <w:tc>
          <w:tcPr>
            <w:tcW w:w="4000" w:type="dxa"/>
            <w:gridSpan w:val="1"/>
            <w:noWrap/>
          </w:tcPr>
          <w:p>
            <w:pPr/>
            <w:r>
              <w:rPr/>
              <w:t xml:space="preserve">Due to significant delays with project implementation, no measurable progress has been made against this indicator during the reporting period.</w:t>
            </w:r>
          </w:p>
        </w:tc>
        <w:tc>
          <w:tcPr>
            <w:tcW w:w="4000" w:type="dxa"/>
            <w:gridSpan w:val="1"/>
            <w:noWrap/>
          </w:tcPr>
          <w:p>
            <w:pPr/>
            <w:r>
              <w:rPr/>
              <w:t xml:space="preserve">Off track.</w:t>
            </w:r>
          </w:p>
          <w:p>
            <w:pPr/>
            <w:r>
              <w:rPr/>
              <w:t xml:space="preserve">Cumulative progress as of 30 June 2025: Net income women: $X + 20% (0% of EOP target).</w:t>
            </w:r>
          </w:p>
          <w:p>
            <w:pPr/>
            <w:r>
              <w:rPr/>
              <w:t xml:space="preserve"/>
            </w:r>
          </w:p>
          <w:p>
            <w:pPr/>
            <w:r>
              <w:rPr/>
              <w:t xml:space="preserve">The Midterm Review (MTR) attributes the lack of progress to:</w:t>
            </w:r>
          </w:p>
          <w:p>
            <w:pPr/>
            <w:r>
              <w:rPr/>
              <w:t xml:space="preserve">- Delayed launch of income-generating activities due to funding issues in 2023–2024;</w:t>
            </w:r>
          </w:p>
          <w:p>
            <w:pPr/>
            <w:r>
              <w:rPr/>
              <w:t xml:space="preserve">- Postponement of calls for small grants and support schemes for green entrepreneurship;</w:t>
            </w:r>
          </w:p>
          <w:p>
            <w:pPr/>
            <w:r>
              <w:rPr/>
              <w:t xml:space="preserve">- Limited engagement with local tourism operators, women-led initiatives, and community groups;</w:t>
            </w:r>
          </w:p>
          <w:p>
            <w:pPr/>
            <w:r>
              <w:rPr/>
              <w:t xml:space="preserve">- Absence of baseline income data and monitoring tools for disaggregated tracking.</w:t>
            </w:r>
          </w:p>
          <w:p>
            <w:pPr/>
            <w:r>
              <w:rPr/>
              <w:t xml:space="preserve"/>
            </w:r>
          </w:p>
          <w:p>
            <w:pPr/>
            <w:r>
              <w:rPr/>
              <w:t xml:space="preserve">Despite these limitations, preparatory actions will planned in quarter 3 and 4, such as:</w:t>
            </w:r>
          </w:p>
          <w:p>
            <w:pPr/>
            <w:r>
              <w:rPr/>
              <w:t xml:space="preserve">- Identification of eco-tourism potential   around Beleu-Manta lake system and Royal Forest;</w:t>
            </w:r>
          </w:p>
          <w:p>
            <w:pPr/>
            <w:r>
              <w:rPr/>
              <w:t xml:space="preserve">- Drafting of concept notes for small grant support mechanisms;</w:t>
            </w:r>
          </w:p>
          <w:p>
            <w:pPr/>
            <w:r>
              <w:rPr/>
              <w:t xml:space="preserve">- Initial mapping of local entrepreneurs  and gender-based needs.</w:t>
            </w:r>
          </w:p>
          <w:p>
            <w:pPr/>
            <w:r>
              <w:rPr/>
              <w:t xml:space="preserve"/>
            </w:r>
          </w:p>
          <w:p>
            <w:pPr/>
            <w:r>
              <w:rPr/>
              <w:t xml:space="preserve">Next Steps:</w:t>
            </w:r>
          </w:p>
          <w:p>
            <w:pPr/>
            <w:r>
              <w:rPr/>
              <w:t xml:space="preserve">1. Finalize and launch the small grants program:</w:t>
            </w:r>
          </w:p>
          <w:p>
            <w:pPr/>
            <w:r>
              <w:rPr/>
              <w:t xml:space="preserve">- Prioritize women-led businesses and eco-tourism enterprises near target wetlands.</w:t>
            </w:r>
          </w:p>
          <w:p>
            <w:pPr/>
            <w:r>
              <w:rPr/>
              <w:t xml:space="preserve"/>
            </w:r>
          </w:p>
          <w:p>
            <w:pPr/>
            <w:r>
              <w:rPr/>
              <w:t xml:space="preserve">2. Establish baseline data and M&amp;E tools:</w:t>
            </w:r>
          </w:p>
          <w:p>
            <w:pPr/>
            <w:r>
              <w:rPr/>
              <w:t xml:space="preserve">- Conduct income surveys and gender-disaggregated data collection.</w:t>
            </w:r>
          </w:p>
          <w:p>
            <w:pPr/>
            <w:r>
              <w:rPr/>
              <w:t xml:space="preserve"/>
            </w:r>
          </w:p>
          <w:p>
            <w:pPr/>
            <w:r>
              <w:rPr/>
              <w:t xml:space="preserve">3. Mobilize technical and financial support for green entrepreneurship:</w:t>
            </w:r>
          </w:p>
          <w:p>
            <w:pPr/>
            <w:r>
              <w:rPr/>
              <w:t xml:space="preserve">- Partner with BIOFIN, local NGOs, and district councils to deliver training, equipment, and microfinancing.</w:t>
            </w:r>
          </w:p>
          <w:p>
            <w:pPr/>
            <w:r>
              <w:rPr/>
              <w:t xml:space="preserve"/>
            </w:r>
          </w:p>
          <w:p>
            <w:pPr/>
            <w:r>
              <w:rPr/>
              <w:t xml:space="preserve">4. Promote the project’s tourism destinations:</w:t>
            </w:r>
          </w:p>
          <w:p>
            <w:pPr/>
            <w:r>
              <w:rPr/>
              <w:t xml:space="preserve">- Develop marketing materials and digital platforms for ecotourism promotion.</w:t>
            </w:r>
          </w:p>
          <w:p>
            <w:pPr/>
            <w:r>
              <w:rPr/>
              <w:t xml:space="preserve"/>
            </w:r>
          </w:p>
          <w:p>
            <w:pPr/>
            <w:r>
              <w:rPr/>
              <w:t xml:space="preserve">5. Integrate income tracking into project monitoring:</w:t>
            </w:r>
          </w:p>
          <w:p>
            <w:pPr/>
            <w:r>
              <w:rPr/>
              <w:t xml:space="preserve">- Monitor changes in revenue levels among supported beneficiaries through PIRs.</w:t>
            </w:r>
          </w:p>
          <w:p>
            <w:pPr/>
            <w:r>
              <w:rPr/>
              <w:t xml:space="preserve"/>
            </w:r>
          </w:p>
          <w:p>
            <w:pPr/>
            <w:r>
              <w:rPr/>
              <w:t xml:space="preserve">Substantial progress on this indicator is expected to start 2025, once financial mechanisms are reactivated, and field-based entrepreneurial support is deployed. Evidence of these actions will be properly documented for the next reporting period.</w:t>
            </w:r>
          </w:p>
          <w:p>
            <w:pPr/>
            <w:r>
              <w:rPr/>
              <w:t xml:space="preserve"/>
            </w:r>
          </w:p>
        </w:tc>
      </w:tr>
      <w:tr>
        <w:trPr/>
        <w:tc>
          <w:tcPr>
            <w:tcW w:w="4000" w:type="dxa"/>
            <w:gridSpan w:val="1"/>
            <w:noWrap/>
          </w:tcPr>
          <w:p>
            <w:pPr/>
            <w:r>
              <w:rPr/>
              <w:t xml:space="preserve">Indicator 12: Percentage of increase in the annual number of visitors in Lower Prut Biosphere reserve</w:t>
            </w:r>
          </w:p>
        </w:tc>
        <w:tc>
          <w:tcPr>
            <w:tcW w:w="2000" w:type="dxa"/>
            <w:gridSpan w:val="1"/>
            <w:noWrap/>
          </w:tcPr>
          <w:p>
            <w:pPr/>
            <w:r>
              <w:rPr/>
              <w:t xml:space="preserve">Baseline visitation data for Lower Prut Biosphere Reserve</w:t>
            </w:r>
          </w:p>
          <w:p>
            <w:pPr/>
            <w:r>
              <w:rPr/>
              <w:t xml:space="preserve">1300 tourists (2020 data)</w:t>
            </w:r>
          </w:p>
          <w:p>
            <w:pPr/>
            <w:r>
              <w:rPr/>
              <w:t xml:space="preserve"/>
            </w:r>
          </w:p>
          <w:p>
            <w:pPr/>
            <w:r>
              <w:rPr/>
              <w:t xml:space="preserve"/>
            </w:r>
          </w:p>
        </w:tc>
        <w:tc>
          <w:tcPr>
            <w:tcW w:w="2000" w:type="dxa"/>
            <w:gridSpan w:val="1"/>
            <w:noWrap/>
          </w:tcPr>
          <w:p>
            <w:pPr/>
            <w:r>
              <w:rPr/>
              <w:t xml:space="preserve">Eco-tourism routes involving 2 municipalities in Lower Prut Biosphere reserve developed</w:t>
            </w:r>
          </w:p>
          <w:p>
            <w:pPr/>
            <w:r>
              <w:rPr/>
              <w:t xml:space="preserve">Cross-border tourism package Moldova-Romania developed</w:t>
            </w:r>
          </w:p>
          <w:p>
            <w:pPr/>
            <w:r>
              <w:rPr/>
              <w:t xml:space="preserve"/>
            </w:r>
          </w:p>
          <w:p>
            <w:pPr/>
            <w:r>
              <w:rPr/>
              <w:t xml:space="preserve"/>
            </w:r>
          </w:p>
        </w:tc>
        <w:tc>
          <w:tcPr>
            <w:tcW w:w="2000" w:type="dxa"/>
            <w:gridSpan w:val="1"/>
            <w:noWrap/>
          </w:tcPr>
          <w:p>
            <w:pPr/>
            <w:r>
              <w:rPr/>
              <w:t xml:space="preserve">40% increase compared to baseline</w:t>
            </w:r>
          </w:p>
        </w:tc>
        <w:tc>
          <w:tcPr>
            <w:tcW w:w="4000" w:type="dxa"/>
            <w:gridSpan w:val="1"/>
            <w:noWrap/>
          </w:tcPr>
          <w:p>
            <w:pPr/>
            <w:r>
              <w:rPr/>
              <w:t xml:space="preserve">Since the beginning of the project, the number of tourists in the Lower Prut Reserve increased by 25% in 2023 compared to 2020, according to data provided by the reserve's administration.</w:t>
            </w:r>
          </w:p>
          <w:p>
            <w:pPr/>
            <w:r>
              <w:rPr/>
              <w:t xml:space="preserve"/>
            </w:r>
          </w:p>
          <w:p>
            <w:pPr/>
            <w:r>
              <w:rPr/>
              <w:t xml:space="preserve">The tourism expert is currently developing eco-tourism packages for wine and gastronomy routes, which will be adjusted to incorporate biodiversity observation in two communities.</w:t>
            </w:r>
          </w:p>
        </w:tc>
        <w:tc>
          <w:tcPr>
            <w:tcW w:w="4000" w:type="dxa"/>
            <w:gridSpan w:val="1"/>
            <w:noWrap/>
          </w:tcPr>
          <w:p>
            <w:pPr/>
            <w:r>
              <w:rPr/>
              <w:t xml:space="preserve">Off track.</w:t>
            </w:r>
          </w:p>
          <w:p>
            <w:pPr/>
            <w:r>
              <w:rPr/>
              <w:t xml:space="preserve">Cumulative progress as of 30 June 2025: 0% increase compared to baseline. (0% of EOP target).</w:t>
            </w:r>
          </w:p>
          <w:p>
            <w:pPr/>
            <w:r>
              <w:rPr/>
              <w:t xml:space="preserve">According to the Midterm Review (MTR), the main reasons for this stagnation include:</w:t>
            </w:r>
          </w:p>
          <w:p>
            <w:pPr/>
            <w:r>
              <w:rPr/>
              <w:t xml:space="preserve">- Suspension of project activities in 2023–2024 due to funding issues;</w:t>
            </w:r>
          </w:p>
          <w:p>
            <w:pPr/>
            <w:r>
              <w:rPr/>
              <w:t xml:space="preserve">- Lack of tourism infrastructure upgrades and visitor services in the target area;</w:t>
            </w:r>
          </w:p>
          <w:p>
            <w:pPr/>
            <w:r>
              <w:rPr/>
              <w:t xml:space="preserve">- Limited promotional activities and absence of a dedicated ecotourism strategy;</w:t>
            </w:r>
          </w:p>
          <w:p>
            <w:pPr/>
            <w:r>
              <w:rPr/>
              <w:t xml:space="preserve">- No recent data collection on visitor flows or satisfaction surveys.</w:t>
            </w:r>
          </w:p>
          <w:p>
            <w:pPr/>
            <w:r>
              <w:rPr/>
              <w:t xml:space="preserve"/>
            </w:r>
          </w:p>
          <w:p>
            <w:pPr/>
            <w:r>
              <w:rPr/>
              <w:t xml:space="preserve">In order to achieve this target, preparatory efforts will start from quarter 3 and 4:</w:t>
            </w:r>
          </w:p>
          <w:p>
            <w:pPr/>
            <w:r>
              <w:rPr/>
              <w:t xml:space="preserve">- Preliminary concept development for an ecotourism route linking Beleu-Manta and Prutul de Jos;</w:t>
            </w:r>
          </w:p>
          <w:p>
            <w:pPr/>
            <w:r>
              <w:rPr/>
              <w:t xml:space="preserve">- Initial discussions with local tourism providers and nature guides;</w:t>
            </w:r>
          </w:p>
          <w:p>
            <w:pPr/>
            <w:r>
              <w:rPr/>
              <w:t xml:space="preserve">- Draft ideas for signage, birdwatching platforms, and visitor information centers.</w:t>
            </w:r>
          </w:p>
          <w:p>
            <w:pPr/>
            <w:r>
              <w:rPr/>
              <w:t xml:space="preserve"/>
            </w:r>
          </w:p>
          <w:p>
            <w:pPr/>
            <w:r>
              <w:rPr/>
              <w:t xml:space="preserve">Next Steps:</w:t>
            </w:r>
          </w:p>
          <w:p>
            <w:pPr/>
            <w:r>
              <w:rPr/>
              <w:t xml:space="preserve">1. Finalize and implement the ecotourism development plan:</w:t>
            </w:r>
          </w:p>
          <w:p>
            <w:pPr/>
            <w:r>
              <w:rPr/>
              <w:t xml:space="preserve">- Include infrastructure components, service packages, and marketing strategies.</w:t>
            </w:r>
          </w:p>
          <w:p>
            <w:pPr/>
            <w:r>
              <w:rPr/>
              <w:t xml:space="preserve"/>
            </w:r>
          </w:p>
          <w:p>
            <w:pPr/>
            <w:r>
              <w:rPr/>
              <w:t xml:space="preserve">2. Coordinate with local stakeholders and tour operators:</w:t>
            </w:r>
          </w:p>
          <w:p>
            <w:pPr/>
            <w:r>
              <w:rPr/>
              <w:t xml:space="preserve">- Establish partnerships with community-based tourism groups, LAGs and district councils.</w:t>
            </w:r>
          </w:p>
          <w:p>
            <w:pPr/>
            <w:r>
              <w:rPr/>
              <w:t xml:space="preserve"/>
            </w:r>
          </w:p>
          <w:p>
            <w:pPr/>
            <w:r>
              <w:rPr/>
              <w:t xml:space="preserve">3. Launch visibility and outreach campaigns:</w:t>
            </w:r>
          </w:p>
          <w:p>
            <w:pPr/>
            <w:r>
              <w:rPr/>
              <w:t xml:space="preserve">- Promote the Reserve as an ecotourism destination through media, events, and educational activities.</w:t>
            </w:r>
          </w:p>
          <w:p>
            <w:pPr/>
            <w:r>
              <w:rPr/>
              <w:t xml:space="preserve"/>
            </w:r>
          </w:p>
          <w:p>
            <w:pPr/>
            <w:r>
              <w:rPr/>
              <w:t xml:space="preserve">4. Build minimal infrastructure for visitor access:</w:t>
            </w:r>
          </w:p>
          <w:p>
            <w:pPr/>
            <w:r>
              <w:rPr/>
              <w:t xml:space="preserve">- Install signage, observation points, trails, and basic visitor facilities.</w:t>
            </w:r>
          </w:p>
          <w:p>
            <w:pPr/>
            <w:r>
              <w:rPr/>
              <w:t xml:space="preserve"/>
            </w:r>
          </w:p>
          <w:p>
            <w:pPr/>
            <w:r>
              <w:rPr/>
              <w:t xml:space="preserve">5. Establish a visitor tracking and feedback system:</w:t>
            </w:r>
          </w:p>
          <w:p>
            <w:pPr/>
            <w:r>
              <w:rPr/>
              <w:t xml:space="preserve">- Collect data on visitor numbers, origin, gender, and experience ratings to monitor impact.</w:t>
            </w:r>
          </w:p>
          <w:p>
            <w:pPr/>
            <w:r>
              <w:rPr/>
              <w:t xml:space="preserve"/>
            </w:r>
          </w:p>
          <w:p>
            <w:pPr/>
            <w:r>
              <w:rPr/>
              <w:t xml:space="preserve">6. Reactivate and monitor tourism activities in coordination with Indicators 11 and 13:</w:t>
            </w:r>
          </w:p>
          <w:p>
            <w:pPr/>
            <w:r>
              <w:rPr/>
              <w:t xml:space="preserve">- Ensure synergy between income generation, knowledge products, and ecotourism development.</w:t>
            </w:r>
          </w:p>
          <w:p>
            <w:pPr/>
            <w:r>
              <w:rPr/>
              <w:t xml:space="preserve"/>
            </w:r>
          </w:p>
          <w:p>
            <w:pPr/>
            <w:r>
              <w:rPr/>
              <w:t xml:space="preserve">Tourism development is expected to accelerate in 2025 with renewed funding, supporting biodiversity appreciation and local income diversification. Evidence of these actions will be properly documented for the next reporting period.</w:t>
            </w:r>
          </w:p>
          <w:p>
            <w:pPr/>
            <w:r>
              <w:rPr/>
              <w:t xml:space="preserve"/>
            </w:r>
          </w:p>
          <w:p>
            <w:pPr/>
            <w:r>
              <w:rPr/>
              <w:t xml:space="preserve"/>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Off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N/A</w:t>
            </w:r>
          </w:p>
        </w:tc>
      </w:tr>
      <w:tr>
        <w:trPr/>
        <w:tc>
          <w:tcPr>
            <w:tcW w:w="4000" w:type="dxa"/>
            <w:gridSpan w:val="1"/>
            <w:noWrap/>
          </w:tcPr>
          <w:p>
            <w:pPr/>
            <w:r>
              <w:rPr>
                <w:b w:val="1"/>
                <w:bCs w:val="1"/>
              </w:rPr>
              <w:t xml:space="preserve">Explanation why the evidence was not provided:</w:t>
            </w:r>
          </w:p>
        </w:tc>
        <w:tc>
          <w:tcPr>
            <w:tcW w:w="12000" w:type="dxa"/>
            <w:gridSpan w:val="5"/>
            <w:noWrap/>
          </w:tcPr>
          <w:p>
            <w:pPr>
              <w:spacing w:before="0" w:after="0"/>
            </w:pPr>
            <w:r>
              <w:rPr/>
              <w:t xml:space="preserve">N/a</w:t>
            </w:r>
          </w:p>
        </w:tc>
      </w:tr>
      <w:tr>
        <w:trPr/>
        <w:tc>
          <w:tcPr>
            <w:tcW w:w="16000" w:type="dxa"/>
            <w:shd w:val="clear" w:fill="#D9D9D9"/>
            <w:gridSpan w:val="7"/>
            <w:noWrap/>
          </w:tcPr>
          <w:p>
            <w:pPr/>
            <w:r>
              <w:rPr>
                <w:b w:val="1"/>
                <w:bCs w:val="1"/>
              </w:rPr>
              <w:t xml:space="preserve">Outcome 5</w:t>
            </w:r>
          </w:p>
          <w:p>
            <w:pPr/>
            <w:r>
              <w:rPr>
                <w:b w:val="1"/>
                <w:bCs w:val="1"/>
              </w:rPr>
              <w:t xml:space="preserve">Outcome 4.1. Knowledge management and gender sensitive KM products developed and disseminated</w:t>
            </w:r>
          </w:p>
          <w:p>
            <w:pPr/>
            <w:r>
              <w:rPr>
                <w:b w:val="1"/>
                <w:bCs w:val="1"/>
              </w:rPr>
              <w:t xml:space="preserve"/>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2024</w:t>
            </w:r>
          </w:p>
        </w:tc>
        <w:tc>
          <w:tcPr>
            <w:tcW w:w="4000" w:type="dxa"/>
            <w:gridSpan w:val="1"/>
            <w:noWrap/>
          </w:tcPr>
          <w:p>
            <w:pPr/>
            <w:r>
              <w:rPr>
                <w:b w:val="1"/>
                <w:bCs w:val="1"/>
              </w:rPr>
              <w:t xml:space="preserve">Cumulative progress since project start as of Jun 30, 2025</w:t>
            </w:r>
          </w:p>
        </w:tc>
      </w:tr>
      <w:tr>
        <w:trPr/>
        <w:tc>
          <w:tcPr>
            <w:tcW w:w="4000" w:type="dxa"/>
            <w:gridSpan w:val="1"/>
            <w:noWrap/>
          </w:tcPr>
          <w:p>
            <w:pPr/>
            <w:r>
              <w:rPr/>
              <w:t xml:space="preserve">Indicator 13: Number of knowledge products related to wetlands conservation considerations mainstreaming into policies, laws and regulations, developed and disseminated. Project knowledge products include, where feasible, an analysis of gender equity/empowerment in relation with the specific knowledge topic.</w:t>
            </w:r>
          </w:p>
        </w:tc>
        <w:tc>
          <w:tcPr>
            <w:tcW w:w="2000" w:type="dxa"/>
            <w:gridSpan w:val="1"/>
            <w:noWrap/>
          </w:tcPr>
          <w:p>
            <w:pPr/>
            <w:r>
              <w:rPr/>
              <w:t xml:space="preserve">0</w:t>
            </w:r>
          </w:p>
        </w:tc>
        <w:tc>
          <w:tcPr>
            <w:tcW w:w="2000" w:type="dxa"/>
            <w:gridSpan w:val="1"/>
            <w:noWrap/>
          </w:tcPr>
          <w:p>
            <w:pPr/>
            <w:r>
              <w:rPr/>
              <w:t xml:space="preserve">Draft methodologies developed</w:t>
            </w:r>
          </w:p>
          <w:p>
            <w:pPr/>
            <w:r>
              <w:rPr/>
              <w:t xml:space="preserve">Draft analysis and studies developed</w:t>
            </w:r>
          </w:p>
          <w:p>
            <w:pPr/>
            <w:r>
              <w:rPr/>
              <w:t xml:space="preserve"/>
            </w:r>
          </w:p>
          <w:p>
            <w:pPr/>
            <w:r>
              <w:rPr/>
              <w:t xml:space="preserve"/>
            </w:r>
          </w:p>
        </w:tc>
        <w:tc>
          <w:tcPr>
            <w:tcW w:w="2000" w:type="dxa"/>
            <w:gridSpan w:val="1"/>
            <w:noWrap/>
          </w:tcPr>
          <w:p>
            <w:pPr/>
            <w:r>
              <w:rPr/>
              <w:t xml:space="preserve">20 gender sensitive awareness raising events and 6 Knowledge products:</w:t>
            </w:r>
          </w:p>
          <w:p>
            <w:pPr/>
            <w:r>
              <w:rPr/>
              <w:t xml:space="preserve">KM product 1: Methodology for calculation of the minimum ecological flow supporting the evidence-based amendments to the Regulation of Stanca Costesti Dam and PA legislation.</w:t>
            </w:r>
          </w:p>
          <w:p>
            <w:pPr/>
            <w:r>
              <w:rPr/>
              <w:t xml:space="preserve">KM product 2: “Biodiversity passports” concept   integrated into local development strategies.</w:t>
            </w:r>
          </w:p>
          <w:p>
            <w:pPr/>
            <w:r>
              <w:rPr/>
              <w:t xml:space="preserve">KM Product 3: ”Hydroecological and Climate resilient assessment of Prut River wetlands” supporting evidence-based  wetlands/PAs related legislative amendments.</w:t>
            </w:r>
          </w:p>
          <w:p>
            <w:pPr/>
            <w:r>
              <w:rPr/>
              <w:t xml:space="preserve">KM Product 4 “ ISO 14001 Standards” training module developed/delivered supporting the environmental  regulations.</w:t>
            </w:r>
          </w:p>
          <w:p>
            <w:pPr/>
            <w:r>
              <w:rPr/>
              <w:t xml:space="preserve">KM Product 5 “Feasibility Study of the Restoration of the old watercourse of Camenca River” developed, grounding the restoration works.</w:t>
            </w:r>
          </w:p>
          <w:p>
            <w:pPr/>
            <w:r>
              <w:rPr/>
              <w:t xml:space="preserve">KM Product 6 “ Socio-economic and Eco-tourist assessments” in pilot PAs including gender specific data and supports development of equal opportunities for men and women, included in the PAs management planning.</w:t>
            </w:r>
          </w:p>
          <w:p>
            <w:pPr/>
            <w:r>
              <w:rPr/>
              <w:t xml:space="preserve"/>
            </w:r>
          </w:p>
        </w:tc>
        <w:tc>
          <w:tcPr>
            <w:tcW w:w="4000" w:type="dxa"/>
            <w:gridSpan w:val="1"/>
            <w:noWrap/>
          </w:tcPr>
          <w:p>
            <w:pPr/>
            <w:r>
              <w:rPr/>
              <w:t xml:space="preserve">Given the project's delays, no knowledge management (KM) activities were implemented during this reporting period. We are currently in the process of selecting a company or NGO to deliver an awareness campaign on the importance of wetland ecosystem services and the threats to their fragile balance.</w:t>
            </w:r>
          </w:p>
          <w:p>
            <w:pPr/>
            <w:r>
              <w:rPr/>
              <w:t xml:space="preserve"/>
            </w:r>
          </w:p>
          <w:p>
            <w:pPr/>
            <w:r>
              <w:rPr/>
              <w:t xml:space="preserve">The awareness campaign strategy will identify the target audience and the communication needs of each stakeholder category, including national decision-makers and relevant parliamentary committees, economic operators and private companies located in and around the targeted PAs, the general public, and others.</w:t>
            </w:r>
          </w:p>
          <w:p>
            <w:pPr/>
            <w:r>
              <w:rPr/>
              <w:t xml:space="preserve"/>
            </w:r>
          </w:p>
          <w:p>
            <w:pPr/>
            <w:r>
              <w:rPr/>
              <w:t xml:space="preserve">Biodiversity experts (flora and fauna) and the expert in land use policies are currently consulting with 17 town halls across the project’s three target districts to integrate key biodiversity considerations and provisions for natural resource management and biodiversity monitoring into local development strategies. .</w:t>
            </w:r>
          </w:p>
          <w:p>
            <w:pPr/>
            <w:r>
              <w:rPr/>
              <w:t xml:space="preserve"/>
            </w:r>
          </w:p>
        </w:tc>
        <w:tc>
          <w:tcPr>
            <w:tcW w:w="4000" w:type="dxa"/>
            <w:gridSpan w:val="1"/>
            <w:noWrap/>
          </w:tcPr>
          <w:p>
            <w:pPr/>
            <w:r>
              <w:rPr/>
              <w:t xml:space="preserve">Off track.</w:t>
            </w:r>
          </w:p>
          <w:p>
            <w:pPr/>
            <w:r>
              <w:rPr/>
              <w:t xml:space="preserve">Cumulative progress as of 30 June 2025: 0 gender sensitive awareness raising events. 0 Knowledge products (0% of EOP target).</w:t>
            </w:r>
          </w:p>
          <w:p>
            <w:pPr/>
            <w:r>
              <w:rPr/>
              <w:t xml:space="preserve">20 gender sensitive awareness events will carefully plan until the end of the project.</w:t>
            </w:r>
          </w:p>
          <w:p>
            <w:pPr/>
            <w:r>
              <w:rPr/>
              <w:t xml:space="preserve">For the KM product 1, 2, 3, 4, 5 and 6 the timeline will be aligned with the updated AWP, including the MTR recommendations.</w:t>
            </w:r>
          </w:p>
          <w:p>
            <w:pPr/>
            <w:r>
              <w:rPr/>
              <w:t xml:space="preserve">Several knowledge products   were initiated, however most of the activities did not take place during this reporting period. The cumulative progress on this indicator remains below the midterm target.</w:t>
            </w:r>
          </w:p>
          <w:p>
            <w:pPr/>
            <w:r>
              <w:rPr/>
              <w:t xml:space="preserve"/>
            </w:r>
          </w:p>
          <w:p>
            <w:pPr/>
            <w:r>
              <w:rPr/>
              <w:t xml:space="preserve">Next Steps:</w:t>
            </w:r>
          </w:p>
          <w:p>
            <w:pPr/>
            <w:r>
              <w:rPr/>
              <w:t xml:space="preserve">1. Resume production of priority knowledge products.</w:t>
            </w:r>
          </w:p>
          <w:p>
            <w:pPr/>
            <w:r>
              <w:rPr/>
              <w:t xml:space="preserve"/>
            </w:r>
          </w:p>
          <w:p>
            <w:pPr/>
            <w:r>
              <w:rPr/>
              <w:t xml:space="preserve">2. Integrate gender considerations into each publication:</w:t>
            </w:r>
          </w:p>
          <w:p>
            <w:pPr/>
            <w:r>
              <w:rPr/>
              <w:t xml:space="preserve">- Include analysis on women's roles, access, and participation in wetland conservation.</w:t>
            </w:r>
          </w:p>
          <w:p>
            <w:pPr/>
            <w:r>
              <w:rPr/>
              <w:t xml:space="preserve"/>
            </w:r>
          </w:p>
          <w:p>
            <w:pPr/>
            <w:r>
              <w:rPr/>
              <w:t xml:space="preserve">3. Coordinate peer review and validation:</w:t>
            </w:r>
          </w:p>
          <w:p>
            <w:pPr/>
            <w:r>
              <w:rPr/>
              <w:t xml:space="preserve">- Engage national experts, ministry departments, and academia for feedback and endorsement.</w:t>
            </w:r>
          </w:p>
          <w:p>
            <w:pPr/>
            <w:r>
              <w:rPr/>
              <w:t xml:space="preserve"/>
            </w:r>
          </w:p>
          <w:p>
            <w:pPr/>
            <w:r>
              <w:rPr/>
              <w:t xml:space="preserve">4. Disseminate products across key platforms:</w:t>
            </w:r>
          </w:p>
          <w:p>
            <w:pPr/>
            <w:r>
              <w:rPr/>
              <w:t xml:space="preserve">- Share through UNDP channels, government portals, and local stakeholder networks.</w:t>
            </w:r>
          </w:p>
          <w:p>
            <w:pPr/>
            <w:r>
              <w:rPr/>
              <w:t xml:space="preserve"/>
            </w:r>
          </w:p>
          <w:p>
            <w:pPr/>
            <w:r>
              <w:rPr/>
              <w:t xml:space="preserve">5. Link knowledge dissemination to capacity-building:</w:t>
            </w:r>
          </w:p>
          <w:p>
            <w:pPr/>
            <w:r>
              <w:rPr/>
              <w:t xml:space="preserve">- Use finalized materials in training sessions and community engagement activities.</w:t>
            </w:r>
          </w:p>
          <w:p>
            <w:pPr/>
            <w:r>
              <w:rPr/>
              <w:t xml:space="preserve"/>
            </w:r>
          </w:p>
          <w:p>
            <w:pPr/>
            <w:r>
              <w:rPr/>
              <w:t xml:space="preserve">6. Report results under 14:</w:t>
            </w:r>
          </w:p>
          <w:p>
            <w:pPr/>
            <w:r>
              <w:rPr/>
              <w:t xml:space="preserve">- Ensure alignment with knowledge sharing, empowerment, and outreach goals.</w:t>
            </w:r>
          </w:p>
          <w:p>
            <w:pPr/>
            <w:r>
              <w:rPr/>
              <w:t xml:space="preserve"/>
            </w:r>
          </w:p>
        </w:tc>
      </w:tr>
      <w:tr>
        <w:trPr/>
        <w:tc>
          <w:tcPr>
            <w:tcW w:w="4000" w:type="dxa"/>
            <w:gridSpan w:val="1"/>
            <w:noWrap/>
          </w:tcPr>
          <w:p>
            <w:pPr/>
            <w:r>
              <w:rPr/>
              <w:t xml:space="preserve">Indicator 14: Number of women and men getting access to the best available knowledge and practice, through project-supported knowledge products and training</w:t>
            </w:r>
          </w:p>
        </w:tc>
        <w:tc>
          <w:tcPr>
            <w:tcW w:w="2000" w:type="dxa"/>
            <w:gridSpan w:val="1"/>
            <w:noWrap/>
          </w:tcPr>
          <w:p>
            <w:pPr/>
            <w:r>
              <w:rPr/>
              <w:t xml:space="preserve">0</w:t>
            </w:r>
          </w:p>
        </w:tc>
        <w:tc>
          <w:tcPr>
            <w:tcW w:w="2000" w:type="dxa"/>
            <w:gridSpan w:val="1"/>
            <w:noWrap/>
          </w:tcPr>
          <w:p>
            <w:pPr/>
            <w:r>
              <w:rPr/>
              <w:t xml:space="preserve">2,000 (1,000 women)</w:t>
            </w:r>
          </w:p>
        </w:tc>
        <w:tc>
          <w:tcPr>
            <w:tcW w:w="2000" w:type="dxa"/>
            <w:gridSpan w:val="1"/>
            <w:noWrap/>
          </w:tcPr>
          <w:p>
            <w:pPr/>
            <w:r>
              <w:rPr/>
              <w:t xml:space="preserve">5,000 (2,500 women)</w:t>
            </w:r>
          </w:p>
        </w:tc>
        <w:tc>
          <w:tcPr>
            <w:tcW w:w="4000" w:type="dxa"/>
            <w:gridSpan w:val="1"/>
            <w:noWrap/>
          </w:tcPr>
          <w:p>
            <w:pPr/>
            <w:r>
              <w:rPr/>
              <w:t xml:space="preserve">Due to significant delays with project implementation, no measurable progress has been made against this indicator during the reporting period.</w:t>
            </w:r>
          </w:p>
        </w:tc>
        <w:tc>
          <w:tcPr>
            <w:tcW w:w="4000" w:type="dxa"/>
            <w:gridSpan w:val="1"/>
            <w:noWrap/>
          </w:tcPr>
          <w:p>
            <w:pPr/>
            <w:r>
              <w:rPr/>
              <w:t xml:space="preserve">Off track.</w:t>
            </w:r>
          </w:p>
          <w:p>
            <w:pPr/>
            <w:r>
              <w:rPr/>
              <w:t xml:space="preserve">Cumulative progress as of 30 June 2024: 0 women and men getting access to the best available knowledge and practice, through project-supported knowledge products and training. (0% of EOP target).</w:t>
            </w:r>
          </w:p>
          <w:p>
            <w:pPr/>
            <w:r>
              <w:rPr/>
              <w:t xml:space="preserve">As of June 30, 2024, the project has not yet delivered structured training sessions or disseminated finalized knowledge materials due to the funding suspension. Consequently, the number of beneficiaries with documented access to best practices remains at 0, reflecting 0% progress toward the End-of-Project (EOP) target.</w:t>
            </w:r>
          </w:p>
          <w:p>
            <w:pPr/>
            <w:r>
              <w:rPr/>
              <w:t xml:space="preserve"/>
            </w:r>
          </w:p>
          <w:p>
            <w:pPr/>
            <w:r>
              <w:rPr/>
              <w:t xml:space="preserve">The Midterm Review (MTR) identifies several contributing factors to this delay:</w:t>
            </w:r>
          </w:p>
          <w:p>
            <w:pPr/>
            <w:r>
              <w:rPr/>
              <w:t xml:space="preserve">- Incomplete development of training materials and toolkits planned under Outcome 2;</w:t>
            </w:r>
          </w:p>
          <w:p>
            <w:pPr/>
            <w:r>
              <w:rPr/>
              <w:t xml:space="preserve">- Lack of engagement with training institutions and limited coordination with community-based partners.</w:t>
            </w:r>
          </w:p>
          <w:p>
            <w:pPr/>
            <w:r>
              <w:rPr/>
              <w:t xml:space="preserve"/>
            </w:r>
          </w:p>
          <w:p>
            <w:pPr/>
            <w:r>
              <w:rPr/>
              <w:t xml:space="preserve">Preliminary efforts that were initiated prior to the suspension include:</w:t>
            </w:r>
          </w:p>
          <w:p>
            <w:pPr/>
            <w:r>
              <w:rPr/>
              <w:t xml:space="preserve">- Draft outlines for training modules focused on wetlands restoration and monitoring;</w:t>
            </w:r>
          </w:p>
          <w:p>
            <w:pPr/>
            <w:r>
              <w:rPr/>
              <w:t xml:space="preserve">- Concept notes for community capacity-building events, with emphasis on gender inclusion;</w:t>
            </w:r>
          </w:p>
          <w:p>
            <w:pPr/>
            <w:r>
              <w:rPr/>
              <w:t xml:space="preserve">- Early-stage discussions with Environmental Agency and local NGOs to identify training needs.</w:t>
            </w:r>
          </w:p>
          <w:p>
            <w:pPr/>
            <w:r>
              <w:rPr/>
              <w:t xml:space="preserve"/>
            </w:r>
          </w:p>
          <w:p>
            <w:pPr/>
            <w:r>
              <w:rPr/>
              <w:t xml:space="preserve">Next Steps:</w:t>
            </w:r>
          </w:p>
          <w:p>
            <w:pPr/>
            <w:r>
              <w:rPr/>
              <w:t xml:space="preserve">1. Finalize knowledge products and training materials:</w:t>
            </w:r>
          </w:p>
          <w:p>
            <w:pPr/>
            <w:r>
              <w:rPr/>
              <w:t xml:space="preserve">- Use content developed under Indicator 13 to structure gender-sensitive and accessible modules.</w:t>
            </w:r>
          </w:p>
          <w:p>
            <w:pPr/>
            <w:r>
              <w:rPr/>
              <w:t xml:space="preserve"/>
            </w:r>
          </w:p>
          <w:p>
            <w:pPr/>
            <w:r>
              <w:rPr/>
              <w:t xml:space="preserve">2. Launch structured training sessions:</w:t>
            </w:r>
          </w:p>
          <w:p>
            <w:pPr/>
            <w:r>
              <w:rPr/>
              <w:t xml:space="preserve">- Prioritize women and youth participation in PA management, monitoring, and ecotourism services.</w:t>
            </w:r>
          </w:p>
          <w:p>
            <w:pPr/>
            <w:r>
              <w:rPr/>
              <w:t xml:space="preserve"/>
            </w:r>
          </w:p>
          <w:p>
            <w:pPr/>
            <w:r>
              <w:rPr/>
              <w:t xml:space="preserve">3. Establish partnerships for training delivery:</w:t>
            </w:r>
          </w:p>
          <w:p>
            <w:pPr/>
            <w:r>
              <w:rPr/>
              <w:t xml:space="preserve">- Collaborate with academic institutions, civil society, and district authorities.</w:t>
            </w:r>
          </w:p>
          <w:p>
            <w:pPr/>
            <w:r>
              <w:rPr/>
              <w:t xml:space="preserve"/>
            </w:r>
          </w:p>
          <w:p>
            <w:pPr/>
            <w:r>
              <w:rPr/>
              <w:t xml:space="preserve">4. Develop feedback and follow-up mechanisms:</w:t>
            </w:r>
          </w:p>
          <w:p>
            <w:pPr/>
            <w:r>
              <w:rPr/>
              <w:t xml:space="preserve">- Track participant engagement, knowledge retention, and application in real-world settings.</w:t>
            </w:r>
          </w:p>
          <w:p>
            <w:pPr/>
            <w:r>
              <w:rPr/>
              <w:t xml:space="preserve"/>
            </w:r>
          </w:p>
          <w:p>
            <w:pPr/>
            <w:r>
              <w:rPr/>
              <w:t xml:space="preserve">5. Disaggregate training records by gender:</w:t>
            </w:r>
          </w:p>
          <w:p>
            <w:pPr/>
            <w:r>
              <w:rPr/>
              <w:t xml:space="preserve">- Ensure transparent reporting of female and male beneficiaries for monitoring and evaluation.</w:t>
            </w:r>
          </w:p>
          <w:p>
            <w:pPr/>
            <w:r>
              <w:rPr/>
              <w:t xml:space="preserve"/>
            </w:r>
          </w:p>
          <w:p>
            <w:pPr/>
            <w:r>
              <w:rPr/>
              <w:t xml:space="preserve">6. Link Indicator 14 progress with Indicators 11 and 13:</w:t>
            </w:r>
          </w:p>
          <w:p>
            <w:pPr/>
            <w:r>
              <w:rPr/>
              <w:t xml:space="preserve">- Leverage synergy between income generation, knowledge production, and capacity development.</w:t>
            </w:r>
          </w:p>
          <w:p>
            <w:pPr/>
            <w:r>
              <w:rPr/>
              <w:t xml:space="preserve"/>
            </w:r>
          </w:p>
          <w:p>
            <w:pPr/>
            <w:r>
              <w:rPr/>
              <w:t xml:space="preserve">Substantial progress on this indicator is expected to begin in 2025, once funds will be transferred to the implementing partner and institutional partnerships are activated.</w:t>
            </w:r>
          </w:p>
          <w:p>
            <w:pPr/>
            <w:r>
              <w:rPr/>
              <w:t xml:space="preserve"/>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Off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N/A</w:t>
            </w:r>
          </w:p>
        </w:tc>
      </w:tr>
      <w:tr>
        <w:trPr/>
        <w:tc>
          <w:tcPr>
            <w:tcW w:w="4000" w:type="dxa"/>
            <w:gridSpan w:val="1"/>
            <w:noWrap/>
          </w:tcPr>
          <w:p>
            <w:pPr/>
            <w:r>
              <w:rPr>
                <w:b w:val="1"/>
                <w:bCs w:val="1"/>
              </w:rPr>
              <w:t xml:space="preserve">Explanation why the evidence was not provided:</w:t>
            </w:r>
          </w:p>
        </w:tc>
        <w:tc>
          <w:tcPr>
            <w:tcW w:w="12000" w:type="dxa"/>
            <w:gridSpan w:val="5"/>
            <w:noWrap/>
          </w:tcPr>
          <w:p>
            <w:pPr>
              <w:spacing w:before="0" w:after="0"/>
            </w:pPr>
            <w:r>
              <w:rPr/>
              <w:t xml:space="preserve">N/a</w:t>
            </w:r>
          </w:p>
        </w:tc>
      </w:tr>
      <w:tr>
        <w:trPr/>
        <w:tc>
          <w:tcPr>
            <w:tcW w:w="16000" w:type="dxa"/>
            <w:shd w:val="clear" w:fill="#D9D9D9"/>
            <w:gridSpan w:val="7"/>
            <w:noWrap/>
          </w:tcPr>
          <w:p>
            <w:pPr/>
            <w:r>
              <w:rPr>
                <w:b w:val="1"/>
                <w:bCs w:val="1"/>
              </w:rPr>
              <w:t xml:space="preserve">Outcome 6</w:t>
            </w:r>
          </w:p>
          <w:p>
            <w:pPr/>
            <w:r>
              <w:rPr>
                <w:b w:val="1"/>
                <w:bCs w:val="1"/>
              </w:rPr>
              <w:t xml:space="preserve">Outcome 5. Project results properly monitored and evaluated</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2024</w:t>
            </w:r>
          </w:p>
        </w:tc>
        <w:tc>
          <w:tcPr>
            <w:tcW w:w="4000" w:type="dxa"/>
            <w:gridSpan w:val="1"/>
            <w:noWrap/>
          </w:tcPr>
          <w:p>
            <w:pPr/>
            <w:r>
              <w:rPr>
                <w:b w:val="1"/>
                <w:bCs w:val="1"/>
              </w:rPr>
              <w:t xml:space="preserve">Cumulative progress since project start as of Jun 30, 2025</w:t>
            </w:r>
          </w:p>
        </w:tc>
      </w:tr>
      <w:tr>
        <w:trPr/>
        <w:tc>
          <w:tcPr>
            <w:tcW w:w="4000" w:type="dxa"/>
            <w:gridSpan w:val="1"/>
            <w:noWrap/>
          </w:tcPr>
          <w:p>
            <w:pPr/>
            <w:r>
              <w:rPr/>
              <w:t xml:space="preserve">Indicator 15: Monitoring and Evaluation reports</w:t>
            </w:r>
          </w:p>
          <w:p>
            <w:pPr/>
            <w:r>
              <w:rPr/>
              <w:t xml:space="preserve">Evaluative knowledge available to project partners</w:t>
            </w:r>
          </w:p>
          <w:p>
            <w:pPr/>
            <w:r>
              <w:rPr/>
              <w:t xml:space="preserve"/>
            </w:r>
          </w:p>
        </w:tc>
        <w:tc>
          <w:tcPr>
            <w:tcW w:w="2000" w:type="dxa"/>
            <w:gridSpan w:val="1"/>
            <w:noWrap/>
          </w:tcPr>
          <w:p>
            <w:pPr/>
            <w:r>
              <w:rPr/>
              <w:t xml:space="preserve">0</w:t>
            </w:r>
          </w:p>
        </w:tc>
        <w:tc>
          <w:tcPr>
            <w:tcW w:w="2000" w:type="dxa"/>
            <w:gridSpan w:val="1"/>
            <w:noWrap/>
          </w:tcPr>
          <w:p>
            <w:pPr/>
            <w:r>
              <w:rPr/>
              <w:t xml:space="preserve">Internal UNDP review based on UNDP M&amp;E</w:t>
            </w:r>
          </w:p>
        </w:tc>
        <w:tc>
          <w:tcPr>
            <w:tcW w:w="2000" w:type="dxa"/>
            <w:gridSpan w:val="1"/>
            <w:noWrap/>
          </w:tcPr>
          <w:p>
            <w:pPr/>
            <w:r>
              <w:rPr/>
              <w:t xml:space="preserve">Final GEF evaluation report</w:t>
            </w:r>
          </w:p>
          <w:p>
            <w:pPr/>
            <w:r>
              <w:rPr/>
              <w:t xml:space="preserve"/>
            </w:r>
          </w:p>
          <w:p>
            <w:pPr/>
            <w:r>
              <w:rPr/>
              <w:t xml:space="preserve"/>
            </w:r>
          </w:p>
        </w:tc>
        <w:tc>
          <w:tcPr>
            <w:tcW w:w="4000" w:type="dxa"/>
            <w:gridSpan w:val="1"/>
            <w:noWrap/>
          </w:tcPr>
          <w:p>
            <w:pPr/>
            <w:r>
              <w:rPr/>
              <w:t xml:space="preserve">Regarding M&amp;E, progress is considered to be on track, with the Inception workshop held on June 7, 2023, and the Inception Report submitted in August 2023. The project is planning a midterm review for February 2025.</w:t>
            </w:r>
          </w:p>
          <w:p>
            <w:pPr/>
            <w:r>
              <w:rPr/>
              <w:t xml:space="preserve"/>
            </w:r>
          </w:p>
          <w:p>
            <w:pPr/>
            <w:r>
              <w:rPr/>
              <w:t xml:space="preserve">due to project delays, the generation of KM products has not yet started during this reporting period, and therefore cannot be disseminated or replicated to partners.</w:t>
            </w:r>
          </w:p>
          <w:p>
            <w:pPr/>
            <w:r>
              <w:rPr/>
              <w:t xml:space="preserve"/>
            </w:r>
          </w:p>
          <w:p>
            <w:pPr/>
            <w:r>
              <w:rPr/>
              <w:t xml:space="preserve">The Knowledge Management approach includes the preparation of a Scaling Up and Replication Strategy, ensuring that the valuable knowledge generated during project implementation, and documenting the pioneering efforts driving progress towards sustainable wetlands management and the mainstreaming of biodiversity in production zones, will be replicated in other regions of Moldova.</w:t>
            </w:r>
          </w:p>
          <w:p>
            <w:pPr/>
            <w:r>
              <w:rPr/>
              <w:t xml:space="preserve"/>
            </w:r>
          </w:p>
          <w:p>
            <w:pPr/>
            <w:r>
              <w:rPr/>
              <w:t xml:space="preserve">The internal Knowledge Management (KM) focus will be on continuous learning from other projects' experiences, evaluative knowledge, and internal monitoring and evaluation (M&amp;E) processes, as well as operational and technical efficiency and effectiveness. The project team will implement the KM Plan in line with GEF requirements to foster learning and sharing from relevant projects, initiatives, and evaluations, contributing to the project's overall impact and sustainability.</w:t>
            </w:r>
          </w:p>
        </w:tc>
        <w:tc>
          <w:tcPr>
            <w:tcW w:w="4000" w:type="dxa"/>
            <w:gridSpan w:val="1"/>
            <w:noWrap/>
          </w:tcPr>
          <w:p>
            <w:pPr/>
            <w:r>
              <w:rPr/>
              <w:t xml:space="preserve">Two key evaluative reports have been produced:</w:t>
            </w:r>
          </w:p>
          <w:p>
            <w:pPr/>
            <w:r>
              <w:rPr/>
              <w:t xml:space="preserve">Inception Report, which includes baseline context and implementation strategy.</w:t>
            </w:r>
          </w:p>
          <w:p>
            <w:pPr/>
            <w:r>
              <w:rPr/>
              <w:t xml:space="preserve">Midterm Review Report (MTR), which provides an in-depth independent assessment of the project’s progress, challenges, risks, and recommendations.</w:t>
            </w:r>
          </w:p>
          <w:p>
            <w:pPr/>
            <w:r>
              <w:rPr/>
              <w:t xml:space="preserve">These reports represent the main evaluative knowledge available to project partners to date.</w:t>
            </w:r>
          </w:p>
          <w:p>
            <w:pPr/>
            <w:r>
              <w:rPr/>
              <w:t xml:space="preserve">Additional monitoring reports or learning products (e.g., quarterly updates, outcome monitoring) have not been consistently produced. The availability and use of evaluative knowledge will need to be enhanced in the second half of the project.</w:t>
            </w:r>
          </w:p>
          <w:p>
            <w:pPr/>
            <w:r>
              <w:rPr/>
              <w:t xml:space="preserve">Recommendation 1 – Strategy Reset and Selective Execution</w:t>
            </w:r>
          </w:p>
          <w:p>
            <w:pPr/>
            <w:r>
              <w:rPr/>
              <w:t xml:space="preserve">•	Recruit a neutral technical advisor or strategic facilitator to lead the reset process</w:t>
            </w:r>
          </w:p>
          <w:p>
            <w:pPr/>
            <w:r>
              <w:rPr/>
              <w:t xml:space="preserve">•	Organize, conduct, and follow up on a participatory strategic retreat with key stakeholders, and develop a validated “Strategic Reset Note”</w:t>
            </w:r>
          </w:p>
          <w:p>
            <w:pPr/>
            <w:r>
              <w:rPr/>
              <w:t xml:space="preserve">•	Identify and continue implementation of low-risk, high-relevance activities in parallel</w:t>
            </w:r>
          </w:p>
          <w:p>
            <w:pPr/>
            <w:r>
              <w:rPr/>
              <w:t xml:space="preserve">•	Update the project Results Framework only after endorsement of revised strategy</w:t>
            </w:r>
          </w:p>
          <w:p>
            <w:pPr/>
            <w:r>
              <w:rPr/>
              <w:t xml:space="preserve">Recommendation 2 – Outsource outcome level implementation to external partners</w:t>
            </w:r>
          </w:p>
          <w:p>
            <w:pPr/>
            <w:r>
              <w:rPr/>
              <w:t xml:space="preserve">•	Contract experienced external partner for Outcome 2.1 (PA management and transboundary cooperation)</w:t>
            </w:r>
          </w:p>
          <w:p>
            <w:pPr/>
            <w:r>
              <w:rPr/>
              <w:t xml:space="preserve">•	Recruit moderator to facilitate METT assessment of two protected areas</w:t>
            </w:r>
          </w:p>
          <w:p>
            <w:pPr/>
            <w:r>
              <w:rPr/>
              <w:t xml:space="preserve">•	Contract external execution partner for feasibility study, ESIA, and community consultations under Outcome 2.2</w:t>
            </w:r>
          </w:p>
          <w:p>
            <w:pPr/>
            <w:r>
              <w:rPr/>
              <w:t xml:space="preserve">•	Contract qualified partner for Outcome 3.1 to deliver livelihood improvement initiatives</w:t>
            </w:r>
          </w:p>
          <w:p>
            <w:pPr/>
            <w:r>
              <w:rPr/>
              <w:t xml:space="preserve">•	Contract experienced external partner for Outcome 4.1 knowledge management component</w:t>
            </w:r>
          </w:p>
          <w:p>
            <w:pPr/>
            <w:r>
              <w:rPr/>
              <w:t xml:space="preserve">Recommendation 3 – Afforestation Pivot (rejected)</w:t>
            </w:r>
          </w:p>
          <w:p>
            <w:pPr/>
            <w:r>
              <w:rPr/>
              <w:t xml:space="preserve">•	Prepare technical documentation with detailed bill of quantities and assess cost optimization options</w:t>
            </w:r>
          </w:p>
          <w:p>
            <w:pPr/>
            <w:r>
              <w:rPr/>
              <w:t xml:space="preserve">•	Plan and launch afforestation works for 50 ha in spring 2026</w:t>
            </w:r>
          </w:p>
          <w:p>
            <w:pPr/>
            <w:r>
              <w:rPr/>
              <w:t xml:space="preserve">•	Include post-planting care works in NFERP operational activities</w:t>
            </w:r>
          </w:p>
          <w:p>
            <w:pPr/>
            <w:r>
              <w:rPr/>
              <w:t xml:space="preserve">•	Monitor implementation, ensure environmental compliance, and report progress and lessons learned</w:t>
            </w:r>
          </w:p>
          <w:p>
            <w:pPr/>
            <w:r>
              <w:rPr/>
              <w:t xml:space="preserve">Recommendation 4 – Camenca Feasibility, safeguards assessments, and community consultations</w:t>
            </w:r>
          </w:p>
          <w:p>
            <w:pPr/>
            <w:r>
              <w:rPr/>
              <w:t xml:space="preserve">•	Prepare integrated TOR for feasibility, ESIA, safeguards, and consultations</w:t>
            </w:r>
          </w:p>
          <w:p>
            <w:pPr/>
            <w:r>
              <w:rPr/>
              <w:t xml:space="preserve">•	Launch streamlined procurement and contract qualified team for technical and stakeholder engagement services</w:t>
            </w:r>
          </w:p>
          <w:p>
            <w:pPr/>
            <w:r>
              <w:rPr/>
              <w:t xml:space="preserve">•	Implement and document community consultations, monitor deliverables, and finalize feasibility and safeguards package</w:t>
            </w:r>
          </w:p>
          <w:p>
            <w:pPr/>
            <w:r>
              <w:rPr/>
              <w:t xml:space="preserve">Recommendation 5 – Protected Areas – METT and Management Plans</w:t>
            </w:r>
          </w:p>
          <w:p>
            <w:pPr/>
            <w:r>
              <w:rPr/>
              <w:t xml:space="preserve">•	Recruit trained facilitator for stakeholder-based METT assessments</w:t>
            </w:r>
          </w:p>
          <w:p>
            <w:pPr/>
            <w:r>
              <w:rPr/>
              <w:t xml:space="preserve">•	Conduct METT assessments for Lower Prut and Royal Forest protected areas, document findings and gaps</w:t>
            </w:r>
          </w:p>
          <w:p>
            <w:pPr/>
            <w:r>
              <w:rPr/>
              <w:t xml:space="preserve">•	Revise and validate PA management plans based on METT results</w:t>
            </w:r>
          </w:p>
          <w:p>
            <w:pPr/>
            <w:r>
              <w:rPr/>
              <w:t xml:space="preserve">•	Report compliance with GEF Core Indicator 1 and integrate into PIR</w:t>
            </w:r>
          </w:p>
          <w:p>
            <w:pPr/>
            <w:r>
              <w:rPr/>
              <w:t xml:space="preserve">Recommendation 6 – Safeguards Activation</w:t>
            </w:r>
          </w:p>
          <w:p>
            <w:pPr/>
            <w:r>
              <w:rPr/>
              <w:t xml:space="preserve">•	Organize SES and ESMF training for PMU staff</w:t>
            </w:r>
          </w:p>
          <w:p>
            <w:pPr/>
            <w:r>
              <w:rPr/>
              <w:t xml:space="preserve">•	Review and update ESMF to reflect project realities</w:t>
            </w:r>
          </w:p>
          <w:p>
            <w:pPr/>
            <w:r>
              <w:rPr/>
              <w:t xml:space="preserve">•	Operationalize risk screening protocols for all field interventions</w:t>
            </w:r>
          </w:p>
          <w:p>
            <w:pPr/>
            <w:r>
              <w:rPr/>
              <w:t xml:space="preserve">•	Assign safeguards focal point within PMU</w:t>
            </w:r>
          </w:p>
          <w:p>
            <w:pPr/>
            <w:r>
              <w:rPr/>
              <w:t xml:space="preserve">•	Integrate safeguards documentation in TORs, contracts, and monitoring tools</w:t>
            </w:r>
          </w:p>
          <w:p>
            <w:pPr/>
            <w:r>
              <w:rPr/>
              <w:t xml:space="preserve">•	Report SES compliance progress in PIR and to GEF</w:t>
            </w:r>
          </w:p>
          <w:p>
            <w:pPr/>
            <w:r>
              <w:rPr/>
              <w:t xml:space="preserve">Recommendation 7 – Rebuild Credibility Through Visible Action</w:t>
            </w:r>
          </w:p>
          <w:p>
            <w:pPr/>
            <w:r>
              <w:rPr/>
              <w:t xml:space="preserve">•	Identify and prioritize visible, low-risk activities for immediate implementation</w:t>
            </w:r>
          </w:p>
          <w:p>
            <w:pPr/>
            <w:r>
              <w:rPr/>
              <w:t xml:space="preserve">•	Maintain momentum through periodic stakeholder engagement</w:t>
            </w:r>
          </w:p>
          <w:p>
            <w:pPr/>
            <w:r>
              <w:rPr/>
              <w:t xml:space="preserve">•	Engage local communities and stakeholders in delivery</w:t>
            </w:r>
          </w:p>
          <w:p>
            <w:pPr/>
            <w:r>
              <w:rPr/>
              <w:t xml:space="preserve">•	Document and communicate project achievements</w:t>
            </w:r>
          </w:p>
          <w:p>
            <w:pPr/>
            <w:r>
              <w:rPr/>
              <w:t xml:space="preserve">•	Launch implementation of prioritized activities to generate visible results</w:t>
            </w:r>
          </w:p>
          <w:p>
            <w:pPr/>
            <w:r>
              <w:rPr/>
              <w:t xml:space="preserve">Recommendation 8 – Coordinate with National Biodiversity Financing Platforms</w:t>
            </w:r>
          </w:p>
          <w:p>
            <w:pPr/>
            <w:r>
              <w:rPr/>
              <w:t xml:space="preserve">•	Facilitate engagement with BIOFIN and ministries, align strategies and contributions to biodiversity finance objectives</w:t>
            </w:r>
          </w:p>
          <w:p>
            <w:pPr/>
            <w:r>
              <w:rPr/>
              <w:t xml:space="preserve">•	Coordinate with NEF reform process to ensure wetland and biodiversity priorities are reflected in future funding guidelines.</w:t>
            </w:r>
          </w:p>
          <w:p>
            <w:pPr/>
            <w:r>
              <w:rPr/>
              <w:t xml:space="preserve">•	Explore EU4Environment synergies</w:t>
            </w:r>
          </w:p>
          <w:p>
            <w:pPr/>
            <w:r>
              <w:rPr/>
              <w:t xml:space="preserve">Recommendation 9 – Strategic Alignment with Government Priorities</w:t>
            </w:r>
          </w:p>
          <w:p>
            <w:pPr/>
            <w:r>
              <w:rPr/>
              <w:t xml:space="preserve">•	Conduct high-level coordination meeting with ministries to review and align project activities with current government strategies</w:t>
            </w:r>
          </w:p>
          <w:p>
            <w:pPr/>
            <w:r>
              <w:rPr/>
              <w:t xml:space="preserve">•	Drop or modify activities lacking institutional ownership</w:t>
            </w:r>
          </w:p>
          <w:p>
            <w:pPr/>
            <w:r>
              <w:rPr/>
              <w:t xml:space="preserve">•	Update workplan with recalibrated priorities and secure ministry endorsement</w:t>
            </w:r>
          </w:p>
          <w:p>
            <w:pPr/>
            <w:r>
              <w:rPr/>
              <w:t xml:space="preserve">Recommendation 10 – Leverage Existing Transboundary Mechanisms</w:t>
            </w:r>
          </w:p>
          <w:p>
            <w:pPr/>
            <w:r>
              <w:rPr/>
              <w:t xml:space="preserve">•	Engage with ICPDR and Prut Basin structures, reactivate trilateral biosphere reserve dialogue</w:t>
            </w:r>
          </w:p>
          <w:p>
            <w:pPr/>
            <w:r>
              <w:rPr/>
              <w:t xml:space="preserve">•	Coordinate with Romanian counterparts and technical working committee on dam water release protocols, recruit moderator</w:t>
            </w:r>
          </w:p>
          <w:p>
            <w:pPr/>
            <w:r>
              <w:rPr/>
              <w:t xml:space="preserve">Recommendation 11 – Tax Refund Task Force</w:t>
            </w:r>
          </w:p>
          <w:p>
            <w:pPr/>
            <w:r>
              <w:rPr/>
              <w:t xml:space="preserve">•	Establish government-led task force with key representatives</w:t>
            </w:r>
          </w:p>
          <w:p>
            <w:pPr/>
            <w:r>
              <w:rPr/>
              <w:t xml:space="preserve">•	Conduct regular coordination meetings to monitor resolution progress</w:t>
            </w:r>
          </w:p>
          <w:p>
            <w:pPr/>
            <w:r>
              <w:rPr/>
              <w:t xml:space="preserve">•	Clarify and document legal/technical pathway for reimbursement of USD 31,500</w:t>
            </w:r>
          </w:p>
          <w:p>
            <w:pPr/>
            <w:r>
              <w:rPr/>
              <w:t xml:space="preserve">•	Close the issue in UNDP financial system and document reimbursement confirmation</w:t>
            </w:r>
          </w:p>
          <w:p>
            <w:pPr/>
            <w:r>
              <w:rPr/>
              <w:t xml:space="preserve">Next Steps:</w:t>
            </w:r>
          </w:p>
          <w:p>
            <w:pPr/>
            <w:r>
              <w:rPr/>
              <w:t xml:space="preserve">- Integrate MTR recommendations into the 2025 Annual Work Plan (AWP).</w:t>
            </w:r>
          </w:p>
          <w:p>
            <w:pPr/>
            <w:r>
              <w:rPr/>
              <w:t xml:space="preserve">- Resume quarterly and annual M&amp;E reporting, starting Q4 2025.</w:t>
            </w:r>
          </w:p>
          <w:p>
            <w:pPr/>
            <w:r>
              <w:rPr/>
              <w:t xml:space="preserve">- Maintain a repository of evaluative knowledge to inform decision-making, learning, and accountability.</w:t>
            </w:r>
          </w:p>
          <w:p>
            <w:pPr/>
            <w:r>
              <w:rPr/>
              <w:t xml:space="preserve">For the evidence a quarterly report will be developed for quarter 4.</w:t>
            </w:r>
          </w:p>
          <w:p>
            <w:pPr/>
            <w:r>
              <w:rPr/>
              <w:t xml:space="preserve"/>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bl>
    <w:p>
      <w:pPr>
        <w:pStyle w:val="Heading2"/>
      </w:pPr>
      <w:bookmarkStart w:id="4" w:name="_Toc4"/>
      <w:r>
        <w:t>Action plan</w:t>
      </w:r>
      <w:bookmarkEnd w:id="4"/>
    </w:p>
    <w:tbl>
      <w:tblGrid>
        <w:gridCol w:w="3000" w:type="dxa"/>
        <w:gridCol w:w="5000" w:type="dxa"/>
        <w:gridCol w:w="5000" w:type="dxa"/>
        <w:gridCol w:w="3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3000" w:type="dxa"/>
            <w:gridSpan w:val="1"/>
            <w:noWrap/>
          </w:tcPr>
          <w:p>
            <w:pPr/>
            <w:r>
              <w:rPr>
                <w:b w:val="1"/>
                <w:bCs w:val="1"/>
              </w:rPr>
              <w:t xml:space="preserve">Off-track objective/outcome</w:t>
            </w:r>
          </w:p>
        </w:tc>
        <w:tc>
          <w:tcPr>
            <w:tcW w:w="5000" w:type="dxa"/>
            <w:gridSpan w:val="1"/>
            <w:noWrap/>
          </w:tcPr>
          <w:p>
            <w:pPr/>
            <w:r>
              <w:rPr>
                <w:b w:val="1"/>
                <w:bCs w:val="1"/>
              </w:rPr>
              <w:t xml:space="preserve">Action(s) to be taken</w:t>
            </w:r>
          </w:p>
        </w:tc>
        <w:tc>
          <w:tcPr>
            <w:tcW w:w="5000" w:type="dxa"/>
            <w:gridSpan w:val="1"/>
            <w:noWrap/>
          </w:tcPr>
          <w:p>
            <w:pPr/>
            <w:r>
              <w:rPr>
                <w:b w:val="1"/>
                <w:bCs w:val="1"/>
              </w:rPr>
              <w:t xml:space="preserve">Responsible party/ies</w:t>
            </w:r>
          </w:p>
        </w:tc>
        <w:tc>
          <w:tcPr>
            <w:tcW w:w="3000" w:type="dxa"/>
            <w:gridSpan w:val="1"/>
            <w:noWrap/>
          </w:tcPr>
          <w:p>
            <w:pPr/>
            <w:r>
              <w:rPr>
                <w:b w:val="1"/>
                <w:bCs w:val="1"/>
              </w:rPr>
              <w:t xml:space="preserve">Due Date</w:t>
            </w:r>
          </w:p>
        </w:tc>
      </w:tr>
      <w:tr>
        <w:trPr/>
        <w:tc>
          <w:tcPr>
            <w:tcW w:w="3000" w:type="dxa"/>
            <w:gridSpan w:val="1"/>
            <w:noWrap/>
          </w:tcPr>
          <w:p>
            <w:pPr/>
            <w:r>
              <w:rPr/>
              <w:t xml:space="preserve">Objective</w:t>
            </w:r>
          </w:p>
        </w:tc>
        <w:tc>
          <w:tcPr>
            <w:tcW w:w="5000" w:type="dxa"/>
            <w:gridSpan w:val="1"/>
            <w:noWrap/>
          </w:tcPr>
          <w:p>
            <w:pPr/>
            <w:r>
              <w:rPr/>
              <w:t xml:space="preserve">Tax Refund Task Force needs to be created in order to reactivate all planned acctions:</w:t>
            </w:r>
          </w:p>
          <w:p>
            <w:pPr/>
            <w:r>
              <w:rPr/>
              <w:t xml:space="preserve">- Establish government-led task force with representatives from Implementing Partner, UNDP Finance Unit, and Ministry of Finance</w:t>
            </w:r>
          </w:p>
          <w:p>
            <w:pPr/>
            <w:r>
              <w:rPr/>
              <w:t xml:space="preserve">- Conduct regular coordination meetings to monitor resolution progress</w:t>
            </w:r>
          </w:p>
          <w:p>
            <w:pPr/>
            <w:r>
              <w:rPr/>
              <w:t xml:space="preserve">- Clarify and document the legal/technical pathway for reimbursement of the USD 31,500</w:t>
            </w:r>
          </w:p>
          <w:p>
            <w:pPr/>
            <w:r>
              <w:rPr/>
              <w:t xml:space="preserve">- Close the issue in UNDP financial system and document reimbursement confirmation.</w:t>
            </w:r>
          </w:p>
          <w:p>
            <w:pPr/>
            <w:r>
              <w:rPr/>
              <w:t xml:space="preserve">Once the financial issue is resolved:</w:t>
            </w:r>
          </w:p>
          <w:p>
            <w:pPr/>
            <w:r>
              <w:rPr/>
              <w:t xml:space="preserve">- Organize, conduct, and follow up on a participatory strategic retreat with key stakeholders (Moldsilva, ICAS, Ministry of Environment, local authorities, UNDP), and develop a validated "Strategic Reset Note" outlining updated priorities, feasible activities, and revised logic.</w:t>
            </w:r>
          </w:p>
          <w:p>
            <w:pPr/>
            <w:r>
              <w:rPr/>
              <w:t xml:space="preserve">- Identify and continue implementation of low-risk, high-relevance activities (e.g., 2025 pilots) in parallel</w:t>
            </w:r>
          </w:p>
          <w:p>
            <w:pPr/>
            <w:r>
              <w:rPr/>
              <w:t xml:space="preserve">- Accelerate the implementation of all priorities listed under each indicator as explained in this report.</w:t>
            </w:r>
          </w:p>
          <w:p>
            <w:pPr/>
            <w:r>
              <w:rPr/>
              <w:t xml:space="preserve"/>
            </w:r>
          </w:p>
          <w:p>
            <w:pPr/>
            <w:r>
              <w:rPr/>
              <w:t xml:space="preserve"/>
            </w:r>
          </w:p>
        </w:tc>
        <w:tc>
          <w:tcPr>
            <w:tcW w:w="5000" w:type="dxa"/>
            <w:gridSpan w:val="1"/>
            <w:noWrap/>
          </w:tcPr>
          <w:p>
            <w:pPr/>
            <w:r>
              <w:rPr/>
              <w:t xml:space="preserve">Project management Unit and UNDP CO</w:t>
            </w:r>
          </w:p>
        </w:tc>
        <w:tc>
          <w:tcPr>
            <w:tcW w:w="3000" w:type="dxa"/>
            <w:gridSpan w:val="1"/>
            <w:noWrap/>
          </w:tcPr>
          <w:p>
            <w:pPr/>
            <w:r>
              <w:rPr/>
              <w:t xml:space="preserve">Dec 31, 2025</w:t>
            </w:r>
          </w:p>
        </w:tc>
      </w:tr>
      <w:tr>
        <w:trPr/>
        <w:tc>
          <w:tcPr>
            <w:tcW w:w="3000" w:type="dxa"/>
            <w:gridSpan w:val="1"/>
            <w:noWrap/>
          </w:tcPr>
          <w:p>
            <w:pPr/>
            <w:r>
              <w:rPr/>
              <w:t xml:space="preserve">Outcome 2</w:t>
            </w:r>
          </w:p>
        </w:tc>
        <w:tc>
          <w:tcPr>
            <w:tcW w:w="5000" w:type="dxa"/>
            <w:gridSpan w:val="1"/>
            <w:noWrap/>
          </w:tcPr>
          <w:p>
            <w:pPr/>
            <w:r>
              <w:rPr/>
              <w:t xml:space="preserve">The IP should contract out the execution of this outcome to an external partner that is qualified and experienced in protected area management and would be able to facilitate and moderate transboundary discussions. The procurement should be preceded by a moderator-facilitated METT assessment of the two PAs. The PMU should recruit a moderator for this purpose.</w:t>
            </w:r>
          </w:p>
          <w:p>
            <w:pPr/>
            <w:r>
              <w:rPr/>
              <w:t xml:space="preserve">- Contract experienced external partner for Outcome</w:t>
            </w:r>
          </w:p>
          <w:p>
            <w:pPr/>
            <w:r>
              <w:rPr/>
              <w:t xml:space="preserve">- PA management and transboundary cooperation</w:t>
            </w:r>
          </w:p>
          <w:p>
            <w:pPr/>
            <w:r>
              <w:rPr/>
              <w:t xml:space="preserve">- Recruit moderator to facilitate METT assessment of two protected areas</w:t>
            </w:r>
          </w:p>
        </w:tc>
        <w:tc>
          <w:tcPr>
            <w:tcW w:w="5000" w:type="dxa"/>
            <w:gridSpan w:val="1"/>
            <w:noWrap/>
          </w:tcPr>
          <w:p>
            <w:pPr/>
            <w:r>
              <w:rPr/>
              <w:t xml:space="preserve">Project management Unit and UNDP CO</w:t>
            </w:r>
          </w:p>
        </w:tc>
        <w:tc>
          <w:tcPr>
            <w:tcW w:w="3000" w:type="dxa"/>
            <w:gridSpan w:val="1"/>
            <w:noWrap/>
          </w:tcPr>
          <w:p>
            <w:pPr/>
            <w:r>
              <w:rPr/>
              <w:t xml:space="preserve">Oct 31, 2025</w:t>
            </w:r>
          </w:p>
        </w:tc>
      </w:tr>
      <w:tr>
        <w:trPr/>
        <w:tc>
          <w:tcPr>
            <w:tcW w:w="3000" w:type="dxa"/>
            <w:gridSpan w:val="1"/>
            <w:noWrap/>
          </w:tcPr>
          <w:p>
            <w:pPr/>
            <w:r>
              <w:rPr/>
              <w:t xml:space="preserve">Outcome 3</w:t>
            </w:r>
          </w:p>
        </w:tc>
        <w:tc>
          <w:tcPr>
            <w:tcW w:w="5000" w:type="dxa"/>
            <w:gridSpan w:val="1"/>
            <w:noWrap/>
          </w:tcPr>
          <w:p>
            <w:pPr/>
            <w:r>
              <w:rPr/>
              <w:t xml:space="preserve">The IP should contract ICAS to design and establish an afforestation demonstration plot.</w:t>
            </w:r>
          </w:p>
          <w:p>
            <w:pPr/>
            <w:r>
              <w:rPr/>
              <w:t xml:space="preserve">Contract external execution partner for feasibility study, ESIA, and community consultations under Outcome 2.2</w:t>
            </w:r>
          </w:p>
        </w:tc>
        <w:tc>
          <w:tcPr>
            <w:tcW w:w="5000" w:type="dxa"/>
            <w:gridSpan w:val="1"/>
            <w:noWrap/>
          </w:tcPr>
          <w:p>
            <w:pPr/>
            <w:r>
              <w:rPr/>
              <w:t xml:space="preserve">Project management Unit and UNDP CO</w:t>
            </w:r>
          </w:p>
        </w:tc>
        <w:tc>
          <w:tcPr>
            <w:tcW w:w="3000" w:type="dxa"/>
            <w:gridSpan w:val="1"/>
            <w:noWrap/>
          </w:tcPr>
          <w:p>
            <w:pPr/>
            <w:r>
              <w:rPr>
                <w:i w:val="1"/>
                <w:iCs w:val="1"/>
              </w:rPr>
              <w:t xml:space="preserve">(not set or not applicable)</w:t>
            </w:r>
          </w:p>
        </w:tc>
      </w:tr>
      <w:tr>
        <w:trPr/>
        <w:tc>
          <w:tcPr>
            <w:tcW w:w="3000" w:type="dxa"/>
            <w:gridSpan w:val="1"/>
            <w:noWrap/>
          </w:tcPr>
          <w:p>
            <w:pPr/>
            <w:r>
              <w:rPr/>
              <w:t xml:space="preserve">Outcome 4</w:t>
            </w:r>
          </w:p>
        </w:tc>
        <w:tc>
          <w:tcPr>
            <w:tcW w:w="5000" w:type="dxa"/>
            <w:gridSpan w:val="1"/>
            <w:noWrap/>
          </w:tcPr>
          <w:p>
            <w:pPr/>
            <w:r>
              <w:rPr/>
              <w:t xml:space="preserve">The IP should contract out the execution of this outcome to an external partner that is qualified and experienced in delivering livelihood improvement initiatives in Moldova. The terms of reference for this procurement should reflect what is agreed in the project strategy reset and current circumstances in the Lower Prut.</w:t>
            </w:r>
          </w:p>
        </w:tc>
        <w:tc>
          <w:tcPr>
            <w:tcW w:w="5000" w:type="dxa"/>
            <w:gridSpan w:val="1"/>
            <w:noWrap/>
          </w:tcPr>
          <w:p>
            <w:pPr/>
            <w:r>
              <w:rPr/>
              <w:t xml:space="preserve">Project management Unit and UNDP CO</w:t>
            </w:r>
          </w:p>
        </w:tc>
        <w:tc>
          <w:tcPr>
            <w:tcW w:w="3000" w:type="dxa"/>
            <w:gridSpan w:val="1"/>
            <w:noWrap/>
          </w:tcPr>
          <w:p>
            <w:pPr/>
            <w:r>
              <w:rPr>
                <w:i w:val="1"/>
                <w:iCs w:val="1"/>
              </w:rPr>
              <w:t xml:space="preserve">(not set or not applicable)</w:t>
            </w:r>
          </w:p>
        </w:tc>
      </w:tr>
      <w:tr>
        <w:trPr/>
        <w:tc>
          <w:tcPr>
            <w:tcW w:w="3000" w:type="dxa"/>
            <w:gridSpan w:val="1"/>
            <w:noWrap/>
          </w:tcPr>
          <w:p>
            <w:pPr/>
            <w:r>
              <w:rPr/>
              <w:t xml:space="preserve">Outcome 5</w:t>
            </w:r>
          </w:p>
        </w:tc>
        <w:tc>
          <w:tcPr>
            <w:tcW w:w="5000" w:type="dxa"/>
            <w:gridSpan w:val="1"/>
            <w:noWrap/>
          </w:tcPr>
          <w:p>
            <w:pPr/>
            <w:r>
              <w:rPr/>
              <w:t xml:space="preserve">The MTR recommends that a consolidated design package be advanced through a streamlined procurement process, allocating sufficient funds to contract both technical expertise (e.g., hydrology, engineering, safeguards) and community engagement capacity. By bundling these deliverables under a single, well-defined TOR and managing the process closely, the project can ensure timely delivery, coordination across sub-tasks, and quality assurance.</w:t>
            </w:r>
          </w:p>
          <w:p>
            <w:pPr/>
            <w:r>
              <w:rPr/>
              <w:t xml:space="preserve">- Prepare an integrated Terms of Reference for Camenca feasibility, ESIA, safeguards, and community consultations</w:t>
            </w:r>
          </w:p>
          <w:p>
            <w:pPr/>
            <w:r>
              <w:rPr/>
              <w:t xml:space="preserve">-Launch a streamlined procurement process and contract a qualified team to provide technical and stakeholder engagement services, including expertise in hydrology, engineering, ESIA/safeguards, and participatory processes.</w:t>
            </w:r>
          </w:p>
          <w:p>
            <w:pPr/>
            <w:r>
              <w:rPr/>
              <w:t xml:space="preserve">- Ensure proper implementation and documentation of community consultations, monitor the quality and coordination of deliverables, provide regular progress updates to the PSC, and finalize and validate the full feasibility and safeguards package.</w:t>
            </w:r>
          </w:p>
        </w:tc>
        <w:tc>
          <w:tcPr>
            <w:tcW w:w="5000" w:type="dxa"/>
            <w:gridSpan w:val="1"/>
            <w:noWrap/>
          </w:tcPr>
          <w:p>
            <w:pPr/>
            <w:r>
              <w:rPr/>
              <w:t xml:space="preserve">Project management Unit and UNDP CO</w:t>
            </w:r>
          </w:p>
        </w:tc>
        <w:tc>
          <w:tcPr>
            <w:tcW w:w="3000" w:type="dxa"/>
            <w:gridSpan w:val="1"/>
            <w:noWrap/>
          </w:tcPr>
          <w:p>
            <w:pPr/>
            <w:r>
              <w:rPr/>
              <w:t xml:space="preserve">Dec 31, 2025</w:t>
            </w:r>
          </w:p>
        </w:tc>
      </w:tr>
    </w:tbl>
    <w:p>
      <w:pPr>
        <w:sectPr>
          <w:pgSz w:orient="landscape" w:w="16837.79527559055" w:h="11905.511811023622"/>
          <w:pgMar w:top="500" w:right="500" w:bottom="500" w:left="500" w:header="720" w:footer="720" w:gutter="0"/>
          <w:cols w:num="1" w:space="720"/>
        </w:sectPr>
      </w:pPr>
    </w:p>
    <w:p>
      <w:pPr>
        <w:pStyle w:val="Heading1"/>
      </w:pPr>
      <w:bookmarkStart w:id="5" w:name="_Toc5"/>
      <w:r>
        <w:t>Finance/Co-Finance</w:t>
      </w:r>
      <w:bookmarkEnd w:id="5"/>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Cumulative GL delivery against total approved amount (in prodoc):</w:t>
            </w:r>
          </w:p>
        </w:tc>
        <w:tc>
          <w:tcPr>
            <w:tcW w:w="5000" w:type="dxa"/>
            <w:vAlign w:val="center"/>
            <w:gridSpan w:val="1"/>
            <w:noWrap/>
          </w:tcPr>
          <w:p>
            <w:pPr>
              <w:jc w:val="right"/>
            </w:pPr>
            <w:r>
              <w:rPr/>
              <w:t xml:space="preserve">8.09%</w:t>
            </w:r>
          </w:p>
        </w:tc>
      </w:tr>
      <w:tr>
        <w:trPr/>
        <w:tc>
          <w:tcPr>
            <w:tcW w:w="5000" w:type="dxa"/>
            <w:gridSpan w:val="1"/>
            <w:noWrap/>
          </w:tcPr>
          <w:p>
            <w:pPr/>
            <w:r>
              <w:rPr/>
              <w:t xml:space="preserve">Cumulative GL delivery against expected delivery as of this year:</w:t>
            </w:r>
          </w:p>
        </w:tc>
        <w:tc>
          <w:tcPr>
            <w:tcW w:w="5000" w:type="dxa"/>
            <w:vAlign w:val="center"/>
            <w:gridSpan w:val="1"/>
            <w:noWrap/>
          </w:tcPr>
          <w:p>
            <w:pPr>
              <w:jc w:val="right"/>
            </w:pPr>
            <w:r>
              <w:rPr/>
              <w:t xml:space="preserve">8.84%</w:t>
            </w:r>
          </w:p>
        </w:tc>
      </w:tr>
      <w:tr>
        <w:trPr/>
        <w:tc>
          <w:tcPr>
            <w:tcW w:w="5000" w:type="dxa"/>
            <w:vAlign w:val="center"/>
            <w:noWrap/>
          </w:tcPr>
          <w:p>
            <w:pPr/>
            <w:r>
              <w:rPr/>
              <w:t xml:space="preserve">Cumulative disbursement as of Jun 30, 2025:</w:t>
            </w:r>
          </w:p>
          <w:p>
            <w:pPr/>
            <w:r>
              <w:rPr>
                <w:i w:val="1"/>
                <w:iCs w:val="1"/>
              </w:rPr>
              <w:t xml:space="preserve">
*Disbursement for the FY 2025 period is an estimate as books for UNDP Q2 2025 are not yet closed.</w:t>
            </w:r>
          </w:p>
        </w:tc>
        <w:tc>
          <w:tcPr>
            <w:tcW w:w="5000" w:type="dxa"/>
            <w:vAlign w:val="center"/>
            <w:gridSpan w:val="1"/>
            <w:noWrap/>
          </w:tcPr>
          <w:p>
            <w:pPr>
              <w:jc w:val="right"/>
            </w:pPr>
            <w:r>
              <w:rPr/>
              <w:t xml:space="preserve">69,875</w:t>
            </w:r>
          </w:p>
        </w:tc>
      </w:tr>
    </w:tbl>
    <w:p>
      <w:pPr>
        <w:pStyle w:val="Heading2"/>
      </w:pPr>
      <w:bookmarkStart w:id="6" w:name="_Toc6"/>
      <w:r>
        <w:t>Key Financing Amounts</w:t>
      </w:r>
      <w:bookmarkEnd w:id="6"/>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PPG Amount</w:t>
            </w:r>
          </w:p>
        </w:tc>
        <w:tc>
          <w:tcPr>
            <w:tcW w:w="5000" w:type="dxa"/>
            <w:vAlign w:val="center"/>
            <w:gridSpan w:val="1"/>
            <w:noWrap/>
          </w:tcPr>
          <w:p>
            <w:pPr>
              <w:jc w:val="right"/>
            </w:pPr>
            <w:r>
              <w:rPr/>
              <w:t xml:space="preserve">50,000</w:t>
            </w:r>
          </w:p>
        </w:tc>
      </w:tr>
      <w:tr>
        <w:trPr/>
        <w:tc>
          <w:tcPr>
            <w:tcW w:w="5000" w:type="dxa"/>
            <w:gridSpan w:val="1"/>
            <w:noWrap/>
          </w:tcPr>
          <w:p>
            <w:pPr/>
            <w:r>
              <w:rPr/>
              <w:t xml:space="preserve">GEF Grant Amount</w:t>
            </w:r>
          </w:p>
        </w:tc>
        <w:tc>
          <w:tcPr>
            <w:tcW w:w="5000" w:type="dxa"/>
            <w:vAlign w:val="center"/>
            <w:gridSpan w:val="1"/>
            <w:noWrap/>
          </w:tcPr>
          <w:p>
            <w:pPr>
              <w:jc w:val="right"/>
            </w:pPr>
            <w:r>
              <w:rPr/>
              <w:t xml:space="preserve">863,242</w:t>
            </w:r>
          </w:p>
        </w:tc>
      </w:tr>
      <w:tr>
        <w:trPr/>
        <w:tc>
          <w:tcPr>
            <w:tcW w:w="5000" w:type="dxa"/>
            <w:gridSpan w:val="1"/>
            <w:noWrap/>
          </w:tcPr>
          <w:p>
            <w:pPr/>
            <w:r>
              <w:rPr/>
              <w:t xml:space="preserve">Co-financing</w:t>
            </w:r>
          </w:p>
        </w:tc>
        <w:tc>
          <w:tcPr>
            <w:tcW w:w="5000" w:type="dxa"/>
            <w:vAlign w:val="center"/>
            <w:gridSpan w:val="1"/>
            <w:noWrap/>
          </w:tcPr>
          <w:p>
            <w:pPr>
              <w:jc w:val="right"/>
            </w:pPr>
            <w:r>
              <w:rPr/>
              <w:t xml:space="preserve">20,721,728</w:t>
            </w:r>
          </w:p>
        </w:tc>
      </w:tr>
    </w:tbl>
    <w:p>
      <w:pPr>
        <w:sectPr>
          <w:pgSz w:orient="portrait" w:w="11905.511811023622" w:h="16837.79527559055"/>
          <w:pgMar w:top="1440" w:right="1440" w:bottom="1440" w:left="1440" w:header="720" w:footer="720" w:gutter="0"/>
          <w:cols w:num="1" w:space="720"/>
        </w:sectPr>
      </w:pPr>
    </w:p>
    <w:p>
      <w:pPr>
        <w:pStyle w:val="Heading1"/>
      </w:pPr>
      <w:bookmarkStart w:id="7" w:name="_Toc7"/>
      <w:r>
        <w:t>Implementation Progress</w:t>
      </w:r>
      <w:bookmarkEnd w:id="7"/>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Project Manager: Please provide comments on delays with outputs/activities during the period 1 July 2024 through 30 June 2025.  If there were no delays, please indicate 'not applicable'.</w:t>
            </w:r>
          </w:p>
        </w:tc>
      </w:tr>
      <w:tr>
        <w:trPr/>
        <w:tc>
          <w:tcPr>
            <w:tcW w:w="10000" w:type="dxa"/>
            <w:gridSpan w:val="1"/>
            <w:noWrap/>
          </w:tcPr>
          <w:p>
            <w:pPr/>
            <w:r>
              <w:rPr/>
              <w:t xml:space="preserve">During the reporting period from 1 July 2024 to 30 June 2025, several outputs and activities were delayed due to structural and strategic issues that were confirmed during the Mid-Term Review (MTR). The early design assumptions were no longer valid and critical implementation gaps, combined with institutional capacity constraints, had slowed delivery across key outcomes. While the Project Steering Committee (PSC) in March 2025 endorsed adjustments such as aligning with the National Forest Extension and Rehabilitation Program (NFERP), advancing the Camenca River restoration feasibility study, and engaging with the BIOFIN platform, these measures have not yet resulted in timely field-level progress. Delays were further compounded by the need to address outdated or unviable outputs in the workplan, the limited capacity of the Implementation Office (ONIPM) to execute complex interventions without external partners, and prolonged procurement and preparatory processes for key activities such as the Camenca feasibility study, afforestation works, and METT assessments. Collectively, these factors have deferred the start of several high-priority interventions and slowed momentum toward achieving the project’s long-term conservation objectives. The MTR calls for an urgent strategic and operational recalibration to restore feasibility and concentrate efforts on technically viable, politically aligned, and locally relevant actions. The project manager has developed and work plan taking into account all mid-term evaluation recommendations with the aim to expedite the implementation of the project and potentially solved all the issues raised by the evaluator.</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CO Programme Officer: Please include specific measures to manage the project's implementation performance</w:t>
            </w:r>
          </w:p>
          <w:p>
            <w:pPr/>
            <w:r>
              <w:rPr>
                <w:b w:val="1"/>
                <w:bCs w:val="1"/>
              </w:rPr>
              <w:t xml:space="preserve"/>
            </w:r>
          </w:p>
          <w:p>
            <w:pPr/>
            <w:r>
              <w:rPr>
                <w:b w:val="1"/>
                <w:bCs w:val="1"/>
              </w:rPr>
              <w:t xml:space="preserve"/>
            </w:r>
          </w:p>
        </w:tc>
      </w:tr>
      <w:tr>
        <w:trPr/>
        <w:tc>
          <w:tcPr>
            <w:tcW w:w="10000" w:type="dxa"/>
            <w:gridSpan w:val="1"/>
            <w:noWrap/>
          </w:tcPr>
          <w:p>
            <w:pPr/>
            <w:r>
              <w:rPr/>
              <w:t xml:space="preserve">As of the reporting date, the project has a delivery rate of 8.4% against the total approved budget of USD 913,242. The total recorded expenditures amount to USD 76,683, including UNDP TRAC resources.</w:t>
            </w:r>
          </w:p>
          <w:p>
            <w:pPr/>
            <w:r>
              <w:rPr/>
              <w:t xml:space="preserve">The project team, operating under the National Office for Implementation of Environmental Projects (NOIEP), has managed two advances from UNDP totaling USD 108,236.75. However, the most recent advance—amounting to USD 96,830.27 and reported in mid-July 2024—could not be liquidated due to a misinterpretation of the taxation legal framework. This resulted in the erroneous withholding of approximately USD 31,500, which UNDP has classified as ineligible expenses, significantly hindering further project progress. As this withheld amount exceeds 20% of the allowable unliquidated balance, it triggered automatic restrictions on the processing of any new advances required for ongoing project activities.</w:t>
            </w:r>
          </w:p>
          <w:p>
            <w:pPr/>
            <w:r>
              <w:rPr/>
              <w:t xml:space="preserve">The issue of implementation delays, particularly those arising from the tax misinterpretation, was repeatedly brought to the attention of the Ministry of Environment, including through a formal letter dated 15 October 2024, with follow-up communications continuing until the end of 2024. As a result, the project experienced stagnation across most of its outcomes during the reporting period.</w:t>
            </w:r>
          </w:p>
          <w:p>
            <w:pPr/>
            <w:r>
              <w:rPr/>
              <w:t xml:space="preserve">To facilitate a resolution, UNDP engaged closely with the Ministry of Environment to clarify the timeline for tax recovery, which—according to the latest communication—has been set for September 2025. In parallel, the issue was escalated to UNDP RBEC Senior Management to explore a more immediate solution including the possibility of waving the 20% unliquidated threshold restriction to unlock new advances and resume project implementation. The waiver has been granted on August 5th, 2025.</w:t>
            </w:r>
          </w:p>
          <w:p>
            <w:pPr/>
            <w:r>
              <w:rPr/>
              <w:t xml:space="preserve">At this stage, UNDP has proceeded with the payment of the invoice for processing of the next advance.</w:t>
            </w:r>
          </w:p>
          <w:p>
            <w:pPr/>
            <w:r>
              <w:rPr/>
              <w:t xml:space="preserve">In parallel, an independent MTR was commissioned by UNDP to assess the overall performance of the project since its start in August 2023 and the strategy going forward. The overall rating of the MTR is unsatisfactory, with activities under most of the outcomes not initiated, with few important recommendations to be taken into consideration during the remaining period of the project. In summary the following are the most critical:</w:t>
            </w:r>
          </w:p>
          <w:p>
            <w:pPr/>
            <w:r>
              <w:rPr/>
              <w:t xml:space="preserve">(1)	Initiating a participatory, phased reset of the project’s strategy—guided by a neutral facilitator, while allowing low-risk, high-relevance activities to continue in parallel to maintain momentum and credibility.</w:t>
            </w:r>
          </w:p>
          <w:p>
            <w:pPr/>
            <w:r>
              <w:rPr/>
              <w:t xml:space="preserve">(2)	outsourcing the implementation of specific project outcomes to qualified external partners to enhance execution efficiency.</w:t>
            </w:r>
          </w:p>
          <w:p>
            <w:pPr/>
            <w:r>
              <w:rPr/>
              <w:t xml:space="preserve">(3)	reallocating afforestation funds to establish a single, high-visibility demonstration plot.</w:t>
            </w:r>
          </w:p>
          <w:p>
            <w:pPr/>
            <w:r>
              <w:rPr/>
              <w:t xml:space="preserve">(4)	fast-tracking the Camenca River restoration by bundling the feasibility study, safeguards assessments, and community consultations into a single, well-defined TOR and streamlined procurement package</w:t>
            </w:r>
          </w:p>
          <w:p>
            <w:pPr/>
            <w:r>
              <w:rPr/>
              <w:t xml:space="preserve">(5)	stakeholder-driven METT assessments for the Lower Prut and Royal Forest Reserves as a critical foundation for reorienting Outcome 2.1, with facilitation by an experienced partner and inclusion in the updated 2025 workplan.</w:t>
            </w:r>
          </w:p>
          <w:p>
            <w:pPr/>
            <w:r>
              <w:rPr/>
              <w:t xml:space="preserve">(6)	operationalization of safeguards protocols and targeted SES training for the PMU to address compliance and sustainability risks.</w:t>
            </w:r>
          </w:p>
          <w:p>
            <w:pPr/>
            <w:r>
              <w:rPr/>
              <w:t xml:space="preserve">(7)	coordinate with National Biodiversity Financing Platforms.</w:t>
            </w:r>
          </w:p>
          <w:p>
            <w:pPr/>
            <w:r>
              <w:rPr/>
              <w:t xml:space="preserve">(8)	establish a tax refund task force under the leadership of the Ministry of Environment Q4, 2025.</w:t>
            </w:r>
          </w:p>
          <w:p>
            <w:pPr/>
            <w:r>
              <w:rPr/>
              <w:t xml:space="preserve">In line with these recommendations, UNDP CO, in its oversight role, will support NOIEP in facilitating the operationalization of the adaptive measures outlined in the previous section, by providing guidance, quality assurance, and coordination support as needed, during the development of the next Annual Work Plan. It will also facilitate targeted training on the Social and Environmental Standards (SES) to ensure compliance and build institutional capacity. In addition, UNDP can engage with and coordinate efforts alongside the National Biodiversity Financing Platforms to ensure alignment with national financing strategies and leverage synergies where possible. In the meantime, UNDP has supported the implementation of key corrective actions to prepare for the disbursement of the next advance.  These include the revision of the project’s Work Plan approved in March 2025 and the implementation of which could not be initiated due to the pending resolution on next advance restrictions. In this sense, the budget has been decreased from 428,467 USD to 313,455 USD and has been approved by the project board on 24 July 2025. The FACE form for the next advance has been submitted to UNDP CO and is currently being cleared internally.</w:t>
            </w:r>
          </w:p>
          <w:p>
            <w:pPr/>
            <w:r>
              <w:rPr/>
              <w:t xml:space="preserve">Relevant risk mitigation strategies are being developed and will be discussed with the NOIEP for institutionalization, among which development of the procurement plan building on UNDP’s experience, commencing of more often spot checks and programmatic visits and additional capacity building sessions to strengthen the project team project management capacities.</w:t>
            </w:r>
          </w:p>
          <w:p>
            <w:pPr/>
            <w:r>
              <w:rPr/>
              <w:t xml:space="preserve">One of the recommendations would be to also complement the project team with a procurement specialist to strengthen the team’s capacity to manage procurement processes, reduce risks of non-compliance, and improve the efficiency of project delivery.</w:t>
            </w:r>
          </w:p>
          <w:p>
            <w:pPr/>
            <w:r>
              <w:rPr/>
              <w:t xml:space="preserve">This measure, along with the other risk mitigation strategies under discussion, aims to ensure a more robust implementation framework and restore momentum across project activities once the next advance is disbursed.</w:t>
            </w:r>
          </w:p>
          <w:p>
            <w:pPr/>
            <w:r>
              <w:rPr/>
              <w:t xml:space="preserve">UNDP remains fully committed to supporting the implementation of these recommendations in close coordination with national partners and stakeholders. The success of this effort will depend however on a collaborative and open approach from the Project Management Team and the Ministry of Environment, as well as on continued efforts to strengthen project implementation capacities of the PMU in terms of M&amp;E, safeguards, procurement, etc. as outlined in the MTR.</w:t>
            </w:r>
          </w:p>
          <w:p>
            <w:pPr/>
            <w:r>
              <w:rPr/>
              <w:t xml:space="preserve">Through these corrective measures, the project is expected to regain momentum, restore stakeholder confidence, and get back on track to achieve its intended outcomes.</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include specific measures to manage the project's implementation performance.</w:t>
            </w:r>
          </w:p>
        </w:tc>
      </w:tr>
      <w:tr>
        <w:trPr/>
        <w:tc>
          <w:tcPr>
            <w:tcW w:w="10000" w:type="dxa"/>
            <w:gridSpan w:val="1"/>
            <w:noWrap/>
          </w:tcPr>
          <w:p>
            <w:pPr/>
            <w:r>
              <w:rPr/>
              <w:t xml:space="preserve">Despite experiencing significant delays due issues on administrative procedures, the project has made notable progress following the Midterm Evaluation initiated in February 2025.</w:t>
            </w:r>
          </w:p>
          <w:p>
            <w:pPr/>
            <w:r>
              <w:rPr/>
              <w:t xml:space="preserve">Since the current Regional Technical Advisor (RTA) assumed responsibility in September 2024, regular consultations have been held with the UNDP Country Office (CO), the Project Management Unit, and the Regional Bureau. These engagements have focused particularly on resolving the tax return issue and have provided valuable opportunities to assess project performance, exchange ideas, and refine implementation strategies.</w:t>
            </w:r>
          </w:p>
          <w:p>
            <w:pPr/>
            <w:r>
              <w:rPr/>
              <w:t xml:space="preserve">The project team continues to benefit from close collaboration with the UNDP CO portfolio and is expected to receive strong support from the Steering Committee to implement all planned management responses for the current year.</w:t>
            </w:r>
          </w:p>
          <w:p>
            <w:pPr/>
            <w:r>
              <w:rPr/>
              <w:t xml:space="preserve">A robust implementation plan has been developed to ensure timely delivery of activities within the remaining project timeframe. All management responses have been accepted, with only one partially accepted due to ongoing adjustments. The project team remains optimistic about achieving the intended targets by the end of the implementation period.</w:t>
            </w:r>
          </w:p>
          <w:p>
            <w:pPr/>
            <w:r>
              <w:rPr/>
              <w:t xml:space="preserve">Importantly, the operational focal point from the GEF has actively supported the development of an acceleration plan, in coordination with senior management at the CO. This plan outlines clear pathways to bring off-track indicators back on course. Many of the challenges were linked to funding delays, which have now been resolved during the drafting of this report. With funding issues addressed, the project is now well-positioned to begin implementing the activities outlined in both the management responses and the recently approved work plan by the Steering Committee.</w:t>
            </w:r>
          </w:p>
          <w:p>
            <w:pPr/>
            <w:r>
              <w:rPr/>
              <w:t xml:space="preserve"/>
            </w:r>
          </w:p>
        </w:tc>
      </w:tr>
    </w:tbl>
    <w:p>
      <w:pPr>
        <w:sectPr>
          <w:pgSz w:orient="portrait" w:w="11905.511811023622" w:h="16837.79527559055"/>
          <w:pgMar w:top="1440" w:right="1440" w:bottom="1440" w:left="1440" w:header="720" w:footer="720" w:gutter="0"/>
          <w:cols w:num="1" w:space="720"/>
        </w:sectPr>
      </w:pPr>
    </w:p>
    <w:p>
      <w:pPr>
        <w:pStyle w:val="Heading1"/>
      </w:pPr>
      <w:bookmarkStart w:id="8" w:name="_Toc8"/>
      <w:r>
        <w:t>Project Governance</w:t>
      </w:r>
      <w:bookmarkEnd w:id="8"/>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enter the dates of Project Board meetings during the reporting period (1 July 2024 to 30 June 2025)</w:t>
            </w:r>
          </w:p>
        </w:tc>
      </w:tr>
      <w:tr>
        <w:trPr/>
        <w:tc>
          <w:tcPr>
            <w:tcW w:w="10000" w:type="dxa"/>
            <w:gridSpan w:val="1"/>
            <w:noWrap/>
          </w:tcPr>
          <w:p>
            <w:pPr/>
            <w:r>
              <w:rPr/>
              <w:t xml:space="preserve">2025-03-11</w:t>
            </w:r>
          </w:p>
        </w:tc>
      </w:tr>
    </w:tbl>
    <w:p>
      <w:pPr>
        <w:sectPr>
          <w:pgSz w:orient="portrait" w:w="11905.511811023622" w:h="16837.79527559055"/>
          <w:pgMar w:top="1440" w:right="1440" w:bottom="1440" w:left="1440" w:header="720" w:footer="720" w:gutter="0"/>
          <w:cols w:num="1" w:space="720"/>
        </w:sectPr>
      </w:pPr>
    </w:p>
    <w:p>
      <w:pPr>
        <w:pStyle w:val="Heading1"/>
      </w:pPr>
      <w:bookmarkStart w:id="9" w:name="_Toc9"/>
      <w:r>
        <w:t>Ratings and Overall Assessments</w:t>
      </w:r>
      <w:bookmarkEnd w:id="9"/>
    </w:p>
    <w:tbl>
      <w:tblGrid>
        <w:gridCol w:w="5000" w:type="dxa"/>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5000" w:type="dxa"/>
            <w:gridSpan w:val="1"/>
            <w:noWrap/>
          </w:tcPr>
          <w:p>
            <w:pPr/>
            <w:r>
              <w:rPr>
                <w:b w:val="1"/>
                <w:bCs w:val="1"/>
              </w:rPr>
              <w:t xml:space="preserve">2025 Development Objective Progress Rating</w:t>
            </w:r>
          </w:p>
        </w:tc>
        <w:tc>
          <w:tcPr>
            <w:tcW w:w="5000" w:type="dxa"/>
            <w:gridSpan w:val="1"/>
            <w:noWrap/>
          </w:tcPr>
          <w:p>
            <w:pPr/>
            <w:r>
              <w:rPr>
                <w:b w:val="1"/>
                <w:bCs w:val="1"/>
              </w:rPr>
              <w:t xml:space="preserve">2025 Implementation Progress Rating</w:t>
            </w:r>
          </w:p>
        </w:tc>
      </w:tr>
      <w:tr>
        <w:trPr/>
        <w:tc>
          <w:tcPr>
            <w:tcW w:w="5000" w:type="dxa"/>
            <w:gridSpan w:val="1"/>
            <w:noWrap/>
          </w:tcPr>
          <w:p>
            <w:pPr/>
            <w:r>
              <w:rPr>
                <w:b w:val="1"/>
                <w:bCs w:val="1"/>
              </w:rPr>
              <w:t xml:space="preserve">UNDP BPPS Technical Advisor</w:t>
            </w:r>
          </w:p>
        </w:tc>
        <w:tc>
          <w:tcPr>
            <w:tcW w:w="5000" w:type="dxa"/>
            <w:gridSpan w:val="1"/>
            <w:noWrap/>
          </w:tcPr>
          <w:p>
            <w:pPr/>
            <w:r>
              <w:rPr/>
              <w:t xml:space="preserve">Moderately Unsatisfactory</w:t>
            </w:r>
          </w:p>
        </w:tc>
        <w:tc>
          <w:tcPr>
            <w:tcW w:w="5000" w:type="dxa"/>
            <w:gridSpan w:val="1"/>
            <w:noWrap/>
          </w:tcPr>
          <w:p>
            <w:pPr/>
            <w:r>
              <w:rPr/>
              <w:t xml:space="preserve">Moderately Unsatisfactory</w:t>
            </w:r>
          </w:p>
        </w:tc>
      </w:tr>
    </w:tbl>
    <w:p>
      <w:pPr/>
      <w:r>
        <w:rPr/>
        <w:t xml:space="preserve"/>
      </w:r>
    </w:p>
    <w:tbl>
      <w:tblGrid>
        <w:gridCol w:w="5000" w:type="dxa"/>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10000" w:type="dxa"/>
            <w:gridSpan w:val="1"/>
            <w:noWrap/>
          </w:tcPr>
          <w:p>
            <w:pPr/>
            <w:r>
              <w:rPr>
                <w:b w:val="1"/>
                <w:bCs w:val="1"/>
              </w:rPr>
              <w:t xml:space="preserve">2025 Overall Assessment</w:t>
            </w:r>
          </w:p>
        </w:tc>
      </w:tr>
      <w:tr>
        <w:trPr/>
        <w:tc>
          <w:tcPr>
            <w:tcW w:w="5000" w:type="dxa"/>
            <w:gridSpan w:val="1"/>
            <w:noWrap/>
          </w:tcPr>
          <w:p>
            <w:pPr/>
            <w:r>
              <w:rPr>
                <w:b w:val="1"/>
                <w:bCs w:val="1"/>
              </w:rPr>
              <w:t xml:space="preserve">UNDP BPPS Technical Advisor</w:t>
            </w:r>
          </w:p>
        </w:tc>
        <w:tc>
          <w:tcPr>
            <w:tcW w:w="10000" w:type="dxa"/>
            <w:gridSpan w:val="1"/>
            <w:noWrap/>
          </w:tcPr>
          <w:p>
            <w:pPr/>
            <w:r>
              <w:rPr/>
              <w:t xml:space="preserve">This is the second PIR for the four-year MSP project of the “Conservation and Sustainable Management of Wetlands with a Focus on High-Nature Value Areas in the Prut River Basin in Moldova, covering the period since project document signature in August 2022. The objective of the project is to achieve ecological integrity of key floodplain wetlands in the Prut River basin, ensuring positive status of biodiversity, land and water resources, as well as ecosystem services. This will be achieved through provisions for the minimum environmental flow and hydrological repair of declining wetlands and strengthening the PAs management hosting valuable wetlands habitats and key species.</w:t>
            </w:r>
          </w:p>
          <w:p>
            <w:pPr/>
            <w:r>
              <w:rPr/>
              <w:t xml:space="preserve"/>
            </w:r>
          </w:p>
          <w:p>
            <w:pPr/>
            <w:r>
              <w:rPr/>
              <w:t xml:space="preserve">Cumulative progress toward the project’s overall objective and outcome-level indicators is rated as Moderately Unsatisfactory. Although limited achievements were recorded during this reporting period due to the issues with the taxation as has been described in all sections of the PIR, the project has developed a solid implementation work plan that has been described under each of the project indicators, worth mentioning as well that the management responses to address the recommendations of the midterm evaluation to meet its indicator targets by the end of the implementation period have been adequately designed with realistic timelines. This planning is supported by evidence provided in the PIR, including documentation and reporting from the project team. No new high-level risks have emerged during the reporting period. Notably, the project has made meaningful progress toward its development objectives and outcomes, as demonstrated in all the planification instruments.</w:t>
            </w:r>
          </w:p>
          <w:p>
            <w:pPr/>
            <w:r>
              <w:rPr/>
              <w:t xml:space="preserve"/>
            </w:r>
          </w:p>
          <w:p>
            <w:pPr/>
            <w:r>
              <w:rPr/>
              <w:t xml:space="preserve">Despite these delays, the project has made some progress toward its objective of enhancing the ecological integrity of key floodplain wetlands, with a solid implementation strategy in place to deliver positive outcomes for biodiversity, land and water resources, and ecosystem services. To date, 28 direct beneficiaries have reached less than 0.01% of the end-of-project target—but this number is expected to rise significantly as full-scale implementation begins, alongside the introduction of gender-disaggregated data collection. In pursuit of the target of 20,803 hectares of protected areas under improved management, the project will implement participatory METT assessments, update management plans, and strengthen institutional capacity. Wetland restoration efforts have so far covered 50 hectares (0.35% of the target), achieved through capacity-building activities that enable conservation regimes, biodiversity monitoring, and effective patrolling—laying the groundwork for broader ecological interventions. Additionally, key activities planned for 2025–2026 will be critical for generating and reporting the first sequestered tonnes of CO₂ equivalent (tCO₂e), using IPCC methodologies and initiating physical restoration efforts to support progress under Indicator 6.1 in future PIRs.</w:t>
            </w:r>
          </w:p>
          <w:p>
            <w:pPr/>
            <w:r>
              <w:rPr/>
              <w:t xml:space="preserve"/>
            </w:r>
          </w:p>
          <w:p>
            <w:pPr/>
            <w:r>
              <w:rPr/>
              <w:t xml:space="preserve">With regard to Outcome 1, which aims to better fiduciary and financial environment for long-term resilience of wetland ecosystems, the project advanced the policy and financial framework for wetland conservation by drafting legislative amendments on ecological flow regulations and biodiversity financing incentives and facilitating consultations with decision-makers. While the Ministry of Environment has shifted focus to developing a new EU-aligned Nature Protection Law, the project’s efforts catalyzed inter-institutional dialogue and created an entry point for integrating wetland conservation into forthcoming legislation.</w:t>
            </w:r>
          </w:p>
          <w:p>
            <w:pPr/>
            <w:r>
              <w:rPr/>
              <w:t xml:space="preserve">Regarding Outcome 2, which aims to Positive status of wetland habitats and species at targeted Key Biodiversity Areas, progress on updated management plans, Ramsar designation, and the Camenca River floodplain restoration has been slower due to procurement challenges, institutional shifts, and technical complexity. Nonetheless, technical groundwork is in place, and authorities are engaged to accelerate implementation in the next phase, once the issues with the funds will be resolved and the workplan can be implemented.</w:t>
            </w:r>
          </w:p>
          <w:p>
            <w:pPr/>
            <w:r>
              <w:rPr/>
              <w:t xml:space="preserve">Regarding Outcome 3, which intends to new sustainable income streams created for communities and small size entrepreneurs from sustainable use of resources at wetlands, as other outcomes this one has faced delays, with activities such as eco-tourism package development and support for sustainable enterprises still at the conceptual stage, and baseline assessments of household incomes and women’s participation pending. However, preparatory steps have been taken: the Lower Prut Local Action Group and community partners have been engaged, and training programs and micro-grant schemes for ecotourism and sustainable agriculture have been outlined. These actions position the project to accelerate in the next phase and begin demonstrating green business models that deliver economic benefits and strengthen community support for wetland conservation.</w:t>
            </w:r>
          </w:p>
          <w:p>
            <w:pPr/>
            <w:r>
              <w:rPr/>
              <w:t xml:space="preserve">Regarding Outcome 4, which intends to Knowledge management and gender sensitive KM products developed and disseminated, these activities remain limited due to the limited progress in other outcomes. To address this gap, the project has integrated new initiatives into the upcoming work plan, including ecological education seminars, an online campaign for authorities and the public, and informational materials on wetland values. The METT evaluation will also be used to capture lessons learned and generate knowledge products.</w:t>
            </w:r>
          </w:p>
          <w:p>
            <w:pPr/>
            <w:r>
              <w:rPr/>
              <w:t xml:space="preserve">Finally, regarding Outcome 5, it aims to project results properly monitored and evaluated M&amp;E systems are in place, with an agreed indicator monitoring plan and timely quarterly and annual reporting, complemented by an independent Mid-Term Review that now informs management adjustments. While some tools, such as intermediate METT assessments, were delayed, the PMU regularly updates the indicator and risk registers and maintains functional reporting systems. Moving forward, the project will strengthen participatory monitoring, integrate gender- and vulnerability-disaggregated data, and engage external partners to enhance capacity and ensure robust tracking of results through closure.</w:t>
            </w:r>
          </w:p>
          <w:p>
            <w:pPr/>
            <w:r>
              <w:rPr/>
              <w:t xml:space="preserve">Implementation Progress</w:t>
            </w:r>
          </w:p>
          <w:p>
            <w:pPr/>
            <w:r>
              <w:rPr/>
              <w:t xml:space="preserve">The project is experiencing serious delays, and overall implementation remains low. Nonetheless, the Country Office and the Project Management Team are closely monitoring progress. With the forthcoming acceleration plan, a plan, which is approved by external expertise for SESP implementation, the project is expected to begin delivering on its intended outcomes. Importantly, the project remains highly relevant to stakeholders, a point reaffirmed by the Mid-Term Evaluation. The Project Management Team is therefore encouraged to implement the work plan and management responses with urgency to ensure achievement of the project objective. Risks are continually monitored through the Quantum Risk Register. Risks remain active and they are under close supervision to minimize potential impacts and avoid further delays.</w:t>
            </w:r>
          </w:p>
          <w:p>
            <w:pPr/>
            <w:r>
              <w:rPr/>
              <w:t xml:space="preserve"/>
            </w:r>
          </w:p>
          <w:p>
            <w:pPr/>
            <w:r>
              <w:rPr/>
              <w:t xml:space="preserve">Despite mid-term delays in gender-specific activities, recovery measures are underway. Upcoming actions include producing gender-sensitive awareness materials, expanding women’s inclusion in training programs, and supporting women-led green businesses through pilot financing schemes. The PMU is working with UNDP’s gender specialist to strengthen equity measures and maximize women’s socio-economic empowerment within project interventions.</w:t>
            </w:r>
          </w:p>
          <w:p>
            <w:pPr/>
            <w:r>
              <w:rPr/>
              <w:t xml:space="preserve"/>
            </w:r>
          </w:p>
          <w:p>
            <w:pPr/>
            <w:r>
              <w:rPr/>
              <w:t xml:space="preserve">With respect to stakeholder engagement, the project has built strong partnerships with public institutions, NGOs, and community groups to integrate activities into national strategies, including alignment with the National Forest Extension and Rehabilitation Program. Collaboration with Moldsilva, the Water Agency, and local authorities has advanced restoration and afforestation efforts, while NGOs and academic experts have contributed to studies and consultations. Community groups such as the Lower Prut Local Action Group are and will be engaged in livelihood activities, and UNDP has provided technical support and regional linkages through initiatives like BIOFIN.</w:t>
            </w:r>
          </w:p>
          <w:p>
            <w:pPr/>
            <w:r>
              <w:rPr/>
              <w:t xml:space="preserve"/>
            </w:r>
          </w:p>
          <w:p>
            <w:pPr/>
            <w:r>
              <w:rPr/>
              <w:t xml:space="preserve">During this first PIR period of the project, the cumulative GL delivery is only 8.09% of total approved amount at this point after 1.5 years of the project´s 4-year implementation period whistle co-financing amount delivery rate is 7%. It seems that GEF budget and co-financing amount delivery rates are parallel to each other.</w:t>
            </w:r>
          </w:p>
          <w:p>
            <w:pPr/>
            <w:r>
              <w:rPr/>
              <w:t xml:space="preserve">Recommendations</w:t>
            </w:r>
          </w:p>
          <w:p>
            <w:pPr/>
            <w:r>
              <w:rPr/>
              <w:t xml:space="preserve"/>
            </w:r>
          </w:p>
          <w:p>
            <w:pPr/>
            <w:r>
              <w:rPr/>
              <w:t xml:space="preserve">To sum up, the project is in the process of overcoming the delays and has a strong and adequate planification to speed up project implementation and accelerate the delivery of the project that as per reporting period remains low due to the delays already explained. Several recommendations are suggested below for adaptive management in the remaining of the project period:</w:t>
            </w:r>
          </w:p>
          <w:p>
            <w:pPr/>
            <w:r>
              <w:rPr/>
              <w:t xml:space="preserve"/>
            </w:r>
          </w:p>
          <w:p>
            <w:pPr/>
            <w:r>
              <w:rPr/>
              <w:t xml:space="preserve">-	Fast-track delayed field activities (e.g., Camenca River restoration, management plan updates) by streamlining procurement and strengthening inter-agency coordination.</w:t>
            </w:r>
          </w:p>
          <w:p>
            <w:pPr/>
            <w:r>
              <w:rPr/>
              <w:t xml:space="preserve">-	Expedite recruitment and procurement for critical PMU positions, particularly Monitoring &amp; Evaluation, to reinforce oversight and reporting.</w:t>
            </w:r>
          </w:p>
          <w:p>
            <w:pPr/>
            <w:r>
              <w:rPr/>
              <w:t xml:space="preserve">-	Deepen collaboration with local communities and formalize the role of local authorities and community-based organizations in implementation and monitoring.</w:t>
            </w:r>
          </w:p>
          <w:p>
            <w:pPr/>
            <w:r>
              <w:rPr/>
              <w:t xml:space="preserve">-	Expedite the production of knowledge products (guides, training modules, policy briefs) and launch awareness campaigns to showcase results and sustain momentum.</w:t>
            </w:r>
          </w:p>
          <w:p>
            <w:pPr/>
            <w:r>
              <w:rPr/>
              <w:t xml:space="preserve">-	Share lessons learned through regional platforms and cross-border cooperation.</w:t>
            </w:r>
          </w:p>
          <w:p>
            <w:pPr/>
            <w:r>
              <w:rPr/>
              <w:t xml:space="preserve">-	Ensure women’s inclusion in training, green business financing, and decision-making forums while completing pending METT assessments and collecting gender- and vulnerability-disaggregated data.</w:t>
            </w:r>
          </w:p>
          <w:p>
            <w:pPr/>
            <w:r>
              <w:rPr/>
              <w:t xml:space="preserve">-	Apply Mid-Term Review recommendations/management responses to adjust workplans and strengthen adaptive management.</w:t>
            </w:r>
          </w:p>
          <w:p>
            <w:pPr/>
            <w:r>
              <w:rPr/>
              <w:t xml:space="preserve"/>
            </w:r>
          </w:p>
          <w:p>
            <w:pPr/>
            <w:r>
              <w:rPr/>
              <w:t xml:space="preserve">----</w:t>
            </w:r>
          </w:p>
          <w:p>
            <w:pPr/>
            <w:r>
              <w:rPr/>
              <w:t xml:space="preserve">During the reporting period, project implementation progress remained limited due to several interrelated challenges. Chief among these was the misinterpretation of the legal taxation framework, which led to restrictions on the release of subsequent financial advances and hindered the realization of planned co-financing contributions. These issues have been referenced throughout various sections of this report.</w:t>
            </w:r>
          </w:p>
          <w:p>
            <w:pPr/>
            <w:r>
              <w:rPr/>
              <w:t xml:space="preserve">Despite these setbacks, stakeholder commitment to the project remains strong. Notably, two new letters of co-financing have been secured, reaffirming the relevance of the project and its potential to achieve the intended outcomes.</w:t>
            </w:r>
          </w:p>
          <w:p>
            <w:pPr/>
            <w:r>
              <w:rPr/>
              <w:t xml:space="preserve">A spot check conducted in early 2025, in alignment with UNDP’s HACT policy and assurance activities, identified the following key issues:</w:t>
            </w:r>
          </w:p>
          <w:p>
            <w:pPr/>
            <w:r>
              <w:rPr/>
              <w:t xml:space="preserve">•	Lack of documentation on internal control mechanisms by the Implementing Partner (IP).</w:t>
            </w:r>
          </w:p>
          <w:p>
            <w:pPr/>
            <w:r>
              <w:rPr/>
              <w:t xml:space="preserve">•	Micro-assessment recommendations and assurance actions are still under development.</w:t>
            </w:r>
          </w:p>
          <w:p>
            <w:pPr/>
            <w:r>
              <w:rPr/>
              <w:t xml:space="preserve">•	The outstanding amount, resulting from incorrectly paid salary taxes, is expected to be reimbursed from the state budget.</w:t>
            </w:r>
          </w:p>
          <w:p>
            <w:pPr/>
            <w:r>
              <w:rPr/>
              <w:t xml:space="preserve">In response, UNDP has developed a targeted action plan and issued formal recommendations to the National Office for Implementation of Environment Projects (NOIEP). These include:</w:t>
            </w:r>
          </w:p>
          <w:p>
            <w:pPr/>
            <w:r>
              <w:rPr/>
              <w:t xml:space="preserve">•	Strengthening internal control systems, particularly in areas such as segregation of duties, budgeting, monitoring, and expense approvals.</w:t>
            </w:r>
          </w:p>
          <w:p>
            <w:pPr/>
            <w:r>
              <w:rPr/>
              <w:t xml:space="preserve">•	Advancing the implementation of micro-assessment recommendations, with regular progress updates to be shared with UNDP.</w:t>
            </w:r>
          </w:p>
          <w:p>
            <w:pPr/>
            <w:r>
              <w:rPr/>
              <w:t xml:space="preserve">•	Clarifying the timeline and procedures for recovering the erroneously paid taxes from local authorities.</w:t>
            </w:r>
          </w:p>
          <w:p>
            <w:pPr/>
            <w:r>
              <w:rPr/>
              <w:t xml:space="preserve">Worth mentioning that the project also has the support from GEF Operational Focal Point, who has played an important role in solving the tax issues. Additionally, the regional bureau has provided a waiver to continue with the next disbursement until the implementing partner can recover these taxes within the government structure. Together with management responses that are now better aligned with the project's technical requirements, these corrective measures are expected to significantly improve both technical and financial management, enhance institutional capacity, and support more effective implementation moving forward.</w:t>
            </w:r>
          </w:p>
          <w:p>
            <w:pPr/>
            <w:r>
              <w:rPr/>
              <w:t xml:space="preserve">Finally, monthly calls have been scheduled between RTA and NC but also with CO team in order to expedite the implementation of the project.</w:t>
            </w:r>
          </w:p>
          <w:p>
            <w:pPr/>
            <w:r>
              <w:rPr/>
              <w:t xml:space="preserve"/>
            </w:r>
          </w:p>
        </w:tc>
      </w:tr>
      <w:tr>
        <w:trPr/>
        <w:tc>
          <w:tcPr>
            <w:tcW w:w="5000" w:type="dxa"/>
            <w:gridSpan w:val="1"/>
            <w:noWrap/>
          </w:tcPr>
          <w:p>
            <w:pPr/>
            <w:r>
              <w:rPr>
                <w:b w:val="1"/>
                <w:bCs w:val="1"/>
              </w:rPr>
              <w:t xml:space="preserve">UNDP Country Office Programme Officer</w:t>
            </w:r>
          </w:p>
        </w:tc>
        <w:tc>
          <w:tcPr>
            <w:tcW w:w="10000" w:type="dxa"/>
            <w:gridSpan w:val="1"/>
            <w:noWrap/>
          </w:tcPr>
          <w:p>
            <w:pPr/>
            <w:r>
              <w:rPr/>
              <w:t xml:space="preserve">The progress in project implementation, during the reporting period, remains limited compounded by the misinterpretation of the legal taxation framework which triggered restrictions on the next advance, institutional capacity deficit and non-materialization of planned co-financing contributions.</w:t>
            </w:r>
          </w:p>
          <w:p>
            <w:pPr/>
            <w:r>
              <w:rPr/>
              <w:t xml:space="preserve">As of the reporting date, the project has a delivery rate of 8.4% against the total approved budget of USD 913,242. The total recorded expenditures amount to USD 76,683, including UNDP TRAC resources.</w:t>
            </w:r>
          </w:p>
          <w:p>
            <w:pPr/>
            <w:r>
              <w:rPr/>
              <w:t xml:space="preserve">In June 2024, the project received an advance of USD 96,830.27 from UNDP, which was partially liquidated in December 2024. The outstanding balance of USD 31,500, representing 32.5% of the total advance, resulted from a misinterpretation of the taxation legal framework.</w:t>
            </w:r>
          </w:p>
          <w:p>
            <w:pPr/>
            <w:r>
              <w:rPr/>
              <w:t xml:space="preserve">In accordance with UNDP's HACT policy and planned assurance activities, a spot check was conducted in early 2025. The key findings include:</w:t>
            </w:r>
          </w:p>
          <w:p>
            <w:pPr/>
            <w:r>
              <w:rPr/>
              <w:t xml:space="preserve">•	No documentation was provided by the Implementing Partner (IP) on existing internal control mechanisms.</w:t>
            </w:r>
          </w:p>
          <w:p>
            <w:pPr/>
            <w:r>
              <w:rPr/>
              <w:t xml:space="preserve">•	The implementation of micro-assessment recommendations and assurance actions is currently under planning and development.</w:t>
            </w:r>
          </w:p>
          <w:p>
            <w:pPr/>
            <w:r>
              <w:rPr/>
              <w:t xml:space="preserve">•	The outstanding amount is expected to be reimbursed to the Partner’s bank account from the state budget, as it stems from erroneously paid salary taxes.</w:t>
            </w:r>
          </w:p>
          <w:p>
            <w:pPr/>
            <w:r>
              <w:rPr/>
              <w:t xml:space="preserve">In response to the above, UNDP has developed an action plan and issued recommendations to the responsible party, the National Office for Implementation of Environment Projects (NOIEP), including:</w:t>
            </w:r>
          </w:p>
          <w:p>
            <w:pPr/>
            <w:r>
              <w:rPr/>
              <w:t xml:space="preserve">•	Strengthening internal control systems, particularly in the areas of segregation of duties, budgeting and monitoring, and expense approvals.</w:t>
            </w:r>
          </w:p>
          <w:p>
            <w:pPr/>
            <w:r>
              <w:rPr/>
              <w:t xml:space="preserve">•	Documenting the progress on implementation of the micro-assessment recommendations and sharing regular updates with UNDP.</w:t>
            </w:r>
          </w:p>
          <w:p>
            <w:pPr/>
            <w:r>
              <w:rPr/>
              <w:t xml:space="preserve">•	Informing UNDP on the timeline and procedure for the recovery of taxes from local tax authorities.</w:t>
            </w:r>
          </w:p>
          <w:p>
            <w:pPr/>
            <w:r>
              <w:rPr/>
              <w:t xml:space="preserve"/>
            </w:r>
          </w:p>
          <w:p>
            <w:pPr/>
            <w:r>
              <w:rPr/>
              <w:t xml:space="preserve">Outcome 1 is partially on track.</w:t>
            </w:r>
          </w:p>
          <w:p>
            <w:pPr/>
            <w:r>
              <w:rPr/>
              <w:t xml:space="preserve">Progress under this Outcome remains limited, with no advancement beyond previous reporting. While several legal instruments have been drafted, none have been submitted for approval. Meanwhile, Moldova’s EU accession process has significantly shifted legal reform priorities. The Government is now prioritizing the development of a new Law on Nature Protection, which will transpose key EU biodiversity directives (e.g., Birds Directive, Habitats Directive, and Natura 2000), making the standalone legal amendments originally envisioned under the project largely obsolete.</w:t>
            </w:r>
          </w:p>
          <w:p>
            <w:pPr/>
            <w:r>
              <w:rPr/>
              <w:t xml:space="preserve">Support for updating the National Biodiversity Strategy and Action Plan (NBSAP)—to align with the Global Biodiversity Framework and the EU Biodiversity Strategy 2030, including a focus on wetland conservation—has not yet been initiated. Similarly, the development of a bilateral regulation for the Stânca-Costeşti Dam remains pending. Amendments to legal instruments to prioritize wetland conservation funding under the National Environmental Fund have been prepared but not submitted. Additionally, no progress has been made on the formulation or implementation of biodiversity-compatible local development strategies in the target districts of Cahul, Glodeni, and Falesti.</w:t>
            </w:r>
          </w:p>
          <w:p>
            <w:pPr/>
            <w:r>
              <w:rPr/>
              <w:t xml:space="preserve">Component 2 is partially on track.</w:t>
            </w:r>
          </w:p>
          <w:p>
            <w:pPr/>
            <w:r>
              <w:rPr/>
              <w:t xml:space="preserve">Progress under this Outcome remains limited, with no advancement since the previous reporting period. While “biodiversity passports” for the Royal Forest Reserve and the Lower Prut Biosphere Reserve were developed, management plans for both sites have not been initiated. The dialogue on the Trilateral Biosphere Reserve Danube Delta–Lower Prut designation also remains uninitiated.</w:t>
            </w:r>
          </w:p>
          <w:p>
            <w:pPr/>
            <w:r>
              <w:rPr/>
              <w:t xml:space="preserve">Planned activities such as zoning, community engagement, enforcement agreements, eco-tourism development, and biodiversity monitoring for both reserves have yet to begin. Similarly, no progress has been made on operationalizing the Lower Prut Reserve’s management framework or strengthening its infrastructure and inter-institutional coordination.</w:t>
            </w:r>
          </w:p>
          <w:p>
            <w:pPr/>
            <w:r>
              <w:rPr/>
              <w:t xml:space="preserve">The Forest Research &amp; Management Institute (ICAS) prepared six afforestation plans in 2024 covering 33 plots (approx. 50 ha), but due to limited GEF funding, the MTR recommends considering adaptive management—e.g., establishing a monitoring plot to demonstrate best practices.</w:t>
            </w:r>
          </w:p>
          <w:p>
            <w:pPr/>
            <w:r>
              <w:rPr/>
              <w:t xml:space="preserve">Rehabilitation of the Camenca River floodplain remains a key objective. The feasibility study, expected to take one year due to seasonal data requirements, has yet to start. Given the high environmental and social risks, SESA, ESIA, and ESM must be conducted. However, the allocated budget is insufficient, necessitating adaptive management for this component as well.</w:t>
            </w:r>
          </w:p>
          <w:p>
            <w:pPr/>
            <w:r>
              <w:rPr/>
              <w:t xml:space="preserve">Outcome 3 is off-track with no progress so far; therefore, based on the proposed catch-up strategy UNDP will share with the PMU the best practices of community engagement to deliver the expected results such as income-generating activities, eco-tourism routes, community partnerships and others.</w:t>
            </w:r>
          </w:p>
          <w:p>
            <w:pPr/>
            <w:r>
              <w:rPr/>
              <w:t xml:space="preserve">Outcome 4 is off track, and the project communication and knowledge management remain underdeveloped. The KM plan is not operationalized, and external visibility is minimal. To address this, the project is recommended to engage a dedicated KM/communications consultant to support content development and finalization of knowledge products.</w:t>
            </w:r>
          </w:p>
          <w:p>
            <w:pPr/>
            <w:r>
              <w:rPr/>
              <w:t xml:space="preserve">The risk management practices rely on the UNDP risk log which is being updated regularly by the UNDP team   in Quantum. As of now it encompasses the risks reflected in the SES, ProDoc and those identified as part of the UNDP’s supervisory role which pertain mainly to the limited administrative capacities of the project in terms of M&amp;E, procurement, gender, etc. Going forward, it is recommended that the NOIEP identifies the project implementation risks, such as co-financing delivery, budget constraints, legal reforms, local community update etc. and integrate these into the annual work planning.</w:t>
            </w:r>
          </w:p>
          <w:p>
            <w:pPr/>
            <w:r>
              <w:rPr/>
              <w:t xml:space="preserve">As evidenced by their active participation in the Project Board Meeting  , there is strong commitment and support from the Ministry of Environment, its subordinated institutions, relevant LPAs, NGOs, and the two Reserves. Moving forward, sustained stakeholder engagement through focused and transparent communication will be essential to maintaining momentum and fostering collaboration.</w:t>
            </w:r>
          </w:p>
          <w:p>
            <w:pPr/>
            <w:r>
              <w:rPr/>
              <w:t xml:space="preserve">The project is assigned a UNDP Gender Marker of 2, indicating that gender equality is intended to be a significant objective. While the project has a gender action plan and the LogFrame includes gender-responsive indicators, these have not yet been fully operationalized. To address this, UNDP will facilitate a dedicated training session for the project team focused on gender mainstreaming, including the practical application of the gender action plan, resetting and monitoring of gender indicators, and integration of gender equality considerations across the key project products.</w:t>
            </w:r>
          </w:p>
          <w:p>
            <w:pPr/>
            <w:r>
              <w:rPr/>
              <w:t xml:space="preserve">Social and environmental risks were assessed during the project preparation phase using the UNDP Social and Environmental Screening Procedure (SESP), indicating an overall Substantial risk categorization.</w:t>
            </w:r>
          </w:p>
          <w:p>
            <w:pPr/>
            <w:r>
              <w:rPr/>
              <w:t xml:space="preserve">Three substantial risks identified among the 16 assessed include:</w:t>
            </w:r>
          </w:p>
          <w:p>
            <w:pPr/>
            <w:r>
              <w:rPr/>
              <w:t xml:space="preserve">1.	Camenca River Restoration Impact – Potential for elevated groundwater levels affecting private lands and homes, disruption of livelihoods, and tension with residents over restricted water access.</w:t>
            </w:r>
          </w:p>
          <w:p>
            <w:pPr/>
            <w:r>
              <w:rPr/>
              <w:t xml:space="preserve">2.	Law Enforcement-Community Tensions – Risk of conflict due to collaboration with police or gendarmerie in enforcing protected area regulations, potentially disrupting traditional livelihoods or triggering altercations.</w:t>
            </w:r>
          </w:p>
          <w:p>
            <w:pPr/>
            <w:r>
              <w:rPr/>
              <w:t xml:space="preserve">3.	Oil Operations in Lower Prut – Ongoing oil exploitation in the biosphere reserve may breach environmental standards, posing a risk of water contamination.</w:t>
            </w:r>
          </w:p>
          <w:p>
            <w:pPr/>
            <w:r>
              <w:rPr/>
              <w:t xml:space="preserve"/>
            </w:r>
          </w:p>
          <w:p>
            <w:pPr/>
            <w:r>
              <w:rPr/>
              <w:t xml:space="preserve">A comprehensive set of safeguard measures was planned for implementation, including: strategic environmental and social assessments (SESAs); operationalization of the process framework to address displacement risks; development of ESIA/ESMPs for key interventions; activation of the project GRM; adherence to UNDP SES and ILO standards; implementation of the gender action plan; stakeholder engagement on human rights; ISO 14001 training for polluting sectors; and risk management coordination with authorities for oil activities in the Lower Prut Biosphere Reserve.</w:t>
            </w:r>
          </w:p>
          <w:p>
            <w:pPr/>
            <w:r>
              <w:rPr/>
              <w:t xml:space="preserve"/>
            </w:r>
          </w:p>
          <w:p>
            <w:pPr/>
            <w:r>
              <w:rPr/>
              <w:t xml:space="preserve">UNDP will facilitate training on the SES to ensure that safeguards protocols are operationalized without delay.</w:t>
            </w:r>
          </w:p>
          <w:p>
            <w:pPr/>
            <w:r>
              <w:rPr/>
              <w:t xml:space="preserve"/>
            </w:r>
          </w:p>
          <w:p>
            <w:pPr/>
            <w:r>
              <w:rPr/>
              <w:t xml:space="preserve">As per the recently concluded evaluation, the project budget allocated to application of the safeguard measures might be limited, therefore, recommendation is to narrow the technical scope of the project to balance ambition with feasibility.</w:t>
            </w:r>
          </w:p>
          <w:p>
            <w:pPr/>
            <w:r>
              <w:rPr/>
              <w:t xml:space="preserve"/>
            </w:r>
          </w:p>
          <w:p>
            <w:pPr/>
            <w:r>
              <w:rPr/>
              <w:t xml:space="preserve">M&amp;E systems remain a significant weakness in project implementation. Although the project design envisioned the recruitment of an M&amp;E Officer, the position has not been successfully filled. As a remedial action, the project will prioritize the recruitment of an M&amp;E Specialist to establish a functional monitoring and evaluation framework, ensure systematic data collection and analysis, and support evidence-based decision-making throughout the remaining implementation period.   Quarterly reports from the project team are expected for enable close monitoring for the progress as per the AWP.</w:t>
            </w:r>
          </w:p>
          <w:p>
            <w:pPr/>
            <w:r>
              <w:rPr/>
              <w:t xml:space="preserve"/>
            </w:r>
          </w:p>
          <w:p>
            <w:pPr/>
            <w:r>
              <w:rPr/>
              <w:t xml:space="preserve">As of now, only 4 of the 13 co-financing partners reported materialized contributions, totaling approximately USD 1.19 million, around 6% of the USD 20.7 million committed. These include: the Ministry of Environment (USD 100,000 in-kind support), Moldova Water Agency (approx. USD 750,000 for riverbed cleaning, exceeding its initial pledge), ICAS (approx. USD 325,465 for forestry-related services, also exceeding its commitment), and UNDP (USD 10,707.37 from TRAC resources for services and learning). Going forward, the project should continue exploring synergies with emerging initiatives such as the National Forest Extension and Rehabilitation Program (NFERP), the BIOFIN initiative, and the European Investment Bank’s EUR 200 million loan for sustainable forestry in Moldova.</w:t>
            </w:r>
          </w:p>
          <w:p>
            <w:pPr/>
            <w:r>
              <w:rPr/>
              <w:t xml:space="preserve"/>
            </w:r>
          </w:p>
          <w:p>
            <w:pPr/>
            <w:r>
              <w:rPr/>
              <w:t xml:space="preserve">An independent MTR was commissioned by UNDP to assess the overall performance of the project since its start in August 2023 and the strategy going forward. The overall rating of the MTR is unsatisfactory, with activities under most of the outcomes not initiated, with few important recommendations to be taken into consideration during the remaining period of the project, as reported in previous section of the report.</w:t>
            </w:r>
          </w:p>
          <w:p>
            <w:pPr/>
            <w:r>
              <w:rPr/>
              <w:t xml:space="preserve">Based on the current implementation status and the MTR findings, the following next steps are proposed to reset and reorient the project toward effective delivery during the remaining implementation period. These should begin with a revision of the Annual Work Plan (AWP), taking into consideration the critical recommendations highlighted in the MTR and the evolving national context:</w:t>
            </w:r>
          </w:p>
          <w:p>
            <w:pPr/>
            <w:r>
              <w:rPr/>
              <w:t xml:space="preserve"/>
            </w:r>
          </w:p>
          <w:p>
            <w:pPr/>
            <w:r>
              <w:rPr/>
              <w:t xml:space="preserve">1. Revise and Reprioritize the Annual Work Plan (AWP)</w:t>
            </w:r>
          </w:p>
          <w:p>
            <w:pPr/>
            <w:r>
              <w:rPr/>
              <w:t xml:space="preserve">•	Integrate high-priority, low-risk activities that can maintain implementation momentum.</w:t>
            </w:r>
          </w:p>
          <w:p>
            <w:pPr/>
            <w:r>
              <w:rPr/>
              <w:t xml:space="preserve">•	Phase out or defer activities that are no longer relevant (e.g., outdated legal reforms), in line with Moldova’s evolving EU accession agenda.</w:t>
            </w:r>
          </w:p>
          <w:p>
            <w:pPr/>
            <w:r>
              <w:rPr/>
              <w:t xml:space="preserve">•	Embed adaptive management principles, ensuring the AWP reflects realistic budgets, capacities, and safeguard needs.</w:t>
            </w:r>
          </w:p>
          <w:p>
            <w:pPr/>
            <w:r>
              <w:rPr/>
              <w:t xml:space="preserve"/>
            </w:r>
          </w:p>
          <w:p>
            <w:pPr/>
            <w:r>
              <w:rPr/>
              <w:t xml:space="preserve">2. Convene a Participatory Project Reset Workshop</w:t>
            </w:r>
          </w:p>
          <w:p>
            <w:pPr/>
            <w:r>
              <w:rPr/>
              <w:t xml:space="preserve">•	Organize a facilitated workshop with the Ministry of Environment, project stakeholders, and UNDP to redefine project scope, sequencing, and responsibilities.</w:t>
            </w:r>
          </w:p>
          <w:p>
            <w:pPr/>
            <w:r>
              <w:rPr/>
              <w:t xml:space="preserve">•	Use this platform to co-create a streamlined implementation roadmap for 2025–2026 based on shared priorities and institutional capacity.</w:t>
            </w:r>
          </w:p>
          <w:p>
            <w:pPr/>
            <w:r>
              <w:rPr/>
              <w:t xml:space="preserve"/>
            </w:r>
          </w:p>
          <w:p>
            <w:pPr/>
            <w:r>
              <w:rPr/>
              <w:t xml:space="preserve">3. Outsource Implementation of Selected Components</w:t>
            </w:r>
          </w:p>
          <w:p>
            <w:pPr/>
            <w:r>
              <w:rPr/>
              <w:t xml:space="preserve">•	Identify Outcomes (e.g., Outcome 3 on community livelihoods or Outcome 4 on communications) suitable for outsourcing to qualified NGOs, academic institutions, or technical partners to speed up delivery and quality assurance.</w:t>
            </w:r>
          </w:p>
          <w:p>
            <w:pPr/>
            <w:r>
              <w:rPr/>
              <w:t xml:space="preserve"/>
            </w:r>
          </w:p>
          <w:p>
            <w:pPr/>
            <w:r>
              <w:rPr/>
              <w:t xml:space="preserve">4. Operationalize M&amp;E and Safeguards Functions</w:t>
            </w:r>
          </w:p>
          <w:p>
            <w:pPr/>
            <w:r>
              <w:rPr/>
              <w:t xml:space="preserve">•	Fast-track the recruitment of a qualified M&amp;E Specialist and designate a safeguards focal point within the PMU.</w:t>
            </w:r>
          </w:p>
          <w:p>
            <w:pPr/>
            <w:r>
              <w:rPr/>
              <w:t xml:space="preserve">Develop a functional M&amp;E plan linked to updated indicators and safeguard compliance (e.g., SESA, ESIA, GRM, and risk mitigation).</w:t>
            </w:r>
          </w:p>
          <w:p>
            <w:pPr/>
            <w:r>
              <w:rPr/>
              <w:t xml:space="preserve">5. Implement Immediate Strategic Adjustments</w:t>
            </w:r>
          </w:p>
          <w:p>
            <w:pPr/>
            <w:r>
              <w:rPr/>
              <w:t xml:space="preserve">•	Redirect afforestation resources to establish a high-visibility demonstration plot in a strategic location, aligned with the NFERP or EU-financed forestry program.</w:t>
            </w:r>
          </w:p>
          <w:p>
            <w:pPr/>
            <w:r>
              <w:rPr/>
              <w:t xml:space="preserve">•	Prepare a bundled TOR and procurement package for the Camenca River feasibility study, including safeguard studies and consultations.</w:t>
            </w:r>
          </w:p>
          <w:p>
            <w:pPr/>
            <w:r>
              <w:rPr/>
              <w:t xml:space="preserve"/>
            </w:r>
          </w:p>
          <w:p>
            <w:pPr/>
            <w:r>
              <w:rPr/>
              <w:t xml:space="preserve">6. Re-engage and Mobilize Stakeholders</w:t>
            </w:r>
          </w:p>
          <w:p>
            <w:pPr/>
            <w:r>
              <w:rPr/>
              <w:t xml:space="preserve">•	Conduct targeted stakeholder outreach and transparent communication, including clarification of revised project objectives.</w:t>
            </w:r>
          </w:p>
          <w:p>
            <w:pPr/>
            <w:r>
              <w:rPr/>
              <w:t xml:space="preserve">•	Include METT assessments for both reserves in the 2025 workplan, facilitated by an experienced partner with stakeholder participation.</w:t>
            </w:r>
          </w:p>
          <w:p>
            <w:pPr/>
            <w:r>
              <w:rPr/>
              <w:t xml:space="preserve">•	Engage with National Biodiversity Financing Platforms and align with BIOFIN and EIB forestry initiatives to explore synergies and complementary financing.</w:t>
            </w:r>
          </w:p>
          <w:p>
            <w:pPr/>
            <w:r>
              <w:rPr/>
              <w:t xml:space="preserve"/>
            </w:r>
          </w:p>
          <w:p>
            <w:pPr/>
            <w:r>
              <w:rPr/>
              <w:t xml:space="preserve">----</w:t>
            </w:r>
          </w:p>
          <w:p>
            <w:pPr/>
            <w:r>
              <w:rPr/>
              <w:t xml:space="preserve"/>
            </w:r>
          </w:p>
        </w:tc>
      </w:tr>
      <w:tr>
        <w:trPr/>
        <w:tc>
          <w:tcPr>
            <w:tcW w:w="5000" w:type="dxa"/>
            <w:gridSpan w:val="1"/>
            <w:noWrap/>
          </w:tcPr>
          <w:p>
            <w:pPr/>
            <w:r>
              <w:rPr>
                <w:b w:val="1"/>
                <w:bCs w:val="1"/>
              </w:rPr>
              <w:t xml:space="preserve">Project Manager/Coordinator</w:t>
            </w:r>
          </w:p>
        </w:tc>
        <w:tc>
          <w:tcPr>
            <w:tcW w:w="10000" w:type="dxa"/>
            <w:gridSpan w:val="1"/>
            <w:noWrap/>
          </w:tcPr>
          <w:p>
            <w:pPr/>
            <w:r>
              <w:rPr/>
              <w:t xml:space="preserve">The reporting period of 1 July 2024 – 30 June 2025 has been marked by considerable implementation challenges, primarily resulting from the prolonged blockage of project funds. This situation has led to the suspension or delay of nearly all field-level activities, technical studies, capacity-building efforts, and stakeholder engagement processes.</w:t>
            </w:r>
          </w:p>
          <w:p>
            <w:pPr/>
            <w:r>
              <w:rPr/>
              <w:t xml:space="preserve">Progress Summary by Component</w:t>
            </w:r>
          </w:p>
          <w:p>
            <w:pPr/>
            <w:r>
              <w:rPr/>
              <w:t xml:space="preserve">Component 1.</w:t>
            </w:r>
          </w:p>
          <w:p>
            <w:pPr/>
            <w:r>
              <w:rPr/>
              <w:t xml:space="preserve">The project has achieved significant progress in strengthening the policy and financial environment for wetland conservation. Legislative amendment packages on ecological flow regulations and biodiversity financing incentives were drafted and consulted with decision makers. Although the Ministry of Environment has since focused on developing a new, EU aligned Nature Protection Law, the project’s contributions have catalyzed inter institutional dialogue, laying the groundwork for integrating wetland conservation principles into forthcoming national legislation. Overall, Component 1 remains off track according to the results of the mid-term reform.</w:t>
            </w:r>
          </w:p>
          <w:p>
            <w:pPr/>
            <w:r>
              <w:rPr/>
              <w:t xml:space="preserve">Component 2 .</w:t>
            </w:r>
          </w:p>
          <w:p>
            <w:pPr/>
            <w:r>
              <w:rPr/>
              <w:t xml:space="preserve">Field implementation of practical conservation measures has faced delays, but crucial preparatory steps are complete. The project-initiated updates to protected area documentation by drafting detailed “biodiversity passports” for the Royal Forest Reserve and the Lower Prut Biosphere Reserve, providing baseline data on habitats and species. However, the development of updated management plans and the Ramsar designation process for the Royal Forest Reserve progressed slower than planned, hindered by procurement procedures and changing institutional priorities. On ecological restoration, the project advanced significantly by commissioning the Forestry Research and Management Institute to produce technical afforestation plans for approximately 50.2 ha across six sites, specifying mixed species plantings to reduce agricultural runoff.</w:t>
            </w:r>
          </w:p>
          <w:p>
            <w:pPr/>
            <w:r>
              <w:rPr/>
              <w:t xml:space="preserve">The centerpiece intervention, the hydrological restoration of the Camenca River floodplain—has not yet begun due to technical complexity (possible partial removal of weirs) and the need for broad inter agency coordination. The project team is now working intensively with water and environmental authorities to define a feasible solution and to launch the Camenca restoration process as soon as possible. In sum, Component 2 underperformed relative to mid term expectations, but the technical groundwork (studies and plans) is in place, and decisionmakers are committed to accelerating on the ground measures in the next phase.</w:t>
            </w:r>
          </w:p>
          <w:p>
            <w:pPr/>
            <w:r>
              <w:rPr/>
              <w:t xml:space="preserve">Component 3.</w:t>
            </w:r>
          </w:p>
          <w:p>
            <w:pPr/>
            <w:r>
              <w:rPr/>
              <w:t xml:space="preserve">This component, intended to develop nature friendly income opportunities for local communities, has delivered few concrete outcomes so far. Planned activities—such as creating eco tourism packages (nature based routes integrated with local wine and culinary offerings) and supporting local entrepreneurs in sustainable ventures—remained conceptual during the first half of the project. Baseline assessments of household incomes and women’s participation have not yet been conducted, complicating socio economic progress tracking. Despite these delays, preparations are underway to accelerate Component 3 in the next semester: the Lower Prut Local Action Group and other community partners have been engaged, and the project team has outlined training programs and micro grant schemes for ecotourism and sustainable agriculture initiatives. These measures are expected, in the second half of the project, to demonstrate viable green business models, generate direct economic benefits for residents, and increase community support for wetland conservation.</w:t>
            </w:r>
          </w:p>
          <w:p>
            <w:pPr/>
            <w:r>
              <w:rPr/>
              <w:t xml:space="preserve">Component 4 .</w:t>
            </w:r>
          </w:p>
          <w:p>
            <w:pPr/>
            <w:r>
              <w:rPr/>
              <w:t xml:space="preserve">By mid term, knowledge management and communication activities have The reporting period of 1 July 2024 – 30 June 2025 has been marked by considerable implementation challenges, primarily resulting from the prolonged blockage of project funds.       This situation has led to the suspension or delay of nearly all field-level activities, technical studies, capacity-building efforts, and stakeholder engagement processes.</w:t>
            </w:r>
          </w:p>
          <w:p>
            <w:pPr/>
            <w:r>
              <w:rPr/>
              <w:t xml:space="preserve">Progress Summary by Component</w:t>
            </w:r>
          </w:p>
          <w:p>
            <w:pPr/>
            <w:r>
              <w:rPr/>
              <w:t xml:space="preserve">Component 1.</w:t>
            </w:r>
          </w:p>
          <w:p>
            <w:pPr/>
            <w:r>
              <w:rPr/>
              <w:t xml:space="preserve">The project has achieved significant progress in strengthening the policy and financial environment for wetland conservation. Legislative amendment packages on ecological flow regulations and biodiversity financing incentives were drafted and consulted with decision makers. Although the Ministry of Environment has since focused on developing a new, EU aligned Nature Protection Law, the project’s contributions have catalyzed inter institutional dialogue, laying the groundwork for integrating wetland conservation principles into forthcoming national legislation. Overall, Component 1 remains off track according to the results of the mid-term reform.</w:t>
            </w:r>
          </w:p>
          <w:p>
            <w:pPr/>
            <w:r>
              <w:rPr/>
              <w:t xml:space="preserve">Component 2 .</w:t>
            </w:r>
          </w:p>
          <w:p>
            <w:pPr/>
            <w:r>
              <w:rPr/>
              <w:t xml:space="preserve">Field implementation of practical conservation measures has faced delays, but crucial preparatory steps are complete. The project-initiated updates to protected area documentation by drafting detailed “biodiversity passports” for the Royal Forest Reserve and the Lower Prut Biosphere Reserve, providing baseline data on habitats and species. However, the development of updated management plans and the Ramsar designation process for the Royal Forest Reserve progressed slower than planned, hindered by procurement procedures and changing institutional priorities. On ecological restoration, the project advanced significantly by commissioning the Forestry Research and Management Institute to produce technical afforestation plans for approximately 50.2 ha across six sites, specifying mixed species plantings to reduce agricultural runoff.</w:t>
            </w:r>
          </w:p>
          <w:p>
            <w:pPr/>
            <w:r>
              <w:rPr/>
              <w:t xml:space="preserve">The centerpiece intervention, the hydrological restoration of the Camenca River floodplain—has not yet begun due to technical complexity (possible partial removal of weirs) and the need for broad inter agency coordination. The project team is now working intensively with water and environmental authorities to define a feasible solution and to launch the Camenca restoration process as soon as possible. In sum, Component 2 underperformed relative to mid term expectations, but the technical groundwork (studies and plans) is in place, and decisionmakers are committed to accelerating on the ground measures in the next phase.</w:t>
            </w:r>
          </w:p>
          <w:p>
            <w:pPr/>
            <w:r>
              <w:rPr/>
              <w:t xml:space="preserve">Component 3.</w:t>
            </w:r>
          </w:p>
          <w:p>
            <w:pPr/>
            <w:r>
              <w:rPr/>
              <w:t xml:space="preserve">This component, intended to develop nature friendly income opportunities for local communities, has delivered few concrete outcomes so far. Planned activities—such as creating eco tourism packages (nature based routes integrated with local wine and culinary offerings) and supporting local entrepreneurs in sustainable ventures—remained conceptual during the first half of the project. Baseline assessments of household incomes and women’s participation have not yet been conducted, complicating socio economic progress tracking. Despite these delays, preparations are underway to accelerate Component 3 in the next semester: the Lower Prut Local Action Group and other community partners have been engaged, and the project team has outlined training programs and micro grant schemes for ecotourism and sustainable agriculture initiatives. These measures are expected, in the second half of the project, to demonstrate viable green business models, generate direct economic benefits for residents, and increase community support for wetland conservation.</w:t>
            </w:r>
          </w:p>
          <w:p>
            <w:pPr/>
            <w:r>
              <w:rPr/>
              <w:t xml:space="preserve">Component 4 .</w:t>
            </w:r>
          </w:p>
          <w:p>
            <w:pPr/>
            <w:r>
              <w:rPr/>
              <w:t xml:space="preserve">By mid term, knowledge management and communication activities have not produced major deliverables, revealing a gap that needs urgent attention. The development of knowledge products—training modules, best practice guides, and policy briefs for decision makers—did not commence effectively in the early project phase. Planned public awareness campaigns, including those to promote gender equity in biodiversity conservation, were postponed. Recognizing this delay, the project team has incorporated a series of communication initiatives into the upcoming work plan: local and regional ecological education seminars, an online campaign targeting central authorities and the public, and informational materials highlighting wetland value. Moreover, the management effectiveness evaluation process (METT) for protected areas will be leveraged as an opportunity to share lessons learned and to create relevant knowledge products. Thus, while the first phase focused on preparatory work, the second half of the project will prioritize disseminating knowledge and communicating results to a broader audience, ensuring visibility and replication of best practices.</w:t>
            </w:r>
          </w:p>
          <w:p>
            <w:pPr/>
            <w:r>
              <w:rPr/>
              <w:t xml:space="preserve">Component 5.</w:t>
            </w:r>
          </w:p>
          <w:p>
            <w:pPr/>
            <w:r>
              <w:rPr/>
              <w:t xml:space="preserve">M&amp;E mechanisms have been established but require strengthening. A project indicator monitoring plan has been agreed, and periodic reports (quarterly, annual) have been delivered on schedule, providing updates on progress and challenges. An independent Mid Term Review (MTR) was also conducted, whose findings and recommendations now guide management adjustments. However, some planned M&amp;E tools have not been fully utilized—for example, the intermediate METT assessments for protected areas were not completed on time, so the comparison of management effectiveness against the baseline remains incomplete. Nonetheless, the project’s indicator and risk registers are updated regularly by the PMU, and reporting systems are operational. Going forward, the team will emphasize participatory monitoring (including the collection of gender  and vulnerability disaggregated data) and will engage external partners where needed to enhance monitoring capacity, ensuring rigorous tracking of results through project closure.</w:t>
            </w:r>
          </w:p>
          <w:p>
            <w:pPr/>
            <w:r>
              <w:rPr/>
              <w:t xml:space="preserve">Risk Management and Adaptive Implementation</w:t>
            </w:r>
          </w:p>
          <w:p>
            <w:pPr/>
            <w:r>
              <w:rPr/>
              <w:t xml:space="preserve">Risk management is integral to implementation in this dynamic context. The project’s risk register is updated regularly to reflect emerging challenges. Key identified risks include bureaucratic implementation delays, partners’ limited capacity, financial/fiscal misunderstandings (e.g., initial misclassification of a USD 31,500 tax withholding requiring later clarification), and underachievement of planned co financing. For each major risk, mitigation measures have been put in place: procurement processes were optimized and national partner staff received additional training on UNDP’s HACT procedures; in response to the evolving legal framework, the team strategically expanded its focus by contributing directly to the Ministry’s new Nature Protection Law, ensuring project objectives remain aligned with policy developments. The project also identified alternative co financing sources—national reforestation programs and EU funds—to secure resources for interventions. Through continuous risk register updates and proactive responses, the project demonstrates flexibility and a learning oriented approach, adjusting in real time. This adaptive management has sustained stakeholder engagement and ensured continuity of essential activities, mitigating the impact of external adversities on the planned outcomes.</w:t>
            </w:r>
          </w:p>
          <w:p>
            <w:pPr/>
            <w:r>
              <w:rPr/>
              <w:t xml:space="preserve">During the reporting period from 1 July 2024 to 30 June 2025, several outputs and activities were delayed due to structural and strategic issues identified through the Mid-Term Review (MTR). The review concluded that a few early design assumptions were no longer valid and that critical implementation gaps, combined with institutional capacity constraints, had slowed delivery across key outcomes. While the Project Steering Committee (PSC) in March 2025 endorsed adjustments such as aligning with the National Forest Extension and Rehabilitation Program (NFERP), advancing the Camenca River restoration feasibility study, and engaging with the BIOFIN platform, these measures have not yet resulted in timely field-level progress. Delays were further compounded by the need to address outdated or unviable outputs in the workplan, the limited capacity of the Implementation Office (ONIPM) to execute complex interventions without external partners, and prolonged procurement and preparatory processes for key activities such as the Camenca feasibility study, afforestation works, and METT assessments. Collectively, these factors have deferred the start of several high-priority interventions and slowed momentum toward achieving the project’s long-term conservation objectives. The MTR calls for an urgent strategic and operational recalibration to restore feasibility and concentrate efforts on technically viable, politically aligned, and locally relevant actions.</w:t>
            </w:r>
          </w:p>
          <w:p>
            <w:pPr/>
            <w:r>
              <w:rPr/>
              <w:t xml:space="preserve">The Project Management Unit (PMU), housed within the National Office for Environmental Project Implementation (ONIPM) of the Ministry of Environment, is now fully operational and oversees day to day management effectively. After filling all key positions (Project Manager onboarded in July 2023, Project Assistant and short term technical specialists mobilized as needed), the PMU implemented clear procedures for planning, procurement, and reporting. The compact project team has demonstrated coherence and adaptability, collaborating closely with national institutions—Ministry of Environment, Moldsilva, the Water Agency, and the Silvicultural Research Institute—to coordinate activities and secure necessary approvals. This collaborative approach has reinforced national ownership and project visibility among decisionmakers.</w:t>
            </w:r>
          </w:p>
          <w:p>
            <w:pPr/>
            <w:r>
              <w:rPr/>
              <w:t xml:space="preserve">The National Steering Committee (NSC)—comprising representatives from the Ministry of Environment (including ONIPM leadership), other central public authorities, local partners from the target districts, UNDP, and civil society—meets at least once per semester to review progress and provide strategic guidance. Initial adjustments to the Committee’s composition and operations (to ensure inclusive participation and avoid conflicts of interest) were resolved swiftly, enhancing project governance. Today, the NSC offers a transparent forum for evaluating semi annual reports, identifying high level issues and solutions, and ensuring alignment with national policies and international commitments (e.g., Aichi Targets, Ramsar obligations). NSC observations—such as accelerating community activities or synchronizing with parallel government initiatives—have been incorporated into PMU’s operational plans, demonstrating an inclusive decision making process. The implementing partner (Ministry of Environment via ONIPM) also maintains executive oversight of financial management and procedures, ensuring compliance with national and UNDP rules. In conclusion, the project’s governance mechanisms function satisfactorily, providing both accountability and strategic support for effective implementation.</w:t>
            </w:r>
          </w:p>
          <w:p>
            <w:pPr/>
            <w:r>
              <w:rPr/>
              <w:t xml:space="preserve">Cross Cutting Themes and Next Actions</w:t>
            </w:r>
          </w:p>
          <w:p>
            <w:pPr/>
            <w:r>
              <w:rPr/>
              <w:t xml:space="preserve">Gender Mainstreaming &amp; Women’s Empowerment: The project will promote gender integration across all components, recognizing that women’s participation and empowerment are vital for sustainable environmental interventions. Although mid term delays affected gender specific activities (dedicated trainings and gender disaggregated monitoring), the team is taking recovery measures. Community consultations and working groups have ensured women’s presence and input, and future interventions are designed to benefit all genders. Upcoming actions include developing gender sensitive awareness materials highlighting women’s roles in wetland conservation and including more women in training programs and pilot financing schemes (e.g., small green businesses led by women). The commitment to gender equity is strong, with the PMU collaborating with UNDP’s gender specialist to correct imbalances and maximize women’s socio economic empowerment through project activities.</w:t>
            </w:r>
          </w:p>
          <w:p>
            <w:pPr/>
            <w:r>
              <w:rPr/>
              <w:t xml:space="preserve">Knowledge Management &amp; Communications: Knowledge transfer and public communication have been elevated following the mid term review. Early emphasis on implementation relegated dissemination tools to a secondary role; now, the project is catching up. The communication plan will be updated to include gender sensitive awareness raising events and s6 knowledge management products as per end of project target. Additionally, the development of accessible guides and brochures on wetland conservation (for both the public and decisionmakers), and enhanced online presence via articles, posts, and result sharing on Ministry and UNDP platforms.</w:t>
            </w:r>
          </w:p>
          <w:p>
            <w:pPr/>
            <w:r>
              <w:rPr/>
              <w:t xml:space="preserve">Partnerships: Achieving the project’s ambitious goals relies on an extensive network of partners and cross sector collaboration. To date, the project has worked closely with key public institutions—Ministry of Environment (executing entity), Moldsilva (silvicultural and afforestation aspects), the Water Agency (“Apele Moldovei” for Camenca restoration), and local authorities in Cahul, Ungheni, and Glodeni districts—ensuring that project activities integrate into national strategies and programs (e.g., aligning pilot plantings with the newly launched National Forest Extension and Rehabilitation Program). Simultaneously, synergies have formed with NGOs and community groups: the Lower Prut Local Action Group and other local associations participate in the livelihoods component; environmental NGO and academic experts have contributed studies and assessments (e.g., species evaluation, policy consultations). As the GEF Agency, UNDP has facilitated the project’s linkages to regional initiatives and provided technical support (including through BIOFIN). In the next phase, the project aims to broaden partnerships further: engaging local private sector operators (e.g., tour businesses or socially responsible companies) in ecotourism and local product marketing, cooperating with EU funded basin management projects, and deepening cross border collaboration with Romania and Ukraine under a trilateral biosphere reserve framework. Strengthening these ties will bring additional resources, expertise, and enhance the long term sustainability of the project’s efforts.</w:t>
            </w:r>
          </w:p>
          <w:p>
            <w:pPr/>
            <w:r>
              <w:rPr/>
              <w:t xml:space="preserve">Next Planned Actions: Based on the mid term review conclusions and progress to date, the project team has prioritized essential actions to ensure objectives are met by 2027. Immediate planned actions include:</w:t>
            </w:r>
          </w:p>
          <w:p>
            <w:pPr/>
            <w:r>
              <w:rPr/>
              <w:t xml:space="preserve">1.	Launching the feasibility study and detailed design for the Camenca River hydrological reconnection, followed by initiating on site works in coordination with relevant authorities;</w:t>
            </w:r>
          </w:p>
          <w:p>
            <w:pPr/>
            <w:r>
              <w:rPr/>
              <w:t xml:space="preserve">2.	Continuing and expanding the afforestation and ecological restoration campaign across the identified 50 ha, with local community involvement in planting starting next growth season;</w:t>
            </w:r>
          </w:p>
          <w:p>
            <w:pPr/>
            <w:r>
              <w:rPr/>
              <w:t xml:space="preserve">3.	Starting pilot livelihoods activities, including training and financing for at least 2–3 local initiatives (ecotourism, ecological beekeeping, crafts, or wetland friendly agriculture) that demonstrate the economic value of biodiversity conservation;</w:t>
            </w:r>
          </w:p>
          <w:p>
            <w:pPr/>
            <w:r>
              <w:rPr/>
              <w:t xml:space="preserve">4.	Conducting the planned public awareness campaign (both online and within target communities) to raise awareness among the public and authorities about the importance of Prut wetlands; and</w:t>
            </w:r>
          </w:p>
          <w:p>
            <w:pPr/>
            <w:r>
              <w:rPr/>
              <w:t xml:space="preserve">5.	Strengthening the M&amp;E system—performing METT assessments for the Royal Forest and updating the Lower Prut METT, as well as collecting follow up data on socio economic and gender indicators.</w:t>
            </w:r>
          </w:p>
          <w:p>
            <w:pPr/>
            <w:r>
              <w:rPr/>
              <w:t xml:space="preserve">These actions will be accompanied by ongoing evaluation and adaptation (per MTR recommendations) to address obstacles swiftly. By focusing resources and efforts on these key deliverables in the post mid term period, the project aims to recover any remaining lag, demonstrate impact, and position itself as a catalyst for future biodiversity conservation and sustainable use initiatives in Moldova.</w:t>
            </w:r>
          </w:p>
          <w:p>
            <w:pPr/>
            <w:r>
              <w:rPr/>
              <w:t xml:space="preserve">Co financing: Status and Recommendations</w:t>
            </w:r>
          </w:p>
          <w:p>
            <w:pPr/>
            <w:r>
              <w:rPr/>
              <w:t xml:space="preserve">Mobilizing co financing remains a major challenge and strategic priority. At project approval, partners (government ministries, local authorities, other programs) and UNDP pledged approximately USD 20.72 million in complementary investments and in kind contributions to leverage the relatively modest GEF grant (USD 863,242). By end 2024, only about USD 1.186 million of co financing had materialized (~6% of the target). This comprised mainly government contributions (allocated staff time, infrastructure, and land for afforestation) and UNDP support, while other promised local investments did not yet materialize. The gap is partly explained by shifting national priorities and reevaluation of budget capacities, causing some complementary initiatives (e.g., large green infrastructure projects) to be delayed or defunded.</w:t>
            </w:r>
          </w:p>
          <w:p>
            <w:pPr/>
            <w:r>
              <w:rPr/>
              <w:t xml:space="preserve">Recommendations to strengthen co financing:</w:t>
            </w:r>
          </w:p>
          <w:p>
            <w:pPr/>
            <w:r>
              <w:rPr/>
              <w:t xml:space="preserve">1.	Revalidate initial commitments: Hold dedicated consultations with each co financing partner (ministries, district councils, international organizations) to reconfirm contributions, clarify current possibilities, and agree on a delivery schedule.</w:t>
            </w:r>
          </w:p>
          <w:p>
            <w:pPr/>
            <w:r>
              <w:rPr/>
              <w:t xml:space="preserve">2.	Identify new co finance sources: Leverage emerging opportunities—EU climate and environment funds for wetland restoration or rural development, small grants from embassies or foundations for community initiatives, and private sector sponsorships for reforestation or ecotourism.</w:t>
            </w:r>
          </w:p>
          <w:p>
            <w:pPr/>
            <w:r>
              <w:rPr/>
              <w:t xml:space="preserve">3.	Align with national programs: Synchronize project activities with national initiatives such as the National Forest Extension and Rehabilitation Program (NFERP), so planned afforestation works can receive logistical and material support from state budgets.</w:t>
            </w:r>
          </w:p>
          <w:p>
            <w:pPr/>
            <w:r>
              <w:rPr/>
              <w:t xml:space="preserve">4.	Ensure transparent tracking and reporting: The PMU should maintain strict records of all co financing received and report progress regularly to the NSC and to UNDP/GEF.</w:t>
            </w:r>
          </w:p>
          <w:p>
            <w:pPr/>
            <w:r>
              <w:rPr/>
              <w:t xml:space="preserve">By implementing these measures, the project anticipates a significant increase in co financing in the second half of implementation. This will not only enable full execution of planned activities (many of which depend on additional resources) but also reinforce the sustainability of results—since financially invested partners are more inclined to maintain and scale up the initiatives. In conclusion, although mid term co financing is below expectations, concrete opportunities exist to close the gap, and the project team must seize them to meet the pledged targets and maximize the project’s impact.</w:t>
            </w:r>
          </w:p>
          <w:p>
            <w:pPr/>
            <w:r>
              <w:rPr/>
              <w:t xml:space="preserve"/>
            </w:r>
          </w:p>
          <w:p>
            <w:pPr/>
            <w:r>
              <w:rPr/>
              <w:t xml:space="preserve"/>
            </w:r>
          </w:p>
          <w:p>
            <w:pPr/>
            <w:r>
              <w:rPr/>
              <w:t xml:space="preserve"/>
            </w:r>
          </w:p>
          <w:p>
            <w:pPr/>
            <w:r>
              <w:rPr/>
              <w:t xml:space="preserve">----</w:t>
            </w:r>
          </w:p>
          <w:p>
            <w:pPr/>
            <w:r>
              <w:rPr/>
              <w:t xml:space="preserve"/>
            </w:r>
          </w:p>
        </w:tc>
      </w:tr>
      <w:tr>
        <w:trPr/>
        <w:tc>
          <w:tcPr>
            <w:tcW w:w="5000" w:type="dxa"/>
            <w:gridSpan w:val="1"/>
            <w:noWrap/>
          </w:tcPr>
          <w:p>
            <w:pPr/>
            <w:r>
              <w:rPr>
                <w:b w:val="1"/>
                <w:bCs w:val="1"/>
              </w:rPr>
              <w:t xml:space="preserve">GEF Operational Focal point</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Implementing Partner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Other Partners</w:t>
            </w:r>
          </w:p>
        </w:tc>
        <w:tc>
          <w:tcPr>
            <w:tcW w:w="10000" w:type="dxa"/>
            <w:gridSpan w:val="1"/>
            <w:noWrap/>
          </w:tcPr>
          <w:p>
            <w:pPr/>
            <w:r>
              <w:rPr/>
              <w:t xml:space="preserve"/>
            </w:r>
          </w:p>
          <w:p>
            <w:pPr/>
            <w:r>
              <w:rPr/>
              <w:t xml:space="preserve">----</w:t>
            </w:r>
          </w:p>
          <w:p>
            <w:pPr/>
            <w:r>
              <w:rPr/>
              <w:t xml:space="preserve"/>
            </w:r>
          </w:p>
        </w:tc>
      </w:tr>
    </w:tbl>
    <w:p>
      <w:pPr>
        <w:sectPr>
          <w:pgSz w:orient="portrait" w:w="11905.511811023622" w:h="16837.79527559055"/>
          <w:pgMar w:top="500" w:right="500" w:bottom="500" w:left="500" w:header="720" w:footer="720" w:gutter="0"/>
          <w:cols w:num="1" w:space="720"/>
        </w:sectPr>
      </w:pPr>
    </w:p>
    <w:p>
      <w:pPr>
        <w:pStyle w:val="Heading1"/>
      </w:pPr>
      <w:bookmarkStart w:id="10" w:name="_Toc10"/>
      <w:r>
        <w:t>Minor Amendments</w:t>
      </w:r>
      <w:bookmarkEnd w:id="10"/>
    </w:p>
    <w:p>
      <w:pPr>
        <w:spacing w:before="0" w:after="0"/>
      </w:pPr>
      <w:r>
        <w:rPr/>
        <w:t xml:space="preserve"/>
      </w:r>
    </w:p>
    <w:p>
      <w:pPr/>
      <w:r>
        <w:rPr/>
        <w:t xml:space="preserve">Minor amendments are changes to the project design or implementation that do not have significant impact on the project objectives or scope, or an increase of the GEF project financing up to 5% as described in Annex 9 of the </w:t>
      </w:r>
      <w:hyperlink r:id="rId9" w:history="1">
        <w:r>
          <w:rPr/>
          <w:t xml:space="preserve">GEF Project and Program Cycle Policy Guidelines</w:t>
        </w:r>
      </w:hyperlink>
      <w:r>
        <w:rPr/>
        <w:t xml:space="preserve">.</w:t>
      </w:r>
    </w:p>
    <w:p>
      <w:pPr/>
      <w:r>
        <w:rPr>
          <w:b w:val="1"/>
          <w:bCs w:val="1"/>
        </w:rPr>
        <w:t xml:space="preserve">CO Programme Officer:</w:t>
      </w:r>
      <w:r>
        <w:rPr/>
        <w:t xml:space="preserve"> Please mark each category for which a minor amendment occurred during this reporting period (1 July 2024- 30 June 2025). </w:t>
      </w:r>
    </w:p>
    <w:p>
      <w:pPr/>
      <w:r>
        <w:rPr/>
        <w:t xml:space="preserve">For each category that is marked, please provide a brief description of the change that occurred in the associated text box. You may attach supporting documentation, as appropriate.</w:t>
      </w:r>
    </w:p>
    <w:p>
      <w:pPr/>
      <w:r>
        <w:rPr/>
        <w:t xml:space="preserve">The purpose of this section is to capture adaptive management and measure project proactiveness, an indicator outlined in paragraph 70 of the GEF-8 Policy Directions available </w:t>
      </w:r>
      <w:hyperlink r:id="rId10" w:history="1">
        <w:r>
          <w:rPr/>
          <w:t xml:space="preserve">here.</w:t>
        </w:r>
      </w:hyperlink>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A) Results Framework</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the 'Results framework'</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 Components and cost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'Components and cost'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 Institutional and implementation arrangements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'Institutional and implementation arrangements'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D) Financial management</w:t>
            </w:r>
          </w:p>
        </w:tc>
      </w:tr>
      <w:tr>
        <w:trPr/>
        <w:tc>
          <w:tcPr>
            <w:tcW w:w="10000" w:type="dxa"/>
            <w:gridSpan w:val="1"/>
            <w:noWrap/>
          </w:tcPr>
          <w:p>
            <w:pPr/>
            <w:r>
              <w:rPr/>
              <w:t xml:space="preserve">Yes</w:t>
            </w:r>
          </w:p>
        </w:tc>
      </w:tr>
      <w:tr>
        <w:trPr/>
        <w:tc>
          <w:tcPr>
            <w:tcW w:w="10000" w:type="dxa"/>
            <w:shd w:val="clear" w:fill="#D9D9D9"/>
            <w:noWrap/>
          </w:tcPr>
          <w:p>
            <w:pPr/>
            <w:r>
              <w:rPr>
                <w:b w:val="1"/>
                <w:bCs w:val="1"/>
              </w:rPr>
              <w:t xml:space="preserve">Provide a description of the change(s) to 'Financial Management'</w:t>
            </w:r>
          </w:p>
        </w:tc>
      </w:tr>
      <w:tr>
        <w:trPr/>
        <w:tc>
          <w:tcPr>
            <w:tcW w:w="10000" w:type="dxa"/>
            <w:gridSpan w:val="1"/>
            <w:noWrap/>
          </w:tcPr>
          <w:p>
            <w:pPr/>
            <w:r>
              <w:rPr/>
              <w:t xml:space="preserve">According to HACT policy, liquidation of at least 80% of previously issued advances is compulsory in order to record new advances.   To address this bottleneck and prevent further delays in project implementation, the CO has received the exceptional approval to proceed with the next advance for August-September 2025 in the amount of 1,179,893.84 MDL (69,774.92 US dollars, UNORE 1 Aug ‘25) from the UNDP's Regional Bureau for Europe and the Commonwealth of Independent States (RBEC) in early August 2025 and processed the payment later the same month.</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E) Implementation schedule</w:t>
            </w:r>
          </w:p>
        </w:tc>
      </w:tr>
      <w:tr>
        <w:trPr/>
        <w:tc>
          <w:tcPr>
            <w:tcW w:w="10000" w:type="dxa"/>
            <w:gridSpan w:val="1"/>
            <w:noWrap/>
          </w:tcPr>
          <w:p>
            <w:pPr/>
            <w:r>
              <w:rPr/>
              <w:t xml:space="preserve">Yes</w:t>
            </w:r>
          </w:p>
        </w:tc>
      </w:tr>
      <w:tr>
        <w:trPr/>
        <w:tc>
          <w:tcPr>
            <w:tcW w:w="10000" w:type="dxa"/>
            <w:shd w:val="clear" w:fill="#D9D9D9"/>
            <w:noWrap/>
          </w:tcPr>
          <w:p>
            <w:pPr/>
            <w:r>
              <w:rPr>
                <w:b w:val="1"/>
                <w:bCs w:val="1"/>
              </w:rPr>
              <w:t xml:space="preserve">Provide a description of the change(s) to 'Implementation schedule'</w:t>
            </w:r>
          </w:p>
        </w:tc>
      </w:tr>
      <w:tr>
        <w:trPr/>
        <w:tc>
          <w:tcPr>
            <w:tcW w:w="10000" w:type="dxa"/>
            <w:gridSpan w:val="1"/>
            <w:noWrap/>
          </w:tcPr>
          <w:p>
            <w:pPr/>
            <w:r>
              <w:rPr/>
              <w:t xml:space="preserve">The project is currently very much behind the implementation schedule; however the project implementation partner has not expressed any intention to extend the project. The project is expected to advance in a speedy manner after the approval of the waiver on the next advance.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F) Executing Entity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G) Executing Entity Category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 Category'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H) Minor project objective change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'minor project objective change'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I) Safeguards</w:t>
            </w:r>
          </w:p>
        </w:tc>
      </w:tr>
      <w:tr>
        <w:trPr/>
        <w:tc>
          <w:tcPr>
            <w:tcW w:w="10000" w:type="dxa"/>
            <w:gridSpan w:val="1"/>
            <w:noWrap/>
          </w:tcPr>
          <w:p>
            <w:pPr/>
            <w:r>
              <w:rPr/>
              <w:t xml:space="preserve">Yes</w:t>
            </w:r>
          </w:p>
        </w:tc>
      </w:tr>
      <w:tr>
        <w:trPr/>
        <w:tc>
          <w:tcPr>
            <w:tcW w:w="10000" w:type="dxa"/>
            <w:shd w:val="clear" w:fill="#D9D9D9"/>
            <w:noWrap/>
          </w:tcPr>
          <w:p>
            <w:pPr/>
            <w:r>
              <w:rPr>
                <w:b w:val="1"/>
                <w:bCs w:val="1"/>
              </w:rPr>
              <w:t xml:space="preserve">Provide a description of the change(s) to 'Safeguards'</w:t>
            </w:r>
          </w:p>
        </w:tc>
      </w:tr>
      <w:tr>
        <w:trPr/>
        <w:tc>
          <w:tcPr>
            <w:tcW w:w="10000" w:type="dxa"/>
            <w:gridSpan w:val="1"/>
            <w:noWrap/>
          </w:tcPr>
          <w:p>
            <w:pPr/>
            <w:r>
              <w:rPr/>
              <w:t xml:space="preserve">UNDP is going to guide the project implementation team on the operationalization of the SESP mitigation actions and will provide a relevant training with support from the Regional SESP Specialist</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J) Risk Analysis</w:t>
            </w:r>
          </w:p>
        </w:tc>
      </w:tr>
      <w:tr>
        <w:trPr/>
        <w:tc>
          <w:tcPr>
            <w:tcW w:w="10000" w:type="dxa"/>
            <w:gridSpan w:val="1"/>
            <w:noWrap/>
          </w:tcPr>
          <w:p>
            <w:pPr/>
            <w:r>
              <w:rPr/>
              <w:t xml:space="preserve">Yes</w:t>
            </w:r>
          </w:p>
        </w:tc>
      </w:tr>
      <w:tr>
        <w:trPr/>
        <w:tc>
          <w:tcPr>
            <w:tcW w:w="10000" w:type="dxa"/>
            <w:shd w:val="clear" w:fill="#D9D9D9"/>
            <w:noWrap/>
          </w:tcPr>
          <w:p>
            <w:pPr/>
            <w:r>
              <w:rPr>
                <w:b w:val="1"/>
                <w:bCs w:val="1"/>
              </w:rPr>
              <w:t xml:space="preserve">Provide a description of the change(s) to 'Risk Analysis'</w:t>
            </w:r>
          </w:p>
        </w:tc>
      </w:tr>
      <w:tr>
        <w:trPr/>
        <w:tc>
          <w:tcPr>
            <w:tcW w:w="10000" w:type="dxa"/>
            <w:gridSpan w:val="1"/>
            <w:noWrap/>
          </w:tcPr>
          <w:p>
            <w:pPr/>
            <w:r>
              <w:rPr/>
              <w:t xml:space="preserve">The Annual Work Plan will be revised to incorporate the main recommendations from the Mid-Term Review, with particular attention to those outlined in the management response. The risk matrix has also been updated, including adjustments to risk ratings and escalation where necessary. Corresponding risk mitigation measures will be integrated into the revised Annual Work Plan.</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K) Increase of GEF project financing up to 5%</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 to GEF project financing up to 5%</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L) Co-financing</w:t>
            </w:r>
          </w:p>
        </w:tc>
      </w:tr>
      <w:tr>
        <w:trPr/>
        <w:tc>
          <w:tcPr>
            <w:tcW w:w="10000" w:type="dxa"/>
            <w:gridSpan w:val="1"/>
            <w:noWrap/>
          </w:tcPr>
          <w:p>
            <w:pPr/>
            <w:r>
              <w:rPr/>
              <w:t xml:space="preserve">Yes</w:t>
            </w:r>
          </w:p>
        </w:tc>
      </w:tr>
      <w:tr>
        <w:trPr/>
        <w:tc>
          <w:tcPr>
            <w:tcW w:w="10000" w:type="dxa"/>
            <w:shd w:val="clear" w:fill="#D9D9D9"/>
            <w:noWrap/>
          </w:tcPr>
          <w:p>
            <w:pPr/>
            <w:r>
              <w:rPr>
                <w:b w:val="1"/>
                <w:bCs w:val="1"/>
              </w:rPr>
              <w:t xml:space="preserve">Provide a description of the change(s) to 'Co-financing'</w:t>
            </w:r>
          </w:p>
        </w:tc>
      </w:tr>
      <w:tr>
        <w:trPr/>
        <w:tc>
          <w:tcPr>
            <w:tcW w:w="10000" w:type="dxa"/>
            <w:gridSpan w:val="1"/>
            <w:noWrap/>
          </w:tcPr>
          <w:p>
            <w:pPr/>
            <w:r>
              <w:rPr/>
              <w:t xml:space="preserve">Additionally to the allocated co finances, two co-financing letters for the period 2024-2025 (Q1,Q2) were received from Mold Silvia Agency and Cahul District Authorities.</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M) Location of project activity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project location activity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Please provide a description of other types of minor amendments that do not fall under any of the above categories. For example, minor changes to the project's Gender Action Plan and/or gender activities can be captured here.</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1" w:name="_Toc11"/>
      <w:r>
        <w:t>Gender</w:t>
      </w:r>
      <w:bookmarkEnd w:id="11"/>
    </w:p>
    <w:p>
      <w:pPr>
        <w:pStyle w:val="Heading2"/>
      </w:pPr>
      <w:bookmarkStart w:id="12" w:name="_Toc12"/>
      <w:r>
        <w:t>Progress in Advancing Gender Equality and Women's Empowerment</w:t>
      </w:r>
      <w:bookmarkEnd w:id="12"/>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trPr/>
        <w:tc>
          <w:tcPr>
            <w:tcW w:w="10000" w:type="dxa"/>
            <w:noWrap/>
          </w:tcPr>
          <w:p>
            <w:pPr>
              <w:spacing w:before="0" w:after="0"/>
            </w:pPr>
            <w:r>
              <w:rPr/>
              <w:t xml:space="preserve">Gender Action Plan_ProDoc.pdf</w:t>
            </w:r>
          </w:p>
          <w:p>
            <w:pP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Quantum Gender Marker Rating</w:t>
            </w:r>
          </w:p>
        </w:tc>
      </w:tr>
      <w:tr>
        <w:trPr/>
        <w:tc>
          <w:tcPr>
            <w:tcW w:w="10000" w:type="dxa"/>
            <w:noWrap/>
          </w:tcPr>
          <w:p>
            <w:pPr/>
            <w:r>
              <w:rPr>
                <w:b w:val="1"/>
                <w:bCs w:val="1"/>
              </w:rPr>
              <w:t xml:space="preserve">GEN2: </w:t>
            </w:r>
            <w:r>
              <w:rPr/>
              <w:t xml:space="preserve">gender equality as significant objective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indicate in which results areas the project is contributing to gender equality (you may select more than one results area, or select not applicable):</w:t>
            </w:r>
          </w:p>
        </w:tc>
      </w:tr>
      <w:tr>
        <w:trPr/>
        <w:tc>
          <w:tcPr>
            <w:tcW w:w="10000" w:type="dxa"/>
            <w:gridSpan w:val="1"/>
            <w:noWrap/>
          </w:tcPr>
          <w:p>
            <w:pPr/>
            <w:r>
              <w:rPr/>
              <w:t xml:space="preserve">Contributing to closing gender gaps in access to and control over resources: No</w:t>
            </w:r>
          </w:p>
        </w:tc>
      </w:tr>
      <w:tr>
        <w:trPr/>
        <w:tc>
          <w:tcPr>
            <w:tcW w:w="10000" w:type="dxa"/>
            <w:gridSpan w:val="1"/>
            <w:noWrap/>
          </w:tcPr>
          <w:p>
            <w:pPr/>
            <w:r>
              <w:rPr/>
              <w:t xml:space="preserve">Improving the participation and decision-making of women in natural resource governance: Yes</w:t>
            </w:r>
          </w:p>
        </w:tc>
      </w:tr>
      <w:tr>
        <w:trPr/>
        <w:tc>
          <w:tcPr>
            <w:tcW w:w="10000" w:type="dxa"/>
            <w:gridSpan w:val="1"/>
            <w:noWrap/>
          </w:tcPr>
          <w:p>
            <w:pPr/>
            <w:r>
              <w:rPr/>
              <w:t xml:space="preserve">Targeting socio-economic benefits and services for women: Yes</w:t>
            </w:r>
          </w:p>
        </w:tc>
      </w:tr>
      <w:tr>
        <w:trPr/>
        <w:tc>
          <w:tcPr>
            <w:tcW w:w="10000" w:type="dxa"/>
            <w:gridSpan w:val="1"/>
            <w:noWrap/>
          </w:tcPr>
          <w:p>
            <w:pPr/>
            <w:r>
              <w:rPr/>
              <w:t xml:space="preserve">Not applicable: No</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Please specify results achieved this reporting period that focus on increasing gender equality and the empowerment of women.</w:t>
            </w:r>
          </w:p>
          <w:p>
            <w:pPr/>
            <w:r>
              <w:rPr>
                <w:b w:val="1"/>
                <w:bCs w:val="1"/>
              </w:rPr>
              <w:t xml:space="preserve"/>
            </w:r>
          </w:p>
          <w:p>
            <w:pPr/>
            <w:r>
              <w:rPr>
                <w:b w:val="1"/>
                <w:bCs w:val="1"/>
              </w:rPr>
              <w:t xml:space="preserve">Please explain how the results reported addressed the different needs of men or women, changed norms, values, and power structures, and/or contributed to transforming or challenging gender inequalities and discrimination.</w:t>
            </w:r>
          </w:p>
        </w:tc>
      </w:tr>
      <w:tr>
        <w:trPr/>
        <w:tc>
          <w:tcPr>
            <w:tcW w:w="10000" w:type="dxa"/>
            <w:gridSpan w:val="1"/>
            <w:noWrap/>
          </w:tcPr>
          <w:p>
            <w:pPr/>
            <w:r>
              <w:rPr/>
              <w:t xml:space="preserve">Due to prolonged financial and operational constraints during the reporting period, including delays in procurement and limited staff capacity, the project has not yet delivered tangible results directly targeting gender equality or the empowerment of women. As such, no gender-specific activities were launched, and no gender-disaggregated data has been collected to date.</w:t>
            </w:r>
          </w:p>
          <w:p>
            <w:pPr/>
            <w:r>
              <w:rPr/>
              <w:t xml:space="preserve">Planned Implementation of the Gender Action Plan</w:t>
            </w:r>
          </w:p>
          <w:p>
            <w:pPr/>
            <w:r>
              <w:rPr/>
              <w:t xml:space="preserve">In line with the MTR recommendations and project indicators, the following steps will be taken to ensure the effective implementation of the gender action plan:</w:t>
            </w:r>
          </w:p>
          <w:p>
            <w:pPr/>
            <w:r>
              <w:rPr/>
              <w:t xml:space="preserve">1. Recruitment of Gender Expertise</w:t>
            </w:r>
          </w:p>
          <w:p>
            <w:pPr/>
            <w:r>
              <w:rPr/>
              <w:t xml:space="preserve">A gender specialist (either as a consultant or embedded in the PMU) will be recruited to guide the integration of gender-sensitive approaches across all project components, and to ensure compliance with UNDP’s Gender Equality Strategy and GEF policy on gender mainstreaming.</w:t>
            </w:r>
          </w:p>
          <w:p>
            <w:pPr/>
            <w:r>
              <w:rPr/>
              <w:t xml:space="preserve">2. Integration of Gender Criteria into Upcoming Activities</w:t>
            </w:r>
          </w:p>
          <w:p>
            <w:pPr/>
            <w:r>
              <w:rPr/>
              <w:t xml:space="preserve">All TORs for pilot activities, stakeholder consultations, training, and KM products will include gender-responsive objectives and participation requirements. This includes:</w:t>
            </w:r>
          </w:p>
          <w:p>
            <w:pPr/>
            <w:r>
              <w:rPr/>
              <w:t xml:space="preserve">•	Ensuring equal participation of women in METT assessments, afforestation planning, and community consultations.</w:t>
            </w:r>
          </w:p>
          <w:p>
            <w:pPr/>
            <w:r>
              <w:rPr/>
              <w:t xml:space="preserve">•	Including women-led enterprises or women’s groups in the development of income-generating pilot initiatives (Outcome 3.1);</w:t>
            </w:r>
          </w:p>
          <w:p>
            <w:pPr/>
            <w:r>
              <w:rPr/>
              <w:t xml:space="preserve">•	Designing at least one KM product focused on women’s roles in ecosystem services and wetland stewardship.</w:t>
            </w:r>
          </w:p>
          <w:p>
            <w:pPr/>
            <w:r>
              <w:rPr/>
              <w:t xml:space="preserve">3. Gender-Disaggregated Data Collection</w:t>
            </w:r>
          </w:p>
          <w:p>
            <w:pPr/>
            <w:r>
              <w:rPr/>
              <w:t xml:space="preserve">All monitoring tools and reporting templates will be revised to capture gender-disaggregated data for key indicators such as:</w:t>
            </w:r>
          </w:p>
          <w:p>
            <w:pPr/>
            <w:r>
              <w:rPr/>
              <w:t xml:space="preserve">•	Number of women participating in project-supported training.</w:t>
            </w:r>
          </w:p>
          <w:p>
            <w:pPr/>
            <w:r>
              <w:rPr/>
              <w:t xml:space="preserve">•	Number of women accessing sustainable livelihood pilots.</w:t>
            </w:r>
          </w:p>
          <w:p>
            <w:pPr/>
            <w:r>
              <w:rPr/>
              <w:t xml:space="preserve">•	Qualitative data on women's decision-making roles at community and PA levels.</w:t>
            </w:r>
          </w:p>
          <w:p>
            <w:pPr/>
            <w:r>
              <w:rPr/>
              <w:t xml:space="preserve">4. Awareness Raising and Capacity Building</w:t>
            </w:r>
          </w:p>
          <w:p>
            <w:pPr/>
            <w:r>
              <w:rPr/>
              <w:t xml:space="preserve">Gender awareness sessions will be conducted for the PMU and key stakeholders (e.g., Moldsilva, PA managers, local authorities) to build institutional understanding of gender-responsive planning and budgeting.</w:t>
            </w:r>
          </w:p>
          <w:p>
            <w:pPr/>
            <w:r>
              <w:rPr/>
              <w:t xml:space="preserve">Expected Gender-Responsive Results in the Next Period</w:t>
            </w:r>
          </w:p>
          <w:p>
            <w:pPr/>
            <w:r>
              <w:rPr/>
              <w:t xml:space="preserve">Based on the restructured work plan and gender integration commitments, the following results are anticipated in the next reporting cycle:</w:t>
            </w:r>
          </w:p>
          <w:p>
            <w:pPr/>
            <w:r>
              <w:rPr/>
              <w:t xml:space="preserve">•	At least 40% female participation in community-level pilot activities;</w:t>
            </w:r>
          </w:p>
          <w:p>
            <w:pPr/>
            <w:r>
              <w:rPr/>
              <w:t xml:space="preserve">•	One knowledge product focused on gender and wetlands developed and disseminated;</w:t>
            </w:r>
          </w:p>
          <w:p>
            <w:pPr/>
            <w:r>
              <w:rPr/>
              <w:t xml:space="preserve">•	Establishment of gender-responsive targets in revised METT and management plans for protected areas.</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4) Please describe how work to advance gender equality and women's empowerment enhanced the project's environmental and/or resilience outcomes.</w:t>
            </w:r>
          </w:p>
        </w:tc>
      </w:tr>
      <w:tr>
        <w:trPr/>
        <w:tc>
          <w:tcPr>
            <w:tcW w:w="10000" w:type="dxa"/>
            <w:gridSpan w:val="1"/>
            <w:noWrap/>
          </w:tcPr>
          <w:p>
            <w:pPr/>
            <w:r>
              <w:rPr/>
              <w:t xml:space="preserve">This will be reported in the next PIR once the gender action plan will be implemented in project activities.</w:t>
            </w:r>
          </w:p>
        </w:tc>
      </w:tr>
    </w:tbl>
    <w:p>
      <w:pPr>
        <w:sectPr>
          <w:pgSz w:orient="portrait" w:w="11905.511811023622" w:h="16837.79527559055"/>
          <w:pgMar w:top="1440" w:right="1440" w:bottom="1440" w:left="1440" w:header="720" w:footer="720" w:gutter="0"/>
          <w:cols w:num="1" w:space="720"/>
        </w:sectPr>
      </w:pPr>
    </w:p>
    <w:p>
      <w:pPr>
        <w:pStyle w:val="Heading1"/>
      </w:pPr>
      <w:bookmarkStart w:id="13" w:name="_Toc13"/>
      <w:r>
        <w:t>Risk Management</w:t>
      </w:r>
      <w:bookmarkEnd w:id="13"/>
    </w:p>
    <w:p>
      <w:pPr>
        <w:pStyle w:val="Heading2"/>
      </w:pPr>
      <w:bookmarkStart w:id="14" w:name="_Toc14"/>
      <w:r>
        <w:t>A) Overall Risk Management</w:t>
      </w:r>
      <w:bookmarkEnd w:id="14"/>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discuss the risks flagged in the Quantum project Risk Register and the VF Risk Dashboard in PIMS+ with the CO and then provide an assessment of project risk management undertaken during the  reporting period. Document actions, agreed with the CO, to address all project risks in the coming year.</w:t>
            </w:r>
          </w:p>
          <w:p>
            <w:pPr/>
            <w:r>
              <w:rPr>
                <w:b w:val="1"/>
                <w:bCs w:val="1"/>
              </w:rPr>
              <w:t xml:space="preserve"/>
            </w:r>
          </w:p>
        </w:tc>
      </w:tr>
      <w:tr>
        <w:trPr/>
        <w:tc>
          <w:tcPr>
            <w:tcW w:w="10000" w:type="dxa"/>
            <w:gridSpan w:val="1"/>
            <w:noWrap/>
          </w:tcPr>
          <w:p>
            <w:pPr/>
            <w:r>
              <w:rPr/>
              <w:t xml:space="preserve">The project recently underwent its Midterm Review (MTR), which highlighted several critical issues requiring immediate attention from the Implementing Partner (IP), with support from UNDP.</w:t>
            </w:r>
          </w:p>
          <w:p>
            <w:pPr/>
            <w:r>
              <w:rPr/>
              <w:t xml:space="preserve">Midterm Status Overview:</w:t>
            </w:r>
          </w:p>
          <w:p>
            <w:pPr/>
            <w:r>
              <w:rPr/>
              <w:t xml:space="preserve">SESA and ESIA and other Safeguards need to be conducted.</w:t>
            </w:r>
          </w:p>
          <w:p>
            <w:pPr/>
            <w:r>
              <w:rPr/>
              <w:t xml:space="preserve">METT assessments have not been updated at midterm, as required under Core Indicator 1.</w:t>
            </w:r>
          </w:p>
          <w:p>
            <w:pPr/>
            <w:r>
              <w:rPr/>
              <w:t xml:space="preserve">There is no gender-disaggregated beneficiary tracking system in place, impacting reporting under Outcomes 3 and 4.</w:t>
            </w:r>
          </w:p>
          <w:p>
            <w:pPr/>
            <w:r>
              <w:rPr/>
              <w:t xml:space="preserve">A results-based dashboard or evaluation matrix has not been consistently utilized.</w:t>
            </w:r>
          </w:p>
          <w:p>
            <w:pPr/>
            <w:r>
              <w:rPr/>
              <w:t xml:space="preserve">Although an M&amp;E Officer was planned, the position was never successfully filled.</w:t>
            </w:r>
          </w:p>
          <w:p>
            <w:pPr/>
            <w:r>
              <w:rPr/>
              <w:t xml:space="preserve">Key Undermining Factors:</w:t>
            </w:r>
          </w:p>
          <w:p>
            <w:pPr/>
            <w:r>
              <w:rPr/>
              <w:t xml:space="preserve">Recruitment Challenges: The failure to board a dedicated M&amp;E focal point has hindered progress tracking and coordination.</w:t>
            </w:r>
          </w:p>
          <w:p>
            <w:pPr/>
            <w:r>
              <w:rPr/>
              <w:t xml:space="preserve">Documentation Deficiencies: There are no consolidated database or structured updates to the project results framework. Beneficiary tracking remains limited.</w:t>
            </w:r>
          </w:p>
          <w:p>
            <w:pPr/>
            <w:r>
              <w:rPr/>
              <w:t xml:space="preserve">Output Dependency: M&amp;E efforts rely heavily on field-level outputs (e.g., biodiversity data, economic indicators), many of which have not been collected or are unavailable.</w:t>
            </w:r>
          </w:p>
          <w:p>
            <w:pPr/>
            <w:r>
              <w:rPr/>
              <w:t xml:space="preserve">Management Response and Next Steps: A comprehensive set of corrective actions has been outlined in the management response including deadlines and the person responsible for implementation has been identified. These include prioritizing the recruitment of the M&amp;E Officer to strengthen project implementation and ensure systematic monitoring of identified risks. All risks have been updated in Quantum, and the finalized management responses have been uploaded to the Evaluation Resource Center. These will be closely monitored by the Country Office and the Project Steering Committee to ensure accountability and progress.</w:t>
            </w:r>
          </w:p>
          <w:p>
            <w:pPr/>
            <w:r>
              <w:rPr/>
              <w:t xml:space="preserve"/>
            </w:r>
          </w:p>
          <w:p>
            <w:pPr/>
            <w:r>
              <w:rPr/>
              <w:t xml:space="preserve"/>
            </w:r>
          </w:p>
        </w:tc>
      </w:tr>
    </w:tbl>
    <w:p>
      <w:pPr>
        <w:pStyle w:val="Heading2"/>
      </w:pPr>
      <w:bookmarkStart w:id="15" w:name="_Toc15"/>
      <w:r>
        <w:t>B) SES Implementation</w:t>
      </w:r>
      <w:bookmarkEnd w:id="15"/>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2b) Provide an update on progress, challenges and outcomes related to stakeholder engagement based on the description in the Stakeholder Engagement Plan or equivalent documentation submitted at CEO Endorsement/Approval.</w:t>
            </w:r>
          </w:p>
        </w:tc>
      </w:tr>
      <w:tr>
        <w:trPr/>
        <w:tc>
          <w:tcPr>
            <w:tcW w:w="10000" w:type="dxa"/>
            <w:gridSpan w:val="1"/>
            <w:noWrap/>
          </w:tcPr>
          <w:p>
            <w:pPr/>
            <w:r>
              <w:rPr/>
              <w:t xml:space="preserve">No stakeholders initiation plan is available yet and the project team is advised to initiate recruitment of a dedicated Communication Officer</w:t>
            </w:r>
          </w:p>
        </w:tc>
      </w:tr>
    </w:tbl>
    <w:p>
      <w:pPr>
        <w:sectPr>
          <w:pgSz w:orient="portrait" w:w="11905.511811023622" w:h="16837.79527559055"/>
          <w:pgMar w:top="1440" w:right="1440" w:bottom="1440" w:left="1440" w:header="720" w:footer="720" w:gutter="0"/>
          <w:cols w:num="1" w:space="720"/>
        </w:sectPr>
      </w:pPr>
    </w:p>
    <w:p>
      <w:pPr>
        <w:pStyle w:val="Heading1"/>
      </w:pPr>
      <w:bookmarkStart w:id="16" w:name="_Toc16"/>
      <w:r>
        <w:t>Knowledge Management &amp; Communications</w:t>
      </w:r>
      <w:bookmarkEnd w:id="16"/>
    </w:p>
    <w:p>
      <w:pPr>
        <w:spacing w:before="0" w:after="0"/>
      </w:pPr>
      <w:r>
        <w:rPr/>
        <w:t xml:space="preserve"/>
      </w:r>
    </w:p>
    <w:p>
      <w:pPr/>
      <w:r>
        <w:rPr/>
        <w:t xml:space="preserve"> </w:t>
      </w:r>
    </w:p>
    <w:p>
      <w:pPr/>
      <w:r>
        <w:rPr/>
        <w:t xml:space="preserve">The </w:t>
      </w:r>
      <w:r>
        <w:rPr>
          <w:b w:val="1"/>
          <w:bCs w:val="1"/>
        </w:rPr>
        <w:t xml:space="preserve">Project Manager</w:t>
      </w:r>
      <w:r>
        <w:rPr/>
        <w:t xml:space="preserve"> must complete the three questions below.</w:t>
      </w:r>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provide progress on the implementation of the project's Knowledge Management approach approved at CEO Endorsement/Approval.  If there is no KM approach/strategy, please comment on how the project is capturing and disseminating best practices and lessons learned.</w:t>
            </w:r>
          </w:p>
          <w:p>
            <w:pPr/>
            <w:r>
              <w:rPr>
                <w:b w:val="1"/>
                <w:bCs w:val="1"/>
              </w:rPr>
              <w:t xml:space="preserve"/>
            </w:r>
          </w:p>
        </w:tc>
      </w:tr>
      <w:tr>
        <w:trPr/>
        <w:tc>
          <w:tcPr>
            <w:tcW w:w="10000" w:type="dxa"/>
            <w:gridSpan w:val="1"/>
            <w:noWrap/>
          </w:tcPr>
          <w:p>
            <w:pPr/>
            <w:r>
              <w:rPr/>
              <w:t xml:space="preserve">To date, no knowledge management (KM) products have been developed due to challenges related to ineligible expenditure. The lack of available financial resources has delayed the initiation of key processes required for the development, contracting, and dissemination of the planned KM products. This issue has also impacted progress across several related indicators. The relaunch of KM activities will only be feasible once funds are released and the project’s administrative and operational functions are fully stabilized.</w:t>
            </w:r>
          </w:p>
          <w:p>
            <w:pPr/>
            <w:r>
              <w:rPr/>
              <w:t xml:space="preserve">Nevertheless, in alignment with the recommendations from the Midterm Review (MTR) report, the project plans to develop six KM products in a simplified, practical, and results-oriented format. Additionally, the project aims to conduct 20 gender-sensitive awareness-raising events in the coming months, leading up to project completion.</w:t>
            </w:r>
          </w:p>
          <w:p>
            <w:pPr/>
            <w:r>
              <w:rPr/>
              <w:t xml:space="preserve">Furthermore, in collaboration with BIOFIN and the National Ecological Fund, the project will produce a synthesis note to highlight how its interventions can be integrated into Moldova’s national financial architecture. This note will serve as a strategic tool for advocacy and institutional engagement.</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provide URLs specific to this project in the relevant field below.  Please categorize the URLs appropriately (for example: project websites, social media sites, media coverage, etc.)</w:t>
            </w:r>
          </w:p>
        </w:tc>
      </w:tr>
      <w:tr>
        <w:trPr/>
        <w:tc>
          <w:tcPr>
            <w:tcW w:w="10000" w:type="dxa"/>
            <w:gridSpan w:val="1"/>
            <w:noWrap/>
          </w:tcPr>
          <w:p>
            <w:pPr/>
            <w:r>
              <w:rPr/>
              <w:t xml:space="preserve">https://mediu.gov.md/ro/content/527</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In the PIR platform, please upload any supporting files, including the project's Communications Strategy, photos, videos, stories and other communication/knowledge materials.</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7" w:name="_Toc17"/>
      <w:r>
        <w:t>Annex - Ratings Definitions</w:t>
      </w:r>
      <w:bookmarkEnd w:id="17"/>
    </w:p>
    <w:p>
      <w:pPr/>
      <w:r>
        <w:rPr>
          <w:b w:val="1"/>
          <w:bCs w:val="1"/>
        </w:rPr>
        <w:t xml:space="preserve">Development Objective Progress Ratings Definitions</w:t>
      </w:r>
    </w:p>
    <w:p>
      <w:pPr/>
      <w:r>
        <w:rPr/>
        <w:t xml:space="preserve">(HS) Highly Satisfactory: Project is on track to exceed its end-of-project targets by project closure. The project can be presented as 'outstanding practice'.</w:t>
      </w:r>
    </w:p>
    <w:p>
      <w:pPr/>
      <w:r>
        <w:rPr/>
        <w:t xml:space="preserve">(S) Satisfactory: Project is on track to achieve its end-of-project targets by project closure and any minor challenges are being addressed through an adaptive management plan. The project can be presented as 'good practice'.</w:t>
      </w:r>
    </w:p>
    <w:p>
      <w:pPr/>
      <w:r>
        <w:rPr/>
        <w:t xml:space="preserve">(MS) Moderately Satisfactory: Project is on track to achieve its end-of-project targets by project closure and minor challenges can be addressed if an adaptive management plan is promptly put in place.</w:t>
      </w:r>
    </w:p>
    <w:p>
      <w:pPr/>
      <w:r>
        <w:rPr/>
        <w:t xml:space="preserve">(MU) Moderately Unsatisfactory: Project is off track and is expected to only partially achieve its end-of-project targets by project closure. Project results might still be achieved by project closure if adaptive management is undertaken immediately.</w:t>
      </w:r>
    </w:p>
    <w:p>
      <w:pPr/>
      <w:r>
        <w:rPr/>
        <w:t xml:space="preserve">(U) Unsatisfactory: Project is off track and is expected to only partially achieve its end-of-project targets by project closure. Project results might be partially achieved by project closure if major adaptive management is undertaken immediately.</w:t>
      </w:r>
    </w:p>
    <w:p>
      <w:pPr/>
      <w:r>
        <w:rPr/>
        <w:t xml:space="preserve">(HU) Highly Unsatisfactory: Project is off track and is not expected to achieve its end-of-project targets by project closure and adaptive management is not expected to materialize.</w:t>
      </w:r>
    </w:p>
    <w:p/>
    <w:p>
      <w:pPr/>
      <w:r>
        <w:rPr>
          <w:b w:val="1"/>
          <w:bCs w:val="1"/>
        </w:rPr>
        <w:t xml:space="preserve">Implementation Progress Ratings Definitions</w:t>
      </w:r>
    </w:p>
    <w:p>
      <w:pPr/>
      <w:r>
        <w:rPr/>
        <w:t xml:space="preserve">(HS) Highly Satisfactory: Implementation is exceeding expectations. Implementation of all outputs/activities is fully on track, proceeding as planned, The implementation of the project can be presented as 'outstanding practice'.</w:t>
      </w:r>
    </w:p>
    <w:p>
      <w:pPr/>
      <w:r>
        <w:rPr/>
        <w:t xml:space="preserve">(S) Satisfactory: Implementation is proceeding as planned with minor challenges that are being addressed. Implementation of all outputs/activities is on track with minor deviations The implementation of the project can be presented as 'good practice'. </w:t>
      </w:r>
    </w:p>
    <w:p>
      <w:pPr/>
      <w:r>
        <w:rPr/>
        <w:t xml:space="preserve">(MS) Moderately Satisfactory: Implementation is proceeding as planned with minor challenges that have not yet been addressed. Implementation of most outputs/activities is on track with minor deviations.</w:t>
      </w:r>
    </w:p>
    <w:p>
      <w:pPr/>
      <w:r>
        <w:rPr/>
        <w:t xml:space="preserve">(MU) Moderately Unsatisfactory: Implementation is not proceeding as planned and faces implementation challenges. Implementation of many outputs/activities is off track Implementation progress could be improved if adaptive management is undertaken immediately.</w:t>
      </w:r>
    </w:p>
    <w:p>
      <w:pPr/>
      <w:r>
        <w:rPr/>
        <w:t xml:space="preserve">(U) Unsatisfactory: Implementation is not proceeding as planned and faces major implementation challenges. Implementation of most outputs/activities is off track.</w:t>
      </w:r>
    </w:p>
    <w:p>
      <w:pPr/>
      <w:r>
        <w:rPr/>
        <w:t xml:space="preserve">(HU) Highly Unsatisfactory: Implementation is seriously under-performing. Implementation of all outputs/activities is severely off track.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Page </w:t>
    </w:r>
    <w:r>
      <w:fldChar w:fldCharType="begin"/>
    </w:r>
    <w:r>
      <w:instrText xml:space="preserve">PAGE</w:instrText>
    </w:r>
    <w:r>
      <w:fldChar w:fldCharType="separate"/>
    </w:r>
    <w:r>
      <w:fldChar w:fldCharType="end"/>
    </w:r>
    <w:r>
      <w:t xml:space="preserve"> of </w:t>
    </w:r>
    <w:r>
      <w:fldChar w:fldCharType="begin"/>
    </w:r>
    <w: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2025 Project Implementation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F37576"/>
    <w:multiLevelType w:val="multilevel"/>
    <w:lvl w:ilvl="0">
      <w:start w:val="1"/>
      <w:numFmt w:val="upperLetter"/>
      <w:pStyle w:val="Heading1"/>
      <w:suff w:val="tab"/>
      <w:lvlText w:val="%1."/>
      <w:pPr>
        <w:tabs>
          <w:tab w:val="num"/>
        </w:tabs>
        <w:ind/>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numPr>
        <w:numId w:val="1"/>
        <w:ilvl w:val="0"/>
      </w:numPr>
      <w:outlineLvl w:val="0"/>
    </w:pPr>
    <w:rPr>
      <w:sz w:val="28"/>
      <w:szCs w:val="28"/>
      <w:b w:val="1"/>
      <w:bCs w:val="1"/>
    </w:rPr>
  </w:style>
  <w:style w:type="paragraph" w:styleId="Heading2">
    <w:link w:val="Heading2Char"/>
    <w:name w:val="heading 2"/>
    <w:basedOn w:val="Normal"/>
    <w:pPr>
      <w:spacing w:before="40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section_image2.jp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section_image1.gif"/><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thegef.org/sites/default/files/documents/2022-04/GEF_R.08_31_GEF-8_Policy_Directions.pdf" TargetMode="External"/><Relationship Id="rId4" Type="http://schemas.openxmlformats.org/officeDocument/2006/relationships/theme" Target="theme/theme1.xml"/><Relationship Id="rId9" Type="http://schemas.openxmlformats.org/officeDocument/2006/relationships/hyperlink" Target="https://www.thegef.org/council-meeting-documents/guidelines-project-and-program-cycle-policy-2020-updat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B0564 - Moldova Republic</OfficeCountry>
    <DocumentStatus xmlns="d9cf0e28-81d2-4dc7-8b10-820d80ed680d">Approved</DocumentStatus>
    <DocCoverageEndDate xmlns="d9cf0e28-81d2-4dc7-8b10-820d80ed680d">2025-06-30T04:00:00+00:00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 Prut River basin project 2025</FileNameDescription>
    <ProjectNumber xmlns="d9cf0e28-81d2-4dc7-8b10-820d80ed680d">00111724</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UNDP-MDA</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2024-07-01T04:00:00+00:00</DocCoverageStartDate>
    <FileClassificationMode xmlns="d9cf0e28-81d2-4dc7-8b10-820d80ed680d">Public</FileClassificationMode>
    <OutputNumber xmlns="d9cf0e28-81d2-4dc7-8b10-820d80ed680d">00110584</OutputNumber>
  </documentManagement>
</p:properties>
</file>

<file path=customXml/itemProps1.xml><?xml version="1.0" encoding="utf-8"?>
<ds:datastoreItem xmlns:ds="http://schemas.openxmlformats.org/officeDocument/2006/customXml" ds:itemID="{C4BC576D-571C-4C9E-ACC1-69F5BBD9A2FA}"/>
</file>

<file path=customXml/itemProps2.xml><?xml version="1.0" encoding="utf-8"?>
<ds:datastoreItem xmlns:ds="http://schemas.openxmlformats.org/officeDocument/2006/customXml" ds:itemID="{798D7B5C-C98F-4C25-A1C1-4A1AD8F289B1}"/>
</file>

<file path=customXml/itemProps3.xml><?xml version="1.0" encoding="utf-8"?>
<ds:datastoreItem xmlns:ds="http://schemas.openxmlformats.org/officeDocument/2006/customXml" ds:itemID="{F937ACFA-14B8-4159-8721-B55913C5C03C}"/>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Prut River basin project 2025</dc:title>
  <dc:subject/>
  <dc:creator/>
  <cp:keywords/>
  <dc:description/>
  <cp:lastModifiedBy/>
  <dcterms:created xsi:type="dcterms:W3CDTF">2025-08-25T23:37:15Z</dcterms:created>
  <dcterms:modified xsi:type="dcterms:W3CDTF">2025-08-25T23:37:15Z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