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pict>
          <v:shape type="#_x0000_t75" stroked="f" style="width:83.149606299213pt; height:91.086614173228pt; margin-left:0pt; margin-top:0pt; position:absolute; mso-position-horizontal:left; mso-position-vertical:top; mso-position-horizontal-relative:margin; mso-position-vertical-relative:line;">
            <w10:wrap type="square" anchorx="page" anchory="page"/>
            <v:imagedata r:id="rId7" o:title=""/>
          </v:shape>
        </w:pict>
      </w:r>
      <w:r>
        <w:pict>
          <v:shape type="#_x0000_t75" stroked="f" style="width:67.275590551181pt; height:120.18897637795pt; margin-left:0pt; margin-top:0pt; position:absolute; mso-position-horizontal:right; mso-position-vertical:top; mso-position-horizontal-relative:margin; mso-position-vertical-relative:line;">
            <w10:wrap type="square" anchorx="page" anchory="page"/>
            <v:imagedata r:id="rId8" o:title=""/>
          </v:shape>
        </w:pict>
      </w:r>
    </w:p>
    <w:p>
      <w:pPr>
        <w:jc w:val="center"/>
      </w:pPr>
      <w:r>
        <w:rPr>
          <w:sz w:val="28"/>
          <w:szCs w:val="28"/>
        </w:rPr>
        <w:t xml:space="preserve">2025</w:t>
      </w:r>
    </w:p>
    <w:p>
      <w:pPr>
        <w:jc w:val="center"/>
      </w:pPr>
      <w:r>
        <w:rPr>
          <w:sz w:val="28"/>
          <w:szCs w:val="28"/>
        </w:rPr>
        <w:t xml:space="preserve">Project Implementation Report (PIR)</w:t>
      </w:r>
    </w:p>
    <w:p>
      <w:pPr/>
      <w:r>
        <w:rPr/>
        <w:t xml:space="preserve"/>
      </w:r>
    </w:p>
    <w:p>
      <w:pPr/>
      <w:r>
        <w:rPr/>
        <w:t xml:space="preserve"/>
      </w:r>
    </w:p>
    <w:p>
      <w:pPr/>
      <w:r>
        <w:rPr/>
        <w:t xml:space="preserve"/>
      </w:r>
    </w:p>
    <w:p>
      <w:pPr>
        <w:jc w:val="center"/>
      </w:pPr>
      <w:r>
        <w:rPr>
          <w:sz w:val="28"/>
          <w:szCs w:val="28"/>
          <w:b w:val="1"/>
          <w:bCs w:val="1"/>
        </w:rPr>
        <w:t xml:space="preserve">ICEAFT</w:t>
      </w:r>
    </w:p>
    <w:p>
      <w:pPr>
        <w:tabs>
          <w:tab w:val="right" w:leader="dot" w:pos="9062"/>
        </w:tabs>
      </w:pPr>
      <w:r>
        <w:fldChar w:fldCharType="begin"/>
      </w:r>
      <w:r>
        <w:instrText xml:space="preserve">TOC \o 1-1 \h \z \u</w:instrText>
      </w:r>
      <w:r>
        <w:fldChar w:fldCharType="separate"/>
      </w:r>
      <w:hyperlink w:anchor="_Toc0" w:history="1">
        <w:r>
          <w:t>Basic Data</w:t>
        </w:r>
        <w:r>
          <w:tab/>
        </w:r>
        <w:r>
          <w:fldChar w:fldCharType="begin"/>
        </w:r>
        <w:r>
          <w:instrText xml:space="preserve">PAGEREF 0 \h</w:instrText>
        </w:r>
        <w:r>
          <w:fldChar w:fldCharType="end"/>
        </w:r>
      </w:hyperlink>
    </w:p>
    <w:p>
      <w:pPr>
        <w:tabs>
          <w:tab w:val="right" w:leader="dot" w:pos="9062"/>
        </w:tabs>
      </w:pPr>
      <w:hyperlink w:anchor="_Toc1" w:history="1">
        <w:r>
          <w:t>Key project dates</w:t>
        </w:r>
        <w:r>
          <w:tab/>
        </w:r>
        <w:r>
          <w:fldChar w:fldCharType="begin"/>
        </w:r>
        <w:r>
          <w:instrText xml:space="preserve">PAGEREF 1 \h</w:instrText>
        </w:r>
        <w:r>
          <w:fldChar w:fldCharType="end"/>
        </w:r>
      </w:hyperlink>
    </w:p>
    <w:p>
      <w:pPr>
        <w:tabs>
          <w:tab w:val="right" w:leader="dot" w:pos="9062"/>
        </w:tabs>
      </w:pPr>
      <w:hyperlink w:anchor="_Toc2" w:history="1">
        <w:r>
          <w:t>Overall ratings</w:t>
        </w:r>
        <w:r>
          <w:tab/>
        </w:r>
        <w:r>
          <w:fldChar w:fldCharType="begin"/>
        </w:r>
        <w:r>
          <w:instrText xml:space="preserve">PAGEREF 2 \h</w:instrText>
        </w:r>
        <w:r>
          <w:fldChar w:fldCharType="end"/>
        </w:r>
      </w:hyperlink>
    </w:p>
    <w:p>
      <w:pPr>
        <w:tabs>
          <w:tab w:val="right" w:leader="dot" w:pos="9062"/>
        </w:tabs>
      </w:pPr>
      <w:hyperlink w:anchor="_Toc3" w:history="1">
        <w:r>
          <w:t>Development Objective Progress</w:t>
        </w:r>
        <w:r>
          <w:tab/>
        </w:r>
        <w:r>
          <w:fldChar w:fldCharType="begin"/>
        </w:r>
        <w:r>
          <w:instrText xml:space="preserve">PAGEREF 3 \h</w:instrText>
        </w:r>
        <w:r>
          <w:fldChar w:fldCharType="end"/>
        </w:r>
      </w:hyperlink>
    </w:p>
    <w:p>
      <w:pPr>
        <w:tabs>
          <w:tab w:val="right" w:leader="dot" w:pos="9062"/>
        </w:tabs>
      </w:pPr>
      <w:hyperlink w:anchor="_Toc4" w:history="1">
        <w:r>
          <w:t>Finance/Co-Finance</w:t>
        </w:r>
        <w:r>
          <w:tab/>
        </w:r>
        <w:r>
          <w:fldChar w:fldCharType="begin"/>
        </w:r>
        <w:r>
          <w:instrText xml:space="preserve">PAGEREF 4 \h</w:instrText>
        </w:r>
        <w:r>
          <w:fldChar w:fldCharType="end"/>
        </w:r>
      </w:hyperlink>
    </w:p>
    <w:p>
      <w:pPr>
        <w:tabs>
          <w:tab w:val="right" w:leader="dot" w:pos="9062"/>
        </w:tabs>
      </w:pPr>
      <w:hyperlink w:anchor="_Toc6" w:history="1">
        <w:r>
          <w:t>Implementation Progress</w:t>
        </w:r>
        <w:r>
          <w:tab/>
        </w:r>
        <w:r>
          <w:fldChar w:fldCharType="begin"/>
        </w:r>
        <w:r>
          <w:instrText xml:space="preserve">PAGEREF 6 \h</w:instrText>
        </w:r>
        <w:r>
          <w:fldChar w:fldCharType="end"/>
        </w:r>
      </w:hyperlink>
    </w:p>
    <w:p>
      <w:pPr>
        <w:tabs>
          <w:tab w:val="right" w:leader="dot" w:pos="9062"/>
        </w:tabs>
      </w:pPr>
      <w:hyperlink w:anchor="_Toc7" w:history="1">
        <w:r>
          <w:t>Project Governance</w:t>
        </w:r>
        <w:r>
          <w:tab/>
        </w:r>
        <w:r>
          <w:fldChar w:fldCharType="begin"/>
        </w:r>
        <w:r>
          <w:instrText xml:space="preserve">PAGEREF 7 \h</w:instrText>
        </w:r>
        <w:r>
          <w:fldChar w:fldCharType="end"/>
        </w:r>
      </w:hyperlink>
    </w:p>
    <w:p>
      <w:pPr>
        <w:tabs>
          <w:tab w:val="right" w:leader="dot" w:pos="9062"/>
        </w:tabs>
      </w:pPr>
      <w:hyperlink w:anchor="_Toc8" w:history="1">
        <w:r>
          <w:t>Ratings and Overall Assessments</w:t>
        </w:r>
        <w:r>
          <w:tab/>
        </w:r>
        <w:r>
          <w:fldChar w:fldCharType="begin"/>
        </w:r>
        <w:r>
          <w:instrText xml:space="preserve">PAGEREF 8 \h</w:instrText>
        </w:r>
        <w:r>
          <w:fldChar w:fldCharType="end"/>
        </w:r>
      </w:hyperlink>
    </w:p>
    <w:p>
      <w:pPr>
        <w:tabs>
          <w:tab w:val="right" w:leader="dot" w:pos="9062"/>
        </w:tabs>
      </w:pPr>
      <w:hyperlink w:anchor="_Toc9" w:history="1">
        <w:r>
          <w:t>Minor Amendments</w:t>
        </w:r>
        <w:r>
          <w:tab/>
        </w:r>
        <w:r>
          <w:fldChar w:fldCharType="begin"/>
        </w:r>
        <w:r>
          <w:instrText xml:space="preserve">PAGEREF 9 \h</w:instrText>
        </w:r>
        <w:r>
          <w:fldChar w:fldCharType="end"/>
        </w:r>
      </w:hyperlink>
    </w:p>
    <w:p>
      <w:pPr>
        <w:tabs>
          <w:tab w:val="right" w:leader="dot" w:pos="9062"/>
        </w:tabs>
      </w:pPr>
      <w:hyperlink w:anchor="_Toc10" w:history="1">
        <w:r>
          <w:t>Gender</w:t>
        </w:r>
        <w:r>
          <w:tab/>
        </w:r>
        <w:r>
          <w:fldChar w:fldCharType="begin"/>
        </w:r>
        <w:r>
          <w:instrText xml:space="preserve">PAGEREF 10 \h</w:instrText>
        </w:r>
        <w:r>
          <w:fldChar w:fldCharType="end"/>
        </w:r>
      </w:hyperlink>
    </w:p>
    <w:p>
      <w:pPr>
        <w:tabs>
          <w:tab w:val="right" w:leader="dot" w:pos="9062"/>
        </w:tabs>
      </w:pPr>
      <w:hyperlink w:anchor="_Toc12" w:history="1">
        <w:r>
          <w:t>Risk Management</w:t>
        </w:r>
        <w:r>
          <w:tab/>
        </w:r>
        <w:r>
          <w:fldChar w:fldCharType="begin"/>
        </w:r>
        <w:r>
          <w:instrText xml:space="preserve">PAGEREF 12 \h</w:instrText>
        </w:r>
        <w:r>
          <w:fldChar w:fldCharType="end"/>
        </w:r>
      </w:hyperlink>
    </w:p>
    <w:p>
      <w:pPr>
        <w:tabs>
          <w:tab w:val="right" w:leader="dot" w:pos="9062"/>
        </w:tabs>
      </w:pPr>
      <w:hyperlink w:anchor="_Toc15" w:history="1">
        <w:r>
          <w:t>Knowledge Management &amp; Communications</w:t>
        </w:r>
        <w:r>
          <w:tab/>
        </w:r>
        <w:r>
          <w:fldChar w:fldCharType="begin"/>
        </w:r>
        <w:r>
          <w:instrText xml:space="preserve">PAGEREF 15 \h</w:instrText>
        </w:r>
        <w:r>
          <w:fldChar w:fldCharType="end"/>
        </w:r>
      </w:hyperlink>
    </w:p>
    <w:p>
      <w:pPr>
        <w:tabs>
          <w:tab w:val="right" w:leader="dot" w:pos="9062"/>
        </w:tabs>
      </w:pPr>
      <w:hyperlink w:anchor="_Toc16" w:history="1">
        <w:r>
          <w:t>Annex - Ratings Definitions</w:t>
        </w:r>
        <w:r>
          <w:tab/>
        </w:r>
        <w:r>
          <w:fldChar w:fldCharType="begin"/>
        </w:r>
        <w:r>
          <w:instrText xml:space="preserve">PAGEREF 16 \h</w:instrText>
        </w:r>
        <w:r>
          <w:fldChar w:fldCharType="end"/>
        </w:r>
      </w:hyperlink>
    </w:p>
    <w:p>
      <w:r>
        <w:fldChar w:fldCharType="end"/>
      </w:r>
    </w:p>
    <w:p>
      <w:pPr>
        <w:sectPr>
          <w:headerReference w:type="default" r:id="rId11"/>
          <w:footerReference w:type="default" r:id="rId12"/>
          <w:pgSz w:orient="portrait" w:w="11905.511811023622" w:h="16837.79527559055"/>
          <w:pgMar w:top="1440" w:right="1440" w:bottom="1440" w:left="1440" w:header="720" w:footer="720" w:gutter="0"/>
          <w:cols w:num="1" w:space="720"/>
        </w:sectPr>
      </w:pPr>
    </w:p>
    <w:p>
      <w:pPr>
        <w:pStyle w:val="Heading1"/>
      </w:pPr>
      <w:bookmarkStart w:id="0" w:name="_Toc0"/>
      <w:r>
        <w:t>Basic Data</w:t>
      </w:r>
      <w:bookmarkEnd w:id="0"/>
    </w:p>
    <w:tbl>
      <w:tblGrid>
        <w:gridCol w:w="5000" w:type="dxa"/>
        <w:gridCol w:w="5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2"/>
            <w:noWrap/>
          </w:tcPr>
          <w:p>
            <w:pPr/>
            <w:r>
              <w:rPr>
                <w:b w:val="1"/>
                <w:bCs w:val="1"/>
              </w:rPr>
              <w:t xml:space="preserve">Project Information</w:t>
            </w:r>
          </w:p>
        </w:tc>
      </w:tr>
      <w:tr>
        <w:trPr/>
        <w:tc>
          <w:tcPr>
            <w:tcW w:w="5000" w:type="dxa"/>
            <w:gridSpan w:val="1"/>
            <w:noWrap/>
          </w:tcPr>
          <w:p>
            <w:pPr/>
            <w:r>
              <w:rPr/>
              <w:t xml:space="preserve">UNDP PIMS ID</w:t>
            </w:r>
          </w:p>
        </w:tc>
        <w:tc>
          <w:tcPr>
            <w:tcW w:w="5000" w:type="dxa"/>
            <w:gridSpan w:val="1"/>
            <w:noWrap/>
          </w:tcPr>
          <w:p>
            <w:pPr/>
            <w:r>
              <w:rPr/>
              <w:t xml:space="preserve">5804</w:t>
            </w:r>
          </w:p>
        </w:tc>
      </w:tr>
      <w:tr>
        <w:trPr/>
        <w:tc>
          <w:tcPr>
            <w:tcW w:w="5000" w:type="dxa"/>
            <w:gridSpan w:val="1"/>
            <w:noWrap/>
          </w:tcPr>
          <w:p>
            <w:pPr/>
            <w:r>
              <w:rPr/>
              <w:t xml:space="preserve">GEF ID</w:t>
            </w:r>
          </w:p>
        </w:tc>
        <w:tc>
          <w:tcPr>
            <w:tcW w:w="5000" w:type="dxa"/>
            <w:gridSpan w:val="1"/>
            <w:noWrap/>
          </w:tcPr>
          <w:p>
            <w:pPr/>
            <w:r>
              <w:rPr/>
              <w:t xml:space="preserve">9372</w:t>
            </w:r>
          </w:p>
        </w:tc>
      </w:tr>
      <w:tr>
        <w:trPr/>
        <w:tc>
          <w:tcPr>
            <w:tcW w:w="5000" w:type="dxa"/>
            <w:gridSpan w:val="1"/>
            <w:noWrap/>
          </w:tcPr>
          <w:p>
            <w:pPr/>
            <w:r>
              <w:rPr/>
              <w:t xml:space="preserve">Title</w:t>
            </w:r>
          </w:p>
        </w:tc>
        <w:tc>
          <w:tcPr>
            <w:tcW w:w="5000" w:type="dxa"/>
            <w:gridSpan w:val="1"/>
            <w:noWrap/>
          </w:tcPr>
          <w:p>
            <w:pPr/>
            <w:r>
              <w:rPr/>
              <w:t xml:space="preserve">Managing together: Integrating community-centered, ecosystem-based approaches into forestry and tourism sectors</w:t>
            </w:r>
          </w:p>
        </w:tc>
      </w:tr>
      <w:tr>
        <w:trPr/>
        <w:tc>
          <w:tcPr>
            <w:tcW w:w="5000" w:type="dxa"/>
            <w:gridSpan w:val="1"/>
            <w:noWrap/>
          </w:tcPr>
          <w:p>
            <w:pPr/>
            <w:r>
              <w:rPr/>
              <w:t xml:space="preserve">Country(ies)</w:t>
            </w:r>
          </w:p>
        </w:tc>
        <w:tc>
          <w:tcPr>
            <w:tcW w:w="5000" w:type="dxa"/>
            <w:gridSpan w:val="1"/>
            <w:noWrap/>
          </w:tcPr>
          <w:p>
            <w:pPr/>
            <w:r>
              <w:rPr/>
              <w:t xml:space="preserve">Sri Lanka, Sri Lanka</w:t>
            </w:r>
          </w:p>
        </w:tc>
      </w:tr>
      <w:tr>
        <w:trPr/>
        <w:tc>
          <w:tcPr>
            <w:tcW w:w="5000" w:type="dxa"/>
            <w:gridSpan w:val="1"/>
            <w:noWrap/>
          </w:tcPr>
          <w:p>
            <w:pPr/>
            <w:r>
              <w:rPr/>
              <w:t xml:space="preserve">UNDP Technical Team</w:t>
            </w:r>
          </w:p>
        </w:tc>
        <w:tc>
          <w:tcPr>
            <w:tcW w:w="5000" w:type="dxa"/>
            <w:gridSpan w:val="1"/>
            <w:noWrap/>
          </w:tcPr>
          <w:p>
            <w:pPr/>
            <w:r>
              <w:rPr/>
              <w:t xml:space="preserve">Ecosystems and Biodiversity</w:t>
            </w:r>
          </w:p>
        </w:tc>
      </w:tr>
      <w:tr>
        <w:trPr/>
        <w:tc>
          <w:tcPr>
            <w:tcW w:w="5000" w:type="dxa"/>
            <w:gridSpan w:val="1"/>
            <w:noWrap/>
          </w:tcPr>
          <w:p>
            <w:pPr/>
            <w:r>
              <w:rPr/>
              <w:t xml:space="preserve">Management Arrangements</w:t>
            </w:r>
          </w:p>
        </w:tc>
        <w:tc>
          <w:tcPr>
            <w:tcW w:w="5000" w:type="dxa"/>
            <w:gridSpan w:val="1"/>
            <w:noWrap/>
          </w:tcPr>
          <w:p>
            <w:pPr/>
            <w:r>
              <w:rPr/>
              <w:t xml:space="preserve">NIM</w:t>
            </w:r>
          </w:p>
        </w:tc>
      </w:tr>
      <w:tr>
        <w:trPr/>
        <w:tc>
          <w:tcPr>
            <w:tcW w:w="5000" w:type="dxa"/>
            <w:gridSpan w:val="1"/>
            <w:noWrap/>
          </w:tcPr>
          <w:p>
            <w:pPr/>
            <w:r>
              <w:rPr/>
              <w:t xml:space="preserve">Project Implementing Partner</w:t>
            </w:r>
          </w:p>
        </w:tc>
        <w:tc>
          <w:tcPr>
            <w:tcW w:w="5000" w:type="dxa"/>
            <w:gridSpan w:val="1"/>
            <w:noWrap/>
          </w:tcPr>
          <w:p>
            <w:pPr/>
            <w:r>
              <w:rPr/>
              <w:t xml:space="preserve">Ministry of Environment (former name Mahaweli Development and Environment)</w:t>
            </w:r>
          </w:p>
        </w:tc>
      </w:tr>
      <w:tr>
        <w:trPr/>
        <w:tc>
          <w:tcPr>
            <w:tcW w:w="5000" w:type="dxa"/>
            <w:gridSpan w:val="1"/>
            <w:noWrap/>
          </w:tcPr>
          <w:p>
            <w:pPr/>
            <w:r>
              <w:rPr/>
              <w:t xml:space="preserve">Joint Agencies</w:t>
            </w:r>
          </w:p>
        </w:tc>
        <w:tc>
          <w:tcPr>
            <w:tcW w:w="5000" w:type="dxa"/>
            <w:gridSpan w:val="1"/>
            <w:noWrap/>
          </w:tcPr>
          <w:p>
            <w:pPr/>
            <w:r>
              <w:rPr>
                <w:i w:val="1"/>
                <w:iCs w:val="1"/>
              </w:rPr>
              <w:t xml:space="preserve">(not set or not applicable)</w:t>
            </w:r>
          </w:p>
        </w:tc>
      </w:tr>
      <w:tr>
        <w:trPr/>
        <w:tc>
          <w:tcPr>
            <w:tcW w:w="5000" w:type="dxa"/>
            <w:gridSpan w:val="1"/>
            <w:noWrap/>
          </w:tcPr>
          <w:p>
            <w:pPr/>
            <w:r>
              <w:rPr/>
              <w:t xml:space="preserve">Project Type</w:t>
            </w:r>
          </w:p>
        </w:tc>
        <w:tc>
          <w:tcPr>
            <w:tcW w:w="5000" w:type="dxa"/>
            <w:gridSpan w:val="1"/>
            <w:noWrap/>
          </w:tcPr>
          <w:p>
            <w:pPr/>
            <w:r>
              <w:rPr/>
              <w:t xml:space="preserve">Full Size</w:t>
            </w:r>
          </w:p>
        </w:tc>
      </w:tr>
      <w:tr>
        <w:trPr/>
        <w:tc>
          <w:tcPr>
            <w:tcW w:w="5000" w:type="dxa"/>
            <w:gridSpan w:val="1"/>
            <w:noWrap/>
          </w:tcPr>
          <w:p>
            <w:pPr/>
            <w:r>
              <w:rPr/>
              <w:t xml:space="preserve">Implementation Status</w:t>
            </w:r>
          </w:p>
        </w:tc>
        <w:tc>
          <w:tcPr>
            <w:tcW w:w="5000" w:type="dxa"/>
            <w:gridSpan w:val="1"/>
            <w:noWrap/>
          </w:tcPr>
          <w:p>
            <w:pPr/>
            <w:r>
              <w:rPr/>
              <w:t xml:space="preserve">5th PIR</w:t>
            </w:r>
          </w:p>
        </w:tc>
      </w:tr>
      <w:tr>
        <w:trPr/>
        <w:tc>
          <w:tcPr>
            <w:tcW w:w="5000" w:type="dxa"/>
            <w:gridSpan w:val="1"/>
            <w:noWrap/>
          </w:tcPr>
          <w:p>
            <w:pPr/>
            <w:r>
              <w:rPr/>
              <w:t xml:space="preserve">GEF Fiscal Year</w:t>
            </w:r>
          </w:p>
        </w:tc>
        <w:tc>
          <w:tcPr>
            <w:tcW w:w="5000" w:type="dxa"/>
            <w:gridSpan w:val="1"/>
            <w:noWrap/>
          </w:tcPr>
          <w:p>
            <w:pPr/>
            <w:r>
              <w:rPr/>
              <w:t xml:space="preserve">FY25</w:t>
            </w:r>
          </w:p>
        </w:tc>
      </w:tr>
      <w:tr>
        <w:trPr/>
        <w:tc>
          <w:tcPr>
            <w:tcW w:w="5000" w:type="dxa"/>
            <w:gridSpan w:val="1"/>
            <w:noWrap/>
          </w:tcPr>
          <w:p>
            <w:pPr/>
            <w:r>
              <w:rPr/>
              <w:t xml:space="preserve">Trust Fund</w:t>
            </w:r>
          </w:p>
        </w:tc>
        <w:tc>
          <w:tcPr>
            <w:tcW w:w="5000" w:type="dxa"/>
            <w:gridSpan w:val="1"/>
            <w:noWrap/>
          </w:tcPr>
          <w:p>
            <w:pPr/>
            <w:r>
              <w:rPr/>
              <w:t xml:space="preserve">GEF Trust Fund</w:t>
            </w:r>
          </w:p>
        </w:tc>
      </w:tr>
    </w:tbl>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noWrap/>
          </w:tcPr>
          <w:p>
            <w:pPr/>
            <w:r>
              <w:rPr>
                <w:b w:val="1"/>
                <w:bCs w:val="1"/>
              </w:rPr>
              <w:t xml:space="preserve">Project Description</w:t>
            </w:r>
          </w:p>
        </w:tc>
      </w:tr>
      <w:tr>
        <w:trPr/>
        <w:tc>
          <w:tcPr>
            <w:tcW w:w="10000" w:type="dxa"/>
            <w:gridSpan w:val="1"/>
            <w:noWrap/>
          </w:tcPr>
          <w:p>
            <w:pPr/>
            <w:r>
              <w:rPr/>
              <w:t xml:space="preserve">Owing to high levels of genetic and species diversity and endemism, Sri Lanka is designated as one of 34 globally significant biodiversity hotspots identified by Conservation International (CI). Birdlife International (BI) has identified the country as one of the worldÂs 356 endemic bird areas. Sri LankaÂs lowland rainforests, montane rainforests and south-western rivers and streams are listed in WWFÂs Global 200 eco-regions.</w:t>
            </w:r>
          </w:p>
          <w:p>
            <w:pPr/>
            <w:r>
              <w:rPr/>
              <w:t xml:space="preserve"/>
            </w:r>
          </w:p>
          <w:p>
            <w:pPr/>
            <w:r>
              <w:rPr/>
              <w:t xml:space="preserve">This extremely high species diversity including a high level of endemism can be attributed to three factors. First, the wide variety of climatic, topographic and soil conditions that has resulted in high habitat variability (Sri Lanka comprise of 14 Great Soil Groups, 23 Agro-ecological regions, 15 floristic regions and four major ecosystems that can be further divided into 29 sub-systems). Second, abundance of water that includes 103 river basins and large number of man made tanks. Third, long period of isolation from the closest land mass and presence of large number of natural barriers isolating species promoting evolution of new species as evidenced by the presence of high level of endemicity in most taxonomic groups. For instance, 28% of the 3,771 species of flowering plants, 22% of the 96 species of mammals, 15% of the 227 bird species, 88% of the 255 species of land snails, 55% of the 102 species of freshwater fishes, 86% of the 119 species of amphibians, 65% of the 216 species of reptiles and 98% of the 51 species of fresh water crabs found in the country are endemic. Endemism among vertebrates is about 43%, with the highest endemism quotient being recorded among the herpetefauna and freshwater fishes. More than 75% of the endemic species of flora and fauna are restricted to the tropical wet forests located in the southwestern region of Sri Lanka.</w:t>
            </w:r>
          </w:p>
        </w:tc>
      </w:tr>
    </w:tbl>
    <w:p/>
    <w:tbl>
      <w:tblGrid>
        <w:gridCol w:w="5000" w:type="dxa"/>
        <w:gridCol w:w="5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2"/>
            <w:noWrap/>
          </w:tcPr>
          <w:p>
            <w:pPr/>
            <w:r>
              <w:rPr>
                <w:b w:val="1"/>
                <w:bCs w:val="1"/>
              </w:rPr>
              <w:t xml:space="preserve">Project Contacts</w:t>
            </w:r>
          </w:p>
        </w:tc>
      </w:tr>
      <w:tr>
        <w:trPr/>
        <w:tc>
          <w:tcPr>
            <w:tcW w:w="5000" w:type="dxa"/>
            <w:gridSpan w:val="1"/>
            <w:noWrap/>
          </w:tcPr>
          <w:p>
            <w:pPr/>
            <w:r>
              <w:rPr/>
              <w:t xml:space="preserve">UNDP BPPS Technical Advisor</w:t>
            </w:r>
          </w:p>
        </w:tc>
        <w:tc>
          <w:tcPr>
            <w:tcW w:w="5000" w:type="dxa"/>
            <w:gridSpan w:val="1"/>
            <w:noWrap/>
          </w:tcPr>
          <w:p>
            <w:pPr/>
            <w:r>
              <w:rPr/>
              <w:t xml:space="preserve">Mr. Tashi Dorji (tashi.dorji@undp.org)</w:t>
            </w:r>
          </w:p>
        </w:tc>
      </w:tr>
      <w:tr>
        <w:trPr/>
        <w:tc>
          <w:tcPr>
            <w:tcW w:w="5000" w:type="dxa"/>
            <w:gridSpan w:val="1"/>
            <w:noWrap/>
          </w:tcPr>
          <w:p>
            <w:pPr/>
            <w:r>
              <w:rPr/>
              <w:t xml:space="preserve">UNDP BPPS Programme Associate</w:t>
            </w:r>
          </w:p>
        </w:tc>
        <w:tc>
          <w:tcPr>
            <w:tcW w:w="5000" w:type="dxa"/>
            <w:gridSpan w:val="1"/>
            <w:noWrap/>
          </w:tcPr>
          <w:p>
            <w:pPr/>
            <w:r>
              <w:rPr/>
              <w:t xml:space="preserve">Ms. Nittaya (Nid) Saengow (nittaya.saengow@undp.org)</w:t>
            </w:r>
          </w:p>
        </w:tc>
      </w:tr>
      <w:tr>
        <w:trPr/>
        <w:tc>
          <w:tcPr>
            <w:tcW w:w="5000" w:type="dxa"/>
            <w:gridSpan w:val="1"/>
            <w:noWrap/>
          </w:tcPr>
          <w:p>
            <w:pPr/>
            <w:r>
              <w:rPr/>
              <w:t xml:space="preserve">UNDP BPPS SES Technical Advisor</w:t>
            </w:r>
          </w:p>
        </w:tc>
        <w:tc>
          <w:tcPr>
            <w:tcW w:w="5000" w:type="dxa"/>
            <w:gridSpan w:val="1"/>
            <w:noWrap/>
          </w:tcPr>
          <w:p>
            <w:pPr/>
            <w:r>
              <w:rPr/>
              <w:t xml:space="preserve">Ms. Kate Walker (kate.walker@undp.org)</w:t>
            </w:r>
          </w:p>
        </w:tc>
      </w:tr>
      <w:tr>
        <w:trPr/>
        <w:tc>
          <w:tcPr>
            <w:tcW w:w="5000" w:type="dxa"/>
            <w:gridSpan w:val="1"/>
            <w:noWrap/>
          </w:tcPr>
          <w:p>
            <w:pPr/>
            <w:r>
              <w:rPr/>
              <w:t xml:space="preserve">Project Manager/Coordinator</w:t>
            </w:r>
          </w:p>
        </w:tc>
        <w:tc>
          <w:tcPr>
            <w:tcW w:w="5000" w:type="dxa"/>
            <w:gridSpan w:val="1"/>
            <w:noWrap/>
          </w:tcPr>
          <w:p>
            <w:pPr/>
            <w:r>
              <w:rPr/>
              <w:t xml:space="preserve">Ms. Sugandhi Samarasinghe (sugandhi.samarasinghe@undp.org)</w:t>
            </w:r>
          </w:p>
          <w:p>
            <w:pPr/>
            <w:r>
              <w:rPr/>
              <w:t xml:space="preserve">Mr. Arosh Hapuarachchi (buddika.hapuarachchi@undp.org)</w:t>
            </w:r>
          </w:p>
        </w:tc>
      </w:tr>
      <w:tr>
        <w:trPr/>
        <w:tc>
          <w:tcPr>
            <w:tcW w:w="5000" w:type="dxa"/>
            <w:gridSpan w:val="1"/>
            <w:noWrap/>
          </w:tcPr>
          <w:p>
            <w:pPr/>
            <w:r>
              <w:rPr/>
              <w:t xml:space="preserve">UNDP Country Office Programme Officer</w:t>
            </w:r>
          </w:p>
        </w:tc>
        <w:tc>
          <w:tcPr>
            <w:tcW w:w="5000" w:type="dxa"/>
            <w:gridSpan w:val="1"/>
            <w:noWrap/>
          </w:tcPr>
          <w:p>
            <w:pPr/>
            <w:r>
              <w:rPr/>
              <w:t xml:space="preserve">Ms. Sureka Perera (sureka.perera@undp.org)</w:t>
            </w:r>
          </w:p>
        </w:tc>
      </w:tr>
      <w:tr>
        <w:trPr/>
        <w:tc>
          <w:tcPr>
            <w:tcW w:w="5000" w:type="dxa"/>
            <w:gridSpan w:val="1"/>
            <w:noWrap/>
          </w:tcPr>
          <w:p>
            <w:pPr/>
            <w:r>
              <w:rPr/>
              <w:t xml:space="preserve">UNDP Country Office Deputy Resident Representative</w:t>
            </w:r>
          </w:p>
        </w:tc>
        <w:tc>
          <w:tcPr>
            <w:tcW w:w="5000" w:type="dxa"/>
            <w:gridSpan w:val="1"/>
            <w:noWrap/>
          </w:tcPr>
          <w:p>
            <w:pPr/>
            <w:r>
              <w:rPr/>
              <w:t xml:space="preserve">Ms. Marina TEN (marina.ten@undp.org)</w:t>
            </w:r>
          </w:p>
        </w:tc>
      </w:tr>
      <w:tr>
        <w:trPr/>
        <w:tc>
          <w:tcPr>
            <w:tcW w:w="5000" w:type="dxa"/>
            <w:gridSpan w:val="1"/>
            <w:noWrap/>
          </w:tcPr>
          <w:p>
            <w:pPr/>
            <w:r>
              <w:rPr/>
              <w:t xml:space="preserve">UNDP Regional Bureau Desk Officer</w:t>
            </w:r>
          </w:p>
        </w:tc>
        <w:tc>
          <w:tcPr>
            <w:tcW w:w="5000" w:type="dxa"/>
            <w:gridSpan w:val="1"/>
            <w:noWrap/>
          </w:tcPr>
          <w:p>
            <w:pPr/>
            <w:r>
              <w:rPr/>
              <w:t xml:space="preserve">Ms. Tshering Pem (tshering.pem@undp.org)</w:t>
            </w:r>
          </w:p>
        </w:tc>
      </w:tr>
      <w:tr>
        <w:trPr/>
        <w:tc>
          <w:tcPr>
            <w:tcW w:w="5000" w:type="dxa"/>
            <w:gridSpan w:val="1"/>
            <w:noWrap/>
          </w:tcPr>
          <w:p>
            <w:pPr/>
            <w:r>
              <w:rPr/>
              <w:t xml:space="preserve">GEF Operational Focal Point</w:t>
            </w:r>
          </w:p>
        </w:tc>
        <w:tc>
          <w:tcPr>
            <w:tcW w:w="5000" w:type="dxa"/>
            <w:gridSpan w:val="1"/>
            <w:noWrap/>
          </w:tcPr>
          <w:p>
            <w:pPr/>
            <w:r>
              <w:rPr/>
              <w:t xml:space="preserve">Ms. Kulani H.W. Karunarathne (kulanihw@gmail.com)</w:t>
            </w:r>
          </w:p>
        </w:tc>
      </w:tr>
      <w:tr>
        <w:trPr/>
        <w:tc>
          <w:tcPr>
            <w:tcW w:w="5000" w:type="dxa"/>
            <w:gridSpan w:val="1"/>
            <w:noWrap/>
          </w:tcPr>
          <w:p>
            <w:pPr/>
            <w:r>
              <w:rPr/>
              <w:t xml:space="preserve">Project Implementing Partner</w:t>
            </w:r>
          </w:p>
        </w:tc>
        <w:tc>
          <w:tcPr>
            <w:tcW w:w="5000" w:type="dxa"/>
            <w:gridSpan w:val="1"/>
            <w:noWrap/>
          </w:tcPr>
          <w:p>
            <w:pPr/>
            <w:r>
              <w:rPr/>
              <w:t xml:space="preserve">Ms. Chandani Wilson (chandaniwil@yahoo.co.uk)</w:t>
            </w:r>
          </w:p>
          <w:p>
            <w:pPr/>
            <w:r>
              <w:rPr/>
              <w:t xml:space="preserve">Ms. Achala Attanayake</w:t>
            </w:r>
          </w:p>
        </w:tc>
      </w:tr>
      <w:tr>
        <w:trPr/>
        <w:tc>
          <w:tcPr>
            <w:tcW w:w="5000" w:type="dxa"/>
            <w:gridSpan w:val="1"/>
            <w:noWrap/>
          </w:tcPr>
          <w:p>
            <w:pPr/>
            <w:r>
              <w:rPr/>
              <w:t xml:space="preserve">Other Partners</w:t>
            </w:r>
          </w:p>
        </w:tc>
        <w:tc>
          <w:tcPr>
            <w:tcW w:w="5000" w:type="dxa"/>
            <w:gridSpan w:val="1"/>
            <w:noWrap/>
          </w:tcPr>
          <w:p>
            <w:pPr/>
            <w:r>
              <w:rPr/>
              <w:t xml:space="preserve">Mr. Shamen Vidanage (shamen.vidanage@iucn.org)</w:t>
            </w:r>
          </w:p>
          <w:p>
            <w:pPr/>
            <w:r>
              <w:rPr/>
              <w:t xml:space="preserve">Mr. Mahesh Gunasekara (mahesh.gunasekara@redcross.lk)</w:t>
            </w:r>
          </w:p>
        </w:tc>
      </w:tr>
    </w:tbl>
    <w:p>
      <w:pPr>
        <w:sectPr>
          <w:pgSz w:orient="portrait" w:w="11905.511811023622" w:h="16837.79527559055"/>
          <w:pgMar w:top="1440" w:right="1440" w:bottom="1440" w:left="1440" w:header="720" w:footer="720" w:gutter="0"/>
          <w:cols w:num="1" w:space="720"/>
        </w:sectPr>
      </w:pPr>
    </w:p>
    <w:p>
      <w:pPr>
        <w:pStyle w:val="Heading1"/>
      </w:pPr>
      <w:bookmarkStart w:id="1" w:name="_Toc1"/>
      <w:r>
        <w:t>Key project dates</w:t>
      </w:r>
      <w:bookmarkEnd w:id="1"/>
    </w:p>
    <w:tbl>
      <w:tblGrid>
        <w:gridCol w:w="5000" w:type="dxa"/>
        <w:gridCol w:w="5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noWrap/>
          </w:tcPr>
          <w:p>
            <w:pPr/>
            <w:r>
              <w:rPr/>
              <w:t xml:space="preserve">Project duration</w:t>
            </w:r>
          </w:p>
        </w:tc>
        <w:tc>
          <w:tcPr>
            <w:tcW w:w="5000" w:type="dxa"/>
            <w:vAlign w:val="center"/>
            <w:gridSpan w:val="1"/>
            <w:noWrap/>
          </w:tcPr>
          <w:p>
            <w:pPr>
              <w:jc w:val="right"/>
            </w:pPr>
            <w:r>
              <w:rPr/>
              <w:t xml:space="preserve">48 months</w:t>
            </w:r>
          </w:p>
        </w:tc>
      </w:tr>
      <w:tr>
        <w:trPr/>
        <w:tc>
          <w:tcPr>
            <w:tcW w:w="5000" w:type="dxa"/>
            <w:gridSpan w:val="1"/>
            <w:noWrap/>
          </w:tcPr>
          <w:p>
            <w:pPr/>
            <w:r>
              <w:rPr/>
              <w:t xml:space="preserve">PIF Approval Date</w:t>
            </w:r>
          </w:p>
        </w:tc>
        <w:tc>
          <w:tcPr>
            <w:tcW w:w="5000" w:type="dxa"/>
            <w:vAlign w:val="center"/>
            <w:gridSpan w:val="1"/>
            <w:noWrap/>
          </w:tcPr>
          <w:p>
            <w:pPr>
              <w:jc w:val="right"/>
            </w:pPr>
            <w:r>
              <w:rPr/>
              <w:t xml:space="preserve">Nov 30, 2017</w:t>
            </w:r>
          </w:p>
        </w:tc>
      </w:tr>
      <w:tr>
        <w:trPr/>
        <w:tc>
          <w:tcPr>
            <w:tcW w:w="5000" w:type="dxa"/>
            <w:gridSpan w:val="1"/>
            <w:noWrap/>
          </w:tcPr>
          <w:p>
            <w:pPr/>
            <w:r>
              <w:rPr/>
              <w:t xml:space="preserve">CEO Endorsement Date</w:t>
            </w:r>
          </w:p>
        </w:tc>
        <w:tc>
          <w:tcPr>
            <w:tcW w:w="5000" w:type="dxa"/>
            <w:vAlign w:val="center"/>
            <w:gridSpan w:val="1"/>
            <w:noWrap/>
          </w:tcPr>
          <w:p>
            <w:pPr>
              <w:jc w:val="right"/>
            </w:pPr>
            <w:r>
              <w:rPr/>
              <w:t xml:space="preserve">Feb 13, 2020</w:t>
            </w:r>
          </w:p>
        </w:tc>
      </w:tr>
      <w:tr>
        <w:trPr/>
        <w:tc>
          <w:tcPr>
            <w:tcW w:w="5000" w:type="dxa"/>
            <w:gridSpan w:val="1"/>
            <w:noWrap/>
          </w:tcPr>
          <w:p>
            <w:pPr/>
            <w:r>
              <w:rPr/>
              <w:t xml:space="preserve">Project Document Signature Date (project start date):</w:t>
            </w:r>
          </w:p>
        </w:tc>
        <w:tc>
          <w:tcPr>
            <w:tcW w:w="5000" w:type="dxa"/>
            <w:vAlign w:val="center"/>
            <w:gridSpan w:val="1"/>
            <w:noWrap/>
          </w:tcPr>
          <w:p>
            <w:pPr>
              <w:jc w:val="right"/>
            </w:pPr>
            <w:r>
              <w:rPr/>
              <w:t xml:space="preserve">Jan 1, 2021</w:t>
            </w:r>
          </w:p>
        </w:tc>
      </w:tr>
      <w:tr>
        <w:trPr/>
        <w:tc>
          <w:tcPr>
            <w:tcW w:w="5000" w:type="dxa"/>
            <w:gridSpan w:val="1"/>
            <w:noWrap/>
          </w:tcPr>
          <w:p>
            <w:pPr/>
            <w:r>
              <w:rPr/>
              <w:t xml:space="preserve">Date of Inception Workshop</w:t>
            </w:r>
          </w:p>
        </w:tc>
        <w:tc>
          <w:tcPr>
            <w:tcW w:w="5000" w:type="dxa"/>
            <w:vAlign w:val="center"/>
            <w:gridSpan w:val="1"/>
            <w:noWrap/>
          </w:tcPr>
          <w:p>
            <w:pPr>
              <w:jc w:val="right"/>
            </w:pPr>
            <w:r>
              <w:rPr/>
              <w:t xml:space="preserve">Feb 25, 2021</w:t>
            </w:r>
          </w:p>
        </w:tc>
      </w:tr>
      <w:tr>
        <w:trPr/>
        <w:tc>
          <w:tcPr>
            <w:tcW w:w="5000" w:type="dxa"/>
            <w:gridSpan w:val="1"/>
            <w:noWrap/>
          </w:tcPr>
          <w:p>
            <w:pPr/>
            <w:r>
              <w:rPr/>
              <w:t xml:space="preserve">First Disbursement Date</w:t>
            </w:r>
          </w:p>
        </w:tc>
        <w:tc>
          <w:tcPr>
            <w:tcW w:w="5000" w:type="dxa"/>
            <w:vAlign w:val="center"/>
            <w:gridSpan w:val="1"/>
            <w:noWrap/>
          </w:tcPr>
          <w:p>
            <w:pPr>
              <w:jc w:val="right"/>
            </w:pPr>
            <w:r>
              <w:rPr/>
              <w:t xml:space="preserve">Jul 19, 2021</w:t>
            </w:r>
          </w:p>
        </w:tc>
      </w:tr>
      <w:tr>
        <w:trPr/>
        <w:tc>
          <w:tcPr>
            <w:tcW w:w="5000" w:type="dxa"/>
            <w:gridSpan w:val="1"/>
            <w:noWrap/>
          </w:tcPr>
          <w:p>
            <w:pPr/>
            <w:r>
              <w:rPr/>
              <w:t xml:space="preserve">Expected Date of Mid-term Review</w:t>
            </w:r>
          </w:p>
        </w:tc>
        <w:tc>
          <w:tcPr>
            <w:tcW w:w="5000" w:type="dxa"/>
            <w:vAlign w:val="center"/>
            <w:gridSpan w:val="1"/>
            <w:noWrap/>
          </w:tcPr>
          <w:p>
            <w:pPr>
              <w:jc w:val="right"/>
            </w:pPr>
            <w:r>
              <w:rPr/>
              <w:t xml:space="preserve">Jan 1, 2023</w:t>
            </w:r>
          </w:p>
        </w:tc>
      </w:tr>
      <w:tr>
        <w:trPr/>
        <w:tc>
          <w:tcPr>
            <w:tcW w:w="5000" w:type="dxa"/>
            <w:gridSpan w:val="1"/>
            <w:noWrap/>
          </w:tcPr>
          <w:p>
            <w:pPr/>
            <w:r>
              <w:rPr/>
              <w:t xml:space="preserve">Actual Date of Mid-term Review</w:t>
            </w:r>
          </w:p>
        </w:tc>
        <w:tc>
          <w:tcPr>
            <w:tcW w:w="5000" w:type="dxa"/>
            <w:vAlign w:val="center"/>
            <w:gridSpan w:val="1"/>
            <w:noWrap/>
          </w:tcPr>
          <w:p>
            <w:pPr>
              <w:jc w:val="right"/>
            </w:pPr>
            <w:r>
              <w:rPr/>
              <w:t xml:space="preserve">Mar 31, 2023</w:t>
            </w:r>
          </w:p>
        </w:tc>
      </w:tr>
      <w:tr>
        <w:trPr/>
        <w:tc>
          <w:tcPr>
            <w:tcW w:w="5000" w:type="dxa"/>
            <w:gridSpan w:val="1"/>
            <w:noWrap/>
          </w:tcPr>
          <w:p>
            <w:pPr/>
            <w:r>
              <w:rPr/>
              <w:t xml:space="preserve">Expected Date of Terminal Evaluation</w:t>
            </w:r>
          </w:p>
        </w:tc>
        <w:tc>
          <w:tcPr>
            <w:tcW w:w="5000" w:type="dxa"/>
            <w:vAlign w:val="center"/>
            <w:gridSpan w:val="1"/>
            <w:noWrap/>
          </w:tcPr>
          <w:p>
            <w:pPr>
              <w:jc w:val="right"/>
            </w:pPr>
            <w:r>
              <w:rPr/>
              <w:t xml:space="preserve">Mar 30, 2026</w:t>
            </w:r>
          </w:p>
        </w:tc>
      </w:tr>
      <w:tr>
        <w:trPr/>
        <w:tc>
          <w:tcPr>
            <w:tcW w:w="5000" w:type="dxa"/>
            <w:gridSpan w:val="1"/>
            <w:noWrap/>
          </w:tcPr>
          <w:p>
            <w:pPr/>
            <w:r>
              <w:rPr/>
              <w:t xml:space="preserve">Original Planned Closing Date</w:t>
            </w:r>
          </w:p>
        </w:tc>
        <w:tc>
          <w:tcPr>
            <w:tcW w:w="5000" w:type="dxa"/>
            <w:vAlign w:val="center"/>
            <w:gridSpan w:val="1"/>
            <w:noWrap/>
          </w:tcPr>
          <w:p>
            <w:pPr>
              <w:jc w:val="right"/>
            </w:pPr>
            <w:r>
              <w:rPr/>
              <w:t xml:space="preserve">Jan 1, 2025</w:t>
            </w:r>
          </w:p>
        </w:tc>
      </w:tr>
      <w:tr>
        <w:trPr/>
        <w:tc>
          <w:tcPr>
            <w:tcW w:w="5000" w:type="dxa"/>
            <w:gridSpan w:val="1"/>
            <w:noWrap/>
          </w:tcPr>
          <w:p>
            <w:pPr/>
            <w:r>
              <w:rPr/>
              <w:t xml:space="preserve">Revised Planned Closing Date</w:t>
            </w:r>
          </w:p>
        </w:tc>
        <w:tc>
          <w:tcPr>
            <w:tcW w:w="5000" w:type="dxa"/>
            <w:vAlign w:val="center"/>
            <w:gridSpan w:val="1"/>
            <w:noWrap/>
          </w:tcPr>
          <w:p>
            <w:pPr>
              <w:jc w:val="right"/>
            </w:pPr>
            <w:r>
              <w:rPr/>
              <w:t xml:space="preserve">Jun 30, 2026</w:t>
            </w:r>
          </w:p>
        </w:tc>
      </w:tr>
    </w:tbl>
    <w:p>
      <w:pPr>
        <w:sectPr>
          <w:pgSz w:orient="portrait" w:w="11905.511811023622" w:h="16837.79527559055"/>
          <w:pgMar w:top="1440" w:right="1440" w:bottom="1440" w:left="1440" w:header="720" w:footer="720" w:gutter="0"/>
          <w:cols w:num="1" w:space="720"/>
        </w:sectPr>
      </w:pPr>
    </w:p>
    <w:p>
      <w:pPr>
        <w:pStyle w:val="Heading1"/>
      </w:pPr>
      <w:bookmarkStart w:id="2" w:name="_Toc2"/>
      <w:r>
        <w:t>Overall ratings</w:t>
      </w:r>
      <w:bookmarkEnd w:id="2"/>
    </w:p>
    <w:tbl>
      <w:tblGrid>
        <w:gridCol w:w="8000" w:type="dxa"/>
        <w:gridCol w:w="8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8000" w:type="dxa"/>
            <w:gridSpan w:val="1"/>
            <w:noWrap/>
          </w:tcPr>
          <w:p>
            <w:pPr/>
            <w:r>
              <w:rPr/>
              <w:t xml:space="preserve">Overall DO Rating</w:t>
            </w:r>
          </w:p>
        </w:tc>
        <w:tc>
          <w:tcPr>
            <w:tcW w:w="8000" w:type="dxa"/>
            <w:gridSpan w:val="1"/>
            <w:noWrap/>
          </w:tcPr>
          <w:p>
            <w:pPr/>
            <w:r>
              <w:rPr/>
              <w:t xml:space="preserve">Moderately Satisfactory</w:t>
            </w:r>
          </w:p>
        </w:tc>
      </w:tr>
      <w:tr>
        <w:trPr/>
        <w:tc>
          <w:tcPr>
            <w:tcW w:w="8000" w:type="dxa"/>
            <w:gridSpan w:val="1"/>
            <w:noWrap/>
          </w:tcPr>
          <w:p>
            <w:pPr/>
            <w:r>
              <w:rPr/>
              <w:t xml:space="preserve">Overall IP Rating</w:t>
            </w:r>
          </w:p>
        </w:tc>
        <w:tc>
          <w:tcPr>
            <w:tcW w:w="8000" w:type="dxa"/>
            <w:gridSpan w:val="1"/>
            <w:noWrap/>
          </w:tcPr>
          <w:p>
            <w:pPr/>
            <w:r>
              <w:rPr/>
              <w:t xml:space="preserve">Moderately Satisfactory</w:t>
            </w:r>
          </w:p>
        </w:tc>
      </w:tr>
      <w:tr>
        <w:trPr/>
        <w:tc>
          <w:tcPr>
            <w:tcW w:w="8000" w:type="dxa"/>
            <w:gridSpan w:val="1"/>
            <w:noWrap/>
          </w:tcPr>
          <w:p>
            <w:pPr/>
            <w:r>
              <w:rPr/>
              <w:t xml:space="preserve">Overall Risk Rating</w:t>
            </w:r>
          </w:p>
        </w:tc>
        <w:tc>
          <w:tcPr>
            <w:tcW w:w="8000" w:type="dxa"/>
            <w:gridSpan w:val="1"/>
            <w:noWrap/>
          </w:tcPr>
          <w:p>
            <w:pPr/>
            <w:r>
              <w:rPr/>
              <w:t xml:space="preserve">substantial</w:t>
            </w:r>
          </w:p>
        </w:tc>
      </w:tr>
    </w:tbl>
    <w:p>
      <w:pPr>
        <w:sectPr>
          <w:pgSz w:orient="portrait" w:w="11905.511811023622" w:h="16837.79527559055"/>
          <w:pgMar w:top="1440" w:right="1440" w:bottom="1440" w:left="1440" w:header="720" w:footer="720" w:gutter="0"/>
          <w:cols w:num="1" w:space="720"/>
        </w:sectPr>
      </w:pPr>
    </w:p>
    <w:p>
      <w:pPr>
        <w:pStyle w:val="Heading1"/>
      </w:pPr>
      <w:bookmarkStart w:id="3" w:name="_Toc3"/>
      <w:r>
        <w:t>Development Objective Progress</w:t>
      </w:r>
      <w:bookmarkEnd w:id="3"/>
    </w:p>
    <w:p>
      <w:pPr/>
      <w:r>
        <w:rPr/>
        <w:t xml:space="preserve">It is mandatory for all reported progress to be substantiated by evidence. Please upload evidence files for each objective/outcome via the DO PROGRESS section in the online PIR platform.  If there is no evidence to upload, the Project Manager is required to provide an explanation. </w:t>
      </w:r>
    </w:p>
    <w:tbl>
      <w:tblGrid>
        <w:gridCol w:w="4000" w:type="dxa"/>
        <w:gridCol w:w="2000" w:type="dxa"/>
        <w:gridCol w:w="2000" w:type="dxa"/>
        <w:gridCol w:w="2000" w:type="dxa"/>
        <w:gridCol w:w="4000" w:type="dxa"/>
        <w:gridCol w:w="4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6000" w:type="dxa"/>
            <w:gridSpan w:val="7"/>
            <w:noWrap/>
          </w:tcPr>
          <w:p>
            <w:pPr/>
            <w:r>
              <w:rPr>
                <w:b w:val="1"/>
                <w:bCs w:val="1"/>
              </w:rPr>
              <w:t xml:space="preserve">Description</w:t>
            </w:r>
          </w:p>
        </w:tc>
      </w:tr>
      <w:tr>
        <w:trPr/>
        <w:tc>
          <w:tcPr>
            <w:tcW w:w="16000" w:type="dxa"/>
            <w:shd w:val="clear" w:fill="#D9D9D9"/>
            <w:gridSpan w:val="7"/>
            <w:noWrap/>
          </w:tcPr>
          <w:p>
            <w:pPr/>
            <w:r>
              <w:rPr>
                <w:b w:val="1"/>
                <w:bCs w:val="1"/>
              </w:rPr>
              <w:t xml:space="preserve">Objective</w:t>
            </w:r>
          </w:p>
          <w:p>
            <w:pPr/>
            <w:r>
              <w:rPr>
                <w:b w:val="1"/>
                <w:bCs w:val="1"/>
              </w:rPr>
              <w:t xml:space="preserve">To strengthen protection of globally significant biodiversity through mainstreaming of conservation and sustainable practices into land use planning and sectoral decision making in forestry, agriculture and tourism sectors</w:t>
            </w:r>
          </w:p>
        </w:tc>
      </w:tr>
      <w:tr>
        <w:trPr/>
        <w:tc>
          <w:tcPr>
            <w:tcW w:w="4000" w:type="dxa"/>
            <w:gridSpan w:val="1"/>
            <w:noWrap/>
          </w:tcPr>
          <w:p>
            <w:pPr/>
            <w:r>
              <w:rPr>
                <w:b w:val="1"/>
                <w:bCs w:val="1"/>
              </w:rPr>
              <w:t xml:space="preserve">Description of Indicator</w:t>
            </w:r>
          </w:p>
        </w:tc>
        <w:tc>
          <w:tcPr>
            <w:tcW w:w="2000" w:type="dxa"/>
            <w:gridSpan w:val="1"/>
            <w:noWrap/>
          </w:tcPr>
          <w:p>
            <w:pPr/>
            <w:r>
              <w:rPr>
                <w:b w:val="1"/>
                <w:bCs w:val="1"/>
              </w:rPr>
              <w:t xml:space="preserve">Baseline Level</w:t>
            </w:r>
          </w:p>
        </w:tc>
        <w:tc>
          <w:tcPr>
            <w:tcW w:w="2000" w:type="dxa"/>
            <w:gridSpan w:val="1"/>
            <w:noWrap/>
          </w:tcPr>
          <w:p>
            <w:pPr/>
            <w:r>
              <w:rPr>
                <w:b w:val="1"/>
                <w:bCs w:val="1"/>
              </w:rPr>
              <w:t xml:space="preserve">Midterm target level</w:t>
            </w:r>
          </w:p>
        </w:tc>
        <w:tc>
          <w:tcPr>
            <w:tcW w:w="2000" w:type="dxa"/>
            <w:gridSpan w:val="1"/>
            <w:noWrap/>
          </w:tcPr>
          <w:p>
            <w:pPr/>
            <w:r>
              <w:rPr>
                <w:b w:val="1"/>
                <w:bCs w:val="1"/>
              </w:rPr>
              <w:t xml:space="preserve">End of project target level</w:t>
            </w:r>
          </w:p>
        </w:tc>
        <w:tc>
          <w:tcPr>
            <w:tcW w:w="4000" w:type="dxa"/>
            <w:gridSpan w:val="1"/>
            <w:noWrap/>
          </w:tcPr>
          <w:p>
            <w:pPr/>
            <w:r>
              <w:rPr>
                <w:b w:val="1"/>
                <w:bCs w:val="1"/>
              </w:rPr>
              <w:t xml:space="preserve">Level at Jun 30, 2024</w:t>
            </w:r>
          </w:p>
        </w:tc>
        <w:tc>
          <w:tcPr>
            <w:tcW w:w="4000" w:type="dxa"/>
            <w:gridSpan w:val="1"/>
            <w:noWrap/>
          </w:tcPr>
          <w:p>
            <w:pPr/>
            <w:r>
              <w:rPr>
                <w:b w:val="1"/>
                <w:bCs w:val="1"/>
              </w:rPr>
              <w:t xml:space="preserve">Cumulative progress since project start as of Jun 30, 2025</w:t>
            </w:r>
          </w:p>
        </w:tc>
      </w:tr>
      <w:tr>
        <w:trPr/>
        <w:tc>
          <w:tcPr>
            <w:tcW w:w="4000" w:type="dxa"/>
            <w:gridSpan w:val="1"/>
            <w:noWrap/>
          </w:tcPr>
          <w:p>
            <w:pPr/>
            <w:r>
              <w:rPr/>
              <w:t xml:space="preserve">Indicator 1 (Ref. GEF Core Indicators 4 &amp; 5): Area of land and marine habitat administered under a landscape conservation design that mainstreams biodiversity conservation into natural resource management (hectares)</w:t>
            </w:r>
          </w:p>
        </w:tc>
        <w:tc>
          <w:tcPr>
            <w:tcW w:w="2000" w:type="dxa"/>
            <w:gridSpan w:val="1"/>
            <w:noWrap/>
          </w:tcPr>
          <w:p>
            <w:pPr/>
            <w:r>
              <w:rPr/>
              <w:t xml:space="preserve">Land 0</w:t>
            </w:r>
          </w:p>
          <w:p>
            <w:pPr/>
            <w:r>
              <w:rPr/>
              <w:t xml:space="preserve">Sea 0</w:t>
            </w:r>
          </w:p>
          <w:p>
            <w:pPr/>
            <w:r>
              <w:rPr/>
              <w:t xml:space="preserve"/>
            </w:r>
          </w:p>
        </w:tc>
        <w:tc>
          <w:tcPr>
            <w:tcW w:w="2000" w:type="dxa"/>
            <w:gridSpan w:val="1"/>
            <w:noWrap/>
          </w:tcPr>
          <w:p>
            <w:pPr/>
            <w:r>
              <w:rPr/>
              <w:t xml:space="preserve">Land 80,000</w:t>
            </w:r>
          </w:p>
          <w:p>
            <w:pPr/>
            <w:r>
              <w:rPr/>
              <w:t xml:space="preserve">(TL1 44,000  + TL2 27,000  + TL3 9,000)</w:t>
            </w:r>
          </w:p>
          <w:p>
            <w:pPr/>
            <w:r>
              <w:rPr/>
              <w:t xml:space="preserve">Marine (TL3) 20,000</w:t>
            </w:r>
          </w:p>
          <w:p>
            <w:pPr/>
            <w:r>
              <w:rPr/>
              <w:t xml:space="preserve"/>
            </w:r>
          </w:p>
        </w:tc>
        <w:tc>
          <w:tcPr>
            <w:tcW w:w="2000" w:type="dxa"/>
            <w:gridSpan w:val="1"/>
            <w:noWrap/>
          </w:tcPr>
          <w:p>
            <w:pPr/>
            <w:r>
              <w:rPr/>
              <w:t xml:space="preserve">Land 155,000 ha</w:t>
            </w:r>
          </w:p>
          <w:p>
            <w:pPr/>
            <w:r>
              <w:rPr/>
              <w:t xml:space="preserve">(TL1 87,000  + TL2 53,000 + TL3 15,000 )</w:t>
            </w:r>
          </w:p>
          <w:p>
            <w:pPr/>
            <w:r>
              <w:rPr/>
              <w:t xml:space="preserve"/>
            </w:r>
          </w:p>
          <w:p>
            <w:pPr/>
            <w:r>
              <w:rPr/>
              <w:t xml:space="preserve">Marine (TL3) 55,000</w:t>
            </w:r>
          </w:p>
          <w:p>
            <w:pPr/>
            <w:r>
              <w:rPr/>
              <w:t xml:space="preserve"/>
            </w:r>
          </w:p>
        </w:tc>
        <w:tc>
          <w:tcPr>
            <w:tcW w:w="4000" w:type="dxa"/>
            <w:gridSpan w:val="1"/>
            <w:noWrap/>
          </w:tcPr>
          <w:p>
            <w:pPr/>
            <w:r>
              <w:rPr/>
              <w:t xml:space="preserve">Current level of achievement is 0 ha. As confirmed through the MTR, the indicator target is not achieved.</w:t>
            </w:r>
          </w:p>
          <w:p>
            <w:pPr/>
            <w:r>
              <w:rPr/>
              <w:t xml:space="preserve"/>
            </w:r>
          </w:p>
          <w:p>
            <w:pPr/>
            <w:r>
              <w:rPr/>
              <w:t xml:space="preserve">The cumulative progress of this indicator was not reached the expected target as per the MTR concluded recently. The main reason was the project just completed the preparatory work and stakeholder consultations.</w:t>
            </w:r>
          </w:p>
          <w:p>
            <w:pPr/>
            <w:r>
              <w:rPr/>
              <w:t xml:space="preserve"/>
            </w:r>
          </w:p>
          <w:p>
            <w:pPr/>
            <w:r>
              <w:rPr/>
              <w:t xml:space="preserve">Mid-term review completed in mid-June 2023 recommended a forensic audit to be conducted on the project and therefore the implementing partner and the Responsible Party was advised not to initiate any new activities but complete only the activities already started. As per the MTR findings, 0 ha of land and marine habitat administered under a landscape conservation design.</w:t>
            </w:r>
          </w:p>
        </w:tc>
        <w:tc>
          <w:tcPr>
            <w:tcW w:w="4000" w:type="dxa"/>
            <w:gridSpan w:val="1"/>
            <w:noWrap/>
          </w:tcPr>
          <w:p>
            <w:pPr/>
            <w:r>
              <w:rPr/>
              <w:t xml:space="preserve">As of this reporting period, LCD has been developed covering 3 TLs with 266393.57 hectares. Additionally, progress has been achieved regarding ground level implementation totaling 170,489 hectares under these 3 TLs, breakdowns are listed as follow:</w:t>
            </w:r>
          </w:p>
          <w:p>
            <w:pPr/>
            <w:r>
              <w:rPr/>
              <w:t xml:space="preserve">For land-based habitats, the current total stands at 121,264.10 hectares, which includes:</w:t>
            </w:r>
          </w:p>
          <w:p>
            <w:pPr/>
            <w:r>
              <w:rPr/>
              <w:t xml:space="preserve">•	Proposed sanctuaries: 2,202.34 ha</w:t>
            </w:r>
          </w:p>
          <w:p>
            <w:pPr/>
            <w:r>
              <w:rPr/>
              <w:t xml:space="preserve">•	Proposed elephant corridors: 17,318.70 ha</w:t>
            </w:r>
          </w:p>
          <w:p>
            <w:pPr/>
            <w:r>
              <w:rPr/>
              <w:t xml:space="preserve">•	Proposed Environmentally Protected Areas (EPAs): 4,041.50 ha</w:t>
            </w:r>
          </w:p>
          <w:p>
            <w:pPr/>
            <w:r>
              <w:rPr/>
              <w:t xml:space="preserve">•	Giant’s Tank Ramsar Site: 22,038.40 ha</w:t>
            </w:r>
          </w:p>
          <w:p>
            <w:pPr/>
            <w:r>
              <w:rPr/>
              <w:t xml:space="preserve">•	Forest areas proposed to be merged with existing Protected Areas (PAs): 36,970.00 ha</w:t>
            </w:r>
          </w:p>
          <w:p>
            <w:pPr/>
            <w:r>
              <w:rPr/>
              <w:t xml:space="preserve">•	New forest lands qualifying for PA designation: 38,693.20 ha</w:t>
            </w:r>
          </w:p>
          <w:p>
            <w:pPr/>
            <w:r>
              <w:rPr/>
              <w:t xml:space="preserve"/>
            </w:r>
          </w:p>
          <w:p>
            <w:pPr/>
            <w:r>
              <w:rPr/>
              <w:t xml:space="preserve">For marine habitats, the proposed Dugong and Seagrass Marine Protected Areas (MPAs) collectively cover an area of 49,225.08 hectares, comprising:</w:t>
            </w:r>
          </w:p>
          <w:p>
            <w:pPr/>
            <w:r>
              <w:rPr/>
              <w:t xml:space="preserve">•	Arippu: 29,529.22 ha</w:t>
            </w:r>
          </w:p>
          <w:p>
            <w:pPr/>
            <w:r>
              <w:rPr/>
              <w:t xml:space="preserve">•	Mullikkulam: 19,695.85 ha</w:t>
            </w:r>
          </w:p>
        </w:tc>
      </w:tr>
      <w:tr>
        <w:trPr/>
        <w:tc>
          <w:tcPr>
            <w:tcW w:w="4000" w:type="dxa"/>
            <w:gridSpan w:val="1"/>
            <w:noWrap/>
          </w:tcPr>
          <w:p>
            <w:pPr/>
            <w:r>
              <w:rPr/>
              <w:t xml:space="preserve">Indicator 2 (Ref: GEF Core Indicator 11):  The number of people, disaggregated by gender, that have benefitted either monetarily or non-monetarily, or both, from project-induced changes in livelihoods.</w:t>
            </w:r>
          </w:p>
        </w:tc>
        <w:tc>
          <w:tcPr>
            <w:tcW w:w="2000" w:type="dxa"/>
            <w:gridSpan w:val="1"/>
            <w:noWrap/>
          </w:tcPr>
          <w:p>
            <w:pPr/>
            <w:r>
              <w:rPr/>
              <w:t xml:space="preserve">Male 0</w:t>
            </w:r>
          </w:p>
          <w:p>
            <w:pPr/>
            <w:r>
              <w:rPr/>
              <w:t xml:space="preserve">Female 0</w:t>
            </w:r>
          </w:p>
          <w:p>
            <w:pPr/>
            <w:r>
              <w:rPr/>
              <w:t xml:space="preserve"/>
            </w:r>
          </w:p>
        </w:tc>
        <w:tc>
          <w:tcPr>
            <w:tcW w:w="2000" w:type="dxa"/>
            <w:gridSpan w:val="1"/>
            <w:noWrap/>
          </w:tcPr>
          <w:p>
            <w:pPr/>
            <w:r>
              <w:rPr/>
              <w:t xml:space="preserve">Male 500</w:t>
            </w:r>
          </w:p>
          <w:p>
            <w:pPr/>
            <w:r>
              <w:rPr/>
              <w:t xml:space="preserve">Female 500</w:t>
            </w:r>
          </w:p>
          <w:p>
            <w:pPr/>
            <w:r>
              <w:rPr/>
              <w:t xml:space="preserve"/>
            </w:r>
          </w:p>
        </w:tc>
        <w:tc>
          <w:tcPr>
            <w:tcW w:w="2000" w:type="dxa"/>
            <w:gridSpan w:val="1"/>
            <w:noWrap/>
          </w:tcPr>
          <w:p>
            <w:pPr/>
            <w:r>
              <w:rPr/>
              <w:t xml:space="preserve">Male  1,600</w:t>
            </w:r>
          </w:p>
          <w:p>
            <w:pPr/>
            <w:r>
              <w:rPr/>
              <w:t xml:space="preserve">Female 1,600</w:t>
            </w:r>
          </w:p>
          <w:p>
            <w:pPr/>
            <w:r>
              <w:rPr/>
              <w:t xml:space="preserve"/>
            </w:r>
          </w:p>
        </w:tc>
        <w:tc>
          <w:tcPr>
            <w:tcW w:w="4000" w:type="dxa"/>
            <w:gridSpan w:val="1"/>
            <w:noWrap/>
          </w:tcPr>
          <w:p>
            <w:pPr/>
            <w:r>
              <w:rPr/>
              <w:t xml:space="preserve">As of June 2023, number of male beneficiaries (GoSL officers and community members) = 901 (targets exceeded)</w:t>
            </w:r>
          </w:p>
          <w:p>
            <w:pPr/>
            <w:r>
              <w:rPr/>
              <w:t xml:space="preserve"/>
            </w:r>
          </w:p>
          <w:p>
            <w:pPr/>
            <w:r>
              <w:rPr/>
              <w:t xml:space="preserve">Number of female beneficiaries (GoSL officers and community members) = 414</w:t>
            </w:r>
          </w:p>
          <w:p>
            <w:pPr/>
            <w:r>
              <w:rPr/>
              <w:t xml:space="preserve"/>
            </w:r>
          </w:p>
          <w:p>
            <w:pPr/>
            <w:r>
              <w:rPr/>
              <w:t xml:space="preserve">Below is the breakdown</w:t>
            </w:r>
          </w:p>
          <w:p>
            <w:pPr/>
            <w:r>
              <w:rPr/>
              <w:t xml:space="preserve">TL 1</w:t>
            </w:r>
          </w:p>
          <w:p>
            <w:pPr/>
            <w:r>
              <w:rPr/>
              <w:t xml:space="preserve">Males = 149</w:t>
            </w:r>
          </w:p>
          <w:p>
            <w:pPr/>
            <w:r>
              <w:rPr/>
              <w:t xml:space="preserve">Females = 99</w:t>
            </w:r>
          </w:p>
          <w:p>
            <w:pPr/>
            <w:r>
              <w:rPr/>
              <w:t xml:space="preserve">TL2</w:t>
            </w:r>
          </w:p>
          <w:p>
            <w:pPr/>
            <w:r>
              <w:rPr/>
              <w:t xml:space="preserve">Males = 491</w:t>
            </w:r>
          </w:p>
          <w:p>
            <w:pPr/>
            <w:r>
              <w:rPr/>
              <w:t xml:space="preserve">Females = 233</w:t>
            </w:r>
          </w:p>
          <w:p>
            <w:pPr/>
            <w:r>
              <w:rPr/>
              <w:t xml:space="preserve"/>
            </w:r>
          </w:p>
          <w:p>
            <w:pPr/>
            <w:r>
              <w:rPr/>
              <w:t xml:space="preserve">TL 3</w:t>
            </w:r>
          </w:p>
          <w:p>
            <w:pPr/>
            <w:r>
              <w:rPr/>
              <w:t xml:space="preserve">Males = 261</w:t>
            </w:r>
          </w:p>
          <w:p>
            <w:pPr/>
            <w:r>
              <w:rPr/>
              <w:t xml:space="preserve">Females = 82</w:t>
            </w:r>
          </w:p>
          <w:p>
            <w:pPr/>
            <w:r>
              <w:rPr/>
              <w:t xml:space="preserve"/>
            </w:r>
          </w:p>
          <w:p>
            <w:pPr/>
            <w:r>
              <w:rPr/>
              <w:t xml:space="preserve">No additional beneficiaries covered during the reporting period as the project was under suspension.</w:t>
            </w:r>
          </w:p>
          <w:p>
            <w:pPr/>
            <w:r>
              <w:rPr/>
              <w:t xml:space="preserve"/>
            </w:r>
          </w:p>
        </w:tc>
        <w:tc>
          <w:tcPr>
            <w:tcW w:w="4000" w:type="dxa"/>
            <w:gridSpan w:val="1"/>
            <w:noWrap/>
          </w:tcPr>
          <w:p>
            <w:pPr/>
            <w:r>
              <w:rPr/>
              <w:t xml:space="preserve">The target for this indicator is on track. As of June 2025, a cumulative total of 1586 beneficiaries have been reached through project-induced changes in livelihoods, including both monetary and non-monetary benefits. Of these, 1,034 are male and 552 are female. Notably, 271 new beneficiaries were added during this reporting period, comprising 133 men and 138 women.</w:t>
            </w:r>
          </w:p>
          <w:p>
            <w:pPr/>
            <w:r>
              <w:rPr/>
              <w:t xml:space="preserve"/>
            </w:r>
          </w:p>
          <w:p>
            <w:pPr/>
            <w:r>
              <w:rPr/>
              <w:t xml:space="preserve">Here are the gender and event disaggregated data for the newly added 271 beneficiaries:</w:t>
            </w:r>
          </w:p>
          <w:p>
            <w:pPr/>
            <w:r>
              <w:rPr/>
              <w:t xml:space="preserve"/>
            </w:r>
          </w:p>
          <w:p>
            <w:pPr/>
            <w:r>
              <w:rPr/>
              <w:t xml:space="preserve">Gender Mainstreaming Workshop:</w:t>
            </w:r>
          </w:p>
          <w:p>
            <w:pPr/>
            <w:r>
              <w:rPr/>
              <w:t xml:space="preserve">TL1 and TL2</w:t>
            </w:r>
          </w:p>
          <w:p>
            <w:pPr/>
            <w:r>
              <w:rPr/>
              <w:t xml:space="preserve">Males: 42</w:t>
            </w:r>
          </w:p>
          <w:p>
            <w:pPr/>
            <w:r>
              <w:rPr/>
              <w:t xml:space="preserve">Females: 23</w:t>
            </w:r>
          </w:p>
          <w:p>
            <w:pPr/>
            <w:r>
              <w:rPr/>
              <w:t xml:space="preserve">Total:65</w:t>
            </w:r>
          </w:p>
          <w:p>
            <w:pPr/>
            <w:r>
              <w:rPr/>
              <w:t xml:space="preserve"/>
            </w:r>
          </w:p>
          <w:p>
            <w:pPr/>
            <w:r>
              <w:rPr/>
              <w:t xml:space="preserve">TL3:</w:t>
            </w:r>
          </w:p>
          <w:p>
            <w:pPr/>
            <w:r>
              <w:rPr/>
              <w:t xml:space="preserve">Males:17</w:t>
            </w:r>
          </w:p>
          <w:p>
            <w:pPr/>
            <w:r>
              <w:rPr/>
              <w:t xml:space="preserve">Females:23</w:t>
            </w:r>
          </w:p>
          <w:p>
            <w:pPr/>
            <w:r>
              <w:rPr/>
              <w:t xml:space="preserve">Total:40</w:t>
            </w:r>
          </w:p>
          <w:p>
            <w:pPr/>
            <w:r>
              <w:rPr/>
              <w:t xml:space="preserve"/>
            </w:r>
          </w:p>
          <w:p>
            <w:pPr/>
            <w:r>
              <w:rPr/>
              <w:t xml:space="preserve">Green and Blue Carbon Conservation Training Workshop</w:t>
            </w:r>
          </w:p>
          <w:p>
            <w:pPr/>
            <w:r>
              <w:rPr/>
              <w:t xml:space="preserve">TL3:</w:t>
            </w:r>
          </w:p>
          <w:p>
            <w:pPr/>
            <w:r>
              <w:rPr/>
              <w:t xml:space="preserve">Males:22</w:t>
            </w:r>
          </w:p>
          <w:p>
            <w:pPr/>
            <w:r>
              <w:rPr/>
              <w:t xml:space="preserve">Females:18</w:t>
            </w:r>
          </w:p>
          <w:p>
            <w:pPr/>
            <w:r>
              <w:rPr/>
              <w:t xml:space="preserve">Total:40</w:t>
            </w:r>
          </w:p>
          <w:p>
            <w:pPr/>
            <w:r>
              <w:rPr/>
              <w:t xml:space="preserve"/>
            </w:r>
          </w:p>
          <w:p>
            <w:pPr/>
            <w:r>
              <w:rPr/>
              <w:t xml:space="preserve">School Awareness Program on Seagrass Ecosystems</w:t>
            </w:r>
          </w:p>
          <w:p>
            <w:pPr/>
            <w:r>
              <w:rPr/>
              <w:t xml:space="preserve">TL3:</w:t>
            </w:r>
          </w:p>
          <w:p>
            <w:pPr/>
            <w:r>
              <w:rPr/>
              <w:t xml:space="preserve">Males:38</w:t>
            </w:r>
          </w:p>
          <w:p>
            <w:pPr/>
            <w:r>
              <w:rPr/>
              <w:t xml:space="preserve">Females:49</w:t>
            </w:r>
          </w:p>
          <w:p>
            <w:pPr/>
            <w:r>
              <w:rPr/>
              <w:t xml:space="preserve">Total:87</w:t>
            </w:r>
          </w:p>
          <w:p>
            <w:pPr/>
            <w:r>
              <w:rPr/>
              <w:t xml:space="preserve"/>
            </w:r>
          </w:p>
          <w:p>
            <w:pPr/>
            <w:r>
              <w:rPr/>
              <w:t xml:space="preserve">Social Media Training for Youth Groups on Tourism and Environmental Sustainability</w:t>
            </w:r>
          </w:p>
          <w:p>
            <w:pPr/>
            <w:r>
              <w:rPr/>
              <w:t xml:space="preserve">TL3:</w:t>
            </w:r>
          </w:p>
          <w:p>
            <w:pPr/>
            <w:r>
              <w:rPr/>
              <w:t xml:space="preserve">Males:14</w:t>
            </w:r>
          </w:p>
          <w:p>
            <w:pPr/>
            <w:r>
              <w:rPr/>
              <w:t xml:space="preserve">Females:25</w:t>
            </w:r>
          </w:p>
          <w:p>
            <w:pPr/>
            <w:r>
              <w:rPr/>
              <w:t xml:space="preserve">Total:39</w:t>
            </w:r>
          </w:p>
        </w:tc>
      </w:tr>
      <w:tr>
        <w:trPr/>
        <w:tc>
          <w:tcPr>
            <w:tcW w:w="4000" w:type="dxa"/>
            <w:gridSpan w:val="1"/>
            <w:noWrap/>
          </w:tcPr>
          <w:p>
            <w:pPr/>
            <w:r>
              <w:rPr/>
              <w:t xml:space="preserve">Indicator 3 (Ref: GEF Core indicator 3): Area of tropical dry forest and mangrove in the three Trial Landscapes restored and rehabilitated under a landscape conservation design (hectares)</w:t>
            </w:r>
          </w:p>
        </w:tc>
        <w:tc>
          <w:tcPr>
            <w:tcW w:w="2000" w:type="dxa"/>
            <w:gridSpan w:val="1"/>
            <w:noWrap/>
          </w:tcPr>
          <w:p>
            <w:pPr/>
            <w:r>
              <w:rPr/>
              <w:t xml:space="preserve">0 ha</w:t>
            </w:r>
          </w:p>
        </w:tc>
        <w:tc>
          <w:tcPr>
            <w:tcW w:w="2000" w:type="dxa"/>
            <w:gridSpan w:val="1"/>
            <w:noWrap/>
          </w:tcPr>
          <w:p>
            <w:pPr/>
            <w:r>
              <w:rPr/>
              <w:t xml:space="preserve">6,000</w:t>
            </w:r>
          </w:p>
          <w:p>
            <w:pPr/>
            <w:r>
              <w:rPr/>
              <w:t xml:space="preserve">Tropical Dry Forest:</w:t>
            </w:r>
          </w:p>
          <w:p>
            <w:pPr/>
            <w:r>
              <w:rPr/>
              <w:t xml:space="preserve">TL1 2,500</w:t>
            </w:r>
          </w:p>
          <w:p>
            <w:pPr/>
            <w:r>
              <w:rPr/>
              <w:t xml:space="preserve">TL2 3,000</w:t>
            </w:r>
          </w:p>
          <w:p>
            <w:pPr/>
            <w:r>
              <w:rPr/>
              <w:t xml:space="preserve">TL 3 500</w:t>
            </w:r>
          </w:p>
          <w:p>
            <w:pPr/>
            <w:r>
              <w:rPr/>
              <w:t xml:space="preserve">Mangrove</w:t>
            </w:r>
          </w:p>
          <w:p>
            <w:pPr/>
            <w:r>
              <w:rPr/>
              <w:t xml:space="preserve">TL3 20</w:t>
            </w:r>
          </w:p>
          <w:p>
            <w:pPr/>
            <w:r>
              <w:rPr/>
              <w:t xml:space="preserve"/>
            </w:r>
          </w:p>
        </w:tc>
        <w:tc>
          <w:tcPr>
            <w:tcW w:w="2000" w:type="dxa"/>
            <w:gridSpan w:val="1"/>
            <w:noWrap/>
          </w:tcPr>
          <w:p>
            <w:pPr/>
            <w:r>
              <w:rPr/>
              <w:t xml:space="preserve">21,000</w:t>
            </w:r>
          </w:p>
          <w:p>
            <w:pPr/>
            <w:r>
              <w:rPr/>
              <w:t xml:space="preserve">Tropical Dry Forest:</w:t>
            </w:r>
          </w:p>
          <w:p>
            <w:pPr/>
            <w:r>
              <w:rPr/>
              <w:t xml:space="preserve">TL1 8,950</w:t>
            </w:r>
          </w:p>
          <w:p>
            <w:pPr/>
            <w:r>
              <w:rPr/>
              <w:t xml:space="preserve">TL2 8.950</w:t>
            </w:r>
          </w:p>
          <w:p>
            <w:pPr/>
            <w:r>
              <w:rPr/>
              <w:t xml:space="preserve">TL 3 3,000</w:t>
            </w:r>
          </w:p>
          <w:p>
            <w:pPr/>
            <w:r>
              <w:rPr/>
              <w:t xml:space="preserve">Mangrove</w:t>
            </w:r>
          </w:p>
          <w:p>
            <w:pPr/>
            <w:r>
              <w:rPr/>
              <w:t xml:space="preserve">TL3 100</w:t>
            </w:r>
          </w:p>
          <w:p>
            <w:pPr/>
            <w:r>
              <w:rPr/>
              <w:t xml:space="preserve"/>
            </w:r>
          </w:p>
        </w:tc>
        <w:tc>
          <w:tcPr>
            <w:tcW w:w="4000" w:type="dxa"/>
            <w:gridSpan w:val="1"/>
            <w:noWrap/>
          </w:tcPr>
          <w:p>
            <w:pPr/>
            <w:r>
              <w:rPr/>
              <w:t xml:space="preserve">Current level of progress is 0 ha. This indicator's mid-term target is not achieved.</w:t>
            </w:r>
          </w:p>
          <w:p>
            <w:pPr/>
            <w:r>
              <w:rPr/>
              <w:t xml:space="preserve"/>
            </w:r>
          </w:p>
          <w:p>
            <w:pPr/>
            <w:r>
              <w:rPr/>
              <w:t xml:space="preserve">The midterm review suggested combining this indicator with indicator 6 of Outcome 2. It was suggested to revise the end project target (21,000 ha) and plan accordingly.</w:t>
            </w:r>
          </w:p>
        </w:tc>
        <w:tc>
          <w:tcPr>
            <w:tcW w:w="4000" w:type="dxa"/>
            <w:gridSpan w:val="1"/>
            <w:noWrap/>
          </w:tcPr>
          <w:p>
            <w:pPr/>
            <w:r>
              <w:rPr/>
              <w:t xml:space="preserve">The midterm review suggested combining this indicator with indicator 6 for Outcome 2. It was suggested to revise the end project target (21,000 ha) and plan accordingly.</w:t>
            </w:r>
          </w:p>
        </w:tc>
      </w:tr>
      <w:tr>
        <w:trPr/>
        <w:tc>
          <w:tcPr>
            <w:tcW w:w="4000" w:type="dxa"/>
            <w:gridSpan w:val="1"/>
            <w:noWrap/>
          </w:tcPr>
          <w:p>
            <w:pPr/>
            <w:r>
              <w:rPr>
                <w:b w:val="1"/>
                <w:bCs w:val="1"/>
              </w:rPr>
              <w:t xml:space="preserve">The progress of the objective/outcome can be described as:</w:t>
            </w:r>
          </w:p>
        </w:tc>
        <w:tc>
          <w:tcPr>
            <w:tcW w:w="12000" w:type="dxa"/>
            <w:gridSpan w:val="5"/>
            <w:noWrap/>
          </w:tcPr>
          <w:p>
            <w:pPr/>
            <w:r>
              <w:rPr>
                <w:b w:val="1"/>
                <w:bCs w:val="1"/>
              </w:rPr>
              <w:t xml:space="preserve">On track</w:t>
            </w:r>
          </w:p>
        </w:tc>
      </w:tr>
      <w:tr>
        <w:trPr/>
        <w:tc>
          <w:tcPr>
            <w:tcW w:w="4000" w:type="dxa"/>
            <w:gridSpan w:val="1"/>
            <w:noWrap/>
          </w:tcPr>
          <w:p>
            <w:pPr/>
            <w:r>
              <w:rPr>
                <w:b w:val="1"/>
                <w:bCs w:val="1"/>
              </w:rPr>
              <w:t xml:space="preserve">Evidence uploaded:</w:t>
            </w:r>
          </w:p>
        </w:tc>
        <w:tc>
          <w:tcPr>
            <w:tcW w:w="12000" w:type="dxa"/>
            <w:gridSpan w:val="5"/>
            <w:noWrap/>
          </w:tcPr>
          <w:p>
            <w:pPr/>
            <w:r>
              <w:rPr/>
              <w:t xml:space="preserve">YES</w:t>
            </w:r>
          </w:p>
        </w:tc>
      </w:tr>
      <w:tr>
        <w:trPr/>
        <w:tc>
          <w:tcPr>
            <w:tcW w:w="16000" w:type="dxa"/>
            <w:shd w:val="clear" w:fill="#D9D9D9"/>
            <w:gridSpan w:val="7"/>
            <w:noWrap/>
          </w:tcPr>
          <w:p>
            <w:pPr/>
            <w:r>
              <w:rPr>
                <w:b w:val="1"/>
                <w:bCs w:val="1"/>
              </w:rPr>
              <w:t xml:space="preserve">Outcome 1</w:t>
            </w:r>
          </w:p>
          <w:p>
            <w:pPr/>
            <w:r>
              <w:rPr>
                <w:b w:val="1"/>
                <w:bCs w:val="1"/>
              </w:rPr>
              <w:t xml:space="preserve">An enabling environment to mainstream integrated approaches into natural resource management in production sectors and landscapes                                                                Output 1.1: Draft ministerial directives and subsidiary agreements for special working arrangements between government agencies and administrations in the three Trial Landscapes</w:t>
            </w:r>
          </w:p>
          <w:p>
            <w:pPr/>
            <w:r>
              <w:rPr>
                <w:b w:val="1"/>
                <w:bCs w:val="1"/>
              </w:rPr>
              <w:t xml:space="preserve">Output 1.2: Integrated Landscape Management and Mainstreaming Modules for institutions offering in-service and pre-service training of state employees</w:t>
            </w:r>
          </w:p>
          <w:p>
            <w:pPr/>
            <w:r>
              <w:rPr>
                <w:b w:val="1"/>
                <w:bCs w:val="1"/>
              </w:rPr>
              <w:t xml:space="preserve">Output 1.3: Coordination established with relevant development projects, programmes, and public and private sector initiatives operating in the same geographical area</w:t>
            </w:r>
          </w:p>
          <w:p>
            <w:pPr/>
            <w:r>
              <w:rPr>
                <w:b w:val="1"/>
                <w:bCs w:val="1"/>
              </w:rPr>
              <w:t xml:space="preserve"/>
            </w:r>
          </w:p>
        </w:tc>
      </w:tr>
      <w:tr>
        <w:trPr/>
        <w:tc>
          <w:tcPr>
            <w:tcW w:w="4000" w:type="dxa"/>
            <w:gridSpan w:val="1"/>
            <w:noWrap/>
          </w:tcPr>
          <w:p>
            <w:pPr/>
            <w:r>
              <w:rPr>
                <w:b w:val="1"/>
                <w:bCs w:val="1"/>
              </w:rPr>
              <w:t xml:space="preserve">Description of Indicator</w:t>
            </w:r>
          </w:p>
        </w:tc>
        <w:tc>
          <w:tcPr>
            <w:tcW w:w="2000" w:type="dxa"/>
            <w:gridSpan w:val="1"/>
            <w:noWrap/>
          </w:tcPr>
          <w:p>
            <w:pPr/>
            <w:r>
              <w:rPr>
                <w:b w:val="1"/>
                <w:bCs w:val="1"/>
              </w:rPr>
              <w:t xml:space="preserve">Baseline Level</w:t>
            </w:r>
          </w:p>
        </w:tc>
        <w:tc>
          <w:tcPr>
            <w:tcW w:w="2000" w:type="dxa"/>
            <w:gridSpan w:val="1"/>
            <w:noWrap/>
          </w:tcPr>
          <w:p>
            <w:pPr/>
            <w:r>
              <w:rPr>
                <w:b w:val="1"/>
                <w:bCs w:val="1"/>
              </w:rPr>
              <w:t xml:space="preserve">Midterm target level</w:t>
            </w:r>
          </w:p>
        </w:tc>
        <w:tc>
          <w:tcPr>
            <w:tcW w:w="2000" w:type="dxa"/>
            <w:gridSpan w:val="1"/>
            <w:noWrap/>
          </w:tcPr>
          <w:p>
            <w:pPr/>
            <w:r>
              <w:rPr>
                <w:b w:val="1"/>
                <w:bCs w:val="1"/>
              </w:rPr>
              <w:t xml:space="preserve">End of project target level</w:t>
            </w:r>
          </w:p>
        </w:tc>
        <w:tc>
          <w:tcPr>
            <w:tcW w:w="4000" w:type="dxa"/>
            <w:gridSpan w:val="1"/>
            <w:noWrap/>
          </w:tcPr>
          <w:p>
            <w:pPr/>
            <w:r>
              <w:rPr>
                <w:b w:val="1"/>
                <w:bCs w:val="1"/>
              </w:rPr>
              <w:t xml:space="preserve">Level at Jun 30, 2024</w:t>
            </w:r>
          </w:p>
        </w:tc>
        <w:tc>
          <w:tcPr>
            <w:tcW w:w="4000" w:type="dxa"/>
            <w:gridSpan w:val="1"/>
            <w:noWrap/>
          </w:tcPr>
          <w:p>
            <w:pPr/>
            <w:r>
              <w:rPr>
                <w:b w:val="1"/>
                <w:bCs w:val="1"/>
              </w:rPr>
              <w:t xml:space="preserve">Cumulative progress since project start as of Jun 30, 2025</w:t>
            </w:r>
          </w:p>
        </w:tc>
      </w:tr>
      <w:tr>
        <w:trPr/>
        <w:tc>
          <w:tcPr>
            <w:tcW w:w="4000" w:type="dxa"/>
            <w:gridSpan w:val="1"/>
            <w:noWrap/>
          </w:tcPr>
          <w:p>
            <w:pPr/>
            <w:r>
              <w:rPr/>
              <w:t xml:space="preserve">Indicator 4: Number of sectoral and vocational training institutions that have adopted modules on mainstreaming of biodiversity into natural resource management, tourism and other economic development</w:t>
            </w:r>
          </w:p>
        </w:tc>
        <w:tc>
          <w:tcPr>
            <w:tcW w:w="2000" w:type="dxa"/>
            <w:gridSpan w:val="1"/>
            <w:noWrap/>
          </w:tcPr>
          <w:p>
            <w:pPr/>
            <w:r>
              <w:rPr/>
              <w:t xml:space="preserve">0</w:t>
            </w:r>
          </w:p>
        </w:tc>
        <w:tc>
          <w:tcPr>
            <w:tcW w:w="2000" w:type="dxa"/>
            <w:gridSpan w:val="1"/>
            <w:noWrap/>
          </w:tcPr>
          <w:p>
            <w:pPr/>
            <w:r>
              <w:rPr/>
              <w:t xml:space="preserve">4</w:t>
            </w:r>
          </w:p>
        </w:tc>
        <w:tc>
          <w:tcPr>
            <w:tcW w:w="2000" w:type="dxa"/>
            <w:gridSpan w:val="1"/>
            <w:noWrap/>
          </w:tcPr>
          <w:p>
            <w:pPr/>
            <w:r>
              <w:rPr/>
              <w:t xml:space="preserve">9</w:t>
            </w:r>
          </w:p>
        </w:tc>
        <w:tc>
          <w:tcPr>
            <w:tcW w:w="4000" w:type="dxa"/>
            <w:gridSpan w:val="1"/>
            <w:noWrap/>
          </w:tcPr>
          <w:p>
            <w:pPr/>
            <w:r>
              <w:rPr/>
              <w:t xml:space="preserve">Current level of cumulative progress is 0 institutes. The mid-term target of this indicator is not achieved. A corrective measure on this from MTR was suggested as urgently commencing the development of Training Modules on biodiversity mainstreaming for all relevant training institutions operative in each TL.</w:t>
            </w:r>
          </w:p>
        </w:tc>
        <w:tc>
          <w:tcPr>
            <w:tcW w:w="4000" w:type="dxa"/>
            <w:gridSpan w:val="1"/>
            <w:noWrap/>
          </w:tcPr>
          <w:p>
            <w:pPr/>
            <w:r>
              <w:rPr/>
              <w:t xml:space="preserve">The project is on track with 5 modules developed and 4 modules under development to mainstream biodiversity into natural resource management, tourism, and other economic development.</w:t>
            </w:r>
          </w:p>
          <w:p>
            <w:pPr/>
            <w:r>
              <w:rPr/>
              <w:t xml:space="preserve">Completed Curriculum Modules including:</w:t>
            </w:r>
          </w:p>
          <w:p>
            <w:pPr/>
            <w:r>
              <w:rPr/>
              <w:t xml:space="preserve">1.	Mainstreaming Biodiversity into the Forestry Sector – Targeting Forest Extension Officers under the Forest Department.</w:t>
            </w:r>
          </w:p>
          <w:p>
            <w:pPr/>
            <w:r>
              <w:rPr/>
              <w:t xml:space="preserve">2.	Environmental Sensitivity Training for Senior Officials – Developed for Sri Lanka Administrative and Planning Services (SLIDA).</w:t>
            </w:r>
          </w:p>
          <w:p>
            <w:pPr/>
            <w:r>
              <w:rPr/>
              <w:t xml:space="preserve">3.	Low-Carbon Development (LCD) for Local Level Urban Planning and Development Officers – Tailored for LLUPD officials.</w:t>
            </w:r>
          </w:p>
          <w:p>
            <w:pPr/>
            <w:r>
              <w:rPr/>
              <w:t xml:space="preserve">4.	Biodiversity Mainstreaming in the Tourism Sector – Focused on chauffeur guides, developed through the Anuradhapura Hotel School.</w:t>
            </w:r>
          </w:p>
          <w:p>
            <w:pPr/>
            <w:r>
              <w:rPr/>
              <w:t xml:space="preserve">5.	Biodiversity Awareness for Environment Pioneers – Developed for CEA</w:t>
            </w:r>
          </w:p>
          <w:p>
            <w:pPr/>
            <w:r>
              <w:rPr/>
              <w:t xml:space="preserve">Ongoing Curriculum Development:</w:t>
            </w:r>
          </w:p>
          <w:p>
            <w:pPr/>
            <w:r>
              <w:rPr/>
              <w:t xml:space="preserve">1.	Biodiversity and Environmental Interpretation Training for Tour Guides and Interpreters – Currently under development with the Sri Lanka Institute of Tourism and Hotel Management (SLITHM).</w:t>
            </w:r>
          </w:p>
          <w:p>
            <w:pPr/>
            <w:r>
              <w:rPr/>
              <w:t xml:space="preserve">2.	Training Module on OECMs – Targeting sectoral stakeholders involved in biodiversity conservation.</w:t>
            </w:r>
          </w:p>
          <w:p>
            <w:pPr/>
            <w:r>
              <w:rPr/>
              <w:t xml:space="preserve">3.	Green Listing Training Module – Designed for officers of the Forest Department and Department of Wildlife Conservation to strengthen protected area governance and management.</w:t>
            </w:r>
          </w:p>
          <w:p>
            <w:pPr/>
            <w:r>
              <w:rPr/>
              <w:t xml:space="preserve">4.	Integrated Land Management Planning Module – In development for officers of the Land Use Planning Department to support cross-sectoral coordination and sustainable land use planning.</w:t>
            </w:r>
          </w:p>
          <w:p>
            <w:pPr/>
            <w:r>
              <w:rPr/>
              <w:t xml:space="preserve">These modules will be adopted by the corresponding audience after development</w:t>
            </w:r>
          </w:p>
        </w:tc>
      </w:tr>
      <w:tr>
        <w:trPr/>
        <w:tc>
          <w:tcPr>
            <w:tcW w:w="4000" w:type="dxa"/>
            <w:gridSpan w:val="1"/>
            <w:noWrap/>
          </w:tcPr>
          <w:p>
            <w:pPr/>
            <w:r>
              <w:rPr/>
              <w:t xml:space="preserve">Indicator 5: Capacity of institutions as measured by the UNDP’s Capacity Development Scorecard</w:t>
            </w:r>
          </w:p>
        </w:tc>
        <w:tc>
          <w:tcPr>
            <w:tcW w:w="2000" w:type="dxa"/>
            <w:gridSpan w:val="1"/>
            <w:noWrap/>
          </w:tcPr>
          <w:p>
            <w:pPr/>
            <w:r>
              <w:rPr/>
              <w:t xml:space="preserve">District 18/45</w:t>
            </w:r>
          </w:p>
          <w:p>
            <w:pPr/>
            <w:r>
              <w:rPr/>
              <w:t xml:space="preserve">Division 14/45</w:t>
            </w:r>
          </w:p>
          <w:p>
            <w:pPr/>
            <w:r>
              <w:rPr/>
              <w:t xml:space="preserve"/>
            </w:r>
          </w:p>
        </w:tc>
        <w:tc>
          <w:tcPr>
            <w:tcW w:w="2000" w:type="dxa"/>
            <w:gridSpan w:val="1"/>
            <w:noWrap/>
          </w:tcPr>
          <w:p>
            <w:pPr/>
            <w:r>
              <w:rPr/>
              <w:t xml:space="preserve">District 22/45</w:t>
            </w:r>
          </w:p>
          <w:p>
            <w:pPr/>
            <w:r>
              <w:rPr/>
              <w:t xml:space="preserve">Divisional 17/45</w:t>
            </w:r>
          </w:p>
          <w:p>
            <w:pPr/>
            <w:r>
              <w:rPr/>
              <w:t xml:space="preserve"/>
            </w:r>
          </w:p>
        </w:tc>
        <w:tc>
          <w:tcPr>
            <w:tcW w:w="2000" w:type="dxa"/>
            <w:gridSpan w:val="1"/>
            <w:noWrap/>
          </w:tcPr>
          <w:p>
            <w:pPr/>
            <w:r>
              <w:rPr/>
              <w:t xml:space="preserve">District 30/45</w:t>
            </w:r>
          </w:p>
          <w:p>
            <w:pPr/>
            <w:r>
              <w:rPr/>
              <w:t xml:space="preserve">Divisional 30/45</w:t>
            </w:r>
          </w:p>
          <w:p>
            <w:pPr/>
            <w:r>
              <w:rPr/>
              <w:t xml:space="preserve"/>
            </w:r>
          </w:p>
        </w:tc>
        <w:tc>
          <w:tcPr>
            <w:tcW w:w="4000" w:type="dxa"/>
            <w:gridSpan w:val="1"/>
            <w:noWrap/>
          </w:tcPr>
          <w:p>
            <w:pPr/>
            <w:r>
              <w:rPr/>
              <w:t xml:space="preserve">Capacity re-assessment not done</w:t>
            </w:r>
          </w:p>
        </w:tc>
        <w:tc>
          <w:tcPr>
            <w:tcW w:w="4000" w:type="dxa"/>
            <w:gridSpan w:val="1"/>
            <w:noWrap/>
          </w:tcPr>
          <w:p>
            <w:pPr/>
            <w:r>
              <w:rPr/>
              <w:t xml:space="preserve">The project has conducted a range of training programmes to build the capacity of government officials in mainstreaming biodiversity into the agriculture, forestry, and tourism sectors.</w:t>
            </w:r>
          </w:p>
          <w:p>
            <w:pPr/>
            <w:r>
              <w:rPr/>
              <w:t xml:space="preserve">In addition, sector-specific capacity evaluation scorecards have been developed for the agriculture and forestry sectors. However, the capacity enhancement against these scorecards has not yet been assessed.</w:t>
            </w:r>
          </w:p>
          <w:p>
            <w:pPr/>
            <w:r>
              <w:rPr/>
              <w:t xml:space="preserve">The scorecards will be applied during upcoming institutional capacity assessment workshops scheduled for July 28th and 29th in Anuradhapura and Mannar. Relevant government institutions have been identified to participate in these sessions.</w:t>
            </w:r>
          </w:p>
        </w:tc>
      </w:tr>
      <w:tr>
        <w:trPr/>
        <w:tc>
          <w:tcPr>
            <w:tcW w:w="4000" w:type="dxa"/>
            <w:gridSpan w:val="1"/>
            <w:noWrap/>
          </w:tcPr>
          <w:p>
            <w:pPr/>
            <w:r>
              <w:rPr>
                <w:b w:val="1"/>
                <w:bCs w:val="1"/>
              </w:rPr>
              <w:t xml:space="preserve">The progress of the objective/outcome can be described as:</w:t>
            </w:r>
          </w:p>
        </w:tc>
        <w:tc>
          <w:tcPr>
            <w:tcW w:w="12000" w:type="dxa"/>
            <w:gridSpan w:val="5"/>
            <w:noWrap/>
          </w:tcPr>
          <w:p>
            <w:pPr/>
            <w:r>
              <w:rPr>
                <w:b w:val="1"/>
                <w:bCs w:val="1"/>
              </w:rPr>
              <w:t xml:space="preserve">On track</w:t>
            </w:r>
          </w:p>
        </w:tc>
      </w:tr>
      <w:tr>
        <w:trPr/>
        <w:tc>
          <w:tcPr>
            <w:tcW w:w="4000" w:type="dxa"/>
            <w:gridSpan w:val="1"/>
            <w:noWrap/>
          </w:tcPr>
          <w:p>
            <w:pPr/>
            <w:r>
              <w:rPr>
                <w:b w:val="1"/>
                <w:bCs w:val="1"/>
              </w:rPr>
              <w:t xml:space="preserve">Evidence uploaded:</w:t>
            </w:r>
          </w:p>
        </w:tc>
        <w:tc>
          <w:tcPr>
            <w:tcW w:w="12000" w:type="dxa"/>
            <w:gridSpan w:val="5"/>
            <w:noWrap/>
          </w:tcPr>
          <w:p>
            <w:pPr/>
            <w:r>
              <w:rPr/>
              <w:t xml:space="preserve">YES</w:t>
            </w:r>
          </w:p>
        </w:tc>
      </w:tr>
      <w:tr>
        <w:trPr/>
        <w:tc>
          <w:tcPr>
            <w:tcW w:w="16000" w:type="dxa"/>
            <w:shd w:val="clear" w:fill="#D9D9D9"/>
            <w:gridSpan w:val="7"/>
            <w:noWrap/>
          </w:tcPr>
          <w:p>
            <w:pPr/>
            <w:r>
              <w:rPr>
                <w:b w:val="1"/>
                <w:bCs w:val="1"/>
              </w:rPr>
              <w:t xml:space="preserve">Outcome 2</w:t>
            </w:r>
          </w:p>
          <w:p>
            <w:pPr/>
            <w:r>
              <w:rPr>
                <w:b w:val="1"/>
                <w:bCs w:val="1"/>
              </w:rPr>
              <w:t xml:space="preserve">resource management, tourism and land use are guided by a strategic design for biodiversity conservation and sustainable livelihoods across multiple jurisdictions in three Trial Landscapes in the Northern and North Central Provinces.</w:t>
            </w:r>
          </w:p>
          <w:p>
            <w:pPr/>
            <w:r>
              <w:rPr>
                <w:b w:val="1"/>
                <w:bCs w:val="1"/>
              </w:rPr>
              <w:t xml:space="preserve">Output 2.1: Public information and involvement programme designed and implemented across all Districts and Divisional Secretariats represented in the Trial Landscapes</w:t>
            </w:r>
          </w:p>
          <w:p>
            <w:pPr/>
            <w:r>
              <w:rPr>
                <w:b w:val="1"/>
                <w:bCs w:val="1"/>
              </w:rPr>
              <w:t xml:space="preserve">Output 2.2: Mechanisms for trans-jurisdictional and multi-sectoral consultations in the landscape conservation design established and implemented</w:t>
            </w:r>
          </w:p>
          <w:p>
            <w:pPr/>
            <w:r>
              <w:rPr>
                <w:b w:val="1"/>
                <w:bCs w:val="1"/>
              </w:rPr>
              <w:t xml:space="preserve">Output 2.3: Strategic conservation designs for each Trial Landscape for incorporation into government decision making and local development plans</w:t>
            </w:r>
          </w:p>
          <w:p>
            <w:pPr/>
            <w:r>
              <w:rPr>
                <w:b w:val="1"/>
                <w:bCs w:val="1"/>
              </w:rPr>
              <w:t xml:space="preserve">Output 2.4: Guidelines for mainstreaming biodiversity conservation into natural resource management, tourism and land use planning.</w:t>
            </w:r>
          </w:p>
          <w:p>
            <w:pPr/>
            <w:r>
              <w:rPr>
                <w:b w:val="1"/>
                <w:bCs w:val="1"/>
              </w:rPr>
              <w:t xml:space="preserve">Output 2.5: Technical and material support for immediate actions required under the agreed strategic designs</w:t>
            </w:r>
          </w:p>
          <w:p>
            <w:pPr/>
            <w:r>
              <w:rPr>
                <w:b w:val="1"/>
                <w:bCs w:val="1"/>
              </w:rPr>
              <w:t xml:space="preserve"/>
            </w:r>
          </w:p>
          <w:p>
            <w:pPr/>
            <w:r>
              <w:rPr>
                <w:b w:val="1"/>
                <w:bCs w:val="1"/>
              </w:rPr>
              <w:t xml:space="preserve"/>
            </w:r>
          </w:p>
        </w:tc>
      </w:tr>
      <w:tr>
        <w:trPr/>
        <w:tc>
          <w:tcPr>
            <w:tcW w:w="4000" w:type="dxa"/>
            <w:gridSpan w:val="1"/>
            <w:noWrap/>
          </w:tcPr>
          <w:p>
            <w:pPr/>
            <w:r>
              <w:rPr>
                <w:b w:val="1"/>
                <w:bCs w:val="1"/>
              </w:rPr>
              <w:t xml:space="preserve">Description of Indicator</w:t>
            </w:r>
          </w:p>
        </w:tc>
        <w:tc>
          <w:tcPr>
            <w:tcW w:w="2000" w:type="dxa"/>
            <w:gridSpan w:val="1"/>
            <w:noWrap/>
          </w:tcPr>
          <w:p>
            <w:pPr/>
            <w:r>
              <w:rPr>
                <w:b w:val="1"/>
                <w:bCs w:val="1"/>
              </w:rPr>
              <w:t xml:space="preserve">Baseline Level</w:t>
            </w:r>
          </w:p>
        </w:tc>
        <w:tc>
          <w:tcPr>
            <w:tcW w:w="2000" w:type="dxa"/>
            <w:gridSpan w:val="1"/>
            <w:noWrap/>
          </w:tcPr>
          <w:p>
            <w:pPr/>
            <w:r>
              <w:rPr>
                <w:b w:val="1"/>
                <w:bCs w:val="1"/>
              </w:rPr>
              <w:t xml:space="preserve">Midterm target level</w:t>
            </w:r>
          </w:p>
        </w:tc>
        <w:tc>
          <w:tcPr>
            <w:tcW w:w="2000" w:type="dxa"/>
            <w:gridSpan w:val="1"/>
            <w:noWrap/>
          </w:tcPr>
          <w:p>
            <w:pPr/>
            <w:r>
              <w:rPr>
                <w:b w:val="1"/>
                <w:bCs w:val="1"/>
              </w:rPr>
              <w:t xml:space="preserve">End of project target level</w:t>
            </w:r>
          </w:p>
        </w:tc>
        <w:tc>
          <w:tcPr>
            <w:tcW w:w="4000" w:type="dxa"/>
            <w:gridSpan w:val="1"/>
            <w:noWrap/>
          </w:tcPr>
          <w:p>
            <w:pPr/>
            <w:r>
              <w:rPr>
                <w:b w:val="1"/>
                <w:bCs w:val="1"/>
              </w:rPr>
              <w:t xml:space="preserve">Level at Jun 30, 2024</w:t>
            </w:r>
          </w:p>
        </w:tc>
        <w:tc>
          <w:tcPr>
            <w:tcW w:w="4000" w:type="dxa"/>
            <w:gridSpan w:val="1"/>
            <w:noWrap/>
          </w:tcPr>
          <w:p>
            <w:pPr/>
            <w:r>
              <w:rPr>
                <w:b w:val="1"/>
                <w:bCs w:val="1"/>
              </w:rPr>
              <w:t xml:space="preserve">Cumulative progress since project start as of Jun 30, 2025</w:t>
            </w:r>
          </w:p>
        </w:tc>
      </w:tr>
      <w:tr>
        <w:trPr/>
        <w:tc>
          <w:tcPr>
            <w:tcW w:w="4000" w:type="dxa"/>
            <w:gridSpan w:val="1"/>
            <w:noWrap/>
          </w:tcPr>
          <w:p>
            <w:pPr/>
            <w:r>
              <w:rPr/>
              <w:t xml:space="preserve">Indicator 6 (Ref. GEF Core Indicator 4.1): Area of High Conservation Value Forest that is under improved management to benefit biodiversity under landscape conservation designs in the three Trial Landscapes (hectares)</w:t>
            </w:r>
          </w:p>
          <w:p>
            <w:pPr/>
            <w:r>
              <w:rPr/>
              <w:t xml:space="preserve">(equivalent to GEF Core Indicator 4.1 but excluding the 1,219 ha of Forest Plantation)</w:t>
            </w:r>
          </w:p>
          <w:p>
            <w:pPr/>
            <w:r>
              <w:rPr/>
              <w:t xml:space="preserve"/>
            </w:r>
          </w:p>
        </w:tc>
        <w:tc>
          <w:tcPr>
            <w:tcW w:w="2000" w:type="dxa"/>
            <w:gridSpan w:val="1"/>
            <w:noWrap/>
          </w:tcPr>
          <w:p>
            <w:pPr/>
            <w:r>
              <w:rPr/>
              <w:t xml:space="preserve">0</w:t>
            </w:r>
          </w:p>
        </w:tc>
        <w:tc>
          <w:tcPr>
            <w:tcW w:w="2000" w:type="dxa"/>
            <w:gridSpan w:val="1"/>
            <w:noWrap/>
          </w:tcPr>
          <w:p>
            <w:pPr/>
            <w:r>
              <w:rPr/>
              <w:t xml:space="preserve">0</w:t>
            </w:r>
          </w:p>
        </w:tc>
        <w:tc>
          <w:tcPr>
            <w:tcW w:w="2000" w:type="dxa"/>
            <w:gridSpan w:val="1"/>
            <w:noWrap/>
          </w:tcPr>
          <w:p>
            <w:pPr/>
            <w:r>
              <w:rPr/>
              <w:t xml:space="preserve">18,824</w:t>
            </w:r>
          </w:p>
        </w:tc>
        <w:tc>
          <w:tcPr>
            <w:tcW w:w="4000" w:type="dxa"/>
            <w:gridSpan w:val="1"/>
            <w:noWrap/>
          </w:tcPr>
          <w:p>
            <w:pPr/>
            <w:r>
              <w:rPr/>
              <w:t xml:space="preserve">Current level of progress is 0 ha. As mentioned in the indicator 3 progress, MTR suggested combining this 6th indicator with indicator 3.</w:t>
            </w:r>
          </w:p>
        </w:tc>
        <w:tc>
          <w:tcPr>
            <w:tcW w:w="4000" w:type="dxa"/>
            <w:gridSpan w:val="1"/>
            <w:noWrap/>
          </w:tcPr>
          <w:p>
            <w:pPr/>
            <w:r>
              <w:rPr/>
              <w:t xml:space="preserve">Despite challenges faced during the previous project period, including delays due to economic instability and a suspension period, progress has been achieved during this reporting cycle, particularly in the Tantirimale (TL2) and Mannar Coastal Landscape (TL3) areas. While overall progress is behind initial projections, the project is steadily gaining momentum  through adaptive management strategies.</w:t>
            </w:r>
          </w:p>
          <w:p>
            <w:pPr/>
            <w:r>
              <w:rPr/>
              <w:t xml:space="preserve"/>
            </w:r>
          </w:p>
          <w:p>
            <w:pPr/>
            <w:r>
              <w:rPr/>
              <w:t xml:space="preserve">To date, a total of 695 hectares of forest landscapes have been restored or are under active restoration planning across TL2 and TL3:</w:t>
            </w:r>
          </w:p>
          <w:p>
            <w:pPr/>
            <w:r>
              <w:rPr/>
              <w:t xml:space="preserve"/>
            </w:r>
          </w:p>
          <w:p>
            <w:pPr/>
            <w:r>
              <w:rPr/>
              <w:t xml:space="preserve">TL2 – Tantirimale Landscape:</w:t>
            </w:r>
          </w:p>
          <w:p>
            <w:pPr/>
            <w:r>
              <w:rPr/>
              <w:t xml:space="preserve">•	35 hectares of forest land have been intensively restored.</w:t>
            </w:r>
          </w:p>
          <w:p>
            <w:pPr/>
            <w:r>
              <w:rPr/>
              <w:t xml:space="preserve">•	100 hectares are under regenerative agroecological systems, including food forest gardens, silvopastoral models, and live fencing initiatives.</w:t>
            </w:r>
          </w:p>
          <w:p>
            <w:pPr/>
            <w:r>
              <w:rPr/>
              <w:t xml:space="preserve"/>
            </w:r>
          </w:p>
          <w:p>
            <w:pPr/>
            <w:r>
              <w:rPr/>
              <w:t xml:space="preserve">TL3 – Mannar Coastal Landscape:</w:t>
            </w:r>
          </w:p>
          <w:p>
            <w:pPr/>
            <w:r>
              <w:rPr/>
              <w:t xml:space="preserve">•	A 20-hectare mangrove restoration initiative has been launched, with part of the area set aside for natural regeneration under the Forest Department’s supervision.</w:t>
            </w:r>
          </w:p>
          <w:p>
            <w:pPr/>
            <w:r>
              <w:rPr/>
              <w:t xml:space="preserve">•	An additional 40 hectares have been developed into mixed-species plantations featuring native and timber species such as Gansooriya, Karanda, Eucalyptus, African Mahogany, Kumbuk, Mee, and Kirikon. These plantations are designed to reduce pressure on natural forests by providing sustainable fencing materials to local farmers and fisherfolk.</w:t>
            </w:r>
          </w:p>
          <w:p>
            <w:pPr/>
            <w:r>
              <w:rPr/>
              <w:t xml:space="preserve">•	A collaborative protection effort covering 500 hectares of mangrove ecosystems is underway, led by the Sri Lankan Navy and the Forest Department. As part of this effort, the Navy is establishing a mangrove nursery with technical support from the Ministry of Environment and the Department of Forest Conservation.</w:t>
            </w:r>
          </w:p>
          <w:p>
            <w:pPr/>
            <w:r>
              <w:rPr/>
              <w:t xml:space="preserve">These activities signal a positive trajectory toward improved forest and ecosystem management within the project’s Trial Landscapes.</w:t>
            </w:r>
          </w:p>
          <w:p>
            <w:pPr/>
            <w:r>
              <w:rPr/>
              <w:t xml:space="preserve"/>
            </w:r>
          </w:p>
          <w:p>
            <w:pPr/>
            <w:r>
              <w:rPr/>
              <w:t xml:space="preserve"/>
            </w:r>
          </w:p>
          <w:p>
            <w:pPr/>
            <w:r>
              <w:rPr/>
              <w:t xml:space="preserve">Protected Area Declarations (in progress):</w:t>
            </w:r>
          </w:p>
          <w:p>
            <w:pPr/>
            <w:r>
              <w:rPr/>
              <w:t xml:space="preserve">Moreover, efforts are currently underway to officially declare on following activities:</w:t>
            </w:r>
          </w:p>
          <w:p>
            <w:pPr/>
            <w:r>
              <w:rPr/>
              <w:t xml:space="preserve">•	Three new sanctuaries (covering 2,200 hectares), and</w:t>
            </w:r>
          </w:p>
          <w:p>
            <w:pPr/>
            <w:r>
              <w:rPr/>
              <w:t xml:space="preserve">•	Three wildlife corridors (spanning 17,000 hectares).</w:t>
            </w:r>
          </w:p>
          <w:p>
            <w:pPr/>
            <w:r>
              <w:rPr/>
              <w:t xml:space="preserve"/>
            </w:r>
          </w:p>
          <w:p>
            <w:pPr/>
            <w:r>
              <w:rPr/>
              <w:t xml:space="preserve">Upon completion of the planned activities, the project is expected to fully achieve its restoration and conservation targets by the end of the implementation period.</w:t>
            </w:r>
          </w:p>
          <w:p>
            <w:pPr/>
            <w:r>
              <w:rPr/>
              <w:t xml:space="preserve"/>
            </w:r>
          </w:p>
        </w:tc>
      </w:tr>
      <w:tr>
        <w:trPr/>
        <w:tc>
          <w:tcPr>
            <w:tcW w:w="4000" w:type="dxa"/>
            <w:gridSpan w:val="1"/>
            <w:noWrap/>
          </w:tcPr>
          <w:p>
            <w:pPr/>
            <w:r>
              <w:rPr/>
              <w:t xml:space="preserve">Indicator 7: Annual percentage of Minor and Major Permit applications in which biodiversity impact criteria used in decisions by Coast Conservation Department in Trial Landscape 3</w:t>
            </w:r>
          </w:p>
        </w:tc>
        <w:tc>
          <w:tcPr>
            <w:tcW w:w="2000" w:type="dxa"/>
            <w:gridSpan w:val="1"/>
            <w:noWrap/>
          </w:tcPr>
          <w:p>
            <w:pPr/>
            <w:r>
              <w:rPr/>
              <w:t xml:space="preserve">[To be determined for the preceding twelve months before Inception]</w:t>
            </w:r>
          </w:p>
        </w:tc>
        <w:tc>
          <w:tcPr>
            <w:tcW w:w="2000" w:type="dxa"/>
            <w:gridSpan w:val="1"/>
            <w:noWrap/>
          </w:tcPr>
          <w:p>
            <w:pPr/>
            <w:r>
              <w:rPr/>
              <w:t xml:space="preserve">Increase on baseline to be determined by Inception (depending on baseline value)</w:t>
            </w:r>
          </w:p>
        </w:tc>
        <w:tc>
          <w:tcPr>
            <w:tcW w:w="2000" w:type="dxa"/>
            <w:gridSpan w:val="1"/>
            <w:noWrap/>
          </w:tcPr>
          <w:p>
            <w:pPr/>
            <w:r>
              <w:rPr/>
              <w:t xml:space="preserve">Increase on baseline to be determined by Inception (depending on baseline value)</w:t>
            </w:r>
          </w:p>
        </w:tc>
        <w:tc>
          <w:tcPr>
            <w:tcW w:w="4000" w:type="dxa"/>
            <w:gridSpan w:val="1"/>
            <w:noWrap/>
          </w:tcPr>
          <w:p>
            <w:pPr/>
            <w:r>
              <w:rPr/>
              <w:t xml:space="preserve">MTR proposed below revision to this indicator,</w:t>
            </w:r>
          </w:p>
          <w:p>
            <w:pPr/>
            <w:r>
              <w:rPr/>
              <w:t xml:space="preserve">“Indicator 7: No of coastal management interventions assessed, approved and/or undertaken by CCD which incorporate biodiversity impact criteria.</w:t>
            </w:r>
          </w:p>
          <w:p>
            <w:pPr/>
            <w:r>
              <w:rPr/>
              <w:t xml:space="preserve">Baseline: 0</w:t>
            </w:r>
          </w:p>
          <w:p>
            <w:pPr/>
            <w:r>
              <w:rPr/>
              <w:t xml:space="preserve">Mid-term Target: 0 (too late for target).</w:t>
            </w:r>
          </w:p>
          <w:p>
            <w:pPr/>
            <w:r>
              <w:rPr/>
              <w:t xml:space="preserve">Project End Target: 100%”</w:t>
            </w:r>
          </w:p>
        </w:tc>
        <w:tc>
          <w:tcPr>
            <w:tcW w:w="4000" w:type="dxa"/>
            <w:gridSpan w:val="1"/>
            <w:noWrap/>
          </w:tcPr>
          <w:p>
            <w:pPr/>
            <w:r>
              <w:rPr/>
              <w:t xml:space="preserve">After the MTR, the following revision was suggested to the indicator:</w:t>
            </w:r>
          </w:p>
          <w:p>
            <w:pPr/>
            <w:r>
              <w:rPr/>
              <w:t xml:space="preserve">“Indicator 7: No of coastal management interventions assessed, approved and/or undertaken by CCD which incorporate biodiversity impact criteria.</w:t>
            </w:r>
          </w:p>
          <w:p>
            <w:pPr/>
            <w:r>
              <w:rPr/>
              <w:t xml:space="preserve">Baseline: 0</w:t>
            </w:r>
          </w:p>
          <w:p>
            <w:pPr/>
            <w:r>
              <w:rPr/>
              <w:t xml:space="preserve">Mid-term Target: 0 (too late for target).</w:t>
            </w:r>
          </w:p>
          <w:p>
            <w:pPr/>
            <w:r>
              <w:rPr/>
              <w:t xml:space="preserve">Project End Target: 100%”</w:t>
            </w:r>
          </w:p>
          <w:p>
            <w:pPr/>
            <w:r>
              <w:rPr/>
              <w:t xml:space="preserve"/>
            </w:r>
          </w:p>
          <w:p>
            <w:pPr/>
            <w:r>
              <w:rPr/>
              <w:t xml:space="preserve">Regarding this newly proposed indicator, the following progress has been made:</w:t>
            </w:r>
          </w:p>
          <w:p>
            <w:pPr/>
            <w:r>
              <w:rPr/>
              <w:t xml:space="preserve"/>
            </w:r>
          </w:p>
          <w:p>
            <w:pPr/>
            <w:r>
              <w:rPr/>
              <w:t xml:space="preserve">Proposed Dugong and Seagrass Marine Protected Areas (MPAs) in TL3 (Arippu 29,529.22 ha and Mullikkulam 19,695.85 ha), totaling 49,225.08 ha, have been identified as key coastal biodiversity sites. These areas have been proposed for formal protection through CCD with biodiversity considerations forming part of the planning discussions.</w:t>
            </w:r>
          </w:p>
          <w:p>
            <w:pPr/>
            <w:r>
              <w:rPr/>
              <w:t xml:space="preserve"/>
            </w:r>
          </w:p>
          <w:p>
            <w:pPr/>
            <w:r>
              <w:rPr/>
              <w:t xml:space="preserve">In addition, a total seascape impact area of 81,167.57 ha has been recorded under project activities.</w:t>
            </w:r>
          </w:p>
        </w:tc>
      </w:tr>
      <w:tr>
        <w:trPr/>
        <w:tc>
          <w:tcPr>
            <w:tcW w:w="4000" w:type="dxa"/>
            <w:gridSpan w:val="1"/>
            <w:noWrap/>
          </w:tcPr>
          <w:p>
            <w:pPr/>
            <w:r>
              <w:rPr/>
              <w:t xml:space="preserve">Indicator 8: Mean score (+/- SD) on a standard environmental/biodiversity impact assessment score card modified for the project, of tourism operations (a) marine-based (b) land-based in the three Trial Landscapes</w:t>
            </w:r>
          </w:p>
          <w:p>
            <w:pPr/>
            <w:r>
              <w:rPr/>
              <w:t xml:space="preserve"/>
            </w:r>
          </w:p>
          <w:p>
            <w:pPr/>
            <w:r>
              <w:rPr/>
              <w:t xml:space="preserve"/>
            </w:r>
          </w:p>
        </w:tc>
        <w:tc>
          <w:tcPr>
            <w:tcW w:w="2000" w:type="dxa"/>
            <w:gridSpan w:val="1"/>
            <w:noWrap/>
          </w:tcPr>
          <w:p>
            <w:pPr/>
            <w:r>
              <w:rPr/>
              <w:t xml:space="preserve">To be established by Inception</w:t>
            </w:r>
          </w:p>
        </w:tc>
        <w:tc>
          <w:tcPr>
            <w:tcW w:w="2000" w:type="dxa"/>
            <w:gridSpan w:val="1"/>
            <w:noWrap/>
          </w:tcPr>
          <w:p>
            <w:pPr/>
            <w:r>
              <w:rPr/>
              <w:t xml:space="preserve">To be established by Inception</w:t>
            </w:r>
          </w:p>
        </w:tc>
        <w:tc>
          <w:tcPr>
            <w:tcW w:w="2000" w:type="dxa"/>
            <w:gridSpan w:val="1"/>
            <w:noWrap/>
          </w:tcPr>
          <w:p>
            <w:pPr/>
            <w:r>
              <w:rPr/>
              <w:t xml:space="preserve">To be established by Inception</w:t>
            </w:r>
          </w:p>
        </w:tc>
        <w:tc>
          <w:tcPr>
            <w:tcW w:w="4000" w:type="dxa"/>
            <w:gridSpan w:val="1"/>
            <w:noWrap/>
          </w:tcPr>
          <w:p>
            <w:pPr/>
            <w:r>
              <w:rPr/>
              <w:t xml:space="preserve">No new progress has been made as the project was under suspension for the most part of the reporting period.</w:t>
            </w:r>
          </w:p>
        </w:tc>
        <w:tc>
          <w:tcPr>
            <w:tcW w:w="4000" w:type="dxa"/>
            <w:gridSpan w:val="1"/>
            <w:noWrap/>
          </w:tcPr>
          <w:p>
            <w:pPr/>
            <w:r>
              <w:rPr/>
              <w:t xml:space="preserve">No new progress has been recorded against this indicator. The project is working towards a revised timeline to achieve this indicator.</w:t>
            </w:r>
          </w:p>
        </w:tc>
      </w:tr>
      <w:tr>
        <w:trPr/>
        <w:tc>
          <w:tcPr>
            <w:tcW w:w="4000" w:type="dxa"/>
            <w:gridSpan w:val="1"/>
            <w:noWrap/>
          </w:tcPr>
          <w:p>
            <w:pPr/>
            <w:r>
              <w:rPr/>
              <w:t xml:space="preserve">Indicator 9:  Estimate of the annual amount of carbon (tCO2eq) sequestrated/ emissions avoided over the twenty years following the project's inception taking into account progress on the development, adoption, and implementation of the strategic designs at the heart of the project.</w:t>
            </w:r>
          </w:p>
        </w:tc>
        <w:tc>
          <w:tcPr>
            <w:tcW w:w="2000" w:type="dxa"/>
            <w:gridSpan w:val="1"/>
            <w:noWrap/>
          </w:tcPr>
          <w:p>
            <w:pPr/>
            <w:r>
              <w:rPr/>
              <w:t xml:space="preserve">889,058</w:t>
            </w:r>
          </w:p>
        </w:tc>
        <w:tc>
          <w:tcPr>
            <w:tcW w:w="2000" w:type="dxa"/>
            <w:gridSpan w:val="1"/>
            <w:noWrap/>
          </w:tcPr>
          <w:p>
            <w:pPr/>
            <w:r>
              <w:rPr/>
              <w:t xml:space="preserve">889,058</w:t>
            </w:r>
          </w:p>
        </w:tc>
        <w:tc>
          <w:tcPr>
            <w:tcW w:w="2000" w:type="dxa"/>
            <w:gridSpan w:val="1"/>
            <w:noWrap/>
          </w:tcPr>
          <w:p>
            <w:pPr/>
            <w:r>
              <w:rPr/>
              <w:t xml:space="preserve">889,058</w:t>
            </w:r>
          </w:p>
        </w:tc>
        <w:tc>
          <w:tcPr>
            <w:tcW w:w="4000" w:type="dxa"/>
            <w:gridSpan w:val="1"/>
            <w:noWrap/>
          </w:tcPr>
          <w:p>
            <w:pPr/>
            <w:r>
              <w:rPr/>
              <w:t xml:space="preserve">MTR recommended to replace indicator with doing ‘whole-of-landscape’ green carbon estimate for each TL now (current status) (do both green/blue for TL3) as baseline for future assessments.</w:t>
            </w:r>
          </w:p>
        </w:tc>
        <w:tc>
          <w:tcPr>
            <w:tcW w:w="4000" w:type="dxa"/>
            <w:gridSpan w:val="1"/>
            <w:noWrap/>
          </w:tcPr>
          <w:p>
            <w:pPr/>
            <w:r>
              <w:rPr/>
              <w:t xml:space="preserve">LDCs have been developed covering 266393.57 hectares, and as of now, 695 ha have been under improved management. As such, Based on current progress, the project is expected to sequester or avoid emissions of approximately 2,060 tCO₂e annually, resulting in a cumulative benefit of 41,200 tCO₂e over a 20-year period, assuming sustained management and protection.</w:t>
            </w:r>
          </w:p>
          <w:p>
            <w:pPr/>
            <w:r>
              <w:rPr/>
              <w:t xml:space="preserve">Further, in alignment with the MTR recommendation to adopt a ‘whole-of-landscape’ green carbon estimate for each Trial Landscape (including both green and blue carbon for TL3), a training programme and field exercise were conducted to support baseline assessment efforts. Organized by IUCN and the Ministry of Environment, this initiative targeted technical officers from key agencies including the Coastal Conservation Department (CCD), Wildlife Department, Forest Department, Fisheries Department, Central Environmental Authority (CEA), and environmental policy units in the Mannar District (TL3).</w:t>
            </w:r>
          </w:p>
          <w:p>
            <w:pPr/>
            <w:r>
              <w:rPr/>
              <w:t xml:space="preserve"/>
            </w:r>
          </w:p>
          <w:p>
            <w:pPr/>
            <w:r>
              <w:rPr/>
              <w:t xml:space="preserve">The training aimed to strengthen institutional capacity for assessing carbon ecosystems and to establish a foundation for long-term monitoring of carbon sequestration potential across all three Trial Landscapes.</w:t>
            </w:r>
          </w:p>
        </w:tc>
      </w:tr>
      <w:tr>
        <w:trPr/>
        <w:tc>
          <w:tcPr>
            <w:tcW w:w="4000" w:type="dxa"/>
            <w:gridSpan w:val="1"/>
            <w:noWrap/>
          </w:tcPr>
          <w:p>
            <w:pPr/>
            <w:r>
              <w:rPr>
                <w:b w:val="1"/>
                <w:bCs w:val="1"/>
              </w:rPr>
              <w:t xml:space="preserve">The progress of the objective/outcome can be described as:</w:t>
            </w:r>
          </w:p>
        </w:tc>
        <w:tc>
          <w:tcPr>
            <w:tcW w:w="12000" w:type="dxa"/>
            <w:gridSpan w:val="5"/>
            <w:noWrap/>
          </w:tcPr>
          <w:p>
            <w:pPr/>
            <w:r>
              <w:rPr>
                <w:b w:val="1"/>
                <w:bCs w:val="1"/>
              </w:rPr>
              <w:t xml:space="preserve">On track</w:t>
            </w:r>
          </w:p>
        </w:tc>
      </w:tr>
      <w:tr>
        <w:trPr/>
        <w:tc>
          <w:tcPr>
            <w:tcW w:w="4000" w:type="dxa"/>
            <w:gridSpan w:val="1"/>
            <w:noWrap/>
          </w:tcPr>
          <w:p>
            <w:pPr/>
            <w:r>
              <w:rPr>
                <w:b w:val="1"/>
                <w:bCs w:val="1"/>
              </w:rPr>
              <w:t xml:space="preserve">Evidence uploaded:</w:t>
            </w:r>
          </w:p>
        </w:tc>
        <w:tc>
          <w:tcPr>
            <w:tcW w:w="12000" w:type="dxa"/>
            <w:gridSpan w:val="5"/>
            <w:noWrap/>
          </w:tcPr>
          <w:p>
            <w:pPr/>
            <w:r>
              <w:rPr/>
              <w:t xml:space="preserve">YES</w:t>
            </w:r>
          </w:p>
        </w:tc>
      </w:tr>
      <w:tr>
        <w:trPr/>
        <w:tc>
          <w:tcPr>
            <w:tcW w:w="16000" w:type="dxa"/>
            <w:shd w:val="clear" w:fill="#D9D9D9"/>
            <w:gridSpan w:val="7"/>
            <w:noWrap/>
          </w:tcPr>
          <w:p>
            <w:pPr/>
            <w:r>
              <w:rPr>
                <w:b w:val="1"/>
                <w:bCs w:val="1"/>
              </w:rPr>
              <w:t xml:space="preserve">Outcome 3</w:t>
            </w:r>
          </w:p>
          <w:p>
            <w:pPr/>
            <w:r>
              <w:rPr>
                <w:b w:val="1"/>
                <w:bCs w:val="1"/>
              </w:rPr>
              <w:t xml:space="preserve">Biodiversity conservation priorities shape sustainable livelihoods in natural resource management and tourism in six Focal Village Clusters in three Trial Landscapes in the Northern and North Central Provinces.</w:t>
            </w:r>
          </w:p>
          <w:p>
            <w:pPr/>
            <w:r>
              <w:rPr>
                <w:b w:val="1"/>
                <w:bCs w:val="1"/>
              </w:rPr>
              <w:t xml:space="preserve">Output 3.1: Public information and involvement programme designed and implemented in the focal village clusters</w:t>
            </w:r>
          </w:p>
          <w:p>
            <w:pPr/>
            <w:r>
              <w:rPr>
                <w:b w:val="1"/>
                <w:bCs w:val="1"/>
              </w:rPr>
              <w:t xml:space="preserve">Output 3.2: Participatory mechanisms to bring together community and government stakeholders in a landscape conservation design approach to local land use planning</w:t>
            </w:r>
          </w:p>
          <w:p>
            <w:pPr/>
            <w:r>
              <w:rPr>
                <w:b w:val="1"/>
                <w:bCs w:val="1"/>
              </w:rPr>
              <w:t xml:space="preserve">Output 3.3: Biophysical and socio-economic information required for analysis and reference before and during community-centred land-use planning.</w:t>
            </w:r>
          </w:p>
          <w:p>
            <w:pPr/>
            <w:r>
              <w:rPr>
                <w:b w:val="1"/>
                <w:bCs w:val="1"/>
              </w:rPr>
              <w:t xml:space="preserve">Output 3.4: Six village cluster land-use plans that provide opportunities for novel or modified livelihoods linked with biodiversity conservation</w:t>
            </w:r>
          </w:p>
          <w:p>
            <w:pPr/>
            <w:r>
              <w:rPr>
                <w:b w:val="1"/>
                <w:bCs w:val="1"/>
              </w:rPr>
              <w:t xml:space="preserve">Output 3.5: Livelihood interventions to enhance tourism and natural resource management under the land-use plans developed and implemented</w:t>
            </w:r>
          </w:p>
          <w:p>
            <w:pPr/>
            <w:r>
              <w:rPr>
                <w:b w:val="1"/>
                <w:bCs w:val="1"/>
              </w:rPr>
              <w:t xml:space="preserve"/>
            </w:r>
          </w:p>
        </w:tc>
      </w:tr>
      <w:tr>
        <w:trPr/>
        <w:tc>
          <w:tcPr>
            <w:tcW w:w="4000" w:type="dxa"/>
            <w:gridSpan w:val="1"/>
            <w:noWrap/>
          </w:tcPr>
          <w:p>
            <w:pPr/>
            <w:r>
              <w:rPr>
                <w:b w:val="1"/>
                <w:bCs w:val="1"/>
              </w:rPr>
              <w:t xml:space="preserve">Description of Indicator</w:t>
            </w:r>
          </w:p>
        </w:tc>
        <w:tc>
          <w:tcPr>
            <w:tcW w:w="2000" w:type="dxa"/>
            <w:gridSpan w:val="1"/>
            <w:noWrap/>
          </w:tcPr>
          <w:p>
            <w:pPr/>
            <w:r>
              <w:rPr>
                <w:b w:val="1"/>
                <w:bCs w:val="1"/>
              </w:rPr>
              <w:t xml:space="preserve">Baseline Level</w:t>
            </w:r>
          </w:p>
        </w:tc>
        <w:tc>
          <w:tcPr>
            <w:tcW w:w="2000" w:type="dxa"/>
            <w:gridSpan w:val="1"/>
            <w:noWrap/>
          </w:tcPr>
          <w:p>
            <w:pPr/>
            <w:r>
              <w:rPr>
                <w:b w:val="1"/>
                <w:bCs w:val="1"/>
              </w:rPr>
              <w:t xml:space="preserve">Midterm target level</w:t>
            </w:r>
          </w:p>
        </w:tc>
        <w:tc>
          <w:tcPr>
            <w:tcW w:w="2000" w:type="dxa"/>
            <w:gridSpan w:val="1"/>
            <w:noWrap/>
          </w:tcPr>
          <w:p>
            <w:pPr/>
            <w:r>
              <w:rPr>
                <w:b w:val="1"/>
                <w:bCs w:val="1"/>
              </w:rPr>
              <w:t xml:space="preserve">End of project target level</w:t>
            </w:r>
          </w:p>
        </w:tc>
        <w:tc>
          <w:tcPr>
            <w:tcW w:w="4000" w:type="dxa"/>
            <w:gridSpan w:val="1"/>
            <w:noWrap/>
          </w:tcPr>
          <w:p>
            <w:pPr/>
            <w:r>
              <w:rPr>
                <w:b w:val="1"/>
                <w:bCs w:val="1"/>
              </w:rPr>
              <w:t xml:space="preserve">Level at Jun 30, 2024</w:t>
            </w:r>
          </w:p>
        </w:tc>
        <w:tc>
          <w:tcPr>
            <w:tcW w:w="4000" w:type="dxa"/>
            <w:gridSpan w:val="1"/>
            <w:noWrap/>
          </w:tcPr>
          <w:p>
            <w:pPr/>
            <w:r>
              <w:rPr>
                <w:b w:val="1"/>
                <w:bCs w:val="1"/>
              </w:rPr>
              <w:t xml:space="preserve">Cumulative progress since project start as of Jun 30, 2025</w:t>
            </w:r>
          </w:p>
        </w:tc>
      </w:tr>
      <w:tr>
        <w:trPr/>
        <w:tc>
          <w:tcPr>
            <w:tcW w:w="4000" w:type="dxa"/>
            <w:gridSpan w:val="1"/>
            <w:noWrap/>
          </w:tcPr>
          <w:p>
            <w:pPr/>
            <w:r>
              <w:rPr/>
              <w:t xml:space="preserve">Indicator 10 (Ref. Core indicator 4.3): Area of land in production systems under sustainable land management compatible with biodiversity conservation (hectares)</w:t>
            </w:r>
          </w:p>
        </w:tc>
        <w:tc>
          <w:tcPr>
            <w:tcW w:w="2000" w:type="dxa"/>
            <w:gridSpan w:val="1"/>
            <w:noWrap/>
          </w:tcPr>
          <w:p>
            <w:pPr/>
            <w:r>
              <w:rPr/>
              <w:t xml:space="preserve">Likely to be zero - to be measured by inception</w:t>
            </w:r>
          </w:p>
        </w:tc>
        <w:tc>
          <w:tcPr>
            <w:tcW w:w="2000" w:type="dxa"/>
            <w:gridSpan w:val="1"/>
            <w:noWrap/>
          </w:tcPr>
          <w:p>
            <w:pPr/>
            <w:r>
              <w:rPr/>
              <w:t xml:space="preserve">15,000</w:t>
            </w:r>
          </w:p>
        </w:tc>
        <w:tc>
          <w:tcPr>
            <w:tcW w:w="2000" w:type="dxa"/>
            <w:gridSpan w:val="1"/>
            <w:noWrap/>
          </w:tcPr>
          <w:p>
            <w:pPr/>
            <w:r>
              <w:rPr/>
              <w:t xml:space="preserve">50,406</w:t>
            </w:r>
          </w:p>
        </w:tc>
        <w:tc>
          <w:tcPr>
            <w:tcW w:w="4000" w:type="dxa"/>
            <w:gridSpan w:val="1"/>
            <w:noWrap/>
          </w:tcPr>
          <w:p>
            <w:pPr/>
            <w:r>
              <w:rPr/>
              <w:t xml:space="preserve">No new progress has been made as the project was under suspension for the most part of the reporting period.</w:t>
            </w:r>
          </w:p>
        </w:tc>
        <w:tc>
          <w:tcPr>
            <w:tcW w:w="4000" w:type="dxa"/>
            <w:gridSpan w:val="1"/>
            <w:noWrap/>
          </w:tcPr>
          <w:p>
            <w:pPr/>
            <w:r>
              <w:rPr/>
              <w:t xml:space="preserve">As of this reporting period, the project has brought a total of 16,400 hectares of land under sustainable land management systems that are compatible with biodiversity conservation. While no new area has been added during this cycle, the biodiversity-compatible agricultural practices introduced in previous years continue to be actively sustained by local farmers across the project landscapes.</w:t>
            </w:r>
          </w:p>
          <w:p>
            <w:pPr/>
            <w:r>
              <w:rPr/>
              <w:t xml:space="preserve"/>
            </w:r>
          </w:p>
          <w:p>
            <w:pPr/>
            <w:r>
              <w:rPr/>
              <w:t xml:space="preserve">Through interventions such as integrated ecological fruit farming, ecological market gardens, and ecological maize cultivation, the project has helped build long-term capacities for sustainable production, particularly in Trial Landscapes 1 and 2.</w:t>
            </w:r>
          </w:p>
          <w:p>
            <w:pPr/>
            <w:r>
              <w:rPr/>
              <w:t xml:space="preserve"/>
            </w:r>
          </w:p>
          <w:p>
            <w:pPr/>
            <w:r>
              <w:rPr/>
              <w:t xml:space="preserve">In Trial Landscape 1 – Maha Kanadarawa Cluster, a total of 9,600 hectares were previously covered, benefiting:</w:t>
            </w:r>
          </w:p>
          <w:p>
            <w:pPr/>
            <w:r>
              <w:rPr/>
              <w:t xml:space="preserve"/>
            </w:r>
          </w:p>
          <w:p>
            <w:pPr/>
            <w:r>
              <w:rPr/>
              <w:t xml:space="preserve">Ella Wewa Cascade – 2,700 ha</w:t>
            </w:r>
          </w:p>
          <w:p>
            <w:pPr/>
            <w:r>
              <w:rPr/>
              <w:t xml:space="preserve"/>
            </w:r>
          </w:p>
          <w:p>
            <w:pPr/>
            <w:r>
              <w:rPr/>
              <w:t xml:space="preserve">Mekechchawa Cascade – 3,400 ha</w:t>
            </w:r>
          </w:p>
          <w:p>
            <w:pPr/>
            <w:r>
              <w:rPr/>
              <w:t xml:space="preserve"/>
            </w:r>
          </w:p>
          <w:p>
            <w:pPr/>
            <w:r>
              <w:rPr/>
              <w:t xml:space="preserve">Ranpathwila Wewa Cascade – 3,500 ha</w:t>
            </w:r>
          </w:p>
          <w:p>
            <w:pPr/>
            <w:r>
              <w:rPr/>
              <w:t xml:space="preserve"/>
            </w:r>
          </w:p>
          <w:p>
            <w:pPr/>
            <w:r>
              <w:rPr/>
              <w:t xml:space="preserve">In Trial Landscape 2 – Tantirimale Cluster, an additional 6,800 hectares were brought under improved management through activities in:</w:t>
            </w:r>
          </w:p>
          <w:p>
            <w:pPr/>
            <w:r>
              <w:rPr/>
              <w:t xml:space="preserve"/>
            </w:r>
          </w:p>
          <w:p>
            <w:pPr/>
            <w:r>
              <w:rPr/>
              <w:t xml:space="preserve">Bogaswewa Cascade – 600 ha</w:t>
            </w:r>
          </w:p>
          <w:p>
            <w:pPr/>
            <w:r>
              <w:rPr/>
              <w:t xml:space="preserve"/>
            </w:r>
          </w:p>
          <w:p>
            <w:pPr/>
            <w:r>
              <w:rPr/>
              <w:t xml:space="preserve">Hamillawa Wewa Cascade – 950 ha</w:t>
            </w:r>
          </w:p>
          <w:p>
            <w:pPr/>
            <w:r>
              <w:rPr/>
              <w:t xml:space="preserve"/>
            </w:r>
          </w:p>
          <w:p>
            <w:pPr/>
            <w:r>
              <w:rPr/>
              <w:t xml:space="preserve">Hunupolayagama – 850 ha</w:t>
            </w:r>
          </w:p>
          <w:p>
            <w:pPr/>
            <w:r>
              <w:rPr/>
              <w:t xml:space="preserve"/>
            </w:r>
          </w:p>
          <w:p>
            <w:pPr/>
            <w:r>
              <w:rPr/>
              <w:t xml:space="preserve">Karambe Wewa – 800 ha</w:t>
            </w:r>
          </w:p>
          <w:p>
            <w:pPr/>
            <w:r>
              <w:rPr/>
              <w:t xml:space="preserve"/>
            </w:r>
          </w:p>
          <w:p>
            <w:pPr/>
            <w:r>
              <w:rPr/>
              <w:t xml:space="preserve">Kibul Wewa – 1,200 ha</w:t>
            </w:r>
          </w:p>
          <w:p>
            <w:pPr/>
            <w:r>
              <w:rPr/>
              <w:t xml:space="preserve"/>
            </w:r>
          </w:p>
          <w:p>
            <w:pPr/>
            <w:r>
              <w:rPr/>
              <w:t xml:space="preserve">Kuda Halmillawa Ela – 700 ha</w:t>
            </w:r>
          </w:p>
          <w:p>
            <w:pPr/>
            <w:r>
              <w:rPr/>
              <w:t xml:space="preserve"/>
            </w:r>
          </w:p>
          <w:p>
            <w:pPr/>
            <w:r>
              <w:rPr/>
              <w:t xml:space="preserve">Minhettigama Wewa – 400 ha</w:t>
            </w:r>
          </w:p>
          <w:p>
            <w:pPr/>
            <w:r>
              <w:rPr/>
              <w:t xml:space="preserve"/>
            </w:r>
          </w:p>
          <w:p>
            <w:pPr/>
            <w:r>
              <w:rPr/>
              <w:t xml:space="preserve">Nelumvila – 600 ha</w:t>
            </w:r>
          </w:p>
          <w:p>
            <w:pPr/>
            <w:r>
              <w:rPr/>
              <w:t xml:space="preserve"/>
            </w:r>
          </w:p>
          <w:p>
            <w:pPr/>
            <w:r>
              <w:rPr/>
              <w:t xml:space="preserve">Nika Wewa – 700 ha</w:t>
            </w:r>
          </w:p>
        </w:tc>
      </w:tr>
      <w:tr>
        <w:trPr/>
        <w:tc>
          <w:tcPr>
            <w:tcW w:w="4000" w:type="dxa"/>
            <w:gridSpan w:val="1"/>
            <w:noWrap/>
          </w:tcPr>
          <w:p>
            <w:pPr/>
            <w:r>
              <w:rPr/>
              <w:t xml:space="preserve">Indicator 11: Number of new instances each year of major coral damage along a 1km reef transect in Trial Landscape 3</w:t>
            </w:r>
          </w:p>
        </w:tc>
        <w:tc>
          <w:tcPr>
            <w:tcW w:w="2000" w:type="dxa"/>
            <w:gridSpan w:val="1"/>
            <w:noWrap/>
          </w:tcPr>
          <w:p>
            <w:pPr/>
            <w:r>
              <w:rPr/>
              <w:t xml:space="preserve">Measured after one year against baseline condition measured by inception</w:t>
            </w:r>
          </w:p>
        </w:tc>
        <w:tc>
          <w:tcPr>
            <w:tcW w:w="2000" w:type="dxa"/>
            <w:gridSpan w:val="1"/>
            <w:noWrap/>
          </w:tcPr>
          <w:p>
            <w:pPr/>
            <w:r>
              <w:rPr/>
              <w:t xml:space="preserve">Decrease on baseline by 10%</w:t>
            </w:r>
          </w:p>
        </w:tc>
        <w:tc>
          <w:tcPr>
            <w:tcW w:w="2000" w:type="dxa"/>
            <w:gridSpan w:val="1"/>
            <w:noWrap/>
          </w:tcPr>
          <w:p>
            <w:pPr/>
            <w:r>
              <w:rPr/>
              <w:t xml:space="preserve">Decrease on baseline by 30%</w:t>
            </w:r>
          </w:p>
        </w:tc>
        <w:tc>
          <w:tcPr>
            <w:tcW w:w="4000" w:type="dxa"/>
            <w:gridSpan w:val="1"/>
            <w:noWrap/>
          </w:tcPr>
          <w:p>
            <w:pPr/>
            <w:r>
              <w:rPr/>
              <w:t xml:space="preserve">No new progress has been made as the project was under suspension for the most part of the reporting period.</w:t>
            </w:r>
          </w:p>
          <w:p>
            <w:pPr/>
            <w:r>
              <w:rPr/>
              <w:t xml:space="preserve">MTR team recommended that this Indicator be dropped from the Project as there is no time remaining for the Project to do anything meaningful on reducing coral reef impacts.</w:t>
            </w:r>
          </w:p>
        </w:tc>
        <w:tc>
          <w:tcPr>
            <w:tcW w:w="4000" w:type="dxa"/>
            <w:gridSpan w:val="1"/>
            <w:noWrap/>
          </w:tcPr>
          <w:p>
            <w:pPr/>
            <w:r>
              <w:rPr/>
              <w:t xml:space="preserve">No new progress has been made during the reporting period.</w:t>
            </w:r>
          </w:p>
          <w:p>
            <w:pPr/>
            <w:r>
              <w:rPr/>
              <w:t xml:space="preserve">MTR team recommended that this Indicator be dropped from the Project as there is no time remaining for the Project to do anything meaningful on reducing coral reef impacts.</w:t>
            </w:r>
          </w:p>
          <w:p>
            <w:pPr/>
            <w:r>
              <w:rPr/>
              <w:t xml:space="preserve">In Landscape Conservation Design (LCD), it was recommended that the Project should focus only on Mangrove restoration</w:t>
            </w:r>
          </w:p>
          <w:p>
            <w:pPr/>
            <w:r>
              <w:rPr/>
              <w:t xml:space="preserve">in terms of coastal and marine aspects based on the MTR recommendation.</w:t>
            </w:r>
          </w:p>
        </w:tc>
      </w:tr>
      <w:tr>
        <w:trPr/>
        <w:tc>
          <w:tcPr>
            <w:tcW w:w="4000" w:type="dxa"/>
            <w:gridSpan w:val="1"/>
            <w:noWrap/>
          </w:tcPr>
          <w:p>
            <w:pPr/>
            <w:r>
              <w:rPr/>
              <w:t xml:space="preserve">Indicator 12:  Percentage of interviewees disaggregated by gender in Focal Villages who say that livelihoods have been enhanced as a result of mainstreaming biodiversity into land-use plans</w:t>
            </w:r>
          </w:p>
        </w:tc>
        <w:tc>
          <w:tcPr>
            <w:tcW w:w="2000" w:type="dxa"/>
            <w:gridSpan w:val="1"/>
            <w:noWrap/>
          </w:tcPr>
          <w:p>
            <w:pPr/>
            <w:r>
              <w:rPr/>
              <w:t xml:space="preserve">0 (men)</w:t>
            </w:r>
          </w:p>
          <w:p>
            <w:pPr/>
            <w:r>
              <w:rPr/>
              <w:t xml:space="preserve">0 (women)</w:t>
            </w:r>
          </w:p>
          <w:p>
            <w:pPr/>
            <w:r>
              <w:rPr/>
              <w:t xml:space="preserve"/>
            </w:r>
          </w:p>
        </w:tc>
        <w:tc>
          <w:tcPr>
            <w:tcW w:w="2000" w:type="dxa"/>
            <w:gridSpan w:val="1"/>
            <w:noWrap/>
          </w:tcPr>
          <w:p>
            <w:pPr/>
            <w:r>
              <w:rPr/>
              <w:t xml:space="preserve">20% (men)</w:t>
            </w:r>
          </w:p>
          <w:p>
            <w:pPr/>
            <w:r>
              <w:rPr/>
              <w:t xml:space="preserve">20% (women)</w:t>
            </w:r>
          </w:p>
          <w:p>
            <w:pPr/>
            <w:r>
              <w:rPr/>
              <w:t xml:space="preserve"/>
            </w:r>
          </w:p>
        </w:tc>
        <w:tc>
          <w:tcPr>
            <w:tcW w:w="2000" w:type="dxa"/>
            <w:gridSpan w:val="1"/>
            <w:noWrap/>
          </w:tcPr>
          <w:p>
            <w:pPr/>
            <w:r>
              <w:rPr/>
              <w:t xml:space="preserve">50% (men)</w:t>
            </w:r>
          </w:p>
          <w:p>
            <w:pPr/>
            <w:r>
              <w:rPr/>
              <w:t xml:space="preserve">50% (women)</w:t>
            </w:r>
          </w:p>
          <w:p>
            <w:pPr/>
            <w:r>
              <w:rPr/>
              <w:t xml:space="preserve"/>
            </w:r>
          </w:p>
        </w:tc>
        <w:tc>
          <w:tcPr>
            <w:tcW w:w="4000" w:type="dxa"/>
            <w:gridSpan w:val="1"/>
            <w:noWrap/>
          </w:tcPr>
          <w:p>
            <w:pPr/>
            <w:r>
              <w:rPr/>
              <w:t xml:space="preserve">No new progress has been made as the project was under suspension for the most part of the reporting period.</w:t>
            </w:r>
          </w:p>
        </w:tc>
        <w:tc>
          <w:tcPr>
            <w:tcW w:w="4000" w:type="dxa"/>
            <w:gridSpan w:val="1"/>
            <w:noWrap/>
          </w:tcPr>
          <w:p>
            <w:pPr/>
            <w:r>
              <w:rPr/>
              <w:t xml:space="preserve">Progress against this indicator is yet to be formally measured. Following the project’s recent resumption and onboarding of a new third-party implementing partner, activities aimed at improving livelihoods by mainstreaming biodiversity into land-use planning have only recently restarted. As such, beneficiary interviews are planned to be carried out in the balance project period. Nonetheless, early feedback from the field indicates positive outcomes—55 male and 31 female beneficiaries have reported improved livelihoods, attributed to technical guidance on eco-friendly pest control and income diversification through beekeeping.</w:t>
            </w:r>
          </w:p>
        </w:tc>
      </w:tr>
      <w:tr>
        <w:trPr/>
        <w:tc>
          <w:tcPr>
            <w:tcW w:w="4000" w:type="dxa"/>
            <w:gridSpan w:val="1"/>
            <w:noWrap/>
          </w:tcPr>
          <w:p>
            <w:pPr/>
            <w:r>
              <w:rPr/>
              <w:t xml:space="preserve">Indicator 13:  Percentage of key government and community organizations that publicly endorse and commit to each of the six village-cluster land-use plans</w:t>
            </w:r>
          </w:p>
        </w:tc>
        <w:tc>
          <w:tcPr>
            <w:tcW w:w="2000" w:type="dxa"/>
            <w:gridSpan w:val="1"/>
            <w:noWrap/>
          </w:tcPr>
          <w:p>
            <w:pPr/>
            <w:r>
              <w:rPr/>
              <w:t xml:space="preserve">Plan 1: 0</w:t>
            </w:r>
          </w:p>
          <w:p>
            <w:pPr/>
            <w:r>
              <w:rPr/>
              <w:t xml:space="preserve">Plan 2: 0</w:t>
            </w:r>
          </w:p>
          <w:p>
            <w:pPr/>
            <w:r>
              <w:rPr/>
              <w:t xml:space="preserve">Plan 3: 0</w:t>
            </w:r>
          </w:p>
          <w:p>
            <w:pPr/>
            <w:r>
              <w:rPr/>
              <w:t xml:space="preserve">Plan 4: 0</w:t>
            </w:r>
          </w:p>
          <w:p>
            <w:pPr/>
            <w:r>
              <w:rPr/>
              <w:t xml:space="preserve">Plan 5: 0</w:t>
            </w:r>
          </w:p>
          <w:p>
            <w:pPr/>
            <w:r>
              <w:rPr/>
              <w:t xml:space="preserve">Plan 6: 0</w:t>
            </w:r>
          </w:p>
          <w:p>
            <w:pPr/>
            <w:r>
              <w:rPr/>
              <w:t xml:space="preserve"/>
            </w:r>
          </w:p>
        </w:tc>
        <w:tc>
          <w:tcPr>
            <w:tcW w:w="2000" w:type="dxa"/>
            <w:gridSpan w:val="1"/>
            <w:noWrap/>
          </w:tcPr>
          <w:p>
            <w:pPr/>
            <w:r>
              <w:rPr/>
              <w:t xml:space="preserve">Plan 1: 30</w:t>
            </w:r>
          </w:p>
          <w:p>
            <w:pPr/>
            <w:r>
              <w:rPr/>
              <w:t xml:space="preserve">Plan 2: 30</w:t>
            </w:r>
          </w:p>
          <w:p>
            <w:pPr/>
            <w:r>
              <w:rPr/>
              <w:t xml:space="preserve">Plan 3: 30</w:t>
            </w:r>
          </w:p>
          <w:p>
            <w:pPr/>
            <w:r>
              <w:rPr/>
              <w:t xml:space="preserve">Plan 4: 30</w:t>
            </w:r>
          </w:p>
          <w:p>
            <w:pPr/>
            <w:r>
              <w:rPr/>
              <w:t xml:space="preserve">Plan 5: 30</w:t>
            </w:r>
          </w:p>
          <w:p>
            <w:pPr/>
            <w:r>
              <w:rPr/>
              <w:t xml:space="preserve">Plan 6: 30</w:t>
            </w:r>
          </w:p>
          <w:p>
            <w:pPr/>
            <w:r>
              <w:rPr/>
              <w:t xml:space="preserve"/>
            </w:r>
          </w:p>
        </w:tc>
        <w:tc>
          <w:tcPr>
            <w:tcW w:w="2000" w:type="dxa"/>
            <w:gridSpan w:val="1"/>
            <w:noWrap/>
          </w:tcPr>
          <w:p>
            <w:pPr/>
            <w:r>
              <w:rPr/>
              <w:t xml:space="preserve">Plan 1: 60</w:t>
            </w:r>
          </w:p>
          <w:p>
            <w:pPr/>
            <w:r>
              <w:rPr/>
              <w:t xml:space="preserve">Plan 2: 60</w:t>
            </w:r>
          </w:p>
          <w:p>
            <w:pPr/>
            <w:r>
              <w:rPr/>
              <w:t xml:space="preserve">Plan 3: 60</w:t>
            </w:r>
          </w:p>
          <w:p>
            <w:pPr/>
            <w:r>
              <w:rPr/>
              <w:t xml:space="preserve">Plan 4: 60</w:t>
            </w:r>
          </w:p>
          <w:p>
            <w:pPr/>
            <w:r>
              <w:rPr/>
              <w:t xml:space="preserve">Plan 5: 60</w:t>
            </w:r>
          </w:p>
          <w:p>
            <w:pPr/>
            <w:r>
              <w:rPr/>
              <w:t xml:space="preserve">Plan 6: 60</w:t>
            </w:r>
          </w:p>
          <w:p>
            <w:pPr/>
            <w:r>
              <w:rPr/>
              <w:t xml:space="preserve"/>
            </w:r>
          </w:p>
        </w:tc>
        <w:tc>
          <w:tcPr>
            <w:tcW w:w="4000" w:type="dxa"/>
            <w:gridSpan w:val="1"/>
            <w:noWrap/>
          </w:tcPr>
          <w:p>
            <w:pPr/>
            <w:r>
              <w:rPr/>
              <w:t xml:space="preserve">No new progress has been made as the project was under suspension for the most part of the reporting period.</w:t>
            </w:r>
          </w:p>
        </w:tc>
        <w:tc>
          <w:tcPr>
            <w:tcW w:w="4000" w:type="dxa"/>
            <w:gridSpan w:val="1"/>
            <w:noWrap/>
          </w:tcPr>
          <w:p>
            <w:pPr/>
            <w:r>
              <w:rPr/>
              <w:t xml:space="preserve">The development of village-cluster land-use plans is scheduled to begin following the finalization of the LCDS designs and the completion of village-level assessments and capacity-building activities currently being led by IUCN. These land-use plans are expected to be finalized by December 2025. Endorsement from key government agencies and community organizations will be sought upon completion of the plans.</w:t>
            </w:r>
          </w:p>
        </w:tc>
      </w:tr>
      <w:tr>
        <w:trPr/>
        <w:tc>
          <w:tcPr>
            <w:tcW w:w="4000" w:type="dxa"/>
            <w:gridSpan w:val="1"/>
            <w:noWrap/>
          </w:tcPr>
          <w:p>
            <w:pPr/>
            <w:r>
              <w:rPr/>
              <w:t xml:space="preserve">Indicator 14: Policy, community readiness for sustainable tourism in the Focal Village Clusters measured by Scorecard in Annex Y</w:t>
            </w:r>
          </w:p>
        </w:tc>
        <w:tc>
          <w:tcPr>
            <w:tcW w:w="2000" w:type="dxa"/>
            <w:gridSpan w:val="1"/>
            <w:noWrap/>
          </w:tcPr>
          <w:p>
            <w:pPr/>
            <w:r>
              <w:rPr/>
              <w:t xml:space="preserve">To be determined at Inception - score out of total 205</w:t>
            </w:r>
          </w:p>
        </w:tc>
        <w:tc>
          <w:tcPr>
            <w:tcW w:w="2000" w:type="dxa"/>
            <w:gridSpan w:val="1"/>
            <w:noWrap/>
          </w:tcPr>
          <w:p>
            <w:pPr/>
            <w:r>
              <w:rPr/>
              <w:t xml:space="preserve">Increase of 15% on baseline score out of 205</w:t>
            </w:r>
          </w:p>
        </w:tc>
        <w:tc>
          <w:tcPr>
            <w:tcW w:w="2000" w:type="dxa"/>
            <w:gridSpan w:val="1"/>
            <w:noWrap/>
          </w:tcPr>
          <w:p>
            <w:pPr/>
            <w:r>
              <w:rPr/>
              <w:t xml:space="preserve">Increase of 35% on baseline score out of 205</w:t>
            </w:r>
          </w:p>
        </w:tc>
        <w:tc>
          <w:tcPr>
            <w:tcW w:w="4000" w:type="dxa"/>
            <w:gridSpan w:val="1"/>
            <w:noWrap/>
          </w:tcPr>
          <w:p>
            <w:pPr/>
            <w:r>
              <w:rPr/>
              <w:t xml:space="preserve">No new progress has been made as the project was under suspension for the most part of the reporting period.</w:t>
            </w:r>
          </w:p>
        </w:tc>
        <w:tc>
          <w:tcPr>
            <w:tcW w:w="4000" w:type="dxa"/>
            <w:gridSpan w:val="1"/>
            <w:noWrap/>
          </w:tcPr>
          <w:p>
            <w:pPr/>
            <w:r>
              <w:rPr/>
              <w:t xml:space="preserve">The project has not yet been benchmarked against the Capacity Development Scorecard. However, progress is being made in advancing several tourism-related initiatives, with additional proposals expected to be identified and developed in the coming weeks.</w:t>
            </w:r>
          </w:p>
          <w:p>
            <w:pPr/>
            <w:r>
              <w:rPr/>
              <w:t xml:space="preserve"/>
            </w:r>
          </w:p>
        </w:tc>
      </w:tr>
      <w:tr>
        <w:trPr/>
        <w:tc>
          <w:tcPr>
            <w:tcW w:w="4000" w:type="dxa"/>
            <w:gridSpan w:val="1"/>
            <w:noWrap/>
          </w:tcPr>
          <w:p>
            <w:pPr/>
            <w:r>
              <w:rPr>
                <w:b w:val="1"/>
                <w:bCs w:val="1"/>
              </w:rPr>
              <w:t xml:space="preserve">The progress of the objective/outcome can be described as:</w:t>
            </w:r>
          </w:p>
        </w:tc>
        <w:tc>
          <w:tcPr>
            <w:tcW w:w="12000" w:type="dxa"/>
            <w:gridSpan w:val="5"/>
            <w:noWrap/>
          </w:tcPr>
          <w:p>
            <w:pPr/>
            <w:r>
              <w:rPr>
                <w:b w:val="1"/>
                <w:bCs w:val="1"/>
              </w:rPr>
              <w:t xml:space="preserve">On track</w:t>
            </w:r>
          </w:p>
        </w:tc>
      </w:tr>
      <w:tr>
        <w:trPr/>
        <w:tc>
          <w:tcPr>
            <w:tcW w:w="4000" w:type="dxa"/>
            <w:gridSpan w:val="1"/>
            <w:noWrap/>
          </w:tcPr>
          <w:p>
            <w:pPr/>
            <w:r>
              <w:rPr>
                <w:b w:val="1"/>
                <w:bCs w:val="1"/>
              </w:rPr>
              <w:t xml:space="preserve">Evidence uploaded:</w:t>
            </w:r>
          </w:p>
        </w:tc>
        <w:tc>
          <w:tcPr>
            <w:tcW w:w="12000" w:type="dxa"/>
            <w:gridSpan w:val="5"/>
            <w:noWrap/>
          </w:tcPr>
          <w:p>
            <w:pPr/>
            <w:r>
              <w:rPr/>
              <w:t xml:space="preserve">YES</w:t>
            </w:r>
          </w:p>
        </w:tc>
      </w:tr>
      <w:tr>
        <w:trPr/>
        <w:tc>
          <w:tcPr>
            <w:tcW w:w="16000" w:type="dxa"/>
            <w:shd w:val="clear" w:fill="#D9D9D9"/>
            <w:gridSpan w:val="7"/>
            <w:noWrap/>
          </w:tcPr>
          <w:p>
            <w:pPr/>
            <w:r>
              <w:rPr>
                <w:b w:val="1"/>
                <w:bCs w:val="1"/>
              </w:rPr>
              <w:t xml:space="preserve">Outcome 4</w:t>
            </w:r>
          </w:p>
          <w:p>
            <w:pPr/>
            <w:r>
              <w:rPr>
                <w:b w:val="1"/>
                <w:bCs w:val="1"/>
              </w:rPr>
              <w:t xml:space="preserve">Monitoring and evaluation, and dissemination of knowledge of project methods and results contributes to wider application of landscape approach to mainstreaming of  biodiversity</w:t>
            </w:r>
          </w:p>
          <w:p>
            <w:pPr/>
            <w:r>
              <w:rPr>
                <w:b w:val="1"/>
                <w:bCs w:val="1"/>
              </w:rPr>
              <w:t xml:space="preserve">Output 4.1: Monitoring protocols and necessary institutional agreements to assess the impacts of the landscape conservation design and livelihood-focused interventions both during and after the end of the project</w:t>
            </w:r>
          </w:p>
          <w:p>
            <w:pPr/>
            <w:r>
              <w:rPr>
                <w:b w:val="1"/>
                <w:bCs w:val="1"/>
              </w:rPr>
              <w:t xml:space="preserve">Output 4.2: Periodic reviews and evaluations of monitoring data collected during the project</w:t>
            </w:r>
          </w:p>
          <w:p>
            <w:pPr/>
            <w:r>
              <w:rPr>
                <w:b w:val="1"/>
                <w:bCs w:val="1"/>
              </w:rPr>
              <w:t xml:space="preserve">Output 4.3: Publications, films, exhibitions, databases that publicize the methods used and the results of the project interventions</w:t>
            </w:r>
          </w:p>
          <w:p>
            <w:pPr/>
            <w:r>
              <w:rPr>
                <w:b w:val="1"/>
                <w:bCs w:val="1"/>
              </w:rPr>
              <w:t xml:space="preserve">Output 4.4: Organized visits by the public and by national and regional government officials to project sites to demonstrate and explain project activities and achievements</w:t>
            </w:r>
          </w:p>
          <w:p>
            <w:pPr/>
            <w:r>
              <w:rPr>
                <w:b w:val="1"/>
                <w:bCs w:val="1"/>
              </w:rPr>
              <w:t xml:space="preserve">Output 4.5: Talks and presentations by project staff in Colombo and in District and Provincial centres to explain project methods and results</w:t>
            </w:r>
          </w:p>
          <w:p>
            <w:pPr/>
            <w:r>
              <w:rPr>
                <w:b w:val="1"/>
                <w:bCs w:val="1"/>
              </w:rPr>
              <w:t xml:space="preserve"/>
            </w:r>
          </w:p>
        </w:tc>
      </w:tr>
      <w:tr>
        <w:trPr/>
        <w:tc>
          <w:tcPr>
            <w:tcW w:w="4000" w:type="dxa"/>
            <w:gridSpan w:val="1"/>
            <w:noWrap/>
          </w:tcPr>
          <w:p>
            <w:pPr/>
            <w:r>
              <w:rPr>
                <w:b w:val="1"/>
                <w:bCs w:val="1"/>
              </w:rPr>
              <w:t xml:space="preserve">Description of Indicator</w:t>
            </w:r>
          </w:p>
        </w:tc>
        <w:tc>
          <w:tcPr>
            <w:tcW w:w="2000" w:type="dxa"/>
            <w:gridSpan w:val="1"/>
            <w:noWrap/>
          </w:tcPr>
          <w:p>
            <w:pPr/>
            <w:r>
              <w:rPr>
                <w:b w:val="1"/>
                <w:bCs w:val="1"/>
              </w:rPr>
              <w:t xml:space="preserve">Baseline Level</w:t>
            </w:r>
          </w:p>
        </w:tc>
        <w:tc>
          <w:tcPr>
            <w:tcW w:w="2000" w:type="dxa"/>
            <w:gridSpan w:val="1"/>
            <w:noWrap/>
          </w:tcPr>
          <w:p>
            <w:pPr/>
            <w:r>
              <w:rPr>
                <w:b w:val="1"/>
                <w:bCs w:val="1"/>
              </w:rPr>
              <w:t xml:space="preserve">Midterm target level</w:t>
            </w:r>
          </w:p>
        </w:tc>
        <w:tc>
          <w:tcPr>
            <w:tcW w:w="2000" w:type="dxa"/>
            <w:gridSpan w:val="1"/>
            <w:noWrap/>
          </w:tcPr>
          <w:p>
            <w:pPr/>
            <w:r>
              <w:rPr>
                <w:b w:val="1"/>
                <w:bCs w:val="1"/>
              </w:rPr>
              <w:t xml:space="preserve">End of project target level</w:t>
            </w:r>
          </w:p>
        </w:tc>
        <w:tc>
          <w:tcPr>
            <w:tcW w:w="4000" w:type="dxa"/>
            <w:gridSpan w:val="1"/>
            <w:noWrap/>
          </w:tcPr>
          <w:p>
            <w:pPr/>
            <w:r>
              <w:rPr>
                <w:b w:val="1"/>
                <w:bCs w:val="1"/>
              </w:rPr>
              <w:t xml:space="preserve">Level at Jun 30, 2024</w:t>
            </w:r>
          </w:p>
        </w:tc>
        <w:tc>
          <w:tcPr>
            <w:tcW w:w="4000" w:type="dxa"/>
            <w:gridSpan w:val="1"/>
            <w:noWrap/>
          </w:tcPr>
          <w:p>
            <w:pPr/>
            <w:r>
              <w:rPr>
                <w:b w:val="1"/>
                <w:bCs w:val="1"/>
              </w:rPr>
              <w:t xml:space="preserve">Cumulative progress since project start as of Jun 30, 2025</w:t>
            </w:r>
          </w:p>
        </w:tc>
      </w:tr>
      <w:tr>
        <w:trPr/>
        <w:tc>
          <w:tcPr>
            <w:tcW w:w="4000" w:type="dxa"/>
            <w:gridSpan w:val="1"/>
            <w:noWrap/>
          </w:tcPr>
          <w:p>
            <w:pPr/>
            <w:r>
              <w:rPr/>
              <w:t xml:space="preserve">Indicator 15: Number of (a) villages and (b) DSDs in which independent monitoring of project impacts is taking place according to sound protocols</w:t>
            </w:r>
          </w:p>
        </w:tc>
        <w:tc>
          <w:tcPr>
            <w:tcW w:w="2000" w:type="dxa"/>
            <w:gridSpan w:val="1"/>
            <w:noWrap/>
          </w:tcPr>
          <w:p>
            <w:pPr/>
            <w:r>
              <w:rPr/>
              <w:t xml:space="preserve">(a) 0</w:t>
            </w:r>
          </w:p>
          <w:p>
            <w:pPr/>
            <w:r>
              <w:rPr/>
              <w:t xml:space="preserve">(b) 0</w:t>
            </w:r>
          </w:p>
          <w:p>
            <w:pPr/>
            <w:r>
              <w:rPr/>
              <w:t xml:space="preserve"/>
            </w:r>
          </w:p>
        </w:tc>
        <w:tc>
          <w:tcPr>
            <w:tcW w:w="2000" w:type="dxa"/>
            <w:gridSpan w:val="1"/>
            <w:noWrap/>
          </w:tcPr>
          <w:p>
            <w:pPr/>
            <w:r>
              <w:rPr/>
              <w:t xml:space="preserve">To be determined by Inception based on numbers of villages in Focal Village Clusters</w:t>
            </w:r>
          </w:p>
        </w:tc>
        <w:tc>
          <w:tcPr>
            <w:tcW w:w="2000" w:type="dxa"/>
            <w:gridSpan w:val="1"/>
            <w:noWrap/>
          </w:tcPr>
          <w:p>
            <w:pPr/>
            <w:r>
              <w:rPr/>
              <w:t xml:space="preserve">To be determined by Inception, based on numbers of villages in Focal Village Clusters</w:t>
            </w:r>
          </w:p>
        </w:tc>
        <w:tc>
          <w:tcPr>
            <w:tcW w:w="4000" w:type="dxa"/>
            <w:gridSpan w:val="1"/>
            <w:noWrap/>
          </w:tcPr>
          <w:p>
            <w:pPr/>
            <w:r>
              <w:rPr/>
              <w:t xml:space="preserve">No progress has been made as the project was under suspension for the most part of the reporting period.</w:t>
            </w:r>
          </w:p>
        </w:tc>
        <w:tc>
          <w:tcPr>
            <w:tcW w:w="4000" w:type="dxa"/>
            <w:gridSpan w:val="1"/>
            <w:noWrap/>
          </w:tcPr>
          <w:p>
            <w:pPr/>
            <w:r>
              <w:rPr/>
              <w:t xml:space="preserve">While a formal mechanism for independent monitoring of project impacts based on standardized protocols has not yet been established, the project plans to appoint Divisional Secretariat-based officers, such as Development, Environmental, or Agricultural Officers, in each focal village cluster to serve as independent monitors going forward.</w:t>
            </w:r>
          </w:p>
        </w:tc>
      </w:tr>
      <w:tr>
        <w:trPr/>
        <w:tc>
          <w:tcPr>
            <w:tcW w:w="4000" w:type="dxa"/>
            <w:gridSpan w:val="1"/>
            <w:noWrap/>
          </w:tcPr>
          <w:p>
            <w:pPr/>
            <w:r>
              <w:rPr/>
              <w:t xml:space="preserve">Indicator 16: Number of substantial knowledge products that reflect best practices and lessons learned including project results and sustainability strategy.</w:t>
            </w:r>
          </w:p>
        </w:tc>
        <w:tc>
          <w:tcPr>
            <w:tcW w:w="2000" w:type="dxa"/>
            <w:gridSpan w:val="1"/>
            <w:noWrap/>
          </w:tcPr>
          <w:p>
            <w:pPr/>
            <w:r>
              <w:rPr/>
              <w:t xml:space="preserve">0</w:t>
            </w:r>
          </w:p>
        </w:tc>
        <w:tc>
          <w:tcPr>
            <w:tcW w:w="2000" w:type="dxa"/>
            <w:gridSpan w:val="1"/>
            <w:noWrap/>
          </w:tcPr>
          <w:p>
            <w:pPr/>
            <w:r>
              <w:rPr/>
              <w:t xml:space="preserve">22</w:t>
            </w:r>
          </w:p>
        </w:tc>
        <w:tc>
          <w:tcPr>
            <w:tcW w:w="2000" w:type="dxa"/>
            <w:gridSpan w:val="1"/>
            <w:noWrap/>
          </w:tcPr>
          <w:p>
            <w:pPr/>
            <w:r>
              <w:rPr/>
              <w:t xml:space="preserve">42</w:t>
            </w:r>
          </w:p>
        </w:tc>
        <w:tc>
          <w:tcPr>
            <w:tcW w:w="4000" w:type="dxa"/>
            <w:gridSpan w:val="1"/>
            <w:noWrap/>
          </w:tcPr>
          <w:p>
            <w:pPr/>
            <w:r>
              <w:rPr/>
              <w:t xml:space="preserve">No progress has been made as the project was under suspension for the most part of the reporting period.</w:t>
            </w:r>
          </w:p>
        </w:tc>
        <w:tc>
          <w:tcPr>
            <w:tcW w:w="4000" w:type="dxa"/>
            <w:gridSpan w:val="1"/>
            <w:noWrap/>
          </w:tcPr>
          <w:p>
            <w:pPr/>
            <w:r>
              <w:rPr/>
              <w:t xml:space="preserve">Target for this indicator has already been completed and exceeded. In total, 51 knowledge products have been developed.</w:t>
            </w:r>
          </w:p>
          <w:p>
            <w:pPr/>
            <w:r>
              <w:rPr/>
              <w:t xml:space="preserve"/>
            </w:r>
          </w:p>
          <w:p>
            <w:pPr/>
            <w:r>
              <w:rPr/>
              <w:t xml:space="preserve">Knowledge products developed during previous reporting periods:</w:t>
            </w:r>
          </w:p>
          <w:p>
            <w:pPr/>
            <w:r>
              <w:rPr/>
              <w:t xml:space="preserve">Total: 51</w:t>
            </w:r>
          </w:p>
          <w:p>
            <w:pPr/>
            <w:r>
              <w:rPr/>
              <w:t xml:space="preserve"/>
            </w:r>
          </w:p>
          <w:p>
            <w:pPr/>
            <w:r>
              <w:rPr/>
              <w:t xml:space="preserve">1. Project webpage on “Managing Together” that articulates the project concept, status and programming potential in agriculture, tourism, land management. The webpages carry large number of maps and information useful for project design, management and education.</w:t>
            </w:r>
          </w:p>
          <w:p>
            <w:pPr/>
            <w:r>
              <w:rPr/>
              <w:t xml:space="preserve">2. 10 posters designed targeting general public and village clusters highlighting the features of trial landscapes and sector information on agriculture, tourism etc.</w:t>
            </w:r>
          </w:p>
          <w:p>
            <w:pPr/>
            <w:r>
              <w:rPr/>
              <w:t xml:space="preserve">3. A project brochure was developed</w:t>
            </w:r>
          </w:p>
          <w:p>
            <w:pPr/>
            <w:r>
              <w:rPr/>
              <w:t xml:space="preserve">4. A Radio Show in Sinhala covering project introduction, sector specific specialized knowledge on water, wildlife, forestry etc. Overall six radio programmes were conducted during the reporting period.</w:t>
            </w:r>
          </w:p>
          <w:p>
            <w:pPr/>
            <w:r>
              <w:rPr/>
              <w:t xml:space="preserve">5. Health of water quality in minor watersheds</w:t>
            </w:r>
          </w:p>
          <w:p>
            <w:pPr/>
            <w:r>
              <w:rPr/>
              <w:t xml:space="preserve">6. Environment management system for Mahakandarawa Cluster as an illustration</w:t>
            </w:r>
          </w:p>
          <w:p>
            <w:pPr/>
            <w:r>
              <w:rPr/>
              <w:t xml:space="preserve">7. A video on Malwathu Oya Basin covering key features that are useful in tourism and conservation including nature, culture and heritage aspects</w:t>
            </w:r>
          </w:p>
          <w:p>
            <w:pPr/>
            <w:r>
              <w:rPr/>
              <w:t xml:space="preserve">8. Series of newspaper articles on Managing Together initiated</w:t>
            </w:r>
          </w:p>
          <w:p>
            <w:pPr/>
            <w:r>
              <w:rPr/>
              <w:t xml:space="preserve">9. Project Logo was designed and being used in letterheads and other communications</w:t>
            </w:r>
          </w:p>
          <w:p>
            <w:pPr/>
            <w:r>
              <w:rPr/>
              <w:t xml:space="preserve">10. Number of publications on biodiversity assessments in village clusters – printed separately</w:t>
            </w:r>
          </w:p>
          <w:p>
            <w:pPr/>
            <w:r>
              <w:rPr/>
              <w:t xml:space="preserve">11. Biodiversity survey – terrestrial</w:t>
            </w:r>
          </w:p>
          <w:p>
            <w:pPr/>
            <w:r>
              <w:rPr/>
              <w:t xml:space="preserve">12. Biodiversity survey – coastal</w:t>
            </w:r>
          </w:p>
          <w:p>
            <w:pPr/>
            <w:r>
              <w:rPr/>
              <w:t xml:space="preserve">13. Biodiversity survey – marine</w:t>
            </w:r>
          </w:p>
          <w:p>
            <w:pPr/>
            <w:r>
              <w:rPr/>
              <w:t xml:space="preserve">14. Water quality study – power point developed</w:t>
            </w:r>
          </w:p>
          <w:p>
            <w:pPr/>
            <w:r>
              <w:rPr/>
              <w:t xml:space="preserve">15.Animation video produced to articulate the agroforestry concept implemented by the project.</w:t>
            </w:r>
          </w:p>
          <w:p>
            <w:pPr/>
            <w:r>
              <w:rPr/>
              <w:t xml:space="preserve">16. Three tourism promotional videos are developed</w:t>
            </w:r>
          </w:p>
          <w:p>
            <w:pPr/>
            <w:r>
              <w:rPr/>
              <w:t xml:space="preserve">17. Three large leaflets were developed for project scope, the biodiversity of Malwathu oya and Project Landscapes.</w:t>
            </w:r>
          </w:p>
          <w:p>
            <w:pPr/>
            <w:r>
              <w:rPr/>
              <w:t xml:space="preserve">18. 13 newspaper articles published in all 3 languages.</w:t>
            </w:r>
          </w:p>
          <w:p>
            <w:pPr/>
            <w:r>
              <w:rPr/>
              <w:t xml:space="preserve">21. Two TV program is television program is telecasted</w:t>
            </w:r>
          </w:p>
          <w:p>
            <w:pPr/>
            <w:r>
              <w:rPr/>
              <w:t xml:space="preserve"/>
            </w:r>
          </w:p>
          <w:p>
            <w:pPr/>
            <w:r>
              <w:rPr/>
              <w:t xml:space="preserve">Knowledge products developed during current reporting period:</w:t>
            </w:r>
          </w:p>
          <w:p>
            <w:pPr/>
            <w:r>
              <w:rPr/>
              <w:t xml:space="preserve">Total: 10</w:t>
            </w:r>
          </w:p>
          <w:p>
            <w:pPr/>
            <w:r>
              <w:rPr/>
              <w:t xml:space="preserve"/>
            </w:r>
          </w:p>
          <w:p>
            <w:pPr/>
            <w:r>
              <w:rPr/>
              <w:t xml:space="preserve">1.An updated version of the Mangrove Guide of Sri Lanka is currently under development, once finished, it will be reprinted for dissemination among field officers and stakeholders to promote long-term awareness and technical capacity on mangrove conservation.</w:t>
            </w:r>
          </w:p>
          <w:p>
            <w:pPr/>
            <w:r>
              <w:rPr/>
              <w:t xml:space="preserve">2.A TV programme series is currently under production to showcase the Managing Together project’s ecosystem-based interventions in forestry, agriculture, and tourism sectors. Once finalized, it will be broadcast nationally and shared online to raise public awareness, highlight community engagement, and promote sustainable practices across the Malwathu Oya River Basin</w:t>
            </w:r>
          </w:p>
          <w:p>
            <w:pPr/>
            <w:r>
              <w:rPr/>
              <w:t xml:space="preserve">3. A Landscape Conservation Design was developed and in the process of finalization. This document was designed to be the fundamental guidance to implement land use management plan. Once finalized, it will be disseminated among policy makers and other key stakeholders.</w:t>
            </w:r>
          </w:p>
          <w:p>
            <w:pPr/>
            <w:r>
              <w:rPr/>
              <w:t xml:space="preserve">4. 2 training workshops on social media use for tourism and environmental sustainability to youth groups have been conducted, one for youth groups in TL2 with SLTDA&amp;Mahavilachiya DSD, and another for youth groups in TL3 with Mannar GA/s office.</w:t>
            </w:r>
          </w:p>
          <w:p>
            <w:pPr/>
            <w:r>
              <w:rPr/>
              <w:t xml:space="preserve">5. 5 Modules on mainstreaming of biodiversity into natural resource management, tourism and other economic development</w:t>
            </w:r>
          </w:p>
        </w:tc>
      </w:tr>
      <w:tr>
        <w:trPr/>
        <w:tc>
          <w:tcPr>
            <w:tcW w:w="4000" w:type="dxa"/>
            <w:gridSpan w:val="1"/>
            <w:noWrap/>
          </w:tcPr>
          <w:p>
            <w:pPr/>
            <w:r>
              <w:rPr>
                <w:b w:val="1"/>
                <w:bCs w:val="1"/>
              </w:rPr>
              <w:t xml:space="preserve">The progress of the objective/outcome can be described as:</w:t>
            </w:r>
          </w:p>
        </w:tc>
        <w:tc>
          <w:tcPr>
            <w:tcW w:w="12000" w:type="dxa"/>
            <w:gridSpan w:val="5"/>
            <w:noWrap/>
          </w:tcPr>
          <w:p>
            <w:pPr/>
            <w:r>
              <w:rPr>
                <w:b w:val="1"/>
                <w:bCs w:val="1"/>
              </w:rPr>
              <w:t xml:space="preserve">On track</w:t>
            </w:r>
          </w:p>
        </w:tc>
      </w:tr>
      <w:tr>
        <w:trPr/>
        <w:tc>
          <w:tcPr>
            <w:tcW w:w="4000" w:type="dxa"/>
            <w:gridSpan w:val="1"/>
            <w:noWrap/>
          </w:tcPr>
          <w:p>
            <w:pPr/>
            <w:r>
              <w:rPr>
                <w:b w:val="1"/>
                <w:bCs w:val="1"/>
              </w:rPr>
              <w:t xml:space="preserve">Evidence uploaded:</w:t>
            </w:r>
          </w:p>
        </w:tc>
        <w:tc>
          <w:tcPr>
            <w:tcW w:w="12000" w:type="dxa"/>
            <w:gridSpan w:val="5"/>
            <w:noWrap/>
          </w:tcPr>
          <w:p>
            <w:pPr/>
            <w:r>
              <w:rPr/>
              <w:t xml:space="preserve">YES</w:t>
            </w:r>
          </w:p>
        </w:tc>
      </w:tr>
    </w:tbl>
    <w:p>
      <w:pPr>
        <w:sectPr>
          <w:pgSz w:orient="landscape" w:w="16837.79527559055" w:h="11905.511811023622"/>
          <w:pgMar w:top="500" w:right="500" w:bottom="500" w:left="500" w:header="720" w:footer="720" w:gutter="0"/>
          <w:cols w:num="1" w:space="720"/>
        </w:sectPr>
      </w:pPr>
    </w:p>
    <w:p>
      <w:pPr>
        <w:pStyle w:val="Heading1"/>
      </w:pPr>
      <w:bookmarkStart w:id="4" w:name="_Toc4"/>
      <w:r>
        <w:t>Finance/Co-Finance</w:t>
      </w:r>
      <w:bookmarkEnd w:id="4"/>
    </w:p>
    <w:tbl>
      <w:tblGrid>
        <w:gridCol w:w="5000" w:type="dxa"/>
        <w:gridCol w:w="5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vAlign w:val="center"/>
            <w:noWrap/>
          </w:tcPr>
          <w:p>
            <w:pPr/>
            <w:r>
              <w:rPr/>
              <w:t xml:space="preserve">Cumulative disbursement as of Jun 30, 2025:</w:t>
            </w:r>
          </w:p>
          <w:p>
            <w:pPr/>
            <w:r>
              <w:rPr>
                <w:i w:val="1"/>
                <w:iCs w:val="1"/>
              </w:rPr>
              <w:t xml:space="preserve">
*Disbursement for the FY 2025 period is an estimate as books for UNDP Q2 2025 are not yet closed.</w:t>
            </w:r>
          </w:p>
        </w:tc>
        <w:tc>
          <w:tcPr>
            <w:tcW w:w="5000" w:type="dxa"/>
            <w:vAlign w:val="center"/>
            <w:gridSpan w:val="1"/>
            <w:noWrap/>
          </w:tcPr>
          <w:p>
            <w:pPr>
              <w:jc w:val="right"/>
            </w:pPr>
            <w:r>
              <w:rPr/>
              <w:t xml:space="preserve">1,526,012</w:t>
            </w:r>
          </w:p>
        </w:tc>
      </w:tr>
    </w:tbl>
    <w:p>
      <w:pPr>
        <w:pStyle w:val="Heading2"/>
      </w:pPr>
      <w:bookmarkStart w:id="5" w:name="_Toc5"/>
      <w:r>
        <w:t>Key Financing Amounts</w:t>
      </w:r>
      <w:bookmarkEnd w:id="5"/>
    </w:p>
    <w:tbl>
      <w:tblGrid>
        <w:gridCol w:w="5000" w:type="dxa"/>
        <w:gridCol w:w="5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noWrap/>
          </w:tcPr>
          <w:p>
            <w:pPr/>
            <w:r>
              <w:rPr/>
              <w:t xml:space="preserve">PPG Amount</w:t>
            </w:r>
          </w:p>
        </w:tc>
        <w:tc>
          <w:tcPr>
            <w:tcW w:w="5000" w:type="dxa"/>
            <w:vAlign w:val="center"/>
            <w:gridSpan w:val="1"/>
            <w:noWrap/>
          </w:tcPr>
          <w:p>
            <w:pPr>
              <w:jc w:val="right"/>
            </w:pPr>
            <w:r>
              <w:rPr/>
              <w:t xml:space="preserve">100,000</w:t>
            </w:r>
          </w:p>
        </w:tc>
      </w:tr>
      <w:tr>
        <w:trPr/>
        <w:tc>
          <w:tcPr>
            <w:tcW w:w="5000" w:type="dxa"/>
            <w:gridSpan w:val="1"/>
            <w:noWrap/>
          </w:tcPr>
          <w:p>
            <w:pPr/>
            <w:r>
              <w:rPr/>
              <w:t xml:space="preserve">GEF Grant Amount</w:t>
            </w:r>
          </w:p>
        </w:tc>
        <w:tc>
          <w:tcPr>
            <w:tcW w:w="5000" w:type="dxa"/>
            <w:vAlign w:val="center"/>
            <w:gridSpan w:val="1"/>
            <w:noWrap/>
          </w:tcPr>
          <w:p>
            <w:pPr>
              <w:jc w:val="right"/>
            </w:pPr>
            <w:r>
              <w:rPr/>
              <w:t xml:space="preserve">3,346,708</w:t>
            </w:r>
          </w:p>
        </w:tc>
      </w:tr>
      <w:tr>
        <w:trPr/>
        <w:tc>
          <w:tcPr>
            <w:tcW w:w="5000" w:type="dxa"/>
            <w:gridSpan w:val="1"/>
            <w:noWrap/>
          </w:tcPr>
          <w:p>
            <w:pPr/>
            <w:r>
              <w:rPr/>
              <w:t xml:space="preserve">Co-financing</w:t>
            </w:r>
          </w:p>
        </w:tc>
        <w:tc>
          <w:tcPr>
            <w:tcW w:w="5000" w:type="dxa"/>
            <w:vAlign w:val="center"/>
            <w:gridSpan w:val="1"/>
            <w:noWrap/>
          </w:tcPr>
          <w:p>
            <w:pPr>
              <w:jc w:val="right"/>
            </w:pPr>
            <w:r>
              <w:rPr/>
              <w:t xml:space="preserve">29,252,222</w:t>
            </w:r>
          </w:p>
        </w:tc>
      </w:tr>
    </w:tbl>
    <w:p>
      <w:pPr>
        <w:sectPr>
          <w:pgSz w:orient="portrait" w:w="11905.511811023622" w:h="16837.79527559055"/>
          <w:pgMar w:top="1440" w:right="1440" w:bottom="1440" w:left="1440" w:header="720" w:footer="720" w:gutter="0"/>
          <w:cols w:num="1" w:space="720"/>
        </w:sectPr>
      </w:pPr>
    </w:p>
    <w:p>
      <w:pPr>
        <w:pStyle w:val="Heading1"/>
      </w:pPr>
      <w:bookmarkStart w:id="6" w:name="_Toc6"/>
      <w:r>
        <w:t>Implementation Progress</w:t>
      </w:r>
      <w:bookmarkEnd w:id="6"/>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Project Manager: Please provide comments on delays with outputs/activities during the period 1 July 2024 through 30 June 2025.  If there were no delays, please indicate 'not applicable'.</w:t>
            </w:r>
          </w:p>
        </w:tc>
      </w:tr>
      <w:tr>
        <w:trPr/>
        <w:tc>
          <w:tcPr>
            <w:tcW w:w="10000" w:type="dxa"/>
            <w:gridSpan w:val="1"/>
            <w:noWrap/>
          </w:tcPr>
          <w:p>
            <w:pPr/>
            <w:r>
              <w:rPr/>
              <w:t xml:space="preserve">There were notable delays in achieving project outputs and implementing activities during the reporting period from 1 July 2024 to 30 June 2025, primarily due to the temporary suspension of the project, which was lifted later in 2024. While the Sri Lanka Red Cross Society (SLRCS) was formally engaged in November 2024 as the third-party organization to execute ground-level activities, several foundational processes required additional time.</w:t>
            </w:r>
          </w:p>
          <w:p>
            <w:pPr/>
            <w:r>
              <w:rPr/>
              <w:t xml:space="preserve">Key staffing positions including the Project Manager, Finance and Admin Officer, MEAL Coordinator, and Field Coordinators for both Mannar and Anuradhapura districts were only filled by February 2025. Furthermore, from December 2024 to February 2025, project partners (IUCN, SLRCS, and the Ministry of Environment) were involved in finalizing the Annual Work Plan (AWP) for 2025 and the Multi-Year Work Plan (MYWP), both of which were approved and signed during the 6th National Steering Committee meeting held on 21 February 2025.</w:t>
            </w:r>
          </w:p>
          <w:p>
            <w:pPr/>
            <w:r>
              <w:rPr/>
              <w:t xml:space="preserve">Additional delays occurred in initiating site-level activities. While several follow-up and preparatory actions were undertaken including AWP awareness sessions, a Landscape Conservation Design (LCD) validation workshop, and proposal development visits implementation was hindered until the first tranche of funding was received on 6 June 2025, following the submission of Face Forms. Fund disbursement to the Red Cross regional branches in Anuradhapura and Mannar began only from June 2025.</w:t>
            </w:r>
          </w:p>
          <w:p>
            <w:pPr/>
            <w:r>
              <w:rPr/>
              <w:t xml:space="preserve">A specific delay also occurred in executing the Sea Breaker in Vankalai due to the time required for contractor selection through the tender board process and obtaining necessary technical and directive approvals from relevant government authorities.</w:t>
            </w:r>
          </w:p>
          <w:p>
            <w:pPr/>
            <w:r>
              <w:rPr/>
              <w:t xml:space="preserve">As a whole, the delays were primarily linked to the suspension period, recruitment timelines, planning and coordination requirements among stakeholders, funding disbursement procedures, and adherence to government approval processes.</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CO Programme Officer: Please include specific measures to manage the project's implementation performance</w:t>
            </w:r>
          </w:p>
          <w:p>
            <w:pPr/>
            <w:r>
              <w:rPr>
                <w:b w:val="1"/>
                <w:bCs w:val="1"/>
              </w:rPr>
              <w:t xml:space="preserve"/>
            </w:r>
          </w:p>
          <w:p>
            <w:pPr/>
            <w:r>
              <w:rPr>
                <w:b w:val="1"/>
                <w:bCs w:val="1"/>
              </w:rPr>
              <w:t xml:space="preserve"/>
            </w:r>
          </w:p>
        </w:tc>
      </w:tr>
      <w:tr>
        <w:trPr/>
        <w:tc>
          <w:tcPr>
            <w:tcW w:w="10000" w:type="dxa"/>
            <w:gridSpan w:val="1"/>
            <w:noWrap/>
          </w:tcPr>
          <w:p>
            <w:pPr/>
            <w:r>
              <w:rPr/>
              <w:t xml:space="preserve">UNDP has instituted a strengthened performance management and coordination structure, including weekly progress reviews with SLRCS, monthly technical coordination meetings with IUCN and the Ministry of Environment, and mid-year Project Board discussions. Additional technical and procurement support has also been deployed to assist the PMU and implementing partners. Further, UNDP has deployed additional capacity to support the implementing partners to expedite project implementation.</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BPPS RTA: Please include specific measures to manage the project's implementation performance.</w:t>
            </w:r>
          </w:p>
        </w:tc>
      </w:tr>
      <w:tr>
        <w:trPr/>
        <w:tc>
          <w:tcPr>
            <w:tcW w:w="10000" w:type="dxa"/>
            <w:gridSpan w:val="1"/>
            <w:noWrap/>
          </w:tcPr>
          <w:p>
            <w:pPr/>
            <w:r>
              <w:rPr/>
              <w:t xml:space="preserve">Specific measures have been undertaken to strengthen implementation performance, as highlighted by the CO and PM. These include onboarding the Sri Lanka Red Cross Society (SLRCS) as the new executing partner, recruitment of dedicated project staff, and adoption of a strengthened performance management framework with weekly operational reviews, monthly technical meetings, and mid-year Project Board oversight. Safeguards have been reinforced through the revised SESP and ESMP, supported by UNDP’s SES advisor, while the GRM has been activated at the community level. Financial and delivery risks are being addressed through targeted UNDP support on procurement and disbursements. With these measures in place, the project is expected to demonstrate stronger progress in field interventions and financial delivery during the remaining quarters of 2025 and through to operational closure in June 2026. For the RTA’s recommendation, please refer to the overall assessment.</w:t>
            </w:r>
          </w:p>
        </w:tc>
      </w:tr>
    </w:tbl>
    <w:p>
      <w:pPr>
        <w:sectPr>
          <w:pgSz w:orient="portrait" w:w="11905.511811023622" w:h="16837.79527559055"/>
          <w:pgMar w:top="1440" w:right="1440" w:bottom="1440" w:left="1440" w:header="720" w:footer="720" w:gutter="0"/>
          <w:cols w:num="1" w:space="720"/>
        </w:sectPr>
      </w:pPr>
    </w:p>
    <w:p>
      <w:pPr>
        <w:pStyle w:val="Heading1"/>
      </w:pPr>
      <w:bookmarkStart w:id="7" w:name="_Toc7"/>
      <w:r>
        <w:t>Project Governance</w:t>
      </w:r>
      <w:bookmarkEnd w:id="7"/>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1) Please enter the dates of Project Board meetings during the reporting period (1 July 2024 to 30 June 2025)</w:t>
            </w:r>
          </w:p>
        </w:tc>
      </w:tr>
      <w:tr>
        <w:trPr/>
        <w:tc>
          <w:tcPr>
            <w:tcW w:w="10000" w:type="dxa"/>
            <w:gridSpan w:val="1"/>
            <w:noWrap/>
          </w:tcPr>
          <w:p>
            <w:pPr/>
            <w:r>
              <w:rPr/>
              <w:t xml:space="preserve">2025-02-19</w:t>
            </w:r>
          </w:p>
        </w:tc>
      </w:tr>
    </w:tbl>
    <w:p>
      <w:pPr>
        <w:sectPr>
          <w:pgSz w:orient="portrait" w:w="11905.511811023622" w:h="16837.79527559055"/>
          <w:pgMar w:top="1440" w:right="1440" w:bottom="1440" w:left="1440" w:header="720" w:footer="720" w:gutter="0"/>
          <w:cols w:num="1" w:space="720"/>
        </w:sectPr>
      </w:pPr>
    </w:p>
    <w:p>
      <w:pPr>
        <w:pStyle w:val="Heading1"/>
      </w:pPr>
      <w:bookmarkStart w:id="8" w:name="_Toc8"/>
      <w:r>
        <w:t>Ratings and Overall Assessments</w:t>
      </w:r>
      <w:bookmarkEnd w:id="8"/>
    </w:p>
    <w:tbl>
      <w:tblGrid>
        <w:gridCol w:w="5000" w:type="dxa"/>
        <w:gridCol w:w="5000" w:type="dxa"/>
        <w:gridCol w:w="5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noWrap/>
          </w:tcPr>
          <w:p>
            <w:pPr/>
            <w:r>
              <w:rPr>
                <w:b w:val="1"/>
                <w:bCs w:val="1"/>
              </w:rPr>
              <w:t xml:space="preserve">Role</w:t>
            </w:r>
          </w:p>
        </w:tc>
        <w:tc>
          <w:tcPr>
            <w:tcW w:w="5000" w:type="dxa"/>
            <w:gridSpan w:val="1"/>
            <w:noWrap/>
          </w:tcPr>
          <w:p>
            <w:pPr/>
            <w:r>
              <w:rPr>
                <w:b w:val="1"/>
                <w:bCs w:val="1"/>
              </w:rPr>
              <w:t xml:space="preserve">2025 Development Objective Progress Rating</w:t>
            </w:r>
          </w:p>
        </w:tc>
        <w:tc>
          <w:tcPr>
            <w:tcW w:w="5000" w:type="dxa"/>
            <w:gridSpan w:val="1"/>
            <w:noWrap/>
          </w:tcPr>
          <w:p>
            <w:pPr/>
            <w:r>
              <w:rPr>
                <w:b w:val="1"/>
                <w:bCs w:val="1"/>
              </w:rPr>
              <w:t xml:space="preserve">2025 Implementation Progress Rating</w:t>
            </w:r>
          </w:p>
        </w:tc>
      </w:tr>
      <w:tr>
        <w:trPr/>
        <w:tc>
          <w:tcPr>
            <w:tcW w:w="5000" w:type="dxa"/>
            <w:gridSpan w:val="1"/>
            <w:noWrap/>
          </w:tcPr>
          <w:p>
            <w:pPr/>
            <w:r>
              <w:rPr>
                <w:b w:val="1"/>
                <w:bCs w:val="1"/>
              </w:rPr>
              <w:t xml:space="preserve">UNDP BPPS Technical Advisor</w:t>
            </w:r>
          </w:p>
        </w:tc>
        <w:tc>
          <w:tcPr>
            <w:tcW w:w="5000" w:type="dxa"/>
            <w:gridSpan w:val="1"/>
            <w:noWrap/>
          </w:tcPr>
          <w:p>
            <w:pPr/>
            <w:r>
              <w:rPr/>
              <w:t xml:space="preserve">Moderately Satisfactory</w:t>
            </w:r>
          </w:p>
        </w:tc>
        <w:tc>
          <w:tcPr>
            <w:tcW w:w="5000" w:type="dxa"/>
            <w:gridSpan w:val="1"/>
            <w:noWrap/>
          </w:tcPr>
          <w:p>
            <w:pPr/>
            <w:r>
              <w:rPr/>
              <w:t xml:space="preserve">Moderately Satisfactory</w:t>
            </w:r>
          </w:p>
        </w:tc>
      </w:tr>
    </w:tbl>
    <w:p>
      <w:pPr/>
      <w:r>
        <w:rPr/>
        <w:t xml:space="preserve"/>
      </w:r>
    </w:p>
    <w:tbl>
      <w:tblGrid>
        <w:gridCol w:w="5000" w:type="dxa"/>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noWrap/>
          </w:tcPr>
          <w:p>
            <w:pPr/>
            <w:r>
              <w:rPr>
                <w:b w:val="1"/>
                <w:bCs w:val="1"/>
              </w:rPr>
              <w:t xml:space="preserve">Role</w:t>
            </w:r>
          </w:p>
        </w:tc>
        <w:tc>
          <w:tcPr>
            <w:tcW w:w="10000" w:type="dxa"/>
            <w:gridSpan w:val="1"/>
            <w:noWrap/>
          </w:tcPr>
          <w:p>
            <w:pPr/>
            <w:r>
              <w:rPr>
                <w:b w:val="1"/>
                <w:bCs w:val="1"/>
              </w:rPr>
              <w:t xml:space="preserve">2025 Overall Assessment</w:t>
            </w:r>
          </w:p>
        </w:tc>
      </w:tr>
      <w:tr>
        <w:trPr/>
        <w:tc>
          <w:tcPr>
            <w:tcW w:w="5000" w:type="dxa"/>
            <w:gridSpan w:val="1"/>
            <w:noWrap/>
          </w:tcPr>
          <w:p>
            <w:pPr/>
            <w:r>
              <w:rPr>
                <w:b w:val="1"/>
                <w:bCs w:val="1"/>
              </w:rPr>
              <w:t xml:space="preserve">UNDP BPPS Technical Advisor</w:t>
            </w:r>
          </w:p>
        </w:tc>
        <w:tc>
          <w:tcPr>
            <w:tcW w:w="10000" w:type="dxa"/>
            <w:gridSpan w:val="1"/>
            <w:noWrap/>
          </w:tcPr>
          <w:p>
            <w:pPr/>
            <w:r>
              <w:rPr/>
              <w:t xml:space="preserve">This is the fourth and final PIR of the “Managing Together: Integrating Community-Centered Ecosystem-Based Approaches into Forestry and Tourism Sectors” project. After the lifting of the suspension in April 2024, the government requested an extension, which was approved for 18 months from January 2025 to June 2026. The project is therefore scheduled to operationally close in June 2026.</w:t>
            </w:r>
          </w:p>
          <w:p>
            <w:pPr/>
            <w:r>
              <w:rPr/>
              <w:t xml:space="preserve"/>
            </w:r>
          </w:p>
          <w:p>
            <w:pPr/>
            <w:r>
              <w:rPr/>
              <w:t xml:space="preserve">Following the lifting of the suspension, the project underwent adaptive management measures under a restructured framework. A critical step was the onboarding of the Sri Lanka Red Cross Society (SLRCS) in November 2024 as the new third-party executing partner, while IUCN’s role was streamlined to provide only technical advisory support. Dedicated staff were recruited between December 2024 and February 2025, re-establishing institutional capacity and providing a clear roadmap for delivery in the extended project period. These measures have collectively positioned the project to regain momentum, accelerate delivery, and improve prospects for achieving its intended outcomes within the remaining implementation window.</w:t>
            </w:r>
          </w:p>
          <w:p>
            <w:pPr/>
            <w:r>
              <w:rPr/>
              <w:t xml:space="preserve"/>
            </w:r>
          </w:p>
          <w:p>
            <w:pPr/>
            <w:r>
              <w:rPr/>
              <w:t xml:space="preserve">Progress towards Development Objective: Cumulative progress under the objective-level indicators demonstrates both achievements and gaps. The Landscape Conservation Design (LCD) was completed across all three Trial Landscapes, covering 266,394 ha, with 170,489 ha under ground-level implementation. Terrestrial habitats under improved management total 121,264 ha, while marine ecosystems cover 49,225 ha. In terms of livelihoods, the project has reached 1,586 beneficiaries (1,034 men and 552 women), including 271 new beneficiaries in 2025 through gender mainstreaming workshops, seagrass awareness programmes, and youth-focused eco-tourism initiatives. However, restoration progress remains behind target, with only 695 ha of forest and mangrove landscapes restored to date against the 21,000 ha target. Overall, while progress is significant, the project must scale up restoration and livelihood interventions to achieve end-of-project targets.</w:t>
            </w:r>
          </w:p>
          <w:p>
            <w:pPr/>
            <w:r>
              <w:rPr/>
              <w:t xml:space="preserve"/>
            </w:r>
          </w:p>
          <w:p>
            <w:pPr/>
            <w:r>
              <w:rPr/>
              <w:t xml:space="preserve">Outcome level Progress:</w:t>
            </w:r>
          </w:p>
          <w:p>
            <w:pPr/>
            <w:r>
              <w:rPr/>
              <w:t xml:space="preserve">Outcome 1 – Enabling environment to mainstream integrated approaches: Progress under this outcome is on track. The project has successfully developed five biodiversity mainstreaming training modules tailored to forestry extension officers, Sri Lanka Administrative Services, urban planning officials, chauffeur guides, and youth “Environment Pioneers.” Four additional modules are under development, targeting eco-tourism professionals, OECM governance, protected area green listing, and integrated land management planning. These tools provide an important foundation for embedding biodiversity considerations across institutions. This outcome has built momentum in strengthening institutional readiness and cross-sectoral knowledge for biodiversity mainstreaming.</w:t>
            </w:r>
          </w:p>
          <w:p>
            <w:pPr/>
            <w:r>
              <w:rPr/>
              <w:t xml:space="preserve"/>
            </w:r>
          </w:p>
          <w:p>
            <w:pPr/>
            <w:r>
              <w:rPr/>
              <w:t xml:space="preserve">Outcome 2 – Strategic landscape designs for biodiversity and livelihoods: This outcome is yet to fully catch up. Landscape Conservation Designs (LCDs) were completed for all three Trial Landscapes, covering over 266,000 hectares, and restoration activities have begun in targeted sites. A total of 695 ha are under active restoration or protection planning, including mangrove nurseries established with the support of the Navy, 35 ha of forest restoration in TL2, and 140 ha of mixed agroecological and plantation systems. Importantly, 49,225 ha of seagrass and dugong habitats in TL3 have been proposed as Marine Protected Areas through the Coastal Conservation Department, with biodiversity considerations now incorporated into planning processes. Proposals for three sanctuaries and three elephant corridors are also in preparation, covering an additional 19,000 ha. While the scope of achievements is notable, scaling up remains critical to reach the 21,000 ha restoration target and broader conservation commitments.</w:t>
            </w:r>
          </w:p>
          <w:p>
            <w:pPr/>
            <w:r>
              <w:rPr/>
              <w:t xml:space="preserve"/>
            </w:r>
          </w:p>
          <w:p>
            <w:pPr/>
            <w:r>
              <w:rPr/>
              <w:t xml:space="preserve">Outcome 3 – Sustainable livelihoods linked to conservation: Progress is lagging but recovering. To date, 16,400 ha of agricultural land have been brought under biodiversity-compatible production systems, largely sustained by farmers through ecological fruit farming, maize cultivation, and market gardens. Village cluster land-use planning, a central deliverable, has been delayed but is now scheduled for completion by December 2025. Early livelihood improvements are evident, with 86 beneficiaries reporting enhanced income from eco-friendly pest control and beekeeping. While interventions remain below target, there are positive signs of community engagement and ownership in sustaining biodiversity-compatible practices.</w:t>
            </w:r>
          </w:p>
          <w:p>
            <w:pPr/>
            <w:r>
              <w:rPr/>
              <w:t xml:space="preserve"/>
            </w:r>
          </w:p>
          <w:p>
            <w:pPr/>
            <w:r>
              <w:rPr/>
              <w:t xml:space="preserve">Outcome 4 – Knowledge management and M&amp;E: This outcome is on track and knowledge management outputs have exceeded expectations, with 51 products developed cumulatively and 10 new products completed this reporting year. Highlights include an updated Mangrove Guide of Sri Lanka, a television programme series on ecosystem-based interventions, tourism promotional videos, biodiversity surveys, and a dedicated project webpage. These products have enhanced visibility, built technical capacity, and supported replication potential. Monitoring systems are still under development, but plans to appoint divisional-level officers to act as independent monitors provide a pathway for strengthening evidence-based reporting on project impacts. This outcome demonstrates the project’s ability to generate durable knowledge and awareness products even during periods of operational difficulty.</w:t>
            </w:r>
          </w:p>
          <w:p>
            <w:pPr/>
            <w:r>
              <w:rPr/>
              <w:t xml:space="preserve"/>
            </w:r>
          </w:p>
          <w:p>
            <w:pPr/>
            <w:r>
              <w:rPr/>
              <w:t xml:space="preserve">Risk management: The project has taken meaningful steps to strengthen risk management. The revised ESMP, finalized in December 2024, integrates safeguards into all new livelihood interventions. The GRM is operational at the village level through Grievance Redress Committees, providing accessible channels for community concerns. Stakeholder engagement has been revitalized with an updated Stakeholder Engagement Plan, while gender action has advanced, with women comprising 66% of new beneficiaries in several clusters. Continued oversight and capacity-building will be required to ensure consistent safeguards implementation.</w:t>
            </w:r>
          </w:p>
          <w:p>
            <w:pPr/>
            <w:r>
              <w:rPr/>
              <w:t xml:space="preserve"/>
            </w:r>
          </w:p>
          <w:p>
            <w:pPr/>
            <w:r>
              <w:rPr/>
              <w:t xml:space="preserve">Knowledge management: Knowledge management and communications have been actively pursued. A dedicated communication strategy is under development, complementing the updated stakeholder engagement plan. Over 60 knowledge products have been generated to date, including training modules, videos, awareness campaigns, and scientific studies, which strengthen replication potential and visibility of project results.</w:t>
            </w:r>
          </w:p>
          <w:p>
            <w:pPr/>
            <w:r>
              <w:rPr/>
              <w:t xml:space="preserve"/>
            </w:r>
          </w:p>
          <w:p>
            <w:pPr/>
            <w:r>
              <w:rPr/>
              <w:t xml:space="preserve">Financing: Financial delivery remains a critical challenge. Since inception, cumulative delivery stands at 46% against the total grant, leaving 54% to be spent within just 10 months before operational closure. The total AWP budget for 2025 is US$ 1.2 million. Co-financing realization is also weak. Of the USD 28 million committed, only USD 176,032 has materialized through in-kind contributions from the Ministry of Environment. This shortfall underscores the need for close monitoring and proactive engagement with all the partners.</w:t>
            </w:r>
          </w:p>
          <w:p>
            <w:pPr/>
            <w:r>
              <w:rPr/>
              <w:t xml:space="preserve"/>
            </w:r>
          </w:p>
          <w:p>
            <w:pPr/>
            <w:r>
              <w:rPr/>
              <w:t xml:space="preserve">In light of the adaptive management measures undertaken, cumulative progress achieved across outcomes, and the strengthened safeguards and institutional frameworks now in place, I have assigned a Development Objective progress rating of "Moderately Satisfactory".</w:t>
            </w:r>
          </w:p>
          <w:p>
            <w:pPr/>
            <w:r>
              <w:rPr/>
              <w:t xml:space="preserve">----</w:t>
            </w:r>
          </w:p>
          <w:p>
            <w:pPr/>
            <w:r>
              <w:rPr/>
              <w:t xml:space="preserve">The project continues to face significant implementation challenges despite the positive turnaround following the lifting of the suspension. The transition to a new executing partner, the Sri Lanka Red Cross Society (SLRCS), required time for onboarding and capacity building, which in turn constrained the resumption of site-level activities and limited progress during this reporting period.</w:t>
            </w:r>
          </w:p>
          <w:p>
            <w:pPr/>
            <w:r>
              <w:rPr/>
              <w:t xml:space="preserve"/>
            </w:r>
          </w:p>
          <w:p>
            <w:pPr/>
            <w:r>
              <w:rPr/>
              <w:t xml:space="preserve">Another relates to delays in procurement, reliance on lengthy government approval processes, and administrative bottlenecks that have further slowed delivery. Financial performance is a particular concern: cumulative delivery stands at only 46% of the GEF grant, with just 3% of the 2025 budget recorded as expenditure as of August 2025.</w:t>
            </w:r>
          </w:p>
          <w:p>
            <w:pPr/>
            <w:r>
              <w:rPr/>
              <w:t xml:space="preserve"/>
            </w:r>
          </w:p>
          <w:p>
            <w:pPr/>
            <w:r>
              <w:rPr/>
              <w:t xml:space="preserve">On-the-ground implementation also remains below expectations. Restoration work has been modest, while community-based land-use planning and institutional endorsement processes are still pending. These factors collectively place considerable pressure on the project to achieve scale and deliver tangible results within the compressed timeframe before closure.</w:t>
            </w:r>
          </w:p>
          <w:p>
            <w:pPr/>
            <w:r>
              <w:rPr/>
              <w:t xml:space="preserve"/>
            </w:r>
          </w:p>
          <w:p>
            <w:pPr/>
            <w:r>
              <w:rPr/>
              <w:t xml:space="preserve">The following are my recommendations for the remaining project period:</w:t>
            </w:r>
          </w:p>
          <w:p>
            <w:pPr/>
            <w:r>
              <w:rPr/>
              <w:t xml:space="preserve">i) Accelerate financial delivery: Fast-tracking disbursements, streamlining procurement processes, and removing administrative bottlenecks are essential to ensure that the remaining 54% of the grant is effectively utilized to achieve the project objectives and outcomes. Regular operational reviews and escalation mechanisms should continue to be used to identify and resolve bottlenecks quickly.</w:t>
            </w:r>
          </w:p>
          <w:p>
            <w:pPr/>
            <w:r>
              <w:rPr/>
              <w:t xml:space="preserve"/>
            </w:r>
          </w:p>
          <w:p>
            <w:pPr/>
            <w:r>
              <w:rPr/>
              <w:t xml:space="preserve">ii) Plan for Terminal Evaluation: Preparations for the TE should commence in early 2026 to allow adequate time for field assessments, data consolidation, and stakeholder consultations. Early planning will help ensure that the evaluation is comprehensive, evidence-based, and able to capture the full scope of project impacts.</w:t>
            </w:r>
          </w:p>
          <w:p>
            <w:pPr/>
            <w:r>
              <w:rPr/>
              <w:t xml:space="preserve"/>
            </w:r>
          </w:p>
          <w:p>
            <w:pPr/>
            <w:r>
              <w:rPr/>
              <w:t xml:space="preserve">iii) Develop a sustainability strategy: A dedicated sustainability strategy should be finalized prior to the TE. This will consolidate lessons from restoration, livelihoods, safeguards, and institutional partnerships, and provide the TE with a structured framework to assess long-term impacts and opportunities for scaling up.</w:t>
            </w:r>
          </w:p>
          <w:p>
            <w:pPr/>
            <w:r>
              <w:rPr/>
              <w:t xml:space="preserve"/>
            </w:r>
          </w:p>
          <w:p>
            <w:pPr/>
            <w:r>
              <w:rPr/>
              <w:t xml:space="preserve">iv) Prepare a project closure report: As a good practice, the project should compile a closure report capturing achievements, challenges, innovations, and financial performance. This report will both inform the sustainability strategy and serve as a valuable input for the TE, ensuring a smooth transition and stronger institutional memory.</w:t>
            </w:r>
          </w:p>
          <w:p>
            <w:pPr/>
            <w:r>
              <w:rPr/>
              <w:t xml:space="preserve"/>
            </w:r>
          </w:p>
          <w:p>
            <w:pPr/>
            <w:r>
              <w:rPr/>
              <w:t xml:space="preserve">v) Strengthen co-Financing and partnerships: attention is needed to mobilize and document co-financing, which remains critically low. Renewed engagement with government, the private sector, and development partners will be essential to close the gap and secure the sustainability of project outcomes beyond closure.</w:t>
            </w:r>
          </w:p>
        </w:tc>
      </w:tr>
      <w:tr>
        <w:trPr/>
        <w:tc>
          <w:tcPr>
            <w:tcW w:w="5000" w:type="dxa"/>
            <w:gridSpan w:val="1"/>
            <w:noWrap/>
          </w:tcPr>
          <w:p>
            <w:pPr/>
            <w:r>
              <w:rPr>
                <w:b w:val="1"/>
                <w:bCs w:val="1"/>
              </w:rPr>
              <w:t xml:space="preserve">UNDP Country Office Programme Officer</w:t>
            </w:r>
          </w:p>
        </w:tc>
        <w:tc>
          <w:tcPr>
            <w:tcW w:w="10000" w:type="dxa"/>
            <w:gridSpan w:val="1"/>
            <w:noWrap/>
          </w:tcPr>
          <w:p>
            <w:pPr/>
            <w:r>
              <w:rPr/>
              <w:t xml:space="preserve">This is the final PIR for the Managing Together project, which has regained momentum following its suspension in 2023 and subsequent restructuring. The onboarding of the Sri Lanka Red Cross Society (SLRCS) as a third-party implementing partner has enabled the resumption of ground-level delivery, particularly in agriculture, forestry, and the early stages of community-based tourism planning. These achievements are significant given the compressed implementation window and the considerable time required to re-establish project operations.</w:t>
            </w:r>
          </w:p>
          <w:p>
            <w:pPr/>
            <w:r>
              <w:rPr/>
              <w:t xml:space="preserve"/>
            </w:r>
          </w:p>
          <w:p>
            <w:pPr/>
            <w:r>
              <w:rPr/>
              <w:t xml:space="preserve">During the reporting period, field-level activities have shown a meaningful revival. The successful completion of the Landscape Conservation Design (LCD) across all three Trial Landscapes, covering over 266,000 hectares, and the development of five tailored capacity-building modules on biodiversity mainstreaming have established a strong foundation for the delivery of planned activities. Implementation has resumed in key livelihood-focused areas such as agroforestry and integrated agricultural systems, while tourism-linked interventions are advancing steadily through planning and preparatory stages. Despite the tight timeline, the project is now broadly on track to achieve its intended outcomes, provided that the current momentum is sustained.</w:t>
            </w:r>
          </w:p>
          <w:p>
            <w:pPr/>
            <w:r>
              <w:rPr/>
              <w:t xml:space="preserve"/>
            </w:r>
          </w:p>
          <w:p>
            <w:pPr/>
            <w:r>
              <w:rPr/>
              <w:t xml:space="preserve">To mitigate earlier delays caused by partner onboarding and procurement challenges, UNDP has instituted a strengthened supervision and coordination framework. This includes weekly progress reviews with SLRCS, monthly technical coordination meetings with IUCN and the Ministry of Environment, and mid-year Project Board discussions. Additional technical and procurement support has also been deployed to assist the PMU and implementing partners. These adaptive measures are beginning to yield positive results, particularly in areas where implementation pathways are clearer and administrative bottlenecks are being resolved.</w:t>
            </w:r>
          </w:p>
          <w:p>
            <w:pPr/>
            <w:r>
              <w:rPr/>
              <w:t xml:space="preserve"/>
            </w:r>
          </w:p>
          <w:p>
            <w:pPr/>
            <w:r>
              <w:rPr/>
              <w:t xml:space="preserve">On safeguards and inclusion, the project has made tangible progress. The Environmental and Social Management Plan (ESMP) has been operationalized with the revised SESP, and safeguards screening has been integrated into new livelihood activities such as agroforestry. The Grievance Redress Mechanism (GRM) is now functional at the village level, supported by formal Grievance Redress Committees. Gender responsiveness remains a notable strength, with women comprising 66% of direct beneficiaries in several key clusters. Nonetheless, some gaps in safeguards implementation persist due to varying field-level capacities, and UNDP continues to address these through targeted oversight and capacity-building initiatives.</w:t>
            </w:r>
          </w:p>
          <w:p>
            <w:pPr/>
            <w:r>
              <w:rPr/>
              <w:t xml:space="preserve"/>
            </w:r>
          </w:p>
          <w:p>
            <w:pPr/>
            <w:r>
              <w:rPr/>
              <w:t xml:space="preserve">Regarding co-financing, the Ministry of Environment has formally confirmed its in-kind contribution of staff time valued at approximately USD 176,000, underscoring the government’s commitment to the project’s objectives. However, other co-financing commitments have yet to materialize, with some proving unrealistic under current circumstances (e.g., co-financing committed by GIZ). UNDP will continue engaging with stakeholders and exploring new opportunities to bridge co-financing gaps and sustain project outcomes.</w:t>
            </w:r>
          </w:p>
          <w:p>
            <w:pPr/>
            <w:r>
              <w:rPr/>
              <w:t xml:space="preserve"/>
            </w:r>
          </w:p>
          <w:p>
            <w:pPr/>
            <w:r>
              <w:rPr/>
              <w:t xml:space="preserve">While progress has been achieved and all outcomes are considered on track, there are still challenges in completing the project activities on time. Therefore, sustaining momentum will require continued application of adaptive measures to address emerging challenges, stronger coordination among implementing partners and stakeholders, and enhanced operational efficiency to accelerate activity rollout and ensure the timely achievement of targets. With these efforts maintained, the project is on track to deliver on its objectives and maximize long-term impacts.</w:t>
            </w:r>
          </w:p>
          <w:p>
            <w:pPr/>
            <w:r>
              <w:rPr/>
              <w:t xml:space="preserve"/>
            </w:r>
          </w:p>
          <w:p>
            <w:pPr/>
            <w:r>
              <w:rPr/>
              <w:t xml:space="preserve">----</w:t>
            </w:r>
          </w:p>
          <w:p>
            <w:pPr/>
            <w:r>
              <w:rPr/>
              <w:t xml:space="preserve"/>
            </w:r>
          </w:p>
        </w:tc>
      </w:tr>
      <w:tr>
        <w:trPr/>
        <w:tc>
          <w:tcPr>
            <w:tcW w:w="5000" w:type="dxa"/>
            <w:gridSpan w:val="1"/>
            <w:noWrap/>
          </w:tcPr>
          <w:p>
            <w:pPr/>
            <w:r>
              <w:rPr>
                <w:b w:val="1"/>
                <w:bCs w:val="1"/>
              </w:rPr>
              <w:t xml:space="preserve">Project Manager/Coordinator</w:t>
            </w:r>
          </w:p>
        </w:tc>
        <w:tc>
          <w:tcPr>
            <w:tcW w:w="10000" w:type="dxa"/>
            <w:gridSpan w:val="1"/>
            <w:noWrap/>
          </w:tcPr>
          <w:p>
            <w:pPr/>
            <w:r>
              <w:rPr/>
              <w:t xml:space="preserve">This is the fourth and final PIR for the "Managing Together: Integrating Community-Centered Ecosystem-Based Approaches into Forestry and Tourism Sectors" project. Now in its extended final year, the project is scheduled for operational closure in June 2026, following a no-cost extension approved in early 2024. The overarching objective remains unchanged: to enhance the protection of globally significant biodiversity by integrating conservation and sustainable practices into land use planning and sectoral decision-making within Sri Lanka’s forestry, agriculture, and tourism sectors.</w:t>
            </w:r>
          </w:p>
          <w:p>
            <w:pPr/>
            <w:r>
              <w:rPr/>
              <w:t xml:space="preserve"/>
            </w:r>
          </w:p>
          <w:p>
            <w:pPr/>
            <w:r>
              <w:rPr/>
              <w:t xml:space="preserve">Originally launched in February 2021, the project experienced significant delays due to a combination of external shocks—including the COVID-19 pandemic, Sri Lanka’s economic and political crises, and internal management issues. These disruptions culminated in the suspension of project operations in August 2023, following recommendations from the Mid-Term Review and a subsequent forensic audit. Although the project’s suspension was officially lifted and endorsed by the GEF Secretariat on April 3, 2024, implementation did not immediately resume. The months following the suspension were spent conducting risk reassessment and procuring new development partner. SLRCS was officially onboarded on November 1st, 2024, marking the beginning of a revised implementation phase. Between December 2024 and February 2025, SLRCS undertook the recruitment of dedicated project staff and led the development and finalization of the Annual Work Plan (AWP) and Multi-Year Work Plan (MYWP). Both planning documents were reviewed and approved during the 6th Project Board Meeting on February 19th, 2025.</w:t>
            </w:r>
          </w:p>
          <w:p>
            <w:pPr/>
            <w:r>
              <w:rPr/>
              <w:t xml:space="preserve"/>
            </w:r>
          </w:p>
          <w:p>
            <w:pPr/>
            <w:r>
              <w:rPr/>
              <w:t xml:space="preserve">Despite a challenging operational environment and pressing timelines, this reporting period marked a critical turning point for the project, with institutional restructuring, renewed momentum on safeguards compliance, and the resumption of field-level delivery. Key progress made during this reporting period are listed as follow.</w:t>
            </w:r>
          </w:p>
          <w:p>
            <w:pPr/>
            <w:r>
              <w:rPr/>
              <w:t xml:space="preserve"/>
            </w:r>
          </w:p>
          <w:p>
            <w:pPr/>
            <w:r>
              <w:rPr/>
              <w:t xml:space="preserve">A major achievement during this reporting period was the completion of the Landscape Conservation Design (LCD) across all three Trial Landscapes, encompassing over 266,000 hectares of terrestrial and marine ecosystems. Of this, approximately 170,489 hectares are already under some form of on-the-ground implementation—representing a significant milestone in operationalizing biodiversity conservation at a landscape scale.</w:t>
            </w:r>
          </w:p>
          <w:p>
            <w:pPr/>
            <w:r>
              <w:rPr/>
              <w:t xml:space="preserve"/>
            </w:r>
          </w:p>
          <w:p>
            <w:pPr/>
            <w:r>
              <w:rPr/>
              <w:t xml:space="preserve">To support institutional capacity strengthening, five training modules were developed focusing on mainstreaming biodiversity into tourism, natural resource management, and broader economic development sectors. These modules are tailored to engage a broad spectrum of stakeholders, ranging from government officers to local communities.</w:t>
            </w:r>
          </w:p>
          <w:p>
            <w:pPr/>
            <w:r>
              <w:rPr/>
              <w:t xml:space="preserve"/>
            </w:r>
          </w:p>
          <w:p>
            <w:pPr/>
            <w:r>
              <w:rPr/>
              <w:t xml:space="preserve">The project also made notable progress in implementing its Environmental and Social Management Framework (ESMF). Originally developed during the project design phase, the ESMF was updated through a comprehensive Environmental and Social Management Plan (ESMP) finalized in December 2024. This updated ESMP integrates recommendations from the revised SESP, the 2023 Mid-Term Review, and a targeted physical displacement risk assessment conducted in October 2024. During this period, key safeguard mitigation measures were successfully integrated into the Annual Work Plan (AWP), and field-level screening processes were initiated for new livelihood activities such as agroforestry and community-managed ecotourism.</w:t>
            </w:r>
          </w:p>
          <w:p>
            <w:pPr/>
            <w:r>
              <w:rPr/>
              <w:t xml:space="preserve"/>
            </w:r>
          </w:p>
          <w:p>
            <w:pPr/>
            <w:r>
              <w:rPr/>
              <w:t xml:space="preserve">In addition, the Grievance Redress Mechanism (GRM) became operational at the village level in both Mannar and Anuradhapura Districts. Village-level Grievance Redress Committees (GRCs) were established with the support of field coordinators, Grama Niladharis, and Development Officers. Each GRC is now equipped with a grievance registry, allowing community members to formally document and raise concerns in a transparent and accessible manner—laying the foundation for a more robust accountability system.</w:t>
            </w:r>
          </w:p>
          <w:p>
            <w:pPr/>
            <w:r>
              <w:rPr/>
              <w:t xml:space="preserve"/>
            </w:r>
          </w:p>
          <w:p>
            <w:pPr/>
            <w:r>
              <w:rPr/>
              <w:t xml:space="preserve">Lastly, the project’s Stakeholder Engagement Plan was updated to reflect shifts in strategic priorities and partnerships following the revision of the AWP. A comprehensive Communication Strategy is also under development, aligning closely with the updated engagement framework to ensure coherent messaging and stakeholder alignment across project interventions.</w:t>
            </w:r>
          </w:p>
          <w:p>
            <w:pPr/>
            <w:r>
              <w:rPr/>
              <w:t xml:space="preserve"/>
            </w:r>
          </w:p>
          <w:p>
            <w:pPr/>
            <w:r>
              <w:rPr/>
              <w:t xml:space="preserve">Nevertheless, several bottlenecks remain. During this reporting period, the project encountered persistent challenges, including compressed timelines resulting from delays in re-starting implementation, capacity gaps among newly onboarded staff, and administrative hurdles related to fund disbursement and approvals. Safeguard implementation was also affected by the delayed recruitment of the Safeguards Officer and the need to re-orient field coordinators on the updated ESMP protocols.</w:t>
            </w:r>
          </w:p>
          <w:p>
            <w:pPr/>
            <w:r>
              <w:rPr/>
              <w:t xml:space="preserve"/>
            </w:r>
          </w:p>
          <w:p>
            <w:pPr/>
            <w:r>
              <w:rPr/>
              <w:t xml:space="preserve">In response, the UNDP Country Programme team has instituted a strengthened coordination and oversight structure to accelerate implementation and safeguard the timely delivery of activities outlined in the Annual Work Plan. This includes bi-weekly operational-level meetings with the Project Coordinator to closely track weekly progress, bi-weekly leadership-level meetings to jointly troubleshoot bottlenecks faced by the SLRCS, and monthly technical coordination meetings with IUCN, the Ministry of Environment, and SLRCS to maintain strategic alignment and facilitate cohesive delivery across all project partners.</w:t>
            </w:r>
          </w:p>
          <w:p>
            <w:pPr/>
            <w:r>
              <w:rPr/>
              <w:t xml:space="preserve"/>
            </w:r>
          </w:p>
          <w:p>
            <w:pPr/>
            <w:r>
              <w:rPr/>
              <w:t xml:space="preserve">Despite the challenges encountered during this reporting period, the project has regained positive momentum, with key systems and delivery mechanisms now in place. The identified constraints are being closely monitored and addressed through strengthened coordination and adaptive management led by the UNDP Country Office. With robust institutional arrangements, enhanced partner engagement, and a renewed sense of urgency, the project is now positioned to accelerate implementation and achieve its intended activities and impacts ahead of closure in early 2026.</w:t>
            </w:r>
          </w:p>
          <w:p>
            <w:pPr/>
            <w:r>
              <w:rPr/>
              <w:t xml:space="preserve">----</w:t>
            </w:r>
          </w:p>
          <w:p>
            <w:pPr/>
            <w:r>
              <w:rPr/>
              <w:t xml:space="preserve"/>
            </w:r>
          </w:p>
        </w:tc>
      </w:tr>
      <w:tr>
        <w:trPr/>
        <w:tc>
          <w:tcPr>
            <w:tcW w:w="5000" w:type="dxa"/>
            <w:gridSpan w:val="1"/>
            <w:noWrap/>
          </w:tcPr>
          <w:p>
            <w:pPr/>
            <w:r>
              <w:rPr>
                <w:b w:val="1"/>
                <w:bCs w:val="1"/>
              </w:rPr>
              <w:t xml:space="preserve">GEF Operational Focal point</w:t>
            </w:r>
          </w:p>
        </w:tc>
        <w:tc>
          <w:tcPr>
            <w:tcW w:w="10000" w:type="dxa"/>
            <w:gridSpan w:val="1"/>
            <w:noWrap/>
          </w:tcPr>
          <w:p>
            <w:pPr/>
            <w:r>
              <w:rPr/>
              <w:t xml:space="preserve"/>
            </w:r>
          </w:p>
          <w:p>
            <w:pPr/>
            <w:r>
              <w:rPr/>
              <w:t xml:space="preserve">----</w:t>
            </w:r>
          </w:p>
          <w:p>
            <w:pPr/>
            <w:r>
              <w:rPr/>
              <w:t xml:space="preserve"/>
            </w:r>
          </w:p>
        </w:tc>
      </w:tr>
      <w:tr>
        <w:trPr/>
        <w:tc>
          <w:tcPr>
            <w:tcW w:w="5000" w:type="dxa"/>
            <w:gridSpan w:val="1"/>
            <w:noWrap/>
          </w:tcPr>
          <w:p>
            <w:pPr/>
            <w:r>
              <w:rPr>
                <w:b w:val="1"/>
                <w:bCs w:val="1"/>
              </w:rPr>
              <w:t xml:space="preserve">Project Implementing Partner</w:t>
            </w:r>
          </w:p>
        </w:tc>
        <w:tc>
          <w:tcPr>
            <w:tcW w:w="10000" w:type="dxa"/>
            <w:gridSpan w:val="1"/>
            <w:noWrap/>
          </w:tcPr>
          <w:p>
            <w:pPr/>
            <w:r>
              <w:rPr/>
              <w:t xml:space="preserve"/>
            </w:r>
          </w:p>
          <w:p>
            <w:pPr/>
            <w:r>
              <w:rPr/>
              <w:t xml:space="preserve">----</w:t>
            </w:r>
          </w:p>
          <w:p>
            <w:pPr/>
            <w:r>
              <w:rPr/>
              <w:t xml:space="preserve"/>
            </w:r>
          </w:p>
        </w:tc>
      </w:tr>
      <w:tr>
        <w:trPr/>
        <w:tc>
          <w:tcPr>
            <w:tcW w:w="5000" w:type="dxa"/>
            <w:gridSpan w:val="1"/>
            <w:noWrap/>
          </w:tcPr>
          <w:p>
            <w:pPr/>
            <w:r>
              <w:rPr>
                <w:b w:val="1"/>
                <w:bCs w:val="1"/>
              </w:rPr>
              <w:t xml:space="preserve">Other Partners</w:t>
            </w:r>
          </w:p>
        </w:tc>
        <w:tc>
          <w:tcPr>
            <w:tcW w:w="10000" w:type="dxa"/>
            <w:gridSpan w:val="1"/>
            <w:noWrap/>
          </w:tcPr>
          <w:p>
            <w:pPr/>
            <w:r>
              <w:rPr/>
              <w:t xml:space="preserve"/>
            </w:r>
          </w:p>
          <w:p>
            <w:pPr/>
            <w:r>
              <w:rPr/>
              <w:t xml:space="preserve">----</w:t>
            </w:r>
          </w:p>
          <w:p>
            <w:pPr/>
            <w:r>
              <w:rPr/>
              <w:t xml:space="preserve"/>
            </w:r>
          </w:p>
        </w:tc>
      </w:tr>
    </w:tbl>
    <w:p>
      <w:pPr>
        <w:sectPr>
          <w:pgSz w:orient="portrait" w:w="11905.511811023622" w:h="16837.79527559055"/>
          <w:pgMar w:top="500" w:right="500" w:bottom="500" w:left="500" w:header="720" w:footer="720" w:gutter="0"/>
          <w:cols w:num="1" w:space="720"/>
        </w:sectPr>
      </w:pPr>
    </w:p>
    <w:p>
      <w:pPr>
        <w:pStyle w:val="Heading1"/>
      </w:pPr>
      <w:bookmarkStart w:id="9" w:name="_Toc9"/>
      <w:r>
        <w:t>Minor Amendments</w:t>
      </w:r>
      <w:bookmarkEnd w:id="9"/>
    </w:p>
    <w:p>
      <w:pPr>
        <w:spacing w:before="0" w:after="0"/>
      </w:pPr>
      <w:r>
        <w:rPr/>
        <w:t xml:space="preserve"/>
      </w:r>
    </w:p>
    <w:p>
      <w:pPr/>
      <w:r>
        <w:rPr/>
        <w:t xml:space="preserve">Minor amendments are changes to the project design or implementation that do not have significant impact on the project objectives or scope, or an increase of the GEF project financing up to 5% as described in Annex 9 of the </w:t>
      </w:r>
      <w:hyperlink r:id="rId9" w:history="1">
        <w:r>
          <w:rPr/>
          <w:t xml:space="preserve">GEF Project and Program Cycle Policy Guidelines</w:t>
        </w:r>
      </w:hyperlink>
      <w:r>
        <w:rPr/>
        <w:t xml:space="preserve">.</w:t>
      </w:r>
    </w:p>
    <w:p>
      <w:pPr/>
      <w:r>
        <w:rPr>
          <w:b w:val="1"/>
          <w:bCs w:val="1"/>
        </w:rPr>
        <w:t xml:space="preserve">CO Programme Officer:</w:t>
      </w:r>
      <w:r>
        <w:rPr/>
        <w:t xml:space="preserve"> Please mark each category for which a minor amendment occurred during this reporting period (1 July 2024- 30 June 2025). </w:t>
      </w:r>
    </w:p>
    <w:p>
      <w:pPr/>
      <w:r>
        <w:rPr/>
        <w:t xml:space="preserve">For each category that is marked, please provide a brief description of the change that occurred in the associated text box. You may attach supporting documentation, as appropriate.</w:t>
      </w:r>
    </w:p>
    <w:p>
      <w:pPr/>
      <w:r>
        <w:rPr/>
        <w:t xml:space="preserve">The purpose of this section is to capture adaptive management and measure project proactiveness, an indicator outlined in paragraph 70 of the GEF-8 Policy Directions available </w:t>
      </w:r>
      <w:hyperlink r:id="rId10" w:history="1">
        <w:r>
          <w:rPr/>
          <w:t xml:space="preserve">here.</w:t>
        </w:r>
      </w:hyperlink>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A) Results Framework</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the 'Results framework'</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B) Components and cost</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'Components and cost'</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C) Institutional and implementation arrangements</w:t>
            </w:r>
          </w:p>
        </w:tc>
      </w:tr>
      <w:tr>
        <w:trPr/>
        <w:tc>
          <w:tcPr>
            <w:tcW w:w="10000" w:type="dxa"/>
            <w:gridSpan w:val="1"/>
            <w:noWrap/>
          </w:tcPr>
          <w:p>
            <w:pPr/>
            <w:r>
              <w:rPr/>
              <w:t xml:space="preserve">Yes</w:t>
            </w:r>
          </w:p>
        </w:tc>
      </w:tr>
      <w:tr>
        <w:trPr/>
        <w:tc>
          <w:tcPr>
            <w:tcW w:w="10000" w:type="dxa"/>
            <w:shd w:val="clear" w:fill="#D9D9D9"/>
            <w:noWrap/>
          </w:tcPr>
          <w:p>
            <w:pPr/>
            <w:r>
              <w:rPr>
                <w:b w:val="1"/>
                <w:bCs w:val="1"/>
              </w:rPr>
              <w:t xml:space="preserve">Provide a description of the change(s) to 'Institutional and implementation arrangements'</w:t>
            </w:r>
          </w:p>
        </w:tc>
      </w:tr>
      <w:tr>
        <w:trPr/>
        <w:tc>
          <w:tcPr>
            <w:tcW w:w="10000" w:type="dxa"/>
            <w:gridSpan w:val="1"/>
            <w:noWrap/>
          </w:tcPr>
          <w:p>
            <w:pPr/>
            <w:r>
              <w:rPr/>
              <w:t xml:space="preserve">Since its inception in 2021, the GEF-6 “Managing Together” project, implemented by the Ministry of Environment with UNDP as the GEF Agency, and supported technically by IUCN, has faced a series of institutional and operational challenges that necessitated a revision of its implementation arrangements.</w:t>
            </w:r>
          </w:p>
          <w:p>
            <w:pPr/>
            <w:r>
              <w:rPr/>
              <w:t xml:space="preserve"/>
            </w:r>
          </w:p>
          <w:p>
            <w:pPr/>
            <w:r>
              <w:rPr/>
              <w:t xml:space="preserve">Initially, IUCN served as a third-party executing partner, providing both technical and operational support. However, the compounded impact of the COVID-19 pandemic and the national economic crisis significantly delayed implementation, resulting in the suspension of project activities pending a forensic audit of expenditures up to the mid-term. Project implementation resumed in April 2024.</w:t>
            </w:r>
          </w:p>
          <w:p>
            <w:pPr/>
            <w:r>
              <w:rPr/>
              <w:t xml:space="preserve"/>
            </w:r>
          </w:p>
          <w:p>
            <w:pPr/>
            <w:r>
              <w:rPr/>
              <w:t xml:space="preserve">In response to the audit recommendations, the shifting operational context, and to streamline delivery during the remaining project period, the Project Board made the strategic decision to revise institutional arrangements, limiting IUCN’s role strictly to that of a technical advisory partner. This adjustment reflects both the reduced engagement of IUCN during the suspension period and the need for enhanced implementation support to meet project targets within the adjusted timeline.</w:t>
            </w:r>
          </w:p>
          <w:p>
            <w:pPr/>
            <w:r>
              <w:rPr/>
              <w:t xml:space="preserve"/>
            </w:r>
          </w:p>
          <w:p>
            <w:pPr/>
            <w:r>
              <w:rPr/>
              <w:t xml:space="preserve">To ensure the continuity and effectiveness of project execution, the Project Board endorsed the engagement of an additional third-party implementation partner through a transparent and rigorous selection process.</w:t>
            </w:r>
          </w:p>
          <w:p>
            <w:pPr/>
            <w:r>
              <w:rPr/>
              <w:t xml:space="preserve">SLRCS was officially onboarded on November 1st, 2024, marking the beginning of a revised implementation phase. Between December 2024 and February 2025, SLRCS undertook the recruitment of dedicated project staff and led the development and finalization of the Annual Work Plan (AWP) and Multi-Year Work Plan (MYWP). Both planning documents were reviewed and approved during the 6th Project Board Meeting on February 19th, 2025.</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D) Financial management</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'Financial Management'</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E) Implementation schedule</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'Implementation schedule'</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F) Executing Entity</w:t>
            </w:r>
          </w:p>
        </w:tc>
      </w:tr>
      <w:tr>
        <w:trPr/>
        <w:tc>
          <w:tcPr>
            <w:tcW w:w="10000" w:type="dxa"/>
            <w:gridSpan w:val="1"/>
            <w:noWrap/>
          </w:tcPr>
          <w:p>
            <w:pPr/>
            <w:r>
              <w:rPr/>
              <w:t xml:space="preserve">Yes</w:t>
            </w:r>
          </w:p>
        </w:tc>
      </w:tr>
      <w:tr>
        <w:trPr/>
        <w:tc>
          <w:tcPr>
            <w:tcW w:w="10000" w:type="dxa"/>
            <w:shd w:val="clear" w:fill="#D9D9D9"/>
            <w:noWrap/>
          </w:tcPr>
          <w:p>
            <w:pPr/>
            <w:r>
              <w:rPr>
                <w:b w:val="1"/>
                <w:bCs w:val="1"/>
              </w:rPr>
              <w:t xml:space="preserve">Provide a description of the change(s) to 'Executing Entity'</w:t>
            </w:r>
          </w:p>
        </w:tc>
      </w:tr>
      <w:tr>
        <w:trPr/>
        <w:tc>
          <w:tcPr>
            <w:tcW w:w="10000" w:type="dxa"/>
            <w:gridSpan w:val="1"/>
            <w:noWrap/>
          </w:tcPr>
          <w:p>
            <w:pPr/>
            <w:r>
              <w:rPr/>
              <w:t xml:space="preserve">Following the resumption of the project, the Sri Lanka Red Cross Society (SLRCS) was onboarded as an additional third-party executing entity, while the previous executing entity, IUCN, now serves solely in a technical advisory capacity.</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G) Executing Entity Category</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'Executing Entity Category'</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H) Minor project objective change</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'minor project objective change'</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I) Safeguards</w:t>
            </w:r>
          </w:p>
        </w:tc>
      </w:tr>
      <w:tr>
        <w:trPr/>
        <w:tc>
          <w:tcPr>
            <w:tcW w:w="10000" w:type="dxa"/>
            <w:gridSpan w:val="1"/>
            <w:noWrap/>
          </w:tcPr>
          <w:p>
            <w:pPr/>
            <w:r>
              <w:rPr/>
              <w:t xml:space="preserve">Yes</w:t>
            </w:r>
          </w:p>
        </w:tc>
      </w:tr>
      <w:tr>
        <w:trPr/>
        <w:tc>
          <w:tcPr>
            <w:tcW w:w="10000" w:type="dxa"/>
            <w:shd w:val="clear" w:fill="#D9D9D9"/>
            <w:noWrap/>
          </w:tcPr>
          <w:p>
            <w:pPr/>
            <w:r>
              <w:rPr>
                <w:b w:val="1"/>
                <w:bCs w:val="1"/>
              </w:rPr>
              <w:t xml:space="preserve">Provide a description of the change(s) to 'Safeguards'</w:t>
            </w:r>
          </w:p>
        </w:tc>
      </w:tr>
      <w:tr>
        <w:trPr/>
        <w:tc>
          <w:tcPr>
            <w:tcW w:w="10000" w:type="dxa"/>
            <w:gridSpan w:val="1"/>
            <w:noWrap/>
          </w:tcPr>
          <w:p>
            <w:pPr/>
            <w:r>
              <w:rPr/>
              <w:t xml:space="preserve">The Managing Together project was initially categorized as High Risk under the Social and Environmental Screening Procedure (SESP), due to the potential for involuntary resettlement—particularly at one site overlapping a proposed elephant corridor. As a precaution, a full Environmental and Social Impact Assessment (ESIA) was recommended.</w:t>
            </w:r>
          </w:p>
          <w:p>
            <w:pPr/>
            <w:r>
              <w:rPr/>
              <w:t xml:space="preserve"/>
            </w:r>
          </w:p>
          <w:p>
            <w:pPr/>
            <w:r>
              <w:rPr/>
              <w:t xml:space="preserve">However, by the second year of implementation, the project team confirmed that no community relocations would be undertaken or supported. The Managing Together project will neither fund nor promote involuntary resettlement, and will instead collaborate with government agencies on non-resettlement initiatives within the Trial Landscapes.</w:t>
            </w:r>
          </w:p>
          <w:p>
            <w:pPr/>
            <w:r>
              <w:rPr/>
              <w:t xml:space="preserve"/>
            </w:r>
          </w:p>
          <w:p>
            <w:pPr/>
            <w:r>
              <w:rPr/>
              <w:t xml:space="preserve">In line with this shift, the SESP was formally revisited and revised to align with UNDP’s updated Social and Environmental Standards (SES). This revision was informed by a review of actual field-level activities, consultations with implementing partners, and technical input from the safeguards focal point. As a result, the project’s risk level has been downgraded from High to Substantial, reflecting the reduced environmental and social risks associated with ongoing and planned activities.</w:t>
            </w:r>
          </w:p>
          <w:p>
            <w:pPr/>
            <w:r>
              <w:rPr/>
              <w:t xml:space="preserve"/>
            </w:r>
          </w:p>
          <w:p>
            <w:pPr/>
            <w:r>
              <w:rPr/>
              <w:t xml:space="preserve">An Environmental and Social Management Plan (ESMP) was finalized and signed in December 2024. Key mitigation measures have been integrated into the Annual Work Plans, and field-level safeguard screening has been initiated for newly introduced livelihood interventions, including agroforestry and community-managed eco-tourism.</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J) Risk Analysis</w:t>
            </w:r>
          </w:p>
        </w:tc>
      </w:tr>
      <w:tr>
        <w:trPr/>
        <w:tc>
          <w:tcPr>
            <w:tcW w:w="10000" w:type="dxa"/>
            <w:gridSpan w:val="1"/>
            <w:noWrap/>
          </w:tcPr>
          <w:p>
            <w:pPr/>
            <w:r>
              <w:rPr/>
              <w:t xml:space="preserve">Yes</w:t>
            </w:r>
          </w:p>
        </w:tc>
      </w:tr>
      <w:tr>
        <w:trPr/>
        <w:tc>
          <w:tcPr>
            <w:tcW w:w="10000" w:type="dxa"/>
            <w:shd w:val="clear" w:fill="#D9D9D9"/>
            <w:noWrap/>
          </w:tcPr>
          <w:p>
            <w:pPr/>
            <w:r>
              <w:rPr>
                <w:b w:val="1"/>
                <w:bCs w:val="1"/>
              </w:rPr>
              <w:t xml:space="preserve">Provide a description of the change(s) to 'Risk Analysis'</w:t>
            </w:r>
          </w:p>
        </w:tc>
      </w:tr>
      <w:tr>
        <w:trPr/>
        <w:tc>
          <w:tcPr>
            <w:tcW w:w="10000" w:type="dxa"/>
            <w:gridSpan w:val="1"/>
            <w:noWrap/>
          </w:tcPr>
          <w:p>
            <w:pPr/>
            <w:r>
              <w:rPr/>
              <w:t xml:space="preserve">A newly emerged risk during this reporting period is the potential failure of the Implementing Partner (IP) and/or Responsible Parties (RPs) to deliver the agreed-upon physical and financial progress. This operational risk is linked to capacity constraints among partners.</w:t>
            </w:r>
          </w:p>
          <w:p>
            <w:pPr/>
            <w:r>
              <w:rPr/>
              <w:t xml:space="preserve"/>
            </w:r>
          </w:p>
          <w:p>
            <w:pPr/>
            <w:r>
              <w:rPr/>
              <w:t xml:space="preserve">The underlying cause is the complexity of the IP's role in channeling funds to multiple government stakeholders operating across the project landscape. This has led to delays in requesting NIM advances and in fulfilling reporting requirements in line with existing compliance standards. As a result, there is a risk that both physical and financial delivery will be adversely affected, potentially preventing the IP and RPs from achieving the project targets within the remaining 13-month implementation period.</w:t>
            </w:r>
          </w:p>
          <w:p>
            <w:pPr/>
            <w:r>
              <w:rPr/>
              <w:t xml:space="preserve"/>
            </w:r>
          </w:p>
          <w:p>
            <w:pPr/>
            <w:r>
              <w:rPr/>
              <w:t xml:space="preserve">Current Mitigation Measures:</w:t>
            </w:r>
          </w:p>
          <w:p>
            <w:pPr/>
            <w:r>
              <w:rPr/>
              <w:t xml:space="preserve">• Continue bi-weekly meetings with the project team and partners to resolve operational bottlenecks.</w:t>
            </w:r>
          </w:p>
          <w:p>
            <w:pPr/>
            <w:r>
              <w:rPr/>
              <w:t xml:space="preserve">• Issue additional NIM advances to rectify cashflow issue</w:t>
            </w:r>
          </w:p>
          <w:p>
            <w:pPr/>
            <w:r>
              <w:rPr/>
              <w:t xml:space="preserve">• Convene a special Project Board meeting if needed to escalate and resolve persistent implementation issues.</w:t>
            </w:r>
          </w:p>
          <w:p>
            <w:pPr/>
            <w:r>
              <w:rPr/>
              <w:t xml:space="preserve"/>
            </w:r>
          </w:p>
          <w:p>
            <w:pPr/>
            <w:r>
              <w:rPr/>
              <w:t xml:space="preserve">Related Risk:</w:t>
            </w:r>
          </w:p>
          <w:p>
            <w:pPr/>
            <w:r>
              <w:rPr/>
              <w:t xml:space="preserve">Closely linked to the aforementioned risk is the possibility of failing to meet the requirement of the upcoming Terminal Evaluation scheduled for March 2026, as significant progress need to be made before the evaluation period.</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K) Increase of GEF project financing up to 5%</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 to GEF project financing up to 5%</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L) Co-financing</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'Co-financing'</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M) Location of project activity</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project location activity</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Please provide a description of other types of minor amendments that do not fall under any of the above categories. For example, minor changes to the project's Gender Action Plan and/or gender activities can be captured here.</w:t>
            </w:r>
          </w:p>
        </w:tc>
      </w:tr>
      <w:tr>
        <w:trPr/>
        <w:tc>
          <w:tcPr>
            <w:tcW w:w="10000" w:type="dxa"/>
            <w:gridSpan w:val="1"/>
            <w:noWrap/>
          </w:tcPr>
          <w:p>
            <w:pPr/>
            <w:r>
              <w:rPr>
                <w:i w:val="1"/>
                <w:iCs w:val="1"/>
              </w:rPr>
              <w:t xml:space="preserve">(not set or not applicable)</w:t>
            </w:r>
          </w:p>
        </w:tc>
      </w:tr>
    </w:tbl>
    <w:p>
      <w:pPr>
        <w:sectPr>
          <w:pgSz w:orient="portrait" w:w="11905.511811023622" w:h="16837.79527559055"/>
          <w:pgMar w:top="1440" w:right="1440" w:bottom="1440" w:left="1440" w:header="720" w:footer="720" w:gutter="0"/>
          <w:cols w:num="1" w:space="720"/>
        </w:sectPr>
      </w:pPr>
    </w:p>
    <w:p>
      <w:pPr>
        <w:pStyle w:val="Heading1"/>
      </w:pPr>
      <w:bookmarkStart w:id="10" w:name="_Toc10"/>
      <w:r>
        <w:t>Gender</w:t>
      </w:r>
      <w:bookmarkEnd w:id="10"/>
    </w:p>
    <w:p>
      <w:pPr>
        <w:pStyle w:val="Heading2"/>
      </w:pPr>
      <w:bookmarkStart w:id="11" w:name="_Toc11"/>
      <w:r>
        <w:t>Progress in Advancing Gender Equality and Women's Empowerment</w:t>
      </w:r>
      <w:bookmarkEnd w:id="11"/>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1) Please review the project's Gender Analysis and Action Plan.  If the document is not attached or an updated Gender Analysis and/or Gender Action Plan is available please upload the document below or send to the Regional Programme Associate to upload in PIMS+. Please note that all projects approved since 1 July 2014 are required to carry out a gender analysis and all projects approved since 1 July 2018 are required to have a gender analysis and action plan.</w:t>
            </w:r>
          </w:p>
        </w:tc>
      </w:tr>
      <w:tr>
        <w:trPr/>
        <w:tc>
          <w:tcPr>
            <w:tcW w:w="10000" w:type="dxa"/>
            <w:noWrap/>
          </w:tcPr>
          <w:p>
            <w:pPr>
              <w:spacing w:before="0" w:after="0"/>
            </w:pPr>
            <w:r>
              <w:rPr/>
              <w:t xml:space="preserve">GEF VI Managing Together_Annex G _Gender Analysis and Action Plan.docx</w:t>
            </w:r>
          </w:p>
          <w:p>
            <w:pPr>
              <w:spacing w:before="0" w:after="0"/>
            </w:pPr>
            <w:r>
              <w:rPr/>
              <w:t xml:space="preserve">GEF VI_Gender Mainstreaming Workshop.jpg</w:t>
            </w:r>
          </w:p>
          <w:p>
            <w:pP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noWrap/>
          </w:tcPr>
          <w:p>
            <w:pPr/>
            <w:r>
              <w:rPr>
                <w:b w:val="1"/>
                <w:bCs w:val="1"/>
              </w:rPr>
              <w:t xml:space="preserve">Quantum Gender Marker Rating</w:t>
            </w:r>
          </w:p>
        </w:tc>
      </w:tr>
      <w:tr>
        <w:trPr/>
        <w:tc>
          <w:tcPr>
            <w:tcW w:w="10000" w:type="dxa"/>
            <w:noWrap/>
          </w:tcPr>
          <w:p>
            <w:pPr/>
            <w:r>
              <w:rPr>
                <w:b w:val="1"/>
                <w:bCs w:val="1"/>
              </w:rPr>
              <w:t xml:space="preserve">GEN2: </w:t>
            </w:r>
            <w:r>
              <w:rPr/>
              <w:t xml:space="preserve">Gender equality as significant objective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2) Please indicate in which results areas the project is contributing to gender equality (you may select more than one results area, or select not applicable):</w:t>
            </w:r>
          </w:p>
        </w:tc>
      </w:tr>
      <w:tr>
        <w:trPr/>
        <w:tc>
          <w:tcPr>
            <w:tcW w:w="10000" w:type="dxa"/>
            <w:gridSpan w:val="1"/>
            <w:noWrap/>
          </w:tcPr>
          <w:p>
            <w:pPr/>
            <w:r>
              <w:rPr/>
              <w:t xml:space="preserve">Contributing to closing gender gaps in access to and control over resources: No</w:t>
            </w:r>
          </w:p>
        </w:tc>
      </w:tr>
      <w:tr>
        <w:trPr/>
        <w:tc>
          <w:tcPr>
            <w:tcW w:w="10000" w:type="dxa"/>
            <w:gridSpan w:val="1"/>
            <w:noWrap/>
          </w:tcPr>
          <w:p>
            <w:pPr/>
            <w:r>
              <w:rPr/>
              <w:t xml:space="preserve">Improving the participation and decision-making of women in natural resource governance: Yes</w:t>
            </w:r>
          </w:p>
        </w:tc>
      </w:tr>
      <w:tr>
        <w:trPr/>
        <w:tc>
          <w:tcPr>
            <w:tcW w:w="10000" w:type="dxa"/>
            <w:gridSpan w:val="1"/>
            <w:noWrap/>
          </w:tcPr>
          <w:p>
            <w:pPr/>
            <w:r>
              <w:rPr/>
              <w:t xml:space="preserve">Targeting socio-economic benefits and services for women: Yes</w:t>
            </w:r>
          </w:p>
        </w:tc>
      </w:tr>
      <w:tr>
        <w:trPr/>
        <w:tc>
          <w:tcPr>
            <w:tcW w:w="10000" w:type="dxa"/>
            <w:gridSpan w:val="1"/>
            <w:noWrap/>
          </w:tcPr>
          <w:p>
            <w:pPr/>
            <w:r>
              <w:rPr/>
              <w:t xml:space="preserve">Not applicable: No</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3) Please specify results achieved this reporting period that focus on increasing gender equality and the empowerment of women.</w:t>
            </w:r>
          </w:p>
          <w:p>
            <w:pPr/>
            <w:r>
              <w:rPr>
                <w:b w:val="1"/>
                <w:bCs w:val="1"/>
              </w:rPr>
              <w:t xml:space="preserve"/>
            </w:r>
          </w:p>
          <w:p>
            <w:pPr/>
            <w:r>
              <w:rPr>
                <w:b w:val="1"/>
                <w:bCs w:val="1"/>
              </w:rPr>
              <w:t xml:space="preserve">Please explain how the results reported addressed the different needs of men or women, changed norms, values, and power structures, and/or contributed to transforming or challenging gender inequalities and discrimination.</w:t>
            </w:r>
          </w:p>
        </w:tc>
      </w:tr>
      <w:tr>
        <w:trPr/>
        <w:tc>
          <w:tcPr>
            <w:tcW w:w="10000" w:type="dxa"/>
            <w:gridSpan w:val="1"/>
            <w:noWrap/>
          </w:tcPr>
          <w:p>
            <w:pPr/>
            <w:r>
              <w:rPr/>
              <w:t xml:space="preserve">Gender-responsive interventions were systematically embedded into project implementation. Grounded in the project's comprehensive gender analysis, the project addressed systemic barriers faced by women in the target areas, particularly limited access to livelihood opportunities and underrepresentation in ecological governance structures. In response, the project promoted women’s participation in skills development for non-traditional income-generating activities, such as beekeeping, eco-friendly agricultural practices, and ecotourism.</w:t>
            </w:r>
          </w:p>
          <w:p>
            <w:pPr/>
            <w:r>
              <w:rPr/>
              <w:t xml:space="preserve"/>
            </w:r>
          </w:p>
          <w:p>
            <w:pPr/>
            <w:r>
              <w:rPr/>
              <w:t xml:space="preserve">During this reporting period, the Managing Together project made tangible progress toward advancing gender equality and empowering women, in alignment with its Gender Action Plan. A key achievement was the Gender Mainstreaming Capacity-Building Workshop held in Anuradhapura on 24 June 2025, covering Trial Landscapes 1 and 2. The training engaged 65 participants (42 male, 23 female), including local government officers, project stakeholders, and community leaders.</w:t>
            </w:r>
          </w:p>
          <w:p>
            <w:pPr/>
            <w:r>
              <w:rPr/>
              <w:t xml:space="preserve"/>
            </w:r>
          </w:p>
          <w:p>
            <w:pPr/>
            <w:r>
              <w:rPr/>
              <w:t xml:space="preserve">The workshop focused on strengthening understanding of core gender concepts, such as harmful gender norms, gender identity, and power dynamics. It aimed to build the capacity of participants to integrate gender perspectives into planning, implementation, and monitoring of ecosystem-based interventions. Notably, the presence and leadership of senior female officials, including a powerful message from the Additional District Secretary, helped to challenge prevailing gender stereotypes and encouraged both institutional and attitudinal change toward more inclusive decision-making processes.</w:t>
            </w:r>
          </w:p>
          <w:p>
            <w:pPr/>
            <w:r>
              <w:rPr/>
              <w:t xml:space="preserve"/>
            </w:r>
          </w:p>
          <w:p>
            <w:pPr/>
            <w:r>
              <w:rPr/>
              <w:t xml:space="preserve">In parallel, the project emphasized building the institutional capacity for government officials, including those from Forestry, Fisheries, and Agrarian Services sectors, to integrate gender considerations into their operations and policy-making. These targeted efforts are helping to shift local gendered power dynamics by recognizing and supporting women not just as caregivers or unpaid laborers, but as active economic agents and stewards of biodiversity and natural resources.</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4) Please describe how work to advance gender equality and women's empowerment enhanced the project's environmental and/or resilience outcomes.</w:t>
            </w:r>
          </w:p>
        </w:tc>
      </w:tr>
      <w:tr>
        <w:trPr/>
        <w:tc>
          <w:tcPr>
            <w:tcW w:w="10000" w:type="dxa"/>
            <w:gridSpan w:val="1"/>
            <w:noWrap/>
          </w:tcPr>
          <w:p>
            <w:pPr/>
            <w:r>
              <w:rPr/>
              <w:t xml:space="preserve">Advancing gender equality and women’s empowerment has directly enhanced the Managing Together project's environmental and resilience outcomes. By engaging women, who are often the primary users and stewards of natural resources and environment, the project expanded the adoption of biodiversity-friendly practices such as eco-friendly pest control, beekeeping, and eco-tourism. These practices improved ecosystem health and climate resilience at the community level.</w:t>
            </w:r>
          </w:p>
          <w:p>
            <w:pPr/>
            <w:r>
              <w:rPr/>
              <w:t xml:space="preserve"/>
            </w:r>
          </w:p>
          <w:p>
            <w:pPr/>
            <w:r>
              <w:rPr/>
              <w:t xml:space="preserve">Women’s increased access to skills training and income-generating opportunities also strengthened household resilience, particularly in the face of drought and economic vulnerability. Empowering women economically and socially enabled families to better adapt to environmental stressors.</w:t>
            </w:r>
          </w:p>
          <w:p>
            <w:pPr/>
            <w:r>
              <w:rPr/>
              <w:t xml:space="preserve"/>
            </w:r>
          </w:p>
          <w:p>
            <w:pPr/>
            <w:r>
              <w:rPr/>
              <w:t xml:space="preserve">At the institutional level, capacity-building for government agencies helped mainstream gender into service delivery and policy, supporting more inclusive and sustainable resource management. Finally, community-based engagement through women’s groups fostered greater social cohesion and collective responsibility for conservation, contributing to long-term environmental stewardship.</w:t>
            </w:r>
          </w:p>
        </w:tc>
      </w:tr>
    </w:tbl>
    <w:p>
      <w:pPr>
        <w:sectPr>
          <w:pgSz w:orient="portrait" w:w="11905.511811023622" w:h="16837.79527559055"/>
          <w:pgMar w:top="1440" w:right="1440" w:bottom="1440" w:left="1440" w:header="720" w:footer="720" w:gutter="0"/>
          <w:cols w:num="1" w:space="720"/>
        </w:sectPr>
      </w:pPr>
    </w:p>
    <w:p>
      <w:pPr>
        <w:pStyle w:val="Heading1"/>
      </w:pPr>
      <w:bookmarkStart w:id="12" w:name="_Toc12"/>
      <w:r>
        <w:t>Risk Management</w:t>
      </w:r>
      <w:bookmarkEnd w:id="12"/>
    </w:p>
    <w:p>
      <w:pPr>
        <w:pStyle w:val="Heading2"/>
      </w:pPr>
      <w:bookmarkStart w:id="13" w:name="_Toc13"/>
      <w:r>
        <w:t>A) Overall Risk Management</w:t>
      </w:r>
      <w:bookmarkEnd w:id="13"/>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BPPS RTA: Please discuss the risks flagged in the Quantum project Risk Register and the VF Risk Dashboard in PIMS+ with the CO and then provide an assessment of project risk management undertaken during the  reporting period. Document actions, agreed with the CO, to address all project risks in the coming year.</w:t>
            </w:r>
          </w:p>
          <w:p>
            <w:pPr/>
            <w:r>
              <w:rPr>
                <w:b w:val="1"/>
                <w:bCs w:val="1"/>
              </w:rPr>
              <w:t xml:space="preserve"/>
            </w:r>
          </w:p>
        </w:tc>
      </w:tr>
      <w:tr>
        <w:trPr/>
        <w:tc>
          <w:tcPr>
            <w:tcW w:w="10000" w:type="dxa"/>
            <w:gridSpan w:val="1"/>
            <w:noWrap/>
          </w:tcPr>
          <w:p>
            <w:pPr/>
            <w:r>
              <w:rPr/>
              <w:t xml:space="preserve">During the reporting period, project risk management was actively strengthened following the lifting of the suspension in April 2024. Risks highlighted in the Quantum Risk Register and the VF Risk Dashboard—particularly those related to implementation delays, fiduciary concerns, safeguards compliance, and co-financing shortfalls were jointly reviewed with the CO and PMU.</w:t>
            </w:r>
          </w:p>
          <w:p>
            <w:pPr/>
            <w:r>
              <w:rPr/>
              <w:t xml:space="preserve"/>
            </w:r>
          </w:p>
          <w:p>
            <w:pPr/>
            <w:r>
              <w:rPr/>
              <w:t xml:space="preserve">Corrective measures were subsequently adopted to address these risks. The project operationalized the revised SESP and finalized a comprehensive ESMP in December 2024. With technical support from UNDP’s SES advisor, these instruments are now guiding the integration of safeguards into all new livelihood activities. The GRM was also activated through village-level committees, providing communities with structured channels for feedback and conflict resolution. Gender action measures have been mainstreamed, with women making up a significant share of new direct beneficiaries in 2025.</w:t>
            </w:r>
          </w:p>
          <w:p>
            <w:pPr/>
            <w:r>
              <w:rPr/>
              <w:t xml:space="preserve"/>
            </w:r>
          </w:p>
          <w:p>
            <w:pPr/>
            <w:r>
              <w:rPr/>
              <w:t xml:space="preserve">To mitigate delivery and fiduciary risks, UNDP introduced a strengthened performance management framework that includes weekly operational check-ins with SLRCS, monthly technical coordination meetings with MoE and IUCN, and mid-year Project Board reviews. These mechanisms have helped to address procurement delays and reinforce accountability. Nonetheless, financial risks remain significant: cumulative delivery stands at 46% of the  grant, and the remaining to be disbursed within the next 10 months, while co-financing realization is critically low at only USD 176,032.</w:t>
            </w:r>
          </w:p>
          <w:p>
            <w:pPr/>
            <w:r>
              <w:rPr/>
              <w:t xml:space="preserve"/>
            </w:r>
          </w:p>
          <w:p>
            <w:pPr/>
            <w:r>
              <w:rPr/>
              <w:t xml:space="preserve">To address these risks in the coming year, the project will prioritize three key actions: accelerating disbursements and procurement through targeted UNDP support to SLRCS and MoE; consolidating and monitoring safeguards implementation, including periodic SES compliance reviews and field-level capacity-building; and renewing engagement with government and private sector partners to mobilize co-financing and reduce financial risk exposure.</w:t>
            </w:r>
          </w:p>
        </w:tc>
      </w:tr>
    </w:tbl>
    <w:p>
      <w:pPr>
        <w:pStyle w:val="Heading2"/>
      </w:pPr>
      <w:bookmarkStart w:id="14" w:name="_Toc14"/>
      <w:r>
        <w:t>B) SES Implementation</w:t>
      </w:r>
      <w:bookmarkEnd w:id="14"/>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2b) Provide an update on progress, challenges and outcomes related to stakeholder engagement based on the description in the Stakeholder Engagement Plan or equivalent documentation submitted at CEO Endorsement/Approval.</w:t>
            </w:r>
          </w:p>
        </w:tc>
      </w:tr>
      <w:tr>
        <w:trPr/>
        <w:tc>
          <w:tcPr>
            <w:tcW w:w="10000" w:type="dxa"/>
            <w:gridSpan w:val="1"/>
            <w:noWrap/>
          </w:tcPr>
          <w:p>
            <w:pPr/>
            <w:r>
              <w:rPr/>
              <w:t xml:space="preserve">An in-house Gap Analysis was conducted by the Project Manager to assess and enhance the comprehensiveness of the initial stakeholder mapping. This exercise successfully identified additional stakeholders from the forestry, agriculture, and tourism sectors across government institutions, private sector entities, and local community representatives. As a result, the stakeholder list was updated and submitted to IUCN for integration into the Landscape Conservation Design (LCD) framework.</w:t>
            </w:r>
          </w:p>
          <w:p>
            <w:pPr/>
            <w:r>
              <w:rPr/>
              <w:t xml:space="preserve">Stakeholder engagement activities were conducted at three main administrative levels:</w:t>
            </w:r>
          </w:p>
          <w:p>
            <w:pPr/>
            <w:r>
              <w:rPr/>
              <w:t xml:space="preserve">• Provincial Level: Chaired by the Chief Secretary, focusing on aligning LCD objectives with provincial development plans.</w:t>
            </w:r>
          </w:p>
          <w:p>
            <w:pPr/>
            <w:r>
              <w:rPr/>
              <w:t xml:space="preserve">• District Level: Led by the District Secretaries of Anuradhapura and Mannar, facilitating coordination among key line agencies and local authorities.</w:t>
            </w:r>
          </w:p>
          <w:p>
            <w:pPr/>
            <w:r>
              <w:rPr/>
              <w:t xml:space="preserve">• Divisional Level: Coordinated by Divisional Secretaries to capture community-level insights and concerns.</w:t>
            </w:r>
          </w:p>
          <w:p>
            <w:pPr/>
            <w:r>
              <w:rPr/>
              <w:t xml:space="preserve"/>
            </w:r>
          </w:p>
          <w:p>
            <w:pPr/>
            <w:r>
              <w:rPr/>
              <w:t xml:space="preserve">Two-day district-level consultative workshops were organized in Anuradhapura and Mannar. Key participants included:</w:t>
            </w:r>
          </w:p>
          <w:p>
            <w:pPr/>
            <w:r>
              <w:rPr/>
              <w:t xml:space="preserve">• Government Agents (GAs), Divisional Secretaries and departmental heads</w:t>
            </w:r>
          </w:p>
          <w:p>
            <w:pPr/>
            <w:r>
              <w:rPr/>
              <w:t xml:space="preserve">• Department of Wildlife Conservation (DWC), Forest Department (FD), Irrigation Department (DI), Land Use Policy Planning Department (LUPPD), Agrarian Development (DAD), Agriculture (DoA), Coastal Conservation (CCD), Fisheries and Aquatic Resources, and the Central Environmental Authority (CEA).</w:t>
            </w:r>
          </w:p>
          <w:p>
            <w:pPr/>
            <w:r>
              <w:rPr/>
              <w:t xml:space="preserve"/>
            </w:r>
          </w:p>
          <w:p>
            <w:pPr/>
            <w:r>
              <w:rPr/>
              <w:t xml:space="preserve">Additionally, a high-level consultation with the Chief Secretary of the North Central Province and his departmental heads was held to disseminate project objectives and gather strategic input. A specialized meeting focused on Human-Elephant Conflict (HEC) and the Wildlife Management Plan (WMP) for the North Central Province Canal Project (NCPCP) area was also conducted, with particular emphasis on the Upper Malwathu Oya basin and the proposed elephant corridor between Ritigala and Mahakanadarawa.</w:t>
            </w:r>
          </w:p>
          <w:p>
            <w:pPr/>
            <w:r>
              <w:rPr/>
              <w:t xml:space="preserve">Further engagement included a Ministry of Environment-led consultation in Ritigala (within Trial Landscape 01) to address biodiversity concerns and gather local knowledge. At the national level, two high-level meetings with the Director General of the DWC and the Conservator General of the FD were held to seek institutional endorsement for key conservation interventions such as Protected Area establishment, corridor delineation, and restoration and tourism-related initiatives.</w:t>
            </w:r>
          </w:p>
          <w:p>
            <w:pPr/>
            <w:r>
              <w:rPr/>
              <w:t xml:space="preserve"/>
            </w:r>
          </w:p>
          <w:p>
            <w:pPr/>
            <w:r>
              <w:rPr/>
              <w:t xml:space="preserve">Stakeholder engagement at the local and district levels faced several operational challenges:</w:t>
            </w:r>
          </w:p>
          <w:p>
            <w:pPr/>
            <w:r>
              <w:rPr/>
              <w:t xml:space="preserve">• Scheduling Conflicts: Government officials often had limited availability due to competing formal responsibilities, resulting in postponed or cancelled field visits.</w:t>
            </w:r>
          </w:p>
          <w:p>
            <w:pPr/>
            <w:r>
              <w:rPr/>
              <w:t xml:space="preserve">• Logistical Constraints: Rescheduling field activities created difficulties for coordination and planning at the ground level.</w:t>
            </w:r>
          </w:p>
          <w:p>
            <w:pPr/>
            <w:r>
              <w:rPr/>
              <w:t xml:space="preserve">Despite these issues, the support and coordination from District Secretaries in Mannar and Anuradhapura proved essential in maintaining project momentum and enabling inclusive participation.</w:t>
            </w:r>
          </w:p>
          <w:p>
            <w:pPr/>
            <w:r>
              <w:rPr/>
              <w:t xml:space="preserve"/>
            </w:r>
          </w:p>
          <w:p>
            <w:pPr/>
            <w:r>
              <w:rPr/>
              <w:t xml:space="preserve">The Outcomes of the Stakeholder Engagement Plan:</w:t>
            </w:r>
          </w:p>
          <w:p>
            <w:pPr/>
            <w:r>
              <w:rPr/>
              <w:t xml:space="preserve">• Broadened Stakeholder Base: The project now includes a wider array of stakeholders, ensuring more comprehensive representation of interests relevant to the LCD.</w:t>
            </w:r>
          </w:p>
          <w:p>
            <w:pPr/>
            <w:r>
              <w:rPr/>
              <w:t xml:space="preserve">• Institutional Buy-In: Key government agencies have been actively involved, and endorsement from leadership at both the provincial and national levels has been secured for major conservation actions.</w:t>
            </w:r>
          </w:p>
          <w:p>
            <w:pPr/>
            <w:r>
              <w:rPr/>
              <w:t xml:space="preserve">• Improved Design of LCD: Inputs from multi-level stakeholder consultations have directly informed the development of a practical and realistic LCD that reflects local priorities, technical feasibility, and institutional alignment.</w:t>
            </w:r>
          </w:p>
          <w:p>
            <w:pPr/>
            <w:r>
              <w:rPr/>
              <w:t xml:space="preserve">• Enhanced Coordination: The structured approach to stakeholder engagement across administrative levels has laid the foundation for improved collaboration among agencies and sectors.</w:t>
            </w:r>
          </w:p>
        </w:tc>
      </w:tr>
    </w:tbl>
    <w:p>
      <w:pPr>
        <w:sectPr>
          <w:pgSz w:orient="portrait" w:w="11905.511811023622" w:h="16837.79527559055"/>
          <w:pgMar w:top="1440" w:right="1440" w:bottom="1440" w:left="1440" w:header="720" w:footer="720" w:gutter="0"/>
          <w:cols w:num="1" w:space="720"/>
        </w:sectPr>
      </w:pPr>
    </w:p>
    <w:p>
      <w:pPr>
        <w:pStyle w:val="Heading1"/>
      </w:pPr>
      <w:bookmarkStart w:id="15" w:name="_Toc15"/>
      <w:r>
        <w:t>Knowledge Management &amp; Communications</w:t>
      </w:r>
      <w:bookmarkEnd w:id="15"/>
    </w:p>
    <w:p>
      <w:pPr>
        <w:spacing w:before="0" w:after="0"/>
      </w:pPr>
      <w:r>
        <w:rPr/>
        <w:t xml:space="preserve"/>
      </w:r>
    </w:p>
    <w:p>
      <w:pPr/>
      <w:r>
        <w:rPr/>
        <w:t xml:space="preserve"> </w:t>
      </w:r>
    </w:p>
    <w:p>
      <w:pPr/>
      <w:r>
        <w:rPr/>
        <w:t xml:space="preserve">The </w:t>
      </w:r>
      <w:r>
        <w:rPr>
          <w:b w:val="1"/>
          <w:bCs w:val="1"/>
        </w:rPr>
        <w:t xml:space="preserve">Project Manager</w:t>
      </w:r>
      <w:r>
        <w:rPr/>
        <w:t xml:space="preserve"> must complete the three questions below.</w:t>
      </w:r>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1) Please provide progress on the implementation of the project's Knowledge Management approach approved at CEO Endorsement/Approval.  If there is no KM approach/strategy, please comment on how the project is capturing and disseminating best practices and lessons learned.</w:t>
            </w:r>
          </w:p>
          <w:p>
            <w:pPr/>
            <w:r>
              <w:rPr>
                <w:b w:val="1"/>
                <w:bCs w:val="1"/>
              </w:rPr>
              <w:t xml:space="preserve"/>
            </w:r>
          </w:p>
        </w:tc>
      </w:tr>
      <w:tr>
        <w:trPr/>
        <w:tc>
          <w:tcPr>
            <w:tcW w:w="10000" w:type="dxa"/>
            <w:gridSpan w:val="1"/>
            <w:noWrap/>
          </w:tcPr>
          <w:p>
            <w:pPr/>
            <w:r>
              <w:rPr/>
              <w:t xml:space="preserve">Although the project does not have a formal written Knowledge Management (KM) strategy, it is actively capturing and disseminating best practices and lessons learned through a structured, multi-pronged approach. The project’s KM efforts focus on three key pillars: youth engagement, train-the-trainers programs, and documentation and outreach.</w:t>
            </w:r>
          </w:p>
          <w:p>
            <w:pPr/>
            <w:r>
              <w:rPr/>
              <w:t xml:space="preserve"/>
            </w:r>
          </w:p>
          <w:p>
            <w:pPr/>
            <w:r>
              <w:rPr/>
              <w:t xml:space="preserve">1. Youth Engagement:</w:t>
            </w:r>
          </w:p>
          <w:p>
            <w:pPr/>
            <w:r>
              <w:rPr/>
              <w:t xml:space="preserve">The project recognizes the critical role of youth in sustaining biodiversity and environmental awareness across generations. Efforts are made on two fronts:</w:t>
            </w:r>
          </w:p>
          <w:p>
            <w:pPr/>
            <w:r>
              <w:rPr/>
              <w:t xml:space="preserve"/>
            </w:r>
          </w:p>
          <w:p>
            <w:pPr/>
            <w:r>
              <w:rPr/>
              <w:t xml:space="preserve">Awareness Raising: The project integrates environmental education into community activities, targeting school-aged youth. Notable examples include a “Seagrass Awareness Workshop” for coastal students in TL3, and a tree-planting initiative titled “Conservation and Sustainable Management of Natural Resources”, which involved school children and Community-Based Organizations to promote ecological stewardship.</w:t>
            </w:r>
          </w:p>
          <w:p>
            <w:pPr/>
            <w:r>
              <w:rPr/>
              <w:t xml:space="preserve"/>
            </w:r>
          </w:p>
          <w:p>
            <w:pPr/>
            <w:r>
              <w:rPr/>
              <w:t xml:space="preserve">Youth as Knowledge Multipliers: Acknowledging youth’s potential in digital advocacy, the project conducted two trainings on the use of social media for promoting tourism and environmental sustainability, targeting youth groups in TL2 and TL3. These sessions aimed to build digital communication capacity to amplify conservation messages.</w:t>
            </w:r>
          </w:p>
          <w:p>
            <w:pPr/>
            <w:r>
              <w:rPr/>
              <w:t xml:space="preserve"/>
            </w:r>
          </w:p>
          <w:p>
            <w:pPr/>
            <w:r>
              <w:rPr/>
              <w:t xml:space="preserve">2. Train-the-Trainers Programs:</w:t>
            </w:r>
          </w:p>
          <w:p>
            <w:pPr/>
            <w:r>
              <w:rPr/>
              <w:t xml:space="preserve">To ensure sustainability and wider outreach of technical knowledge, the project employs a train-the-trainers approach. For example, an Integrated Landscape Management training was held in Anuradhapura for LUPPD officers. These officers regularly interact with local communities, making them effective conduits for transferring ecosystem-based land-use practices and reinforcing long-term behavioral change at the grassroots level.</w:t>
            </w:r>
          </w:p>
          <w:p>
            <w:pPr/>
            <w:r>
              <w:rPr/>
              <w:t xml:space="preserve"/>
            </w:r>
          </w:p>
          <w:p>
            <w:pPr/>
            <w:r>
              <w:rPr/>
              <w:t xml:space="preserve">3. Documentation and Outreach:</w:t>
            </w:r>
          </w:p>
          <w:p>
            <w:pPr/>
            <w:r>
              <w:rPr/>
              <w:t xml:space="preserve">Best practices and lessons learned are systematically recorded and transformed into accessible knowledge products. At the project level, the Monitoring, Evaluation, and Learning Coordinator documents implementation progress, emerging lessons, and successful interventions for internal learning and stakeholder coordination.</w:t>
            </w:r>
          </w:p>
          <w:p>
            <w:pPr/>
            <w:r>
              <w:rPr/>
              <w:t xml:space="preserve">Public-facing knowledge products include:</w:t>
            </w:r>
          </w:p>
          <w:p>
            <w:pPr/>
            <w:r>
              <w:rPr/>
              <w:t xml:space="preserve"/>
            </w:r>
          </w:p>
          <w:p>
            <w:pPr/>
            <w:r>
              <w:rPr/>
              <w:t xml:space="preserve">An updated Mangrove Guide of Sri Lanka, designed for dissemination among field officers and community stakeholders.</w:t>
            </w:r>
          </w:p>
          <w:p>
            <w:pPr/>
            <w:r>
              <w:rPr/>
              <w:t xml:space="preserve"/>
            </w:r>
          </w:p>
          <w:p>
            <w:pPr/>
            <w:r>
              <w:rPr/>
              <w:t xml:space="preserve">A 6-episode documentary series, capturing the collaborative efforts of communities, government bodies, and environmental organizations to protect Sri Lanka’s natural ecosystems while fostering climate-resilient livelihoods. These visual materials are intended for national broadcasting and online distribution, further enhancing the project's visibility and knowledge sharing impact.</w:t>
            </w:r>
          </w:p>
          <w:p>
            <w:pPr/>
            <w:r>
              <w:rPr/>
              <w:t xml:space="preserve"/>
            </w:r>
          </w:p>
          <w:p>
            <w:pPr/>
            <w:r>
              <w:rPr/>
              <w:t xml:space="preserve">The Landscape Conservation Design will be used as the master document on which all knowledge management products will be based.</w:t>
            </w:r>
          </w:p>
          <w:p>
            <w:pPr/>
            <w:r>
              <w:rPr/>
              <w:t xml:space="preserve"/>
            </w:r>
          </w:p>
          <w:p>
            <w:pPr/>
            <w:r>
              <w:rPr/>
              <w:t xml:space="preserve">Together, these initiatives serve as practical mechanisms for KM in the absence of a formal strategy, enabling continuous learning, replication, and adaptive management within and beyond the project scope.</w:t>
            </w:r>
          </w:p>
          <w:p>
            <w:pPr/>
            <w:r>
              <w:rPr/>
              <w:t xml:space="preserve"/>
            </w:r>
          </w:p>
          <w:p>
            <w:pPr/>
            <w:r>
              <w:rPr/>
              <w:t xml:space="preserve">Awareness Video on Coastal Environment Systems in Sri Lanka which was disseminated among the key stakeholders.</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2) Please provide URLs specific to this project in the relevant field below.  Please categorize the URLs appropriately (for example: project websites, social media sites, media coverage, etc.)</w:t>
            </w:r>
          </w:p>
        </w:tc>
      </w:tr>
      <w:tr>
        <w:trPr/>
        <w:tc>
          <w:tcPr>
            <w:tcW w:w="10000" w:type="dxa"/>
            <w:gridSpan w:val="1"/>
            <w:noWrap/>
          </w:tcPr>
          <w:p>
            <w:pPr/>
            <w:r>
              <w:rPr/>
              <w:t xml:space="preserve">https://managing-together.lk/</w:t>
            </w:r>
          </w:p>
          <w:p>
            <w:pPr/>
            <w:r>
              <w:rPr/>
              <w:t xml:space="preserve"/>
            </w:r>
          </w:p>
          <w:p>
            <w:pPr/>
            <w:r>
              <w:rPr/>
              <w:t xml:space="preserve">https://www.youtube.com/@kingdomoftourism-northcent1802</w:t>
            </w:r>
          </w:p>
          <w:p>
            <w:pPr/>
            <w:r>
              <w:rPr/>
              <w:t xml:space="preserve"/>
            </w:r>
          </w:p>
          <w:p>
            <w:pPr/>
            <w:r>
              <w:rPr/>
              <w:t xml:space="preserve"/>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3) In the PIR platform, please upload any supporting files, including the project's Communications Strategy, photos, videos, stories and other communication/knowledge materials.</w:t>
            </w:r>
          </w:p>
        </w:tc>
      </w:tr>
      <w:tr>
        <w:trPr/>
        <w:tc>
          <w:tcPr>
            <w:tcW w:w="10000" w:type="dxa"/>
            <w:noWrap/>
          </w:tcPr>
          <w:p>
            <w:pPr>
              <w:spacing w:before="0" w:after="0"/>
            </w:pPr>
            <w:r>
              <w:rPr/>
              <w:t xml:space="preserve">AWP Activity Number 3.1.2 _a_Preparation of related publicity material _Intergrade video, paper ar.docx</w:t>
            </w:r>
          </w:p>
          <w:p>
            <w:pPr>
              <w:spacing w:before="0" w:after="0"/>
            </w:pPr>
            <w:r>
              <w:rPr/>
              <w:t xml:space="preserve">GEF VI_Knowledge Sharing Video.jpg</w:t>
            </w:r>
          </w:p>
          <w:p>
            <w:pPr>
              <w:spacing w:before="0" w:after="0"/>
            </w:pPr>
            <w:r>
              <w:rPr/>
              <w:t xml:space="preserve">GEF VI_Youth Awareness Raising Workshop.jpg</w:t>
            </w:r>
          </w:p>
          <w:p>
            <w:pPr>
              <w:spacing w:before="0" w:after="0"/>
            </w:pPr>
            <w:r>
              <w:rPr/>
              <w:t xml:space="preserve">ToR_Mangrove_Guide_Consultant _1_.docx</w:t>
            </w:r>
          </w:p>
          <w:p>
            <w:pPr/>
          </w:p>
        </w:tc>
      </w:tr>
    </w:tbl>
    <w:p>
      <w:pPr>
        <w:sectPr>
          <w:pgSz w:orient="portrait" w:w="11905.511811023622" w:h="16837.79527559055"/>
          <w:pgMar w:top="1440" w:right="1440" w:bottom="1440" w:left="1440" w:header="720" w:footer="720" w:gutter="0"/>
          <w:cols w:num="1" w:space="720"/>
        </w:sectPr>
      </w:pPr>
    </w:p>
    <w:p>
      <w:pPr>
        <w:pStyle w:val="Heading1"/>
      </w:pPr>
      <w:bookmarkStart w:id="16" w:name="_Toc16"/>
      <w:r>
        <w:t>Annex - Ratings Definitions</w:t>
      </w:r>
      <w:bookmarkEnd w:id="16"/>
    </w:p>
    <w:p>
      <w:pPr/>
      <w:r>
        <w:rPr>
          <w:b w:val="1"/>
          <w:bCs w:val="1"/>
        </w:rPr>
        <w:t xml:space="preserve">Development Objective Progress Ratings Definitions</w:t>
      </w:r>
    </w:p>
    <w:p>
      <w:pPr/>
      <w:r>
        <w:rPr/>
        <w:t xml:space="preserve">(HS) Highly Satisfactory: Project is on track to exceed its end-of-project targets by project closure. The project can be presented as 'outstanding practice'.</w:t>
      </w:r>
    </w:p>
    <w:p>
      <w:pPr/>
      <w:r>
        <w:rPr/>
        <w:t xml:space="preserve">(S) Satisfactory: Project is on track to achieve its end-of-project targets by project closure and any minor challenges are being addressed through an adaptive management plan. The project can be presented as 'good practice'.</w:t>
      </w:r>
    </w:p>
    <w:p>
      <w:pPr/>
      <w:r>
        <w:rPr/>
        <w:t xml:space="preserve">(MS) Moderately Satisfactory: Project is on track to achieve its end-of-project targets by project closure and minor challenges can be addressed if an adaptive management plan is promptly put in place.</w:t>
      </w:r>
    </w:p>
    <w:p>
      <w:pPr/>
      <w:r>
        <w:rPr/>
        <w:t xml:space="preserve">(MU) Moderately Unsatisfactory: Project is off track and is expected to only partially achieve its end-of-project targets by project closure. Project results might still be achieved by project closure if adaptive management is undertaken immediately.</w:t>
      </w:r>
    </w:p>
    <w:p>
      <w:pPr/>
      <w:r>
        <w:rPr/>
        <w:t xml:space="preserve">(U) Unsatisfactory: Project is off track and is expected to only partially achieve its end-of-project targets by project closure. Project results might be partially achieved by project closure if major adaptive management is undertaken immediately.</w:t>
      </w:r>
    </w:p>
    <w:p>
      <w:pPr/>
      <w:r>
        <w:rPr/>
        <w:t xml:space="preserve">(HU) Highly Unsatisfactory: Project is off track and is not expected to achieve its end-of-project targets by project closure and adaptive management is not expected to materialize.</w:t>
      </w:r>
    </w:p>
    <w:p/>
    <w:p>
      <w:pPr/>
      <w:r>
        <w:rPr>
          <w:b w:val="1"/>
          <w:bCs w:val="1"/>
        </w:rPr>
        <w:t xml:space="preserve">Implementation Progress Ratings Definitions</w:t>
      </w:r>
    </w:p>
    <w:p>
      <w:pPr/>
      <w:r>
        <w:rPr/>
        <w:t xml:space="preserve">(HS) Highly Satisfactory: Implementation is exceeding expectations. Implementation of all outputs/activities is fully on track, proceeding as planned, The implementation of the project can be presented as 'outstanding practice'.</w:t>
      </w:r>
    </w:p>
    <w:p>
      <w:pPr/>
      <w:r>
        <w:rPr/>
        <w:t xml:space="preserve">(S) Satisfactory: Implementation is proceeding as planned with minor challenges that are being addressed. Implementation of all outputs/activities is on track with minor deviations The implementation of the project can be presented as 'good practice'. </w:t>
      </w:r>
    </w:p>
    <w:p>
      <w:pPr/>
      <w:r>
        <w:rPr/>
        <w:t xml:space="preserve">(MS) Moderately Satisfactory: Implementation is proceeding as planned with minor challenges that have not yet been addressed. Implementation of most outputs/activities is on track with minor deviations.</w:t>
      </w:r>
    </w:p>
    <w:p>
      <w:pPr/>
      <w:r>
        <w:rPr/>
        <w:t xml:space="preserve">(MU) Moderately Unsatisfactory: Implementation is not proceeding as planned and faces implementation challenges. Implementation of many outputs/activities is off track Implementation progress could be improved if adaptive management is undertaken immediately.</w:t>
      </w:r>
    </w:p>
    <w:p>
      <w:pPr/>
      <w:r>
        <w:rPr/>
        <w:t xml:space="preserve">(U) Unsatisfactory: Implementation is not proceeding as planned and faces major implementation challenges. Implementation of most outputs/activities is off track.</w:t>
      </w:r>
    </w:p>
    <w:p>
      <w:pPr/>
      <w:r>
        <w:rPr/>
        <w:t xml:space="preserve">(HU) Highly Unsatisfactory: Implementation is seriously under-performing. Implementation of all outputs/activities is severely off track.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pPr>
    <w:r>
      <w:t xml:space="preserve">Page </w:t>
    </w:r>
    <w:r>
      <w:fldChar w:fldCharType="begin"/>
    </w:r>
    <w:r>
      <w:instrText xml:space="preserve">PAGE</w:instrText>
    </w:r>
    <w:r>
      <w:fldChar w:fldCharType="separate"/>
    </w:r>
    <w:r>
      <w:fldChar w:fldCharType="end"/>
    </w:r>
    <w:r>
      <w:t xml:space="preserve"> of </w:t>
    </w:r>
    <w:r>
      <w:fldChar w:fldCharType="begin"/>
    </w:r>
    <w: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pPr>
    <w:r>
      <w:t xml:space="preserve">2025 Project Implementation Report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9A1F64"/>
    <w:multiLevelType w:val="multilevel"/>
    <w:lvl w:ilvl="0">
      <w:start w:val="1"/>
      <w:numFmt w:val="upperLetter"/>
      <w:pStyle w:val="Heading1"/>
      <w:suff w:val="tab"/>
      <w:lvlText w:val="%1."/>
      <w:pPr>
        <w:tabs>
          <w:tab w:val="num"/>
        </w:tabs>
        <w:ind/>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numPr>
        <w:numId w:val="1"/>
        <w:ilvl w:val="0"/>
      </w:numPr>
      <w:outlineLvl w:val="0"/>
    </w:pPr>
    <w:rPr>
      <w:sz w:val="28"/>
      <w:szCs w:val="28"/>
      <w:b w:val="1"/>
      <w:bCs w:val="1"/>
    </w:rPr>
  </w:style>
  <w:style w:type="paragraph" w:styleId="Heading2">
    <w:link w:val="Heading2Char"/>
    <w:name w:val="heading 2"/>
    <w:basedOn w:val="Normal"/>
    <w:pPr>
      <w:spacing w:before="40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section_image2.jp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section_image1.gif"/><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fontTable" Target="fontTable.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s://www.thegef.org/sites/default/files/documents/2022-04/GEF_R.08_31_GEF-8_Policy_Directions.pdf" TargetMode="External"/><Relationship Id="rId4" Type="http://schemas.openxmlformats.org/officeDocument/2006/relationships/theme" Target="theme/theme1.xml"/><Relationship Id="rId9" Type="http://schemas.openxmlformats.org/officeDocument/2006/relationships/hyperlink" Target="https://www.thegef.org/council-meeting-documents/guidelines-project-and-program-cycle-policy-2020-update"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fficeCountry xmlns="d9cf0e28-81d2-4dc7-8b10-820d80ed680d">B0434 - Sri Lanka - Colombo</OfficeCountry>
    <DocumentStatus xmlns="d9cf0e28-81d2-4dc7-8b10-820d80ed680d">Approved</DocumentStatus>
    <DocCoverageEndDate xmlns="d9cf0e28-81d2-4dc7-8b10-820d80ed680d">2025-06-30T04:00:00+00:00</DocCoverageEndDate>
    <TaxCatchAll xmlns="e91d5986-7c29-4ed1-8a54-b8fb378ed474" xsi:nil="true"/>
    <EventDate xmlns="d9cf0e28-81d2-4dc7-8b10-820d80ed680d" xsi:nil="true"/>
    <ProjectDocumentTypes xmlns="d9cf0e28-81d2-4dc7-8b10-820d80ed680d" xsi:nil="true"/>
    <FunctionalArea xmlns="d9cf0e28-81d2-4dc7-8b10-820d80ed680d">Programme and Project</FunctionalArea>
    <FileNameDescription xmlns="d9cf0e28-81d2-4dc7-8b10-820d80ed680d">PIR 2025</FileNameDescription>
    <ProjectNumber xmlns="d9cf0e28-81d2-4dc7-8b10-820d80ed680d">00117353</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UNDP-LKA</OperatingUnit>
    <lcf76f155ced4ddcb4097134ff3c332f xmlns="d9cf0e28-81d2-4dc7-8b10-820d80ed680d">
      <Terms xmlns="http://schemas.microsoft.com/office/infopath/2007/PartnerControls"/>
    </lcf76f155ced4ddcb4097134ff3c332f>
    <FocusArea xmlns="d9cf0e28-81d2-4dc7-8b10-820d80ed680d">Environment and Energy</FocusArea>
    <DocCoverageStartDate xmlns="d9cf0e28-81d2-4dc7-8b10-820d80ed680d">2024-06-30T04:00:00+00:00</DocCoverageStartDate>
    <FileClassificationMode xmlns="d9cf0e28-81d2-4dc7-8b10-820d80ed680d">Public</FileClassificationMode>
    <OutputNumber xmlns="d9cf0e28-81d2-4dc7-8b10-820d80ed680d">00114160</OutputNumber>
  </documentManagement>
</p:properties>
</file>

<file path=customXml/itemProps1.xml><?xml version="1.0" encoding="utf-8"?>
<ds:datastoreItem xmlns:ds="http://schemas.openxmlformats.org/officeDocument/2006/customXml" ds:itemID="{DF988D4C-28D6-4D15-912A-D108F0E147E0}"/>
</file>

<file path=customXml/itemProps2.xml><?xml version="1.0" encoding="utf-8"?>
<ds:datastoreItem xmlns:ds="http://schemas.openxmlformats.org/officeDocument/2006/customXml" ds:itemID="{780EBC3F-1649-4099-898F-C278FA91C166}"/>
</file>

<file path=customXml/itemProps3.xml><?xml version="1.0" encoding="utf-8"?>
<ds:datastoreItem xmlns:ds="http://schemas.openxmlformats.org/officeDocument/2006/customXml" ds:itemID="{9393B36A-72CC-4CC7-909F-94BDAD06B6C1}"/>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 2025</dc:title>
  <dc:subject/>
  <dc:creator/>
  <cp:keywords/>
  <dc:description/>
  <cp:lastModifiedBy/>
  <dcterms:created xsi:type="dcterms:W3CDTF">2025-09-09T05:10:35Z</dcterms:created>
  <dcterms:modified xsi:type="dcterms:W3CDTF">2025-09-09T05:10:35Z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ies>
</file>