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2022</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Palau PNMS</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7" w:history="1">
        <w:r>
          <w:t>Project Governance</w:t>
        </w:r>
        <w:r>
          <w:tab/>
        </w:r>
        <w:r>
          <w:fldChar w:fldCharType="begin"/>
        </w:r>
        <w:r>
          <w:instrText xml:space="preserve">PAGEREF _Toc7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_Toc8 \h</w:instrText>
        </w:r>
        <w:r>
          <w:fldChar w:fldCharType="end"/>
        </w:r>
      </w:hyperlink>
    </w:p>
    <w:p>
      <w:pPr>
        <w:tabs>
          <w:tab w:val="right" w:leader="dot" w:pos="9062"/>
        </w:tabs>
      </w:pPr>
      <w:hyperlink w:anchor="_Toc9" w:history="1">
        <w:r>
          <w:t>Minor Amendments</w:t>
        </w:r>
        <w:r>
          <w:tab/>
        </w:r>
        <w:r>
          <w:fldChar w:fldCharType="begin"/>
        </w:r>
        <w:r>
          <w:instrText xml:space="preserve">PAGEREF _Toc9 \h</w:instrText>
        </w:r>
        <w:r>
          <w:fldChar w:fldCharType="end"/>
        </w:r>
      </w:hyperlink>
    </w:p>
    <w:p>
      <w:pPr>
        <w:tabs>
          <w:tab w:val="right" w:leader="dot" w:pos="9062"/>
        </w:tabs>
      </w:pPr>
      <w:hyperlink w:anchor="_Toc10" w:history="1">
        <w:r>
          <w:t>Gender</w:t>
        </w:r>
        <w:r>
          <w:tab/>
        </w:r>
        <w:r>
          <w:fldChar w:fldCharType="begin"/>
        </w:r>
        <w:r>
          <w:instrText xml:space="preserve">PAGEREF _Toc10 \h</w:instrText>
        </w:r>
        <w:r>
          <w:fldChar w:fldCharType="end"/>
        </w:r>
      </w:hyperlink>
    </w:p>
    <w:p>
      <w:pPr>
        <w:tabs>
          <w:tab w:val="right" w:leader="dot" w:pos="9062"/>
        </w:tabs>
      </w:pPr>
      <w:hyperlink w:anchor="_Toc12" w:history="1">
        <w:r>
          <w:t>Risk Management</w:t>
        </w:r>
        <w:r>
          <w:tab/>
        </w:r>
        <w:r>
          <w:fldChar w:fldCharType="begin"/>
        </w:r>
        <w:r>
          <w:instrText xml:space="preserve">PAGEREF _Toc12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_Toc15 \h</w:instrText>
        </w:r>
        <w:r>
          <w:fldChar w:fldCharType="end"/>
        </w:r>
      </w:hyperlink>
    </w:p>
    <w:p>
      <w:pPr>
        <w:tabs>
          <w:tab w:val="right" w:leader="dot" w:pos="9062"/>
        </w:tabs>
      </w:pPr>
      <w:hyperlink w:anchor="_Toc16" w:history="1">
        <w:r>
          <w:t>Stakeholder Engagement</w:t>
        </w:r>
        <w:r>
          <w:tab/>
        </w:r>
        <w:r>
          <w:fldChar w:fldCharType="begin"/>
        </w:r>
        <w:r>
          <w:instrText xml:space="preserve">PAGEREF _Toc16 \h</w:instrText>
        </w:r>
        <w:r>
          <w:fldChar w:fldCharType="end"/>
        </w:r>
      </w:hyperlink>
    </w:p>
    <w:p>
      <w:pPr>
        <w:tabs>
          <w:tab w:val="right" w:leader="dot" w:pos="9062"/>
        </w:tabs>
      </w:pPr>
      <w:hyperlink w:anchor="_Toc17" w:history="1">
        <w:r>
          <w:t>Annex - Ratings Definitions</w:t>
        </w:r>
        <w:r>
          <w:tab/>
        </w:r>
        <w:r>
          <w:fldChar w:fldCharType="begin"/>
        </w:r>
        <w:r>
          <w:instrText xml:space="preserve">PAGEREF _Toc17 \h</w:instrText>
        </w:r>
        <w:r>
          <w:fldChar w:fldCharType="end"/>
        </w:r>
      </w:hyperlink>
    </w:p>
    <w:p>
      <w:r>
        <w:fldChar w:fldCharType="end"/>
      </w:r>
    </w:p>
    <w:p>
      <w:pPr>
        <w:sectPr>
          <w:headerReference w:type="default" r:id="rId12"/>
          <w:footerReference w:type="default" r:id="rId13"/>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6418</w:t>
            </w:r>
          </w:p>
        </w:tc>
      </w:tr>
      <w:tr>
        <w:trPr/>
        <w:tc>
          <w:tcPr>
            <w:tcW w:w="5000" w:type="dxa"/>
            <w:gridSpan w:val="1"/>
          </w:tcPr>
          <w:p>
            <w:pPr/>
            <w:r>
              <w:rPr/>
              <w:t xml:space="preserve">GEF ID</w:t>
            </w:r>
          </w:p>
        </w:tc>
        <w:tc>
          <w:tcPr>
            <w:tcW w:w="5000" w:type="dxa"/>
            <w:gridSpan w:val="1"/>
          </w:tcPr>
          <w:p>
            <w:pPr/>
            <w:r>
              <w:rPr/>
              <w:t xml:space="preserve">10611</w:t>
            </w:r>
          </w:p>
        </w:tc>
      </w:tr>
      <w:tr>
        <w:trPr/>
        <w:tc>
          <w:tcPr>
            <w:tcW w:w="5000" w:type="dxa"/>
            <w:gridSpan w:val="1"/>
          </w:tcPr>
          <w:p>
            <w:pPr/>
            <w:r>
              <w:rPr/>
              <w:t xml:space="preserve">Title</w:t>
            </w:r>
          </w:p>
        </w:tc>
        <w:tc>
          <w:tcPr>
            <w:tcW w:w="5000" w:type="dxa"/>
            <w:gridSpan w:val="1"/>
          </w:tcPr>
          <w:p>
            <w:pPr/>
            <w:r>
              <w:rPr/>
              <w:t xml:space="preserve">Strengthening the Palau National Marine Sanctuary for the Conservation and Management of Global Marine Biodiversity and Sustainable Fisheries</w:t>
            </w:r>
          </w:p>
        </w:tc>
      </w:tr>
      <w:tr>
        <w:trPr/>
        <w:tc>
          <w:tcPr>
            <w:tcW w:w="5000" w:type="dxa"/>
            <w:gridSpan w:val="1"/>
          </w:tcPr>
          <w:p>
            <w:pPr/>
            <w:r>
              <w:rPr/>
              <w:t xml:space="preserve">Country(ies)</w:t>
            </w:r>
          </w:p>
        </w:tc>
        <w:tc>
          <w:tcPr>
            <w:tcW w:w="5000" w:type="dxa"/>
            <w:gridSpan w:val="1"/>
          </w:tcPr>
          <w:p>
            <w:pPr/>
            <w:r>
              <w:rPr/>
              <w:t xml:space="preserve">Palau, Fiji, Palau</w:t>
            </w:r>
          </w:p>
        </w:tc>
      </w:tr>
      <w:tr>
        <w:trPr/>
        <w:tc>
          <w:tcPr>
            <w:tcW w:w="5000" w:type="dxa"/>
            <w:gridSpan w:val="1"/>
          </w:tcPr>
          <w:p>
            <w:pPr/>
            <w:r>
              <w:rPr/>
              <w:t xml:space="preserve">UNDP-NCE Technical Team</w:t>
            </w:r>
          </w:p>
        </w:tc>
        <w:tc>
          <w:tcPr>
            <w:tcW w:w="5000" w:type="dxa"/>
            <w:gridSpan w:val="1"/>
          </w:tcPr>
          <w:p>
            <w:pPr/>
            <w:r>
              <w:rPr/>
              <w:t xml:space="preserve">Water and Oceans</w:t>
            </w:r>
          </w:p>
        </w:tc>
      </w:tr>
      <w:tr>
        <w:trPr/>
        <w:tc>
          <w:tcPr>
            <w:tcW w:w="5000" w:type="dxa"/>
            <w:gridSpan w:val="1"/>
          </w:tcPr>
          <w:p>
            <w:pPr/>
            <w:r>
              <w:rPr/>
              <w:t xml:space="preserve">Management Arrangements</w:t>
            </w:r>
          </w:p>
        </w:tc>
        <w:tc>
          <w:tcPr>
            <w:tcW w:w="5000" w:type="dxa"/>
            <w:gridSpan w:val="1"/>
          </w:tcPr>
          <w:p>
            <w:pPr/>
            <w:r>
              <w:rPr/>
              <w:t xml:space="preserve">CO Support to NIM</w:t>
            </w:r>
          </w:p>
        </w:tc>
      </w:tr>
      <w:tr>
        <w:trPr/>
        <w:tc>
          <w:tcPr>
            <w:tcW w:w="5000" w:type="dxa"/>
            <w:gridSpan w:val="1"/>
          </w:tcPr>
          <w:p>
            <w:pPr/>
            <w:r>
              <w:rPr/>
              <w:t xml:space="preserve">Project Implementing Partner</w:t>
            </w:r>
          </w:p>
        </w:tc>
        <w:tc>
          <w:tcPr>
            <w:tcW w:w="5000" w:type="dxa"/>
            <w:gridSpan w:val="1"/>
          </w:tcPr>
          <w:p>
            <w:pPr/>
            <w:r>
              <w:rPr/>
              <w:t xml:space="preserve">Government</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Medium Size - 1 step</w:t>
            </w:r>
          </w:p>
        </w:tc>
      </w:tr>
      <w:tr>
        <w:trPr/>
        <w:tc>
          <w:tcPr>
            <w:tcW w:w="5000" w:type="dxa"/>
            <w:gridSpan w:val="1"/>
          </w:tcPr>
          <w:p>
            <w:pPr/>
            <w:r>
              <w:rPr/>
              <w:t xml:space="preserve">Implementation Status</w:t>
            </w:r>
          </w:p>
        </w:tc>
        <w:tc>
          <w:tcPr>
            <w:tcW w:w="5000" w:type="dxa"/>
            <w:gridSpan w:val="1"/>
          </w:tcPr>
          <w:p>
            <w:pPr/>
            <w:r>
              <w:rPr/>
              <w:t xml:space="preserve">1st PIR</w:t>
            </w:r>
          </w:p>
        </w:tc>
      </w:tr>
      <w:tr>
        <w:trPr/>
        <w:tc>
          <w:tcPr>
            <w:tcW w:w="5000" w:type="dxa"/>
            <w:gridSpan w:val="1"/>
          </w:tcPr>
          <w:p>
            <w:pPr/>
            <w:r>
              <w:rPr/>
              <w:t xml:space="preserve">GEF Fiscal Year</w:t>
            </w:r>
          </w:p>
        </w:tc>
        <w:tc>
          <w:tcPr>
            <w:tcW w:w="5000" w:type="dxa"/>
            <w:gridSpan w:val="1"/>
          </w:tcPr>
          <w:p>
            <w:pPr/>
            <w:r>
              <w:rPr/>
              <w:t xml:space="preserve">FY22</w:t>
            </w:r>
          </w:p>
        </w:tc>
      </w:tr>
      <w:tr>
        <w:trPr/>
        <w:tc>
          <w:tcPr>
            <w:tcW w:w="5000" w:type="dxa"/>
            <w:gridSpan w:val="1"/>
          </w:tcPr>
          <w:p>
            <w:pPr/>
            <w:r>
              <w:rPr/>
              <w:t xml:space="preserve">Trust Fund</w:t>
            </w:r>
          </w:p>
        </w:tc>
        <w:tc>
          <w:tcPr>
            <w:tcW w:w="5000" w:type="dxa"/>
            <w:gridSpan w:val="1"/>
          </w:tcPr>
          <w:p>
            <w:pPr/>
            <w:r>
              <w:rPr/>
              <w:t xml:space="preserve">GEF Trust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In 2015, Palau signed into law a National Marine Sanctuary (PNMS) and a Domestic Fishing Zone (DFZ). The PNMS aims to protect renewable and sustainable living marine resources which provide direct value and revenue to Palau. The DFZ will provide long-term food security within Palau and protect important goods and services, increasing livelihoods and reducing pressure on reef fisheries.   Furthermore, the presence of a 500,000 sq. km. sanctuary provides a replenishment zone for pelagic fish stocks that are important to the entire region. Since its declaration, a number of constraints and challenges hinder the full implementation of the PNMS and DFZ including institutional constraints, financial and economic challenges and some general governance and legal issues. The objective of the Project would be to strengthen and implement a Strategic Plan for sustainable management of the PNMS and DFZ. The project will build on the existing efforts of Palau to conserve its renewable natural resources while adding significantly to the global MPA estate and providing a protected migratory route for globally important fish stocks as well as other non-commercial species and bycatch (e.g. cetaceans, turtles, sharks, seabirds, etc.). Globally, the PNMS will make a valuable contribution to the SDG 14 targets.</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UNDP-NCE Technical Adviser</w:t>
            </w:r>
          </w:p>
        </w:tc>
        <w:tc>
          <w:tcPr>
            <w:tcW w:w="5000" w:type="dxa"/>
            <w:gridSpan w:val="1"/>
          </w:tcPr>
          <w:p>
            <w:pPr/>
            <w:r>
              <w:rPr/>
              <w:t xml:space="preserve">Mr. Jose Padilla (jose.padilla@undp.org)</w:t>
            </w:r>
          </w:p>
        </w:tc>
      </w:tr>
      <w:tr>
        <w:trPr/>
        <w:tc>
          <w:tcPr>
            <w:tcW w:w="5000" w:type="dxa"/>
            <w:gridSpan w:val="1"/>
          </w:tcPr>
          <w:p>
            <w:pPr/>
            <w:r>
              <w:rPr/>
              <w:t xml:space="preserve">UNDP-NCE Programme Associate</w:t>
            </w:r>
          </w:p>
        </w:tc>
        <w:tc>
          <w:tcPr>
            <w:tcW w:w="5000" w:type="dxa"/>
            <w:gridSpan w:val="1"/>
          </w:tcPr>
          <w:p>
            <w:pPr/>
            <w:r>
              <w:rPr/>
              <w:t xml:space="preserve">Ms. Nittaya (Nid) Saengow (nittaya.saengow@undp.org)</w:t>
            </w:r>
          </w:p>
        </w:tc>
      </w:tr>
      <w:tr>
        <w:trPr/>
        <w:tc>
          <w:tcPr>
            <w:tcW w:w="5000" w:type="dxa"/>
            <w:gridSpan w:val="1"/>
          </w:tcPr>
          <w:p>
            <w:pPr/>
            <w:r>
              <w:rPr/>
              <w:t xml:space="preserve">Project Manager/Coordinator</w:t>
            </w:r>
          </w:p>
        </w:tc>
        <w:tc>
          <w:tcPr>
            <w:tcW w:w="5000" w:type="dxa"/>
            <w:gridSpan w:val="1"/>
          </w:tcPr>
          <w:p>
            <w:pPr/>
            <w:r>
              <w:rPr/>
              <w:t xml:space="preserve">King Sam (ksam.picrc@gmail.com)</w:t>
            </w:r>
          </w:p>
        </w:tc>
      </w:tr>
      <w:tr>
        <w:trPr/>
        <w:tc>
          <w:tcPr>
            <w:tcW w:w="5000" w:type="dxa"/>
            <w:gridSpan w:val="1"/>
          </w:tcPr>
          <w:p>
            <w:pPr/>
            <w:r>
              <w:rPr/>
              <w:t xml:space="preserve">UNDP Country Office Programme Officer</w:t>
            </w:r>
          </w:p>
        </w:tc>
        <w:tc>
          <w:tcPr>
            <w:tcW w:w="5000" w:type="dxa"/>
            <w:gridSpan w:val="1"/>
          </w:tcPr>
          <w:p>
            <w:pPr/>
            <w:r>
              <w:rPr/>
              <w:t xml:space="preserve">Ms. Winifereti Nainoca (winifereti.nainoca@undp.org)</w:t>
            </w:r>
          </w:p>
          <w:p>
            <w:pPr/>
            <w:r>
              <w:rPr/>
              <w:t xml:space="preserve">Ms. Vasiti Navuku (vasiti.navuku@undp.org)</w:t>
            </w:r>
          </w:p>
        </w:tc>
      </w:tr>
      <w:tr>
        <w:trPr/>
        <w:tc>
          <w:tcPr>
            <w:tcW w:w="5000" w:type="dxa"/>
            <w:gridSpan w:val="1"/>
          </w:tcPr>
          <w:p>
            <w:pPr/>
            <w:r>
              <w:rPr/>
              <w:t xml:space="preserve">UNDP Country Office Deputy Resident Representative</w:t>
            </w:r>
          </w:p>
        </w:tc>
        <w:tc>
          <w:tcPr>
            <w:tcW w:w="5000" w:type="dxa"/>
            <w:gridSpan w:val="1"/>
          </w:tcPr>
          <w:p>
            <w:pPr/>
            <w:r>
              <w:rPr/>
              <w:t xml:space="preserve">Mr. Kevin Joseph PETRINI (kevin.petrini@undp.org)</w:t>
            </w:r>
          </w:p>
        </w:tc>
      </w:tr>
      <w:tr>
        <w:trPr/>
        <w:tc>
          <w:tcPr>
            <w:tcW w:w="5000" w:type="dxa"/>
            <w:gridSpan w:val="1"/>
          </w:tcPr>
          <w:p>
            <w:pPr/>
            <w:r>
              <w:rPr/>
              <w:t xml:space="preserve">UNDP Regional Bureau Desk Officer</w:t>
            </w:r>
          </w:p>
        </w:tc>
        <w:tc>
          <w:tcPr>
            <w:tcW w:w="5000" w:type="dxa"/>
            <w:gridSpan w:val="1"/>
          </w:tcPr>
          <w:p>
            <w:pPr/>
            <w:r>
              <w:rPr/>
              <w:t xml:space="preserve">Ms. Irina Goryunova (irina.goryunova@undp.org)</w:t>
            </w:r>
          </w:p>
        </w:tc>
      </w:tr>
      <w:tr>
        <w:trPr/>
        <w:tc>
          <w:tcPr>
            <w:tcW w:w="5000" w:type="dxa"/>
            <w:gridSpan w:val="1"/>
          </w:tcPr>
          <w:p>
            <w:pPr/>
            <w:r>
              <w:rPr/>
              <w:t xml:space="preserve">GEF Operational Focal Point</w:t>
            </w:r>
          </w:p>
        </w:tc>
        <w:tc>
          <w:tcPr>
            <w:tcW w:w="5000" w:type="dxa"/>
            <w:gridSpan w:val="1"/>
          </w:tcPr>
          <w:p>
            <w:pPr/>
            <w:r>
              <w:rPr/>
              <w:t xml:space="preserve">Ms. Charlene Mersai (charmersai@gmail.com)</w:t>
            </w:r>
          </w:p>
        </w:tc>
      </w:tr>
      <w:tr>
        <w:trPr/>
        <w:tc>
          <w:tcPr>
            <w:tcW w:w="5000" w:type="dxa"/>
            <w:gridSpan w:val="1"/>
          </w:tcPr>
          <w:p>
            <w:pPr/>
            <w:r>
              <w:rPr/>
              <w:t xml:space="preserve">Project Implementing Partner</w:t>
            </w:r>
          </w:p>
        </w:tc>
        <w:tc>
          <w:tcPr>
            <w:tcW w:w="5000" w:type="dxa"/>
            <w:gridSpan w:val="1"/>
          </w:tcPr>
          <w:p>
            <w:pPr/>
            <w:r>
              <w:rPr/>
              <w:t xml:space="preserve">Ms. Elilai Ngirmang (elilai.ngirmang@gmail.com)</w:t>
            </w:r>
          </w:p>
          <w:p>
            <w:pPr/>
            <w:r>
              <w:rPr/>
              <w:t xml:space="preserve">Ms. Persis Omelau (omelaupersis@gmail.com)</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Satisfactory</w:t>
            </w:r>
          </w:p>
        </w:tc>
      </w:tr>
      <w:tr>
        <w:trPr/>
        <w:tc>
          <w:tcPr>
            <w:tcW w:w="8000" w:type="dxa"/>
            <w:gridSpan w:val="1"/>
          </w:tcPr>
          <w:p>
            <w:pPr/>
            <w:r>
              <w:rPr/>
              <w:t xml:space="preserve">Overall IP Rating</w:t>
            </w:r>
          </w:p>
        </w:tc>
        <w:tc>
          <w:tcPr>
            <w:tcW w:w="8000" w:type="dxa"/>
            <w:gridSpan w:val="1"/>
          </w:tcPr>
          <w:p>
            <w:pPr/>
            <w:r>
              <w:rPr/>
              <w:t xml:space="preserve">Moderately Unsatisfactory</w:t>
            </w:r>
          </w:p>
        </w:tc>
      </w:tr>
      <w:tr>
        <w:trPr/>
        <w:tc>
          <w:tcPr>
            <w:tcW w:w="8000" w:type="dxa"/>
            <w:gridSpan w:val="1"/>
          </w:tcPr>
          <w:p>
            <w:pPr/>
            <w:r>
              <w:rPr/>
              <w:t xml:space="preserve">Overall Risk Rating</w:t>
            </w:r>
          </w:p>
        </w:tc>
        <w:tc>
          <w:tcPr>
            <w:tcW w:w="8000" w:type="dxa"/>
            <w:gridSpan w:val="1"/>
          </w:tcPr>
          <w:p>
            <w:pPr/>
            <w:r>
              <w:rPr/>
              <w:t xml:space="preserve">moderate</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Strengthen the Institutional and Governance Structure and Implement a Strategic Plan for the Sustainable Management of the Palau National Marine Sanctuary and Domestic Fishing Zone and provide a healthy and productive ecosystem  for the benefit of all people of Palau</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INDICATOR 1</w:t>
            </w:r>
          </w:p>
          <w:p>
            <w:pPr/>
            <w:r>
              <w:rPr/>
              <w:t xml:space="preserve">Mandatory Indicator 1: Direct Project beneficiaries</w:t>
            </w:r>
          </w:p>
          <w:p>
            <w:pPr/>
            <w:r>
              <w:rPr/>
              <w:t xml:space="preserve"/>
            </w:r>
          </w:p>
          <w:p>
            <w:pPr/>
            <w:r>
              <w:rPr/>
              <w:t xml:space="preserve"/>
            </w:r>
          </w:p>
        </w:tc>
        <w:tc>
          <w:tcPr>
            <w:tcW w:w="2000" w:type="dxa"/>
            <w:gridSpan w:val="1"/>
          </w:tcPr>
          <w:p>
            <w:pPr/>
            <w:r>
              <w:rPr/>
              <w:t xml:space="preserve">Less than 1%. Population of Palau is not yet realising the benefits of the MPA/PNMS or the DFZ as a result of lack of knowledge and awareness and inadequate human resources</w:t>
            </w:r>
          </w:p>
        </w:tc>
        <w:tc>
          <w:tcPr>
            <w:tcW w:w="2000" w:type="dxa"/>
            <w:gridSpan w:val="1"/>
          </w:tcPr>
          <w:p>
            <w:pPr/>
            <w:r>
              <w:rPr/>
              <w:t xml:space="preserve">Demographics survey showing strong improvement in understanding and benefit (livelihoods and food security) particularly for women and poorer communities. Indicator 1 and 2 improved by 20%</w:t>
            </w:r>
          </w:p>
          <w:p>
            <w:pPr/>
            <w:r>
              <w:rPr/>
              <w:t xml:space="preserve"/>
            </w:r>
          </w:p>
          <w:p>
            <w:pPr/>
            <w:r>
              <w:rPr/>
              <w:t xml:space="preserve"/>
            </w:r>
          </w:p>
        </w:tc>
        <w:tc>
          <w:tcPr>
            <w:tcW w:w="2000" w:type="dxa"/>
            <w:gridSpan w:val="1"/>
          </w:tcPr>
          <w:p>
            <w:pPr/>
            <w:r>
              <w:rPr/>
              <w:t xml:space="preserve">Approx 2,000 persons (600 women) from tourism sector, fisheries sector,</w:t>
            </w:r>
          </w:p>
        </w:tc>
        <w:tc>
          <w:tcPr>
            <w:tcW w:w="4000" w:type="dxa"/>
            <w:gridSpan w:val="1"/>
          </w:tcPr>
          <w:p>
            <w:pPr/>
            <w:r>
              <w:rPr>
                <w:i w:val="1"/>
                <w:iCs w:val="1"/>
              </w:rPr>
              <w:t xml:space="preserve">(not set or not applicable)</w:t>
            </w:r>
          </w:p>
        </w:tc>
        <w:tc>
          <w:tcPr>
            <w:tcW w:w="4000" w:type="dxa"/>
            <w:gridSpan w:val="1"/>
          </w:tcPr>
          <w:p>
            <w:pPr/>
            <w:r>
              <w:rPr/>
              <w:t xml:space="preserve">It should be noted that we have requested revising some indicators to accurately measure project progress.  We are still working with UNDP to resolve this issue.  In this context, I will answer the questions as best I can.</w:t>
            </w:r>
          </w:p>
          <w:p>
            <w:pPr/>
            <w:r>
              <w:rPr/>
              <w:t xml:space="preserve">A socioeconomic assessment was conducted in the state of Airai (1 of 16 states in Palau) to understand how people perceived benefits relating to the PNMS. A Palau-wide assessment will be undertaken within 2022.  The Airai Report is included for understanding.</w:t>
            </w:r>
          </w:p>
        </w:tc>
      </w:tr>
      <w:tr>
        <w:trPr/>
        <w:tc>
          <w:tcPr>
            <w:tcW w:w="4000" w:type="dxa"/>
            <w:gridSpan w:val="1"/>
          </w:tcPr>
          <w:p>
            <w:pPr/>
            <w:r>
              <w:rPr/>
              <w:t xml:space="preserve">INDICATOR 2: Mandatory Indicator 2: Indirect Project beneficiaries</w:t>
            </w:r>
          </w:p>
          <w:p>
            <w:pPr/>
            <w:r>
              <w:rPr/>
              <w:t xml:space="preserve"/>
            </w:r>
          </w:p>
        </w:tc>
        <w:tc>
          <w:tcPr>
            <w:tcW w:w="2000" w:type="dxa"/>
            <w:gridSpan w:val="1"/>
          </w:tcPr>
          <w:p>
            <w:pPr/>
            <w:r>
              <w:rPr/>
              <w:t xml:space="preserve">Less than 1%</w:t>
            </w:r>
          </w:p>
          <w:p>
            <w:pPr/>
            <w:r>
              <w:rPr/>
              <w:t xml:space="preserve">As above</w:t>
            </w:r>
          </w:p>
          <w:p>
            <w:pPr/>
            <w:r>
              <w:rPr/>
              <w:t xml:space="preserve"/>
            </w:r>
          </w:p>
        </w:tc>
        <w:tc>
          <w:tcPr>
            <w:tcW w:w="2000" w:type="dxa"/>
            <w:gridSpan w:val="1"/>
          </w:tcPr>
          <w:p>
            <w:pPr/>
            <w:r>
              <w:rPr/>
              <w:t xml:space="preserve">na</w:t>
            </w:r>
          </w:p>
        </w:tc>
        <w:tc>
          <w:tcPr>
            <w:tcW w:w="2000" w:type="dxa"/>
            <w:gridSpan w:val="1"/>
          </w:tcPr>
          <w:p>
            <w:pPr/>
            <w:r>
              <w:rPr/>
              <w:t xml:space="preserve">100% - Confirmation of overall beneficiaries from the GEF investment in this Project = 20,135 (overall population) with 45% women (9,014)</w:t>
            </w:r>
          </w:p>
        </w:tc>
        <w:tc>
          <w:tcPr>
            <w:tcW w:w="4000" w:type="dxa"/>
            <w:gridSpan w:val="1"/>
          </w:tcPr>
          <w:p>
            <w:pPr/>
            <w:r>
              <w:rPr>
                <w:i w:val="1"/>
                <w:iCs w:val="1"/>
              </w:rPr>
              <w:t xml:space="preserve">(not set or not applicable)</w:t>
            </w:r>
          </w:p>
        </w:tc>
        <w:tc>
          <w:tcPr>
            <w:tcW w:w="4000" w:type="dxa"/>
            <w:gridSpan w:val="1"/>
          </w:tcPr>
          <w:p>
            <w:pPr/>
            <w:r>
              <w:rPr/>
              <w:t xml:space="preserve">A national event celebrating the 6th anniversary of the enactment of the PNMS legislation was held on Oct. 28, 2021.  Over 200 people participated in the event.  Links are provided for this.</w:t>
            </w:r>
          </w:p>
        </w:tc>
      </w:tr>
      <w:tr>
        <w:trPr/>
        <w:tc>
          <w:tcPr>
            <w:tcW w:w="4000" w:type="dxa"/>
            <w:gridSpan w:val="1"/>
          </w:tcPr>
          <w:p>
            <w:pPr/>
            <w:r>
              <w:rPr/>
              <w:t xml:space="preserve">INDICATOR 3</w:t>
            </w:r>
          </w:p>
          <w:p>
            <w:pPr/>
            <w:r>
              <w:rPr/>
              <w:t xml:space="preserve">Core Indicator 2:</w:t>
            </w:r>
          </w:p>
          <w:p>
            <w:pPr/>
            <w:r>
              <w:rPr/>
              <w:t xml:space="preserve">Marine protected areas created or under improved management for conservation and sustainable use</w:t>
            </w:r>
          </w:p>
          <w:p>
            <w:pPr/>
            <w:r>
              <w:rPr/>
              <w:t xml:space="preserve"/>
            </w:r>
          </w:p>
        </w:tc>
        <w:tc>
          <w:tcPr>
            <w:tcW w:w="2000" w:type="dxa"/>
            <w:gridSpan w:val="1"/>
          </w:tcPr>
          <w:p>
            <w:pPr/>
            <w:r>
              <w:rPr/>
              <w:t xml:space="preserve">Less than 2% (950,000 Ha) of area effectively managed. MPA currently having limited to zero effect on improving management and conservation for sustainable use.</w:t>
            </w:r>
          </w:p>
        </w:tc>
        <w:tc>
          <w:tcPr>
            <w:tcW w:w="2000" w:type="dxa"/>
            <w:gridSpan w:val="1"/>
          </w:tcPr>
          <w:p>
            <w:pPr/>
            <w:r>
              <w:rPr/>
              <w:t xml:space="preserve">80% under improved management. PNMS management and administrative processes fully functional within PICRC (Palau International Coral Reef Center)</w:t>
            </w:r>
          </w:p>
        </w:tc>
        <w:tc>
          <w:tcPr>
            <w:tcW w:w="2000" w:type="dxa"/>
            <w:gridSpan w:val="1"/>
          </w:tcPr>
          <w:p>
            <w:pPr/>
            <w:r>
              <w:rPr/>
              <w:t xml:space="preserve">80% (47.5 million Hectares) of EEZ under fully effective management as a marine sanctuary and no-take zone</w:t>
            </w:r>
          </w:p>
        </w:tc>
        <w:tc>
          <w:tcPr>
            <w:tcW w:w="4000" w:type="dxa"/>
            <w:gridSpan w:val="1"/>
          </w:tcPr>
          <w:p>
            <w:pPr/>
            <w:r>
              <w:rPr>
                <w:i w:val="1"/>
                <w:iCs w:val="1"/>
              </w:rPr>
              <w:t xml:space="preserve">(not set or not applicable)</w:t>
            </w:r>
          </w:p>
        </w:tc>
        <w:tc>
          <w:tcPr>
            <w:tcW w:w="4000" w:type="dxa"/>
            <w:gridSpan w:val="1"/>
          </w:tcPr>
          <w:p>
            <w:pPr/>
            <w:r>
              <w:rPr/>
              <w:t xml:space="preserve">Agreements have been put in place with implementing partners (Ministry of Justice and Ministry of Agriculture, Fisheries and Environment) who are the respective authorities for managing the PNMS.  The agreements are attached.</w:t>
            </w:r>
          </w:p>
        </w:tc>
      </w:tr>
      <w:tr>
        <w:trPr/>
        <w:tc>
          <w:tcPr>
            <w:tcW w:w="4000" w:type="dxa"/>
            <w:gridSpan w:val="1"/>
          </w:tcPr>
          <w:p>
            <w:pPr/>
            <w:r>
              <w:rPr/>
              <w:t xml:space="preserve">INDICATOR 4</w:t>
            </w:r>
          </w:p>
          <w:p>
            <w:pPr/>
            <w:r>
              <w:rPr/>
              <w:t xml:space="preserve">Core Indicator 5:</w:t>
            </w:r>
          </w:p>
          <w:p>
            <w:pPr/>
            <w:r>
              <w:rPr/>
              <w:t xml:space="preserve">Area of marine habitat under improved practices to benefit biodiversity</w:t>
            </w:r>
          </w:p>
          <w:p>
            <w:pPr/>
            <w:r>
              <w:rPr/>
              <w:t xml:space="preserve"/>
            </w:r>
          </w:p>
        </w:tc>
        <w:tc>
          <w:tcPr>
            <w:tcW w:w="2000" w:type="dxa"/>
            <w:gridSpan w:val="1"/>
          </w:tcPr>
          <w:p>
            <w:pPr/>
            <w:r>
              <w:rPr/>
              <w:t xml:space="preserve">Zero % of Domestic Fishing Zone – no management as yet.</w:t>
            </w:r>
          </w:p>
        </w:tc>
        <w:tc>
          <w:tcPr>
            <w:tcW w:w="2000" w:type="dxa"/>
            <w:gridSpan w:val="1"/>
          </w:tcPr>
          <w:p>
            <w:pPr/>
            <w:r>
              <w:rPr/>
              <w:t xml:space="preserve">20% of Domestic Fishing Zone under formal management</w:t>
            </w:r>
          </w:p>
        </w:tc>
        <w:tc>
          <w:tcPr>
            <w:tcW w:w="2000" w:type="dxa"/>
            <w:gridSpan w:val="1"/>
          </w:tcPr>
          <w:p>
            <w:pPr/>
            <w:r>
              <w:rPr/>
              <w:t xml:space="preserve">20% (11.8 Million Hectares) of EEZ and territorial waters under strict management as a domestic fishery with limited and controlled commercial fishing and exportation</w:t>
            </w:r>
          </w:p>
        </w:tc>
        <w:tc>
          <w:tcPr>
            <w:tcW w:w="4000" w:type="dxa"/>
            <w:gridSpan w:val="1"/>
          </w:tcPr>
          <w:p>
            <w:pPr/>
            <w:r>
              <w:rPr>
                <w:i w:val="1"/>
                <w:iCs w:val="1"/>
              </w:rPr>
              <w:t xml:space="preserve">(not set or not applicable)</w:t>
            </w:r>
          </w:p>
        </w:tc>
        <w:tc>
          <w:tcPr>
            <w:tcW w:w="4000" w:type="dxa"/>
            <w:gridSpan w:val="1"/>
          </w:tcPr>
          <w:p>
            <w:pPr/>
            <w:r>
              <w:rPr/>
              <w:t xml:space="preserve">The only local fishing company operating right now is the Belau Offshore Fishers Inc (BOFI).  They have begun fishing within the 20% domestic fishing zone.  Data is collected when fish is being off-loaded to support research efforts and there is a collaborative agreement in place with them, provided here.</w:t>
            </w:r>
          </w:p>
        </w:tc>
      </w:tr>
      <w:tr>
        <w:trPr/>
        <w:tc>
          <w:tcPr>
            <w:tcW w:w="4000" w:type="dxa"/>
            <w:gridSpan w:val="1"/>
          </w:tcPr>
          <w:p>
            <w:pPr/>
            <w:r>
              <w:rPr/>
              <w:t xml:space="preserve">INDICATOR 5</w:t>
            </w:r>
          </w:p>
          <w:p>
            <w:pPr/>
            <w:r>
              <w:rPr/>
              <w:t xml:space="preserve">Core Indicator 8: Globally over-exploited marine fisheries moved to more sustainable levels</w:t>
            </w:r>
          </w:p>
          <w:p>
            <w:pPr/>
            <w:r>
              <w:rPr/>
              <w:t xml:space="preserve"/>
            </w:r>
          </w:p>
        </w:tc>
        <w:tc>
          <w:tcPr>
            <w:tcW w:w="2000" w:type="dxa"/>
            <w:gridSpan w:val="1"/>
          </w:tcPr>
          <w:p>
            <w:pPr/>
            <w:r>
              <w:rPr/>
              <w:t xml:space="preserve">Approx 2% as above equivalent to 225 tonnes sustainable</w:t>
            </w:r>
          </w:p>
        </w:tc>
        <w:tc>
          <w:tcPr>
            <w:tcW w:w="2000" w:type="dxa"/>
            <w:gridSpan w:val="1"/>
          </w:tcPr>
          <w:p>
            <w:pPr/>
            <w:r>
              <w:rPr/>
              <w:t xml:space="preserve">Improved by 50% (10,625 tonnes)</w:t>
            </w:r>
          </w:p>
        </w:tc>
        <w:tc>
          <w:tcPr>
            <w:tcW w:w="2000" w:type="dxa"/>
            <w:gridSpan w:val="1"/>
          </w:tcPr>
          <w:p>
            <w:pPr/>
            <w:r>
              <w:rPr/>
              <w:t xml:space="preserve">21,250 metric tonnes per annum of fishery moved to more sustainable levels</w:t>
            </w:r>
          </w:p>
        </w:tc>
        <w:tc>
          <w:tcPr>
            <w:tcW w:w="4000" w:type="dxa"/>
            <w:gridSpan w:val="1"/>
          </w:tcPr>
          <w:p>
            <w:pPr/>
            <w:r>
              <w:rPr>
                <w:i w:val="1"/>
                <w:iCs w:val="1"/>
              </w:rPr>
              <w:t xml:space="preserve">(not set or not applicable)</w:t>
            </w:r>
          </w:p>
        </w:tc>
        <w:tc>
          <w:tcPr>
            <w:tcW w:w="4000" w:type="dxa"/>
            <w:gridSpan w:val="1"/>
          </w:tcPr>
          <w:p>
            <w:pPr/>
            <w:r>
              <w:rPr/>
              <w:t xml:space="preserve">Enactment of the PNMS legislation led to the exit of all locally based fishing companies.  This was exacerbated by COVID19 which led to reduced fishing effort from BOFI and zero export.  It is important to note that we are trying to access fishing data from the Japanese fleet who offload catch in Okinawa.  We have begun compiling the data which is limited but we hope to build on it.  This can be seen in the fish graphs attached.</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w:t>
            </w:r>
          </w:p>
          <w:p>
            <w:pPr/>
            <w:r>
              <w:rPr>
                <w:b w:val="1"/>
                <w:bCs w:val="1"/>
              </w:rPr>
              <w:t xml:space="preserve">Institutional and Governance Realignment for Effective Monitoring and Adaptive Management within the PNMS and adjacent Domestic Fishing Zone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1.1</w:t>
            </w:r>
          </w:p>
          <w:p>
            <w:pPr/>
            <w:r>
              <w:rPr/>
              <w:t xml:space="preserve"/>
            </w:r>
          </w:p>
          <w:p>
            <w:pPr/>
            <w:r>
              <w:rPr/>
              <w:t xml:space="preserve">PNMS Institutional, Management and Regulatory Framework and mechanisms strengthened and under Implementation through enhanced national, regional and global support</w:t>
            </w:r>
          </w:p>
          <w:p>
            <w:pPr/>
            <w:r>
              <w:rPr/>
              <w:t xml:space="preserve"/>
            </w:r>
          </w:p>
        </w:tc>
        <w:tc>
          <w:tcPr>
            <w:tcW w:w="2000" w:type="dxa"/>
            <w:gridSpan w:val="1"/>
          </w:tcPr>
          <w:p>
            <w:pPr/>
            <w:r>
              <w:rPr/>
              <w:t xml:space="preserve">Limited control over illegal activities. Only 5-6 interdictions per annum</w:t>
            </w:r>
          </w:p>
          <w:p>
            <w:pPr/>
            <w:r>
              <w:rPr/>
              <w:t xml:space="preserve"/>
            </w:r>
          </w:p>
          <w:p>
            <w:pPr/>
            <w:r>
              <w:rPr/>
              <w:t xml:space="preserve">Lack of a current formal institutional base, inadequately defined mandates and responsibilities, and absence of a formally-agreed strategy and work-plan for effective management of the PNMS.</w:t>
            </w:r>
          </w:p>
          <w:p>
            <w:pPr/>
            <w:r>
              <w:rPr/>
              <w:t xml:space="preserve"/>
            </w:r>
          </w:p>
          <w:p>
            <w:pPr/>
            <w:r>
              <w:rPr/>
              <w:t xml:space="preserve">Inability to currently fully and effectively control harmful or illegal activities within the PNMS with limited control over illegal activities. Only 5-6 interdictions per annum</w:t>
            </w:r>
          </w:p>
          <w:p>
            <w:pPr/>
            <w:r>
              <w:rPr/>
              <w:t xml:space="preserve"/>
            </w:r>
          </w:p>
          <w:p>
            <w:pPr/>
            <w:r>
              <w:rPr/>
              <w:t xml:space="preserve">Baseline Score: 1</w:t>
            </w:r>
          </w:p>
          <w:p>
            <w:pPr/>
            <w:r>
              <w:rPr/>
              <w:t xml:space="preserve"/>
            </w:r>
          </w:p>
          <w:p>
            <w:pPr/>
            <w:r>
              <w:rPr/>
              <w:t xml:space="preserve"/>
            </w:r>
          </w:p>
          <w:p>
            <w:pPr/>
            <w:r>
              <w:rPr/>
              <w:t xml:space="preserve">New regulations that now apply to the Domestic Fishing Zone need enforcement and effective monitoring for compliance</w:t>
            </w:r>
          </w:p>
          <w:p>
            <w:pPr/>
            <w:r>
              <w:rPr/>
              <w:t xml:space="preserve"/>
            </w:r>
          </w:p>
          <w:p>
            <w:pPr/>
            <w:r>
              <w:rPr/>
              <w:t xml:space="preserve">No current harvesting strategies within DFZ</w:t>
            </w:r>
          </w:p>
          <w:p>
            <w:pPr/>
            <w:r>
              <w:rPr/>
              <w:t xml:space="preserve"/>
            </w:r>
          </w:p>
          <w:p>
            <w:pPr/>
            <w:r>
              <w:rPr/>
              <w:t xml:space="preserve">Baseline Score: 1</w:t>
            </w:r>
          </w:p>
          <w:p>
            <w:pPr/>
            <w:r>
              <w:rPr/>
              <w:t xml:space="preserve"/>
            </w:r>
          </w:p>
        </w:tc>
        <w:tc>
          <w:tcPr>
            <w:tcW w:w="2000" w:type="dxa"/>
            <w:gridSpan w:val="1"/>
          </w:tcPr>
          <w:p>
            <w:pPr/>
            <w:r>
              <w:rPr/>
              <w:t xml:space="preserve">PNMS Institutional /Administrative base/headquarters established and functional</w:t>
            </w:r>
          </w:p>
          <w:p>
            <w:pPr/>
            <w:r>
              <w:rPr/>
              <w:t xml:space="preserve"/>
            </w:r>
          </w:p>
          <w:p>
            <w:pPr/>
            <w:r>
              <w:rPr/>
              <w:t xml:space="preserve">Mandates and responsibilities of various government bodies clearly defined in adopted Strategic Plan</w:t>
            </w:r>
          </w:p>
          <w:p>
            <w:pPr/>
            <w:r>
              <w:rPr/>
              <w:t xml:space="preserve"/>
            </w:r>
          </w:p>
          <w:p>
            <w:pPr/>
            <w:r>
              <w:rPr/>
              <w:t xml:space="preserve">A Strategic Plan finalised and adopted along with an Operations Manual and Terms of Reference</w:t>
            </w:r>
          </w:p>
          <w:p>
            <w:pPr/>
            <w:r>
              <w:rPr/>
              <w:t xml:space="preserve"/>
            </w:r>
          </w:p>
          <w:p>
            <w:pPr/>
            <w:r>
              <w:rPr/>
              <w:t xml:space="preserve">indicator 6: Long-term Partnerships identified and formally adopted through a ‘Partnership Platform’ to provide support for scientific monitoring and MCS (including innovative technologies as per below)</w:t>
            </w:r>
          </w:p>
          <w:p>
            <w:pPr/>
            <w:r>
              <w:rPr/>
              <w:t xml:space="preserve"/>
            </w:r>
          </w:p>
          <w:p>
            <w:pPr/>
            <w:r>
              <w:rPr/>
              <w:t xml:space="preserve">MCS Action Plan reviewed and draft revision distributed for stakeholder input (including with regional partners)</w:t>
            </w:r>
          </w:p>
          <w:p>
            <w:pPr/>
            <w:r>
              <w:rPr/>
              <w:t xml:space="preserve"/>
            </w:r>
          </w:p>
          <w:p>
            <w:pPr/>
            <w:r>
              <w:rPr/>
              <w:t xml:space="preserve">New fisheries management strategies and regulations are under implementation and actively enforced</w:t>
            </w:r>
          </w:p>
          <w:p>
            <w:pPr/>
            <w:r>
              <w:rPr/>
              <w:t xml:space="preserve"/>
            </w:r>
          </w:p>
          <w:p>
            <w:pPr/>
            <w:r>
              <w:rPr/>
              <w:t xml:space="preserve">Mid Term Score Target: 2</w:t>
            </w:r>
          </w:p>
          <w:p>
            <w:pPr/>
            <w:r>
              <w:rPr/>
              <w:t xml:space="preserve"/>
            </w:r>
          </w:p>
          <w:p>
            <w:pPr/>
            <w:r>
              <w:rPr/>
              <w:t xml:space="preserve">Indicator 7: New fisheries management strategies and regulations adopted for the DFZ, under implementation and actively enforced. These management plans will clearly define the purpose of the DFZ as a domestic fishery for the benefit of Palauans with due consideration given to subsistence fisheries versus commercial foreign licensed fisheries and strict control and regulation of the latter</w:t>
            </w:r>
          </w:p>
          <w:p>
            <w:pPr/>
            <w:r>
              <w:rPr/>
              <w:t xml:space="preserve"/>
            </w:r>
          </w:p>
          <w:p>
            <w:pPr/>
            <w:r>
              <w:rPr/>
              <w:t xml:space="preserve">A food security assessment made relating to the long-term management of the DFZ with an emphasis on state benefits as well as national community benefits</w:t>
            </w:r>
          </w:p>
          <w:p>
            <w:pPr/>
            <w:r>
              <w:rPr/>
              <w:t xml:space="preserve"/>
            </w:r>
          </w:p>
          <w:p>
            <w:pPr/>
            <w:r>
              <w:rPr/>
              <w:t xml:space="preserve">Mid-Term Target Score: 2</w:t>
            </w:r>
          </w:p>
          <w:p>
            <w:pPr/>
            <w:r>
              <w:rPr/>
              <w:t xml:space="preserve"/>
            </w:r>
          </w:p>
          <w:p>
            <w:pPr/>
            <w:r>
              <w:rPr/>
              <w:t xml:space="preserve"/>
            </w:r>
          </w:p>
        </w:tc>
        <w:tc>
          <w:tcPr>
            <w:tcW w:w="2000" w:type="dxa"/>
            <w:gridSpan w:val="1"/>
          </w:tcPr>
          <w:p>
            <w:pPr/>
            <w:r>
              <w:rPr/>
              <w:t xml:space="preserve">Strategic Plan adopted and record of illegal activities within PNMS shows significant reduction by at least 50%</w:t>
            </w:r>
          </w:p>
          <w:p>
            <w:pPr/>
            <w:r>
              <w:rPr/>
              <w:t xml:space="preserve"/>
            </w:r>
          </w:p>
          <w:p>
            <w:pPr/>
            <w:r>
              <w:rPr/>
              <w:t xml:space="preserve">TE identifies an effective Partnership Platform supporting ecosystem monitoring as well as enforcement and compliance procedures</w:t>
            </w:r>
          </w:p>
          <w:p>
            <w:pPr/>
            <w:r>
              <w:rPr/>
              <w:t xml:space="preserve"/>
            </w:r>
          </w:p>
          <w:p>
            <w:pPr/>
            <w:r>
              <w:rPr/>
              <w:t xml:space="preserve">MCS Action Plan updated, adopted and fully implemented</w:t>
            </w:r>
          </w:p>
          <w:p>
            <w:pPr/>
            <w:r>
              <w:rPr/>
              <w:t xml:space="preserve"/>
            </w:r>
          </w:p>
          <w:p>
            <w:pPr/>
            <w:r>
              <w:rPr/>
              <w:t xml:space="preserve">Record of illegal activities within PNMS shows significant reduction by at least 50%</w:t>
            </w:r>
          </w:p>
          <w:p>
            <w:pPr/>
            <w:r>
              <w:rPr/>
              <w:t xml:space="preserve"/>
            </w:r>
          </w:p>
          <w:p>
            <w:pPr/>
            <w:r>
              <w:rPr/>
              <w:t xml:space="preserve">Ecosystem-based harvest strategies for at least 3 major commercial species are adopted and implemented within the DFZ and being assessed and acted on as part of an adaptive management approach</w:t>
            </w:r>
          </w:p>
          <w:p>
            <w:pPr/>
            <w:r>
              <w:rPr/>
              <w:t xml:space="preserve"/>
            </w:r>
          </w:p>
          <w:p>
            <w:pPr/>
            <w:r>
              <w:rPr/>
              <w:t xml:space="preserve">End of Project Target Score: 3</w:t>
            </w:r>
          </w:p>
          <w:p>
            <w:pPr/>
            <w:r>
              <w:rPr/>
              <w:t xml:space="preserve"/>
            </w:r>
          </w:p>
          <w:p>
            <w:pPr/>
            <w:r>
              <w:rPr/>
              <w:t xml:space="preserve">Ecosystem-based harvest strategies for at least 3 major commercial species are adopted and implemented within the DFZ and being assessed and acted on as part of an adaptive management and food security approach</w:t>
            </w:r>
          </w:p>
          <w:p>
            <w:pPr/>
            <w:r>
              <w:rPr/>
              <w:t xml:space="preserve"/>
            </w:r>
          </w:p>
          <w:p>
            <w:pPr/>
            <w:r>
              <w:rPr/>
              <w:t xml:space="preserve">Enforcement partnerships between state level and national level (MoJ, MNRET) established and implemented</w:t>
            </w:r>
          </w:p>
          <w:p>
            <w:pPr/>
            <w:r>
              <w:rPr/>
              <w:t xml:space="preserve"/>
            </w:r>
          </w:p>
          <w:p>
            <w:pPr/>
            <w:r>
              <w:rPr/>
              <w:t xml:space="preserve">End of Project Target Score: 3</w:t>
            </w:r>
          </w:p>
          <w:p>
            <w:pPr/>
            <w:r>
              <w:rPr/>
              <w:t xml:space="preserve"/>
            </w:r>
          </w:p>
          <w:p>
            <w:pPr/>
            <w:r>
              <w:rPr/>
              <w:t xml:space="preserve"/>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The project has enabled a positive collaboration with MOJ that has streamlined procedures for accessing surveillance and enforcement data.  Equally important is the partnership has allowed for collaborative research within the PNMS which is being done for the first time.  These activities are elaborated further in the attached links.</w:t>
            </w:r>
          </w:p>
        </w:tc>
      </w:tr>
      <w:tr>
        <w:trPr/>
        <w:tc>
          <w:tcPr>
            <w:tcW w:w="4000" w:type="dxa"/>
            <w:gridSpan w:val="1"/>
          </w:tcPr>
          <w:p>
            <w:pPr/>
            <w:r>
              <w:rPr/>
              <w:t xml:space="preserve">Outcome 1.2: Improved and effective management and governance of PNMS/DFZ through strengthened capacity, skills and knowledge  (including at the State, National, regional level as well as NGOs)</w:t>
            </w:r>
          </w:p>
          <w:p>
            <w:pPr/>
            <w:r>
              <w:rPr/>
              <w:t xml:space="preserve"/>
            </w:r>
          </w:p>
          <w:p>
            <w:pPr/>
            <w:r>
              <w:rPr/>
              <w:t xml:space="preserve">INDICATOR 8:</w:t>
            </w:r>
          </w:p>
          <w:p>
            <w:pPr/>
            <w:r>
              <w:rPr/>
              <w:t xml:space="preserve">Number of staff (disaggregated by males and females) that have undergone training and built capacity on PNMS governance and management</w:t>
            </w:r>
          </w:p>
          <w:p>
            <w:pPr/>
            <w:r>
              <w:rPr/>
              <w:t xml:space="preserve">INDICATOR 9:</w:t>
            </w:r>
          </w:p>
          <w:p>
            <w:pPr/>
            <w:r>
              <w:rPr/>
              <w:t xml:space="preserve">Extent of capacity building programme established in country on PNMS management &amp; monitoring</w:t>
            </w:r>
          </w:p>
          <w:p>
            <w:pPr/>
            <w:r>
              <w:rPr/>
              <w:t xml:space="preserve">Scores:</w:t>
            </w:r>
          </w:p>
          <w:p>
            <w:pPr/>
            <w:r>
              <w:rPr/>
              <w:t xml:space="preserve">1. No capacity building programme established in country on PNMS management &amp; monitoring</w:t>
            </w:r>
          </w:p>
          <w:p>
            <w:pPr/>
            <w:r>
              <w:rPr/>
              <w:t xml:space="preserve">2. 50% capacity building programme implemented in country on PNMS management and monitoring</w:t>
            </w:r>
          </w:p>
          <w:p>
            <w:pPr/>
            <w:r>
              <w:rPr/>
              <w:t xml:space="preserve">3.  Capacity building programme under full implementation  in country on PNMS management &amp; monitoring</w:t>
            </w:r>
          </w:p>
          <w:p>
            <w:pPr/>
            <w:r>
              <w:rPr/>
              <w:t xml:space="preserve"/>
            </w:r>
          </w:p>
        </w:tc>
        <w:tc>
          <w:tcPr>
            <w:tcW w:w="2000" w:type="dxa"/>
            <w:gridSpan w:val="1"/>
          </w:tcPr>
          <w:p>
            <w:pPr/>
            <w:r>
              <w:rPr/>
              <w:t xml:space="preserve">Only 2 technical staff in PNMS with any offshore skills. General shortage of trained and skilled technical and managerial staff to manage the PNMS  (no  specific programme within the PNMS for capacity building and training)</w:t>
            </w:r>
          </w:p>
          <w:p>
            <w:pPr/>
            <w:r>
              <w:rPr/>
              <w:t xml:space="preserve"/>
            </w:r>
          </w:p>
          <w:p>
            <w:pPr/>
            <w:r>
              <w:rPr/>
              <w:t xml:space="preserve">Baseline: 2</w:t>
            </w:r>
          </w:p>
          <w:p>
            <w:pPr/>
            <w:r>
              <w:rPr/>
              <w:t xml:space="preserve">No current in-country focused modular training courses supporting capacity-building,  training</w:t>
            </w:r>
          </w:p>
          <w:p>
            <w:pPr/>
            <w:r>
              <w:rPr/>
              <w:t xml:space="preserve"/>
            </w:r>
          </w:p>
          <w:p>
            <w:pPr/>
            <w:r>
              <w:rPr/>
              <w:t xml:space="preserve">Baseline Score: 1</w:t>
            </w:r>
          </w:p>
          <w:p>
            <w:pPr/>
            <w:r>
              <w:rPr/>
              <w:t xml:space="preserve"/>
            </w:r>
          </w:p>
        </w:tc>
        <w:tc>
          <w:tcPr>
            <w:tcW w:w="2000" w:type="dxa"/>
            <w:gridSpan w:val="1"/>
          </w:tcPr>
          <w:p>
            <w:pPr/>
            <w:r>
              <w:rPr/>
              <w:t xml:space="preserve">At least two Partnership Agreements in place with associated training and capacity building components</w:t>
            </w:r>
          </w:p>
          <w:p>
            <w:pPr/>
            <w:r>
              <w:rPr/>
              <w:t xml:space="preserve"/>
            </w:r>
          </w:p>
          <w:p>
            <w:pPr/>
            <w:r>
              <w:rPr/>
              <w:t xml:space="preserve">Mid-term Target: 6 male; 4 female</w:t>
            </w:r>
          </w:p>
          <w:p>
            <w:pPr/>
            <w:r>
              <w:rPr/>
              <w:t xml:space="preserve">Best Lessons and Practices captured through modular training courses and offered to in-country technical and managerial personnel and candidates</w:t>
            </w:r>
          </w:p>
          <w:p>
            <w:pPr/>
            <w:r>
              <w:rPr/>
              <w:t xml:space="preserve"/>
            </w:r>
          </w:p>
          <w:p>
            <w:pPr/>
            <w:r>
              <w:rPr/>
              <w:t xml:space="preserve">Mid-Term Target Score: 2</w:t>
            </w:r>
          </w:p>
          <w:p>
            <w:pPr/>
            <w:r>
              <w:rPr/>
              <w:t xml:space="preserve"/>
            </w:r>
          </w:p>
        </w:tc>
        <w:tc>
          <w:tcPr>
            <w:tcW w:w="2000" w:type="dxa"/>
            <w:gridSpan w:val="1"/>
          </w:tcPr>
          <w:p>
            <w:pPr/>
            <w:r>
              <w:rPr/>
              <w:t xml:space="preserve">At least two Partnership Agreements in place with associated training and capacity building components</w:t>
            </w:r>
          </w:p>
          <w:p>
            <w:pPr/>
            <w:r>
              <w:rPr/>
              <w:t xml:space="preserve"/>
            </w:r>
          </w:p>
          <w:p>
            <w:pPr/>
            <w:r>
              <w:rPr/>
              <w:t xml:space="preserve">Mid-term Target: 6 male; 4 female	Minimum of 20 additional trained staff and government/state/community representatives  (40% female) and 4 international mentors identified and directly involved in training and long-term support to PNMS and staff</w:t>
            </w:r>
          </w:p>
          <w:p>
            <w:pPr/>
            <w:r>
              <w:rPr/>
              <w:t xml:space="preserve"/>
            </w:r>
          </w:p>
          <w:p>
            <w:pPr/>
            <w:r>
              <w:rPr/>
              <w:t xml:space="preserve">End of Project Target: 14 Male; 10 Female</w:t>
            </w:r>
          </w:p>
          <w:p>
            <w:pPr/>
            <w:r>
              <w:rPr/>
              <w:t xml:space="preserve">Best Lessons and Practices captured through modular training courses and offered to in-country technical and managerial personnel and candidates</w:t>
            </w:r>
          </w:p>
          <w:p>
            <w:pPr/>
            <w:r>
              <w:rPr/>
              <w:t xml:space="preserve"/>
            </w:r>
          </w:p>
          <w:p>
            <w:pPr/>
            <w:r>
              <w:rPr/>
              <w:t xml:space="preserve">Mid-Term Target Score: 2	At least 4 focused training courses/modules on various elements of PNMS management and monitoring (governance, management and/or technical aspects). These delivered at state as well as national government level</w:t>
            </w:r>
          </w:p>
          <w:p>
            <w:pPr/>
            <w:r>
              <w:rPr/>
              <w:t xml:space="preserve"/>
            </w:r>
          </w:p>
          <w:p>
            <w:pPr/>
            <w:r>
              <w:rPr/>
              <w:t xml:space="preserve">End of Project Target Score:3</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Improvement of management and governance mechanisms have been underway with the development of the PNMS 5-year strategic management plan.  This includes the establishment of the PNMS Advisory Committee - a public-private partnership designed to support management efforts. These partnership platforms and collaborative arrangements are further described in the attached draft 5-year PNMS strategic management plan and the partnership agreement with the PNMS advisory committee.</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2</w:t>
            </w:r>
          </w:p>
          <w:p>
            <w:pPr/>
            <w:r>
              <w:rPr>
                <w:b w:val="1"/>
                <w:bCs w:val="1"/>
              </w:rPr>
              <w:t xml:space="preserve">Enhanced Management through improved Monitoring, Control and Surveillance of Activities within the Established PNMS and DFZ  Boundaries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2.1 All regulations and laws pertaining to PNMS and DFZ enforced effectively and sustainably In further close collaboration with WCPFC, FFA and PNA</w:t>
            </w:r>
          </w:p>
          <w:p>
            <w:pPr/>
            <w:r>
              <w:rPr/>
              <w:t xml:space="preserve">INDICATOR 10:</w:t>
            </w:r>
          </w:p>
          <w:p>
            <w:pPr/>
            <w:r>
              <w:rPr/>
              <w:t xml:space="preserve">Extent at which Palau’s Operations Centre for Monitoring, Control and Surveillance is  manned, equipped and coordinating active MCS patrols, interdiction and prosecution</w:t>
            </w:r>
          </w:p>
          <w:p>
            <w:pPr/>
            <w:r>
              <w:rPr/>
              <w:t xml:space="preserve">1. Non-functional Palau operational centre</w:t>
            </w:r>
          </w:p>
          <w:p>
            <w:pPr/>
            <w:r>
              <w:rPr/>
              <w:t xml:space="preserve">2. Partial functional Palau operational centre</w:t>
            </w:r>
          </w:p>
          <w:p>
            <w:pPr/>
            <w:r>
              <w:rPr/>
              <w:t xml:space="preserve">3. Full functional Palau operational centre</w:t>
            </w:r>
          </w:p>
          <w:p>
            <w:pPr/>
            <w:r>
              <w:rPr/>
              <w:t xml:space="preserve">4. Full functional Palau operational centre supporting 100% increase in offshore patrol and enforcement</w:t>
            </w:r>
          </w:p>
          <w:p>
            <w:pPr/>
            <w:r>
              <w:rPr/>
              <w:t xml:space="preserve">INDICATOR 11:</w:t>
            </w:r>
          </w:p>
          <w:p>
            <w:pPr/>
            <w:r>
              <w:rPr/>
              <w:t xml:space="preserve">Extent of effective human electronic monitoring, reporting within the DFZ</w:t>
            </w:r>
          </w:p>
          <w:p>
            <w:pPr/>
            <w:r>
              <w:rPr/>
              <w:t xml:space="preserve">Scores:</w:t>
            </w:r>
          </w:p>
          <w:p>
            <w:pPr/>
            <w:r>
              <w:rPr/>
              <w:t xml:space="preserve">1. No electronic monitoring and reporting</w:t>
            </w:r>
          </w:p>
          <w:p>
            <w:pPr/>
            <w:r>
              <w:rPr/>
              <w:t xml:space="preserve">2. 30% of vessels have human and electronic monitoring and are reporting on findings</w:t>
            </w:r>
          </w:p>
          <w:p>
            <w:pPr/>
            <w:r>
              <w:rPr/>
              <w:t xml:space="preserve">3. 50% of vessels have human and electronic monitoring and are reporting on findings</w:t>
            </w:r>
          </w:p>
        </w:tc>
        <w:tc>
          <w:tcPr>
            <w:tcW w:w="2000" w:type="dxa"/>
            <w:gridSpan w:val="1"/>
          </w:tcPr>
          <w:p>
            <w:pPr/>
            <w:r>
              <w:rPr/>
              <w:t xml:space="preserve">Operations Room and associated equipment and satellite linkages currently not fully functional nor manned on a regular and 24-hour basis.</w:t>
            </w:r>
          </w:p>
          <w:p>
            <w:pPr/>
            <w:r>
              <w:rPr/>
              <w:t xml:space="preserve"/>
            </w:r>
          </w:p>
          <w:p>
            <w:pPr/>
            <w:r>
              <w:rPr/>
              <w:t xml:space="preserve">No permanent staff currently available to provide 24-hour manning of Operations Centre or support for patrol vessels</w:t>
            </w:r>
          </w:p>
          <w:p>
            <w:pPr/>
            <w:r>
              <w:rPr/>
              <w:t xml:space="preserve"/>
            </w:r>
          </w:p>
          <w:p>
            <w:pPr/>
            <w:r>
              <w:rPr/>
              <w:t xml:space="preserve">Baseline Score: 2</w:t>
            </w:r>
          </w:p>
          <w:p>
            <w:pPr/>
            <w:r>
              <w:rPr/>
              <w:t xml:space="preserve">No electronic monitoring or reporting requirements. Inadequate current understanding and usage of modern technologies to assist with MCS despite their regional availability</w:t>
            </w:r>
          </w:p>
          <w:p>
            <w:pPr/>
            <w:r>
              <w:rPr/>
              <w:t xml:space="preserve"/>
            </w:r>
          </w:p>
          <w:p>
            <w:pPr/>
            <w:r>
              <w:rPr/>
              <w:t xml:space="preserve">Baseline Score: 1</w:t>
            </w:r>
          </w:p>
          <w:p>
            <w:pPr/>
            <w:r>
              <w:rPr/>
              <w:t xml:space="preserve"/>
            </w:r>
          </w:p>
        </w:tc>
        <w:tc>
          <w:tcPr>
            <w:tcW w:w="2000" w:type="dxa"/>
            <w:gridSpan w:val="1"/>
          </w:tcPr>
          <w:p>
            <w:pPr/>
            <w:r>
              <w:rPr/>
              <w:t xml:space="preserve">A fully-functional Operations Centre linked into WCPFC/FFA Surveillance Centre in Honiara as well as the Vulcan Operation Center in Seattle which is providing real time information on potential IUU in the PNMS and DFZ</w:t>
            </w:r>
          </w:p>
          <w:p>
            <w:pPr/>
            <w:r>
              <w:rPr/>
              <w:t xml:space="preserve"/>
            </w:r>
          </w:p>
          <w:p>
            <w:pPr/>
            <w:r>
              <w:rPr/>
              <w:t xml:space="preserve">Mid-Term Target Score: 3</w:t>
            </w:r>
          </w:p>
          <w:p>
            <w:pPr/>
            <w:r>
              <w:rPr/>
              <w:t xml:space="preserve">E-Reporting and E-Monitoring introduced as a requirement on commercial fishing vessels in DFZ  as well as FAD monitoring and tracking  technologies</w:t>
            </w:r>
          </w:p>
          <w:p>
            <w:pPr/>
            <w:r>
              <w:rPr/>
              <w:t xml:space="preserve"/>
            </w:r>
          </w:p>
          <w:p>
            <w:pPr/>
            <w:r>
              <w:rPr/>
              <w:t xml:space="preserve">Mid-Term Target Score: 2</w:t>
            </w:r>
          </w:p>
          <w:p>
            <w:pPr/>
            <w:r>
              <w:rPr/>
              <w:t xml:space="preserve"/>
            </w:r>
          </w:p>
        </w:tc>
        <w:tc>
          <w:tcPr>
            <w:tcW w:w="2000" w:type="dxa"/>
            <w:gridSpan w:val="1"/>
          </w:tcPr>
          <w:p>
            <w:pPr/>
            <w:r>
              <w:rPr/>
              <w:t xml:space="preserve">Six permanent staff associated with the running of the Operations Room supporting 100% increase in offshore patrols (airborne and sea-going)</w:t>
            </w:r>
          </w:p>
          <w:p>
            <w:pPr/>
            <w:r>
              <w:rPr/>
              <w:t xml:space="preserve"/>
            </w:r>
          </w:p>
          <w:p>
            <w:pPr/>
            <w:r>
              <w:rPr/>
              <w:t xml:space="preserve">FFA Review of Palau Operational Centre as a demonstration of national-regional MCS interaction and IUU interdiction</w:t>
            </w:r>
          </w:p>
          <w:p>
            <w:pPr/>
            <w:r>
              <w:rPr/>
              <w:t xml:space="preserve"/>
            </w:r>
          </w:p>
          <w:p>
            <w:pPr/>
            <w:r>
              <w:rPr/>
              <w:t xml:space="preserve">End-of-Project Target Score: 4</w:t>
            </w:r>
          </w:p>
          <w:p>
            <w:pPr/>
            <w:r>
              <w:rPr/>
              <w:t xml:space="preserve">E-reporting and E-monitoring as permanent fixtures on at least 75% of vessels operating in the DFZ</w:t>
            </w:r>
          </w:p>
          <w:p>
            <w:pPr/>
            <w:r>
              <w:rPr/>
              <w:t xml:space="preserve"/>
            </w:r>
          </w:p>
          <w:p>
            <w:pPr/>
            <w:r>
              <w:rPr/>
              <w:t xml:space="preserve">100% of FADs in DFZ with tracking devices</w:t>
            </w:r>
          </w:p>
          <w:p>
            <w:pPr/>
            <w:r>
              <w:rPr/>
              <w:t xml:space="preserve"/>
            </w:r>
          </w:p>
          <w:p>
            <w:pPr/>
            <w:r>
              <w:rPr/>
              <w:t xml:space="preserve">End of Project Target Score: 3</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The project has further equipped and provided needed capacity for the Maritime Operations Center.  The placement of a Surveillance &amp; Enforcement Officer and a Planning &amp; Development Officer provided for a strategic approach to maximizing on the use of the Maritime Operations Center and the Ministry of Justice.  Provided here detailing such progress is a summarized report of surveillance &amp; monitoring activities within the Maritime Operations Center and a visit by students to observe the Center's capabilities.</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3</w:t>
            </w:r>
          </w:p>
          <w:p>
            <w:pPr/>
            <w:r>
              <w:rPr>
                <w:b w:val="1"/>
                <w:bCs w:val="1"/>
              </w:rPr>
              <w:t xml:space="preserve">Ecosystem Assessment and Financial Planning for a Long-term Sustainability Strategy for the PNMS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3.1 Long-term mechanisms to support financial  sustainability and security PNMS  and its associated administrative and management arrangements are negotiated and identified</w:t>
            </w:r>
          </w:p>
          <w:p>
            <w:pPr/>
            <w:r>
              <w:rPr/>
              <w:t xml:space="preserve">INDICATOR 12:</w:t>
            </w:r>
          </w:p>
          <w:p>
            <w:pPr/>
            <w:r>
              <w:rPr/>
              <w:t xml:space="preserve">Extent of 10 years sustainable funding roadmap for PNMS and DFZ formally adopted integrating ecotourism and livelihoods</w:t>
            </w:r>
          </w:p>
          <w:p>
            <w:pPr/>
            <w:r>
              <w:rPr/>
              <w:t xml:space="preserve">1. No adoption by Government on the 10 years sustainable funding roadmap for PNMS and DFZ</w:t>
            </w:r>
          </w:p>
          <w:p>
            <w:pPr/>
            <w:r>
              <w:rPr/>
              <w:t xml:space="preserve">2. Draft 10 years sustainable funding roadmap for PNMS and DFZ developed integrating ecotourism and livelihood</w:t>
            </w:r>
          </w:p>
          <w:p>
            <w:pPr/>
            <w:r>
              <w:rPr/>
              <w:t xml:space="preserve">3. Finalized and adopted 10 years sustainable funding roadmap for PNMS and DFZ established</w:t>
            </w:r>
          </w:p>
          <w:p>
            <w:pPr/>
            <w:r>
              <w:rPr/>
              <w:t xml:space="preserve">INDICATOR 13:</w:t>
            </w:r>
          </w:p>
          <w:p>
            <w:pPr/>
            <w:r>
              <w:rPr/>
              <w:t xml:space="preserve">Extent of PNA vessel day scheme and sustainable funding programme established</w:t>
            </w:r>
          </w:p>
          <w:p>
            <w:pPr/>
            <w:r>
              <w:rPr/>
              <w:t xml:space="preserve">Scores:</w:t>
            </w:r>
          </w:p>
          <w:p>
            <w:pPr/>
            <w:r>
              <w:rPr/>
              <w:t xml:space="preserve">1. No PNA vessels day scheme and sustainable funding programme established</w:t>
            </w:r>
          </w:p>
          <w:p>
            <w:pPr/>
            <w:r>
              <w:rPr/>
              <w:t xml:space="preserve">2. Negotiations and drafting of PNA vessel day scheme and sustainable funding programme reviewed and adopted</w:t>
            </w:r>
          </w:p>
          <w:p>
            <w:pPr/>
            <w:r>
              <w:rPr/>
              <w:t xml:space="preserve">3. Specific revenue allocations from benefits of PNMS and DFZ (including VDS) at the state and community level &amp; maintenance of at least 75% of the previous VDS income to Palau</w:t>
            </w:r>
          </w:p>
          <w:p>
            <w:pPr/>
            <w:r>
              <w:rPr/>
              <w:t xml:space="preserve"/>
            </w:r>
          </w:p>
        </w:tc>
        <w:tc>
          <w:tcPr>
            <w:tcW w:w="2000" w:type="dxa"/>
            <w:gridSpan w:val="1"/>
          </w:tcPr>
          <w:p>
            <w:pPr/>
            <w:r>
              <w:rPr/>
              <w:t xml:space="preserve">Overall lack of awareness of importance of marine ecosystem goods and services to ecotourism and the need to address the carrying capacity for environmentally-sustainable tourism</w:t>
            </w:r>
          </w:p>
          <w:p>
            <w:pPr/>
            <w:r>
              <w:rPr/>
              <w:t xml:space="preserve"/>
            </w:r>
          </w:p>
          <w:p>
            <w:pPr/>
            <w:r>
              <w:rPr/>
              <w:t xml:space="preserve">Baseline Score: 1</w:t>
            </w:r>
          </w:p>
          <w:p>
            <w:pPr/>
            <w:r>
              <w:rPr/>
              <w:t xml:space="preserve">Uncertainty of income/revenues and therefore lack of sustainability of  revenue sources to support PNMS</w:t>
            </w:r>
          </w:p>
          <w:p>
            <w:pPr/>
            <w:r>
              <w:rPr/>
              <w:t xml:space="preserve"/>
            </w:r>
          </w:p>
          <w:p>
            <w:pPr/>
            <w:r>
              <w:rPr/>
              <w:t xml:space="preserve">Baseline Score: 1</w:t>
            </w:r>
          </w:p>
          <w:p>
            <w:pPr/>
            <w:r>
              <w:rPr/>
              <w:t xml:space="preserve"/>
            </w:r>
          </w:p>
        </w:tc>
        <w:tc>
          <w:tcPr>
            <w:tcW w:w="2000" w:type="dxa"/>
            <w:gridSpan w:val="1"/>
          </w:tcPr>
          <w:p>
            <w:pPr/>
            <w:r>
              <w:rPr/>
              <w:t xml:space="preserve">Formal Economic Assessment and Ecotourism Cost-Benefit Analysis completed and used to define national tourism policy and planning as well as enhancing awareness and ownership by all stakeholders. Careful consideration of the COVID 19 pandemic constraints and predictions to be a major focus of this assessment and analysis.</w:t>
            </w:r>
          </w:p>
          <w:p>
            <w:pPr/>
            <w:r>
              <w:rPr/>
              <w:t xml:space="preserve"/>
            </w:r>
          </w:p>
          <w:p>
            <w:pPr/>
            <w:r>
              <w:rPr/>
              <w:t xml:space="preserve">Mid-Term Target Score: 2</w:t>
            </w:r>
          </w:p>
          <w:p>
            <w:pPr/>
            <w:r>
              <w:rPr/>
              <w:t xml:space="preserve">Clear definition of benefits for communities and state-level stakeholders from the overall cost-benefit analysis and tourism policy</w:t>
            </w:r>
          </w:p>
          <w:p>
            <w:pPr/>
            <w:r>
              <w:rPr/>
              <w:t xml:space="preserve"/>
            </w:r>
          </w:p>
          <w:p>
            <w:pPr/>
            <w:r>
              <w:rPr/>
              <w:t xml:space="preserve">Negotiations progressing with PNA over the Vessel Day Scheme allocations for Palau</w:t>
            </w:r>
          </w:p>
          <w:p>
            <w:pPr/>
            <w:r>
              <w:rPr/>
              <w:t xml:space="preserve"/>
            </w:r>
          </w:p>
          <w:p>
            <w:pPr/>
            <w:r>
              <w:rPr/>
              <w:t xml:space="preserve">Stakeholder driven Sustainable Funding Programme drafted  for formal review and adoption</w:t>
            </w:r>
          </w:p>
          <w:p>
            <w:pPr/>
            <w:r>
              <w:rPr/>
              <w:t xml:space="preserve"/>
            </w:r>
          </w:p>
          <w:p>
            <w:pPr/>
            <w:r>
              <w:rPr/>
              <w:t xml:space="preserve">Mid-Term Target Score: 2</w:t>
            </w:r>
          </w:p>
          <w:p>
            <w:pPr/>
            <w:r>
              <w:rPr/>
              <w:t xml:space="preserve"/>
            </w:r>
          </w:p>
        </w:tc>
        <w:tc>
          <w:tcPr>
            <w:tcW w:w="2000" w:type="dxa"/>
            <w:gridSpan w:val="1"/>
          </w:tcPr>
          <w:p>
            <w:pPr/>
            <w:r>
              <w:rPr/>
              <w:t xml:space="preserve">A 10-year sustainable funding road-map for PNMS and DFZ identified by government which prioritises ecotourism and associated livelihoods enrichment and improvement. Where necessary this will need to address the expected impacts from the COVID-19 pandemic and its predicted impacts on sustainable funding sources and reliability while noting that it is expected that tourism would re-open sometime in 2021 when the Project would be expected to be in its first 6-12 months.</w:t>
            </w:r>
          </w:p>
          <w:p>
            <w:pPr/>
            <w:r>
              <w:rPr/>
              <w:t xml:space="preserve"/>
            </w:r>
          </w:p>
          <w:p>
            <w:pPr/>
            <w:r>
              <w:rPr/>
              <w:t xml:space="preserve">End of Project Target Score: 3</w:t>
            </w:r>
          </w:p>
          <w:p>
            <w:pPr/>
            <w:r>
              <w:rPr/>
              <w:t xml:space="preserve">Specific revenue allocations from benefits of PNMS and DFZ (including VDS) at the state and community level</w:t>
            </w:r>
          </w:p>
          <w:p>
            <w:pPr/>
            <w:r>
              <w:rPr/>
              <w:t xml:space="preserve"/>
            </w:r>
          </w:p>
          <w:p>
            <w:pPr/>
            <w:r>
              <w:rPr/>
              <w:t xml:space="preserve">Negotiations completed with PNA regarding the Vessel Day Scheme (VDS) to ensure maintenance of at least 75% of the previous VDS income to Palau</w:t>
            </w:r>
          </w:p>
          <w:p>
            <w:pPr/>
            <w:r>
              <w:rPr/>
              <w:t xml:space="preserve"/>
            </w:r>
          </w:p>
          <w:p>
            <w:pPr/>
            <w:r>
              <w:rPr/>
              <w:t xml:space="preserve">End-Of Project Target Score: 3</w:t>
            </w:r>
          </w:p>
          <w:p>
            <w:pPr/>
            <w:r>
              <w:rPr/>
              <w:t xml:space="preserve"/>
            </w:r>
          </w:p>
          <w:p>
            <w:pPr/>
            <w:r>
              <w:rPr/>
              <w:t xml:space="preserve"/>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Partnerships that have been fostered through the project have led to the initiation of a scoping exercise and proposed roadmap for designing a sustainable financing mechanism for the PNMS and other environmental programs.  This would be the first comprehensive environmental financing mechanism.  Attached is the current proposed pathway for taking this work forward.</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4</w:t>
            </w:r>
          </w:p>
          <w:p>
            <w:pPr/>
            <w:r>
              <w:rPr>
                <w:b w:val="1"/>
                <w:bCs w:val="1"/>
              </w:rPr>
              <w:t xml:space="preserve">Improvement of Knowledge Management, communication and awareness outreach coupled with effective Project Monitoring and Evaluation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4.1</w:t>
            </w:r>
          </w:p>
          <w:p>
            <w:pPr/>
            <w:r>
              <w:rPr/>
              <w:t xml:space="preserve"/>
            </w:r>
          </w:p>
          <w:p>
            <w:pPr/>
            <w:r>
              <w:rPr/>
              <w:t xml:space="preserve">Strong stakeholder support for the PNMS  and DFZ and associated benefits and fees at the broad stakeholder level including the state, national, and international community</w:t>
            </w:r>
          </w:p>
          <w:p>
            <w:pPr/>
            <w:r>
              <w:rPr/>
              <w:t xml:space="preserve">INDICATOR 14:</w:t>
            </w:r>
          </w:p>
          <w:p>
            <w:pPr/>
            <w:r>
              <w:rPr/>
              <w:t xml:space="preserve">Appropriate Lessons and Best Practices (L&amp;BP) ( from other similar GEF projects and other relevant initiatives captured and incorporated into this project as appropriate</w:t>
            </w:r>
          </w:p>
          <w:p>
            <w:pPr/>
            <w:r>
              <w:rPr/>
              <w:t xml:space="preserve">INDICATOR 15:</w:t>
            </w:r>
          </w:p>
          <w:p>
            <w:pPr/>
            <w:r>
              <w:rPr/>
              <w:t xml:space="preserve">Lessons and Best Practices from the project identified and documented and distributed to support a) an effective long-term Communications and Awareness strategy , and b) replication of the project results and achievements in other SIDS/PICTs</w:t>
            </w:r>
          </w:p>
          <w:p>
            <w:pPr/>
            <w:r>
              <w:rPr/>
              <w:t xml:space="preserve"/>
            </w:r>
          </w:p>
          <w:p>
            <w:pPr/>
            <w:r>
              <w:rPr/>
              <w:t xml:space="preserve"/>
            </w:r>
          </w:p>
        </w:tc>
        <w:tc>
          <w:tcPr>
            <w:tcW w:w="2000" w:type="dxa"/>
            <w:gridSpan w:val="1"/>
          </w:tcPr>
          <w:p>
            <w:pPr/>
            <w:r>
              <w:rPr/>
              <w:t xml:space="preserve">Absence of experience nationally with managing such a large ‘no-take’ protected area or domestic fisheries management zone and no information on L&amp;BP to fall back on</w:t>
            </w:r>
          </w:p>
          <w:p>
            <w:pPr/>
            <w:r>
              <w:rPr/>
              <w:t xml:space="preserve"/>
            </w:r>
          </w:p>
          <w:p>
            <w:pPr/>
            <w:r>
              <w:rPr/>
              <w:t xml:space="preserve"/>
            </w:r>
          </w:p>
          <w:p>
            <w:pPr/>
            <w:r>
              <w:rPr/>
              <w:t xml:space="preserve">Few examples for other Pacific or global SIDS  to follow or learn from in the context of managing similar areas within their vast EEZs</w:t>
            </w:r>
          </w:p>
          <w:p>
            <w:pPr/>
            <w:r>
              <w:rPr/>
              <w:t xml:space="preserve"/>
            </w:r>
          </w:p>
        </w:tc>
        <w:tc>
          <w:tcPr>
            <w:tcW w:w="2000" w:type="dxa"/>
            <w:gridSpan w:val="1"/>
          </w:tcPr>
          <w:p>
            <w:pPr/>
            <w:r>
              <w:rPr/>
              <w:t xml:space="preserve">Report to PNMS Management on lessons and best practices from other initiatives, SIDS and regions (e.g. LMEs) and appropriate BL&amp;P captured through project activities</w:t>
            </w:r>
          </w:p>
          <w:p>
            <w:pPr/>
            <w:r>
              <w:rPr/>
              <w:t xml:space="preserve">Best lessons and practices captured at Mid Term for consideration in MTR</w:t>
            </w:r>
          </w:p>
          <w:p>
            <w:pPr/>
            <w:r>
              <w:rPr/>
              <w:t xml:space="preserve"/>
            </w:r>
          </w:p>
          <w:p>
            <w:pPr/>
            <w:r>
              <w:rPr/>
              <w:t xml:space="preserve">A Communications and Awareness Outreach Programme under delivery from early stages of Project Implementation with clear assessment and reporting on its effectiveness</w:t>
            </w:r>
          </w:p>
          <w:p>
            <w:pPr/>
            <w:r>
              <w:rPr/>
              <w:t xml:space="preserve"/>
            </w:r>
          </w:p>
        </w:tc>
        <w:tc>
          <w:tcPr>
            <w:tcW w:w="2000" w:type="dxa"/>
            <w:gridSpan w:val="1"/>
          </w:tcPr>
          <w:p>
            <w:pPr/>
            <w:r>
              <w:rPr/>
              <w:t xml:space="preserve">L&amp;BP captured in  ‘Operational Guidelines’ for PNMS and for DFZ (two documents). TE can clearly identify use of L&amp;BP where appropriate, from other examples within the PNMS project</w:t>
            </w:r>
          </w:p>
          <w:p>
            <w:pPr/>
            <w:r>
              <w:rPr/>
              <w:t xml:space="preserve">Final best lessons and practices captured in Experience Notes (at least 3) for IW:LEARN and other appropriate bodies (IUCN, WWF, etc.) for distribution</w:t>
            </w:r>
          </w:p>
          <w:p>
            <w:pPr/>
            <w:r>
              <w:rPr/>
              <w:t xml:space="preserve"/>
            </w:r>
          </w:p>
          <w:p>
            <w:pPr/>
            <w:r>
              <w:rPr/>
              <w:t xml:space="preserve">Two or more twinning exercises / BL&amp;P workshops within the South Pacific region/SIDS</w:t>
            </w:r>
          </w:p>
          <w:p>
            <w:pPr/>
            <w:r>
              <w:rPr/>
              <w:t xml:space="preserve"/>
            </w:r>
          </w:p>
          <w:p>
            <w:pPr/>
            <w:r>
              <w:rPr/>
              <w:t xml:space="preserve">At least one global twinning exercise (possibly virtual)</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The project has supported the establishment of an education &amp; awareness unit dedicated to developing and disseminating PNMS specific content across relevant media platforms.  The attached links showcase the efforts of the education &amp; awareness unit.</w:t>
            </w:r>
          </w:p>
        </w:tc>
      </w:tr>
      <w:tr>
        <w:trPr/>
        <w:tc>
          <w:tcPr>
            <w:tcW w:w="4000" w:type="dxa"/>
            <w:gridSpan w:val="1"/>
          </w:tcPr>
          <w:p>
            <w:pPr/>
            <w:r>
              <w:rPr/>
              <w:t xml:space="preserve">Outcome 4.2 Effective Project Management, Monitoring and Evaluation</w:t>
            </w:r>
          </w:p>
          <w:p>
            <w:pPr/>
            <w:r>
              <w:rPr/>
              <w:t xml:space="preserve">INDICATOR 16:</w:t>
            </w:r>
          </w:p>
          <w:p>
            <w:pPr/>
            <w:r>
              <w:rPr/>
              <w:t xml:space="preserve">Project Coordination Unit and Project Management supported by the host organisation(s) with appropriate staffing levels and Monitoring and Evaluation as defined in the Project Document</w:t>
            </w:r>
          </w:p>
          <w:p>
            <w:pPr/>
            <w:r>
              <w:rPr/>
              <w:t xml:space="preserve">INDICATOR 17:</w:t>
            </w:r>
          </w:p>
          <w:p>
            <w:pPr/>
            <w:r>
              <w:rPr/>
              <w:t xml:space="preserve">Stakeholder and Partner Engagement Plan functional within the project</w:t>
            </w:r>
          </w:p>
          <w:p>
            <w:pPr/>
            <w:r>
              <w:rPr/>
              <w:t xml:space="preserve"/>
            </w:r>
          </w:p>
        </w:tc>
        <w:tc>
          <w:tcPr>
            <w:tcW w:w="2000" w:type="dxa"/>
            <w:gridSpan w:val="1"/>
          </w:tcPr>
          <w:p>
            <w:pPr/>
            <w:r>
              <w:rPr/>
              <w:t xml:space="preserve">No current project management base or staffing in support of PNMS institutionalisation</w:t>
            </w:r>
          </w:p>
          <w:p>
            <w:pPr/>
            <w:r>
              <w:rPr/>
              <w:t xml:space="preserve"/>
            </w:r>
          </w:p>
          <w:p>
            <w:pPr/>
            <w:r>
              <w:rPr/>
              <w:t xml:space="preserve">No associated M&amp;E Plan</w:t>
            </w:r>
          </w:p>
          <w:p>
            <w:pPr/>
            <w:r>
              <w:rPr/>
              <w:t xml:space="preserve">No stakeholder engagement strategy or process for supporting PNMS</w:t>
            </w:r>
          </w:p>
          <w:p>
            <w:pPr/>
            <w:r>
              <w:rPr/>
              <w:t xml:space="preserve"/>
            </w:r>
          </w:p>
        </w:tc>
        <w:tc>
          <w:tcPr>
            <w:tcW w:w="2000" w:type="dxa"/>
            <w:gridSpan w:val="1"/>
          </w:tcPr>
          <w:p>
            <w:pPr/>
            <w:r>
              <w:rPr/>
              <w:t xml:space="preserve">Quarterly and annual (PIR) reporting support effective management and capturing improvements in METT targets</w:t>
            </w:r>
          </w:p>
          <w:p>
            <w:pPr/>
            <w:r>
              <w:rPr/>
              <w:t xml:space="preserve">Stakeholder Engagement Plan and Road-Map (with budget) finalised as a document and under implementation</w:t>
            </w:r>
          </w:p>
          <w:p>
            <w:pPr/>
            <w:r>
              <w:rPr/>
              <w:t xml:space="preserve"/>
            </w:r>
          </w:p>
          <w:p>
            <w:pPr/>
            <w:r>
              <w:rPr/>
              <w:t xml:space="preserve">Partnership Platform engaging directly with Stakeholders</w:t>
            </w:r>
          </w:p>
          <w:p>
            <w:pPr/>
            <w:r>
              <w:rPr/>
              <w:t xml:space="preserve"/>
            </w:r>
          </w:p>
        </w:tc>
        <w:tc>
          <w:tcPr>
            <w:tcW w:w="2000" w:type="dxa"/>
            <w:gridSpan w:val="1"/>
          </w:tcPr>
          <w:p>
            <w:pPr/>
            <w:r>
              <w:rPr/>
              <w:t xml:space="preserve">Overall Project Management receives minimum ‘Satisfactory’ at TE</w:t>
            </w:r>
          </w:p>
          <w:p>
            <w:pPr/>
            <w:r>
              <w:rPr/>
              <w:t xml:space="preserve"/>
            </w:r>
          </w:p>
          <w:p>
            <w:pPr/>
            <w:r>
              <w:rPr/>
              <w:t xml:space="preserve">PCU physical structure and staff rolled over into permanent PNMS establishment by end of project</w:t>
            </w:r>
          </w:p>
          <w:p>
            <w:pPr/>
            <w:r>
              <w:rPr/>
              <w:t xml:space="preserve">Stakeholder Engagement receives minimum ‘Satisfactory’ at TE</w:t>
            </w:r>
          </w:p>
          <w:p>
            <w:pPr/>
            <w:r>
              <w:rPr/>
              <w:t xml:space="preserve">Partnership Platform includes linkage to Stakeholders as a long-term formal agreement</w:t>
            </w:r>
          </w:p>
          <w:p>
            <w:pPr/>
            <w:r>
              <w:rPr/>
              <w:t xml:space="preserve"/>
            </w:r>
          </w:p>
        </w:tc>
        <w:tc>
          <w:tcPr>
            <w:tcW w:w="4000" w:type="dxa"/>
            <w:gridSpan w:val="1"/>
          </w:tcPr>
          <w:p>
            <w:pPr/>
            <w:r>
              <w:rPr>
                <w:i w:val="1"/>
                <w:iCs w:val="1"/>
              </w:rPr>
              <w:t xml:space="preserve">(not set or not applicable)</w:t>
            </w:r>
          </w:p>
        </w:tc>
        <w:tc>
          <w:tcPr>
            <w:tcW w:w="4000" w:type="dxa"/>
            <w:gridSpan w:val="1"/>
          </w:tcPr>
          <w:p>
            <w:pPr/>
            <w:r>
              <w:rPr/>
              <w:t xml:space="preserve">Project management is supported directly through the PNMS Department - a new section within the Palau International Coral Reef Center.  The Director serves as the Project Manager while administrative support has been incorporated into existing positions to keep operations efficient and streamlined.  A recently developed 5-year strategic plan for the Palau International Coral Reef Center is provided here and shows how project management has been incorporated into the institution.</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p>
      <w:pPr>
        <w:jc w:val="center"/>
      </w:pPr>
      <w:r>
        <w:pict>
          <v:shape type="#_x0000_t75" stroked="f" style="width:450pt; height:300pt; margin-left:0pt; margin-top:0pt; mso-position-horizontal:center; mso-position-vertical:top; mso-position-horizontal-relative:char; mso-position-vertical-relative:line;">
            <w10:wrap type="square"/>
            <v:imagedata r:id="rId9" o:title=""/>
          </v:shape>
        </w:pict>
      </w:r>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Cumulative GL delivery against total approved amount (in prodoc):</w:t>
            </w:r>
          </w:p>
        </w:tc>
        <w:tc>
          <w:tcPr>
            <w:tcW w:w="5000" w:type="dxa"/>
            <w:vAlign w:val="center"/>
            <w:gridSpan w:val="1"/>
          </w:tcPr>
          <w:p>
            <w:pPr>
              <w:jc w:val="right"/>
            </w:pPr>
            <w:r>
              <w:rPr/>
              <w:t xml:space="preserve">9.64%</w:t>
            </w:r>
          </w:p>
        </w:tc>
      </w:tr>
      <w:tr>
        <w:trPr/>
        <w:tc>
          <w:tcPr>
            <w:tcW w:w="5000" w:type="dxa"/>
            <w:gridSpan w:val="1"/>
          </w:tcPr>
          <w:p>
            <w:pPr/>
            <w:r>
              <w:rPr/>
              <w:t xml:space="preserve">Cumulative GL delivery against expected delivery as of this year:</w:t>
            </w:r>
          </w:p>
        </w:tc>
        <w:tc>
          <w:tcPr>
            <w:tcW w:w="5000" w:type="dxa"/>
            <w:vAlign w:val="center"/>
            <w:gridSpan w:val="1"/>
          </w:tcPr>
          <w:p>
            <w:pPr>
              <w:jc w:val="right"/>
            </w:pPr>
            <w:r>
              <w:rPr/>
              <w:t xml:space="preserve">18.78%</w:t>
            </w:r>
          </w:p>
        </w:tc>
      </w:tr>
      <w:tr>
        <w:trPr/>
        <w:tc>
          <w:tcPr>
            <w:tcW w:w="5000" w:type="dxa"/>
            <w:gridSpan w:val="1"/>
          </w:tcPr>
          <w:p>
            <w:pPr/>
            <w:r>
              <w:rPr/>
              <w:t xml:space="preserve">Cumulative disbursement as of 30 June:</w:t>
            </w:r>
          </w:p>
        </w:tc>
        <w:tc>
          <w:tcPr>
            <w:tcW w:w="5000" w:type="dxa"/>
            <w:vAlign w:val="center"/>
            <w:gridSpan w:val="1"/>
          </w:tcPr>
          <w:p>
            <w:pPr>
              <w:jc w:val="right"/>
            </w:pPr>
            <w:r>
              <w:rPr/>
              <w:t xml:space="preserve">176,106</w:t>
            </w:r>
          </w:p>
        </w:tc>
      </w:tr>
    </w:tbl>
    <w:p>
      <w:pPr>
        <w:pStyle w:val="Heading2"/>
      </w:pPr>
      <w:bookmarkStart w:id="5" w:name="_Toc5"/>
      <w:r>
        <w:t>Key Financing Amounts</w:t>
      </w:r>
      <w:bookmarkEnd w:id="5"/>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PPG Amount</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GEF Grant Amount</w:t>
            </w:r>
          </w:p>
        </w:tc>
        <w:tc>
          <w:tcPr>
            <w:tcW w:w="5000" w:type="dxa"/>
            <w:vAlign w:val="center"/>
            <w:gridSpan w:val="1"/>
          </w:tcPr>
          <w:p>
            <w:pPr>
              <w:jc w:val="right"/>
            </w:pPr>
            <w:r>
              <w:rPr/>
              <w:t xml:space="preserve">1,826,484</w:t>
            </w:r>
          </w:p>
        </w:tc>
      </w:tr>
      <w:tr>
        <w:trPr/>
        <w:tc>
          <w:tcPr>
            <w:tcW w:w="5000" w:type="dxa"/>
            <w:gridSpan w:val="1"/>
          </w:tcPr>
          <w:p>
            <w:pPr/>
            <w:r>
              <w:rPr/>
              <w:t xml:space="preserve">Co-financing</w:t>
            </w:r>
          </w:p>
        </w:tc>
        <w:tc>
          <w:tcPr>
            <w:tcW w:w="5000" w:type="dxa"/>
            <w:vAlign w:val="center"/>
            <w:gridSpan w:val="1"/>
          </w:tcPr>
          <w:p>
            <w:pPr>
              <w:jc w:val="right"/>
            </w:pPr>
            <w:r>
              <w:rPr/>
              <w:t xml:space="preserve">17,250,000</w:t>
            </w:r>
          </w:p>
        </w:tc>
      </w:tr>
    </w:tbl>
    <w:p>
      <w:pPr>
        <w:pStyle w:val="Heading2"/>
      </w:pPr>
      <w:bookmarkStart w:id="6" w:name="_Toc6"/>
      <w:r>
        <w:t>Key Project Dates</w:t>
      </w:r>
      <w:bookmarkEnd w:id="6"/>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Project duration</w:t>
            </w:r>
          </w:p>
        </w:tc>
        <w:tc>
          <w:tcPr>
            <w:tcW w:w="5000" w:type="dxa"/>
            <w:vAlign w:val="center"/>
            <w:gridSpan w:val="1"/>
          </w:tcPr>
          <w:p>
            <w:pPr>
              <w:jc w:val="right"/>
            </w:pPr>
            <w:r>
              <w:rPr/>
              <w:t xml:space="preserve">48 months</w:t>
            </w:r>
          </w:p>
        </w:tc>
      </w:tr>
      <w:tr>
        <w:trPr/>
        <w:tc>
          <w:tcPr>
            <w:tcW w:w="5000" w:type="dxa"/>
            <w:gridSpan w:val="1"/>
          </w:tcPr>
          <w:p>
            <w:pPr/>
            <w:r>
              <w:rPr/>
              <w:t xml:space="preserve">PIF Approval Date</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CEO Endorsement Date</w:t>
            </w:r>
          </w:p>
        </w:tc>
        <w:tc>
          <w:tcPr>
            <w:tcW w:w="5000" w:type="dxa"/>
            <w:vAlign w:val="center"/>
            <w:gridSpan w:val="1"/>
          </w:tcPr>
          <w:p>
            <w:pPr>
              <w:jc w:val="right"/>
            </w:pPr>
            <w:r>
              <w:rPr/>
              <w:t xml:space="preserve">Mar 18, 2021</w:t>
            </w:r>
          </w:p>
        </w:tc>
      </w:tr>
      <w:tr>
        <w:trPr/>
        <w:tc>
          <w:tcPr>
            <w:tcW w:w="5000" w:type="dxa"/>
            <w:gridSpan w:val="1"/>
          </w:tcPr>
          <w:p>
            <w:pPr/>
            <w:r>
              <w:rPr/>
              <w:t xml:space="preserve">Project Document Signature Date (project start date):</w:t>
            </w:r>
          </w:p>
        </w:tc>
        <w:tc>
          <w:tcPr>
            <w:tcW w:w="5000" w:type="dxa"/>
            <w:vAlign w:val="center"/>
            <w:gridSpan w:val="1"/>
          </w:tcPr>
          <w:p>
            <w:pPr>
              <w:jc w:val="right"/>
            </w:pPr>
            <w:r>
              <w:rPr/>
              <w:t xml:space="preserve">Jun 10, 2021</w:t>
            </w:r>
          </w:p>
        </w:tc>
      </w:tr>
      <w:tr>
        <w:trPr/>
        <w:tc>
          <w:tcPr>
            <w:tcW w:w="5000" w:type="dxa"/>
            <w:gridSpan w:val="1"/>
          </w:tcPr>
          <w:p>
            <w:pPr/>
            <w:r>
              <w:rPr/>
              <w:t xml:space="preserve">Date of Inception Workshop</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First Disbursement Date</w:t>
            </w:r>
          </w:p>
        </w:tc>
        <w:tc>
          <w:tcPr>
            <w:tcW w:w="5000" w:type="dxa"/>
            <w:vAlign w:val="center"/>
            <w:gridSpan w:val="1"/>
          </w:tcPr>
          <w:p>
            <w:pPr>
              <w:jc w:val="right"/>
            </w:pPr>
            <w:r>
              <w:rPr/>
              <w:t xml:space="preserve">Aug 26, 2021</w:t>
            </w:r>
          </w:p>
        </w:tc>
      </w:tr>
      <w:tr>
        <w:trPr/>
        <w:tc>
          <w:tcPr>
            <w:tcW w:w="5000" w:type="dxa"/>
            <w:gridSpan w:val="1"/>
          </w:tcPr>
          <w:p>
            <w:pPr/>
            <w:r>
              <w:rPr/>
              <w:t xml:space="preserve">Expected Date of Mid-term Review</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Actual Date of Mid-term Review</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Expected Date of Terminal Evaluation</w:t>
            </w:r>
          </w:p>
        </w:tc>
        <w:tc>
          <w:tcPr>
            <w:tcW w:w="5000" w:type="dxa"/>
            <w:vAlign w:val="center"/>
            <w:gridSpan w:val="1"/>
          </w:tcPr>
          <w:p>
            <w:pPr>
              <w:jc w:val="right"/>
            </w:pPr>
            <w:r>
              <w:rPr/>
              <w:t xml:space="preserve">Mar 10, 2025</w:t>
            </w:r>
          </w:p>
        </w:tc>
      </w:tr>
      <w:tr>
        <w:trPr/>
        <w:tc>
          <w:tcPr>
            <w:tcW w:w="5000" w:type="dxa"/>
            <w:gridSpan w:val="1"/>
          </w:tcPr>
          <w:p>
            <w:pPr/>
            <w:r>
              <w:rPr/>
              <w:t xml:space="preserve">Original Planned Closing Date</w:t>
            </w:r>
          </w:p>
        </w:tc>
        <w:tc>
          <w:tcPr>
            <w:tcW w:w="5000" w:type="dxa"/>
            <w:vAlign w:val="center"/>
            <w:gridSpan w:val="1"/>
          </w:tcPr>
          <w:p>
            <w:pPr>
              <w:jc w:val="right"/>
            </w:pPr>
            <w:r>
              <w:rPr/>
              <w:t xml:space="preserve">Jun 10, 2025</w:t>
            </w:r>
          </w:p>
        </w:tc>
      </w:tr>
      <w:tr>
        <w:trPr/>
        <w:tc>
          <w:tcPr>
            <w:tcW w:w="5000" w:type="dxa"/>
            <w:gridSpan w:val="1"/>
          </w:tcPr>
          <w:p>
            <w:pPr/>
            <w:r>
              <w:rPr/>
              <w:t xml:space="preserve">Revised Planned Closing Date</w:t>
            </w:r>
          </w:p>
        </w:tc>
        <w:tc>
          <w:tcPr>
            <w:tcW w:w="5000" w:type="dxa"/>
            <w:vAlign w:val="center"/>
            <w:gridSpan w:val="1"/>
          </w:tcPr>
          <w:p>
            <w:pPr>
              <w:jc w:val="right"/>
            </w:pPr>
            <w:r>
              <w:rPr>
                <w:i w:val="1"/>
                <w:iCs w:val="1"/>
              </w:rPr>
              <w:t xml:space="preserve">(not set or not applicable)</w:t>
            </w:r>
          </w:p>
        </w:tc>
      </w:tr>
    </w:tbl>
    <w:p>
      <w:pPr/>
      <w:r>
        <w:rPr/>
        <w:t xml:space="preserve"/>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gridSpan w:val="1"/>
          </w:tcPr>
          <w:p>
            <w:pPr/>
            <w:r>
              <w:rPr>
                <w:b w:val="1"/>
                <w:bCs w:val="1"/>
              </w:rPr>
              <w:t xml:space="preserve">Dates of Project Steering Committee/Board Meetings during reporting period (30 June 2021 to 1 July 2022)</w:t>
            </w:r>
          </w:p>
        </w:tc>
      </w:tr>
      <w:tr>
        <w:trPr/>
        <w:tc>
          <w:tcPr>
            <w:tcW w:w="10000" w:type="dxa"/>
            <w:gridSpan w:val="1"/>
          </w:tcPr>
          <w:p>
            <w:pPr/>
            <w:r>
              <w:rPr/>
              <w:t xml:space="preserve">2022-03-04</w:t>
            </w:r>
          </w:p>
        </w:tc>
      </w:tr>
      <w:tr>
        <w:trPr/>
        <w:tc>
          <w:tcPr>
            <w:tcW w:w="10000" w:type="dxa"/>
            <w:gridSpan w:val="1"/>
          </w:tcPr>
          <w:p>
            <w:pPr/>
            <w:r>
              <w:rPr/>
              <w:t xml:space="preserve">2022-02-03</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The primary issue is the potential restructuring of PNMS protective measures and the agencies' respective mandates as the project was designed to support the current legal and institutional frameworks.  COVID-19 has caused significant delays across the board, including revenue sourced from fishing.  International travel was temporarily halted and this impacted tourism-related fees that were supposed to replace fishing revenues.  The restrictions on air travel also meant the export of fish to international markets was also halted.</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Fortnightly calls to monitor progress and discuss existing and upcoming issues.</w:t>
            </w:r>
          </w:p>
          <w:p>
            <w:pPr/>
            <w:r>
              <w:rPr/>
              <w:t xml:space="preserve">Four (4) project board meetings to facilitate and execute decisions needed for enhanced delivery.</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 Please include specific measures to manage the project's implementation performance.</w:t>
            </w:r>
          </w:p>
        </w:tc>
      </w:tr>
      <w:tr>
        <w:trPr/>
        <w:tc>
          <w:tcPr>
            <w:tcW w:w="10000" w:type="dxa"/>
            <w:gridSpan w:val="1"/>
          </w:tcPr>
          <w:p>
            <w:pPr/>
            <w:r>
              <w:rPr/>
              <w:t xml:space="preserve">With the lifting of travel restrictions, the PMU should prepare an accelerated work plan for 2023 that will enable it to catch up with the project targets. While it has been agreed that the optional MTR be done away with, it is recommended that the project together with the CO undertake a similar assessment of progress to identify focus of implementation in the coming months.</w:t>
            </w:r>
          </w:p>
          <w:p>
            <w:pPr/>
            <w:r>
              <w:rPr/>
              <w:t xml:space="preserve"/>
            </w:r>
          </w:p>
          <w:p>
            <w:pPr/>
            <w:r>
              <w:rPr/>
              <w:t xml:space="preserve">It is recommended that the PMU participate in the ongoing review of the PNMS law with the objective of keeping the 80-20 delineation of the sanctuary and the domestic fishing zones. As this is a political process, the focus of its advocacy is on the scientific aspects to inform the lawmakers. If a scientific study is needed, it should propose support for such activity for consideration by the project board.</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Dates of Project Board Meetings during reporting period (1 July 2021 to 30 June 2022).  Please also upload all meeting minutes using the FILE LIBRARY button.</w:t>
            </w:r>
          </w:p>
        </w:tc>
      </w:tr>
      <w:tr>
        <w:trPr/>
        <w:tc>
          <w:tcPr>
            <w:tcW w:w="10000" w:type="dxa"/>
            <w:gridSpan w:val="1"/>
          </w:tcPr>
          <w:p>
            <w:pPr/>
            <w:r>
              <w:rPr/>
              <w:t xml:space="preserve">2022-03-04</w:t>
            </w:r>
          </w:p>
        </w:tc>
      </w:tr>
      <w:tr>
        <w:trPr/>
        <w:tc>
          <w:tcPr>
            <w:tcW w:w="10000" w:type="dxa"/>
            <w:gridSpan w:val="1"/>
          </w:tcPr>
          <w:p>
            <w:pPr/>
            <w:r>
              <w:rPr/>
              <w:t xml:space="preserve">2022-02-03</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2022 Development Objective Progress Rating</w:t>
            </w:r>
          </w:p>
        </w:tc>
        <w:tc>
          <w:tcPr>
            <w:tcW w:w="5000" w:type="dxa"/>
            <w:gridSpan w:val="1"/>
          </w:tcPr>
          <w:p>
            <w:pPr/>
            <w:r>
              <w:rPr>
                <w:b w:val="1"/>
                <w:bCs w:val="1"/>
              </w:rPr>
              <w:t xml:space="preserve">2022 Implementation Progress Rating</w:t>
            </w:r>
          </w:p>
        </w:tc>
      </w:tr>
      <w:tr>
        <w:trPr/>
        <w:tc>
          <w:tcPr>
            <w:tcW w:w="5000" w:type="dxa"/>
            <w:gridSpan w:val="1"/>
          </w:tcPr>
          <w:p>
            <w:pPr/>
            <w:r>
              <w:rPr>
                <w:b w:val="1"/>
                <w:bCs w:val="1"/>
              </w:rPr>
              <w:t xml:space="preserve">UNDP-NCE Technical Adviser</w:t>
            </w:r>
          </w:p>
        </w:tc>
        <w:tc>
          <w:tcPr>
            <w:tcW w:w="5000" w:type="dxa"/>
            <w:gridSpan w:val="1"/>
          </w:tcPr>
          <w:p>
            <w:pPr/>
            <w:r>
              <w:rPr/>
              <w:t xml:space="preserve">Moderately Satisfactory</w:t>
            </w:r>
          </w:p>
        </w:tc>
        <w:tc>
          <w:tcPr>
            <w:tcW w:w="5000" w:type="dxa"/>
            <w:gridSpan w:val="1"/>
          </w:tcPr>
          <w:p>
            <w:pPr/>
            <w:r>
              <w:rPr/>
              <w:t xml:space="preserve">Moderately Unsatisfactory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Moderately Satisfactory</w:t>
            </w:r>
          </w:p>
        </w:tc>
        <w:tc>
          <w:tcPr>
            <w:tcW w:w="5000" w:type="dxa"/>
            <w:gridSpan w:val="1"/>
          </w:tcPr>
          <w:p>
            <w:pPr/>
            <w:r>
              <w:rPr/>
              <w:t xml:space="preserve">Moderately Unsatisfactory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2022 Overall Assessment</w:t>
            </w:r>
          </w:p>
        </w:tc>
      </w:tr>
      <w:tr>
        <w:trPr/>
        <w:tc>
          <w:tcPr>
            <w:tcW w:w="5000" w:type="dxa"/>
            <w:gridSpan w:val="1"/>
          </w:tcPr>
          <w:p>
            <w:pPr/>
            <w:r>
              <w:rPr>
                <w:b w:val="1"/>
                <w:bCs w:val="1"/>
              </w:rPr>
              <w:t xml:space="preserve">UNDP-NCE Technical Adviser</w:t>
            </w:r>
          </w:p>
        </w:tc>
        <w:tc>
          <w:tcPr>
            <w:tcW w:w="10000" w:type="dxa"/>
            <w:gridSpan w:val="1"/>
          </w:tcPr>
          <w:p>
            <w:pPr/>
            <w:r>
              <w:rPr/>
              <w:t xml:space="preserve">This is the first PIR (1st year of implementation after the official start in 2021).  It is noted that the project has convened several project board meetings. While this is a positive effort to inform all the stakeholders, some of the meetings could be made in the nature of technical working group meetings while keeping the board meetings at two per year.  This would reduce the pressure on other board members who may have availability constraints.</w:t>
            </w:r>
          </w:p>
          <w:p>
            <w:pPr/>
            <w:r>
              <w:rPr/>
              <w:t xml:space="preserve"/>
            </w:r>
          </w:p>
          <w:p>
            <w:pPr/>
            <w:r>
              <w:rPr/>
              <w:t xml:space="preserve">The inception workshop organized in June 2021 concluded that some indicators are to be revised. There has been an ongoing discussion on this regard which should be finalized possibly within the year to provide clarity to the project team. There has been political discussions about amending/revising the law that created the PNMS which may have substantive impact on the project core indicators. Once a new law is enacted, the outcome will need to be reported at the appropriate level, i.e., GEF Sec if it  would result in a reduction of any of the core indicators by more than 10%.</w:t>
            </w:r>
          </w:p>
          <w:p>
            <w:pPr/>
            <w:r>
              <w:rPr/>
              <w:t xml:space="preserve"/>
            </w:r>
          </w:p>
          <w:p>
            <w:pPr/>
            <w:r>
              <w:rPr/>
              <w:t xml:space="preserve">The project’s cumulative delivery during this PIR is 9.7%.  Based on 2022 expenditures only, the project has spent 40% of the total 2022 budget ($555K). The 2023 delivery projection of 570,438 seems to be realistic, given there are three more years before the operational closure.</w:t>
            </w:r>
          </w:p>
          <w:p>
            <w:pPr/>
            <w:r>
              <w:rPr/>
              <w:t xml:space="preserve"/>
            </w:r>
          </w:p>
          <w:p>
            <w:pPr/>
            <w:r>
              <w:rPr/>
              <w:t xml:space="preserve">On the government’s commitment to the co-financing, only two co-financiers have reported the materialized co-financing this year, i.e. Ministry of Natural Resources, Environment and Fisheries( $40K against grant $150K), and Palau Conservation Society ($54K against $100K in-kind).   As mentioned earlier, the government has prioritized the COVID recovery effort. Hence, this also affects the government’s financial commitments to the project.</w:t>
            </w:r>
          </w:p>
          <w:p>
            <w:pPr/>
            <w:r>
              <w:rPr/>
              <w:t xml:space="preserve"/>
            </w:r>
          </w:p>
          <w:p>
            <w:pPr/>
            <w:r>
              <w:rPr/>
              <w:t xml:space="preserve">The project is encouraged to find concrete synergies with GEF-6 titled  ‘Integrating biodiversity safeguards and conservation into planning and development."</w:t>
            </w:r>
          </w:p>
        </w:tc>
      </w:tr>
      <w:tr>
        <w:trPr/>
        <w:tc>
          <w:tcPr>
            <w:tcW w:w="5000" w:type="dxa"/>
            <w:gridSpan w:val="1"/>
          </w:tcPr>
          <w:p>
            <w:pPr/>
            <w:r>
              <w:rPr>
                <w:b w:val="1"/>
                <w:bCs w:val="1"/>
              </w:rPr>
              <w:t xml:space="preserve">UNDP Country Office Programme Officer</w:t>
            </w:r>
          </w:p>
        </w:tc>
        <w:tc>
          <w:tcPr>
            <w:tcW w:w="10000" w:type="dxa"/>
            <w:gridSpan w:val="1"/>
          </w:tcPr>
          <w:p>
            <w:pPr/>
            <w:r>
              <w:rPr/>
              <w:t xml:space="preserve">This is the first PIR for the project and in light of the efforts and improvements observed, this reporting period's implementation progress is assessed as moderately unsatisfactory.  While there are still some challenges, overall improvement and consistency in monitoring has been reflected. Though delays in implementation it is to note that project utilized USD 173,603.83 in Quarter 3 and 4 for 2021 with the new PMU. In addition to the establishment of the PMU major activities progress included;</w:t>
            </w:r>
          </w:p>
          <w:p>
            <w:pPr/>
            <w:r>
              <w:rPr/>
              <w:t xml:space="preserve">-	5-year strategic plan/road map endorsed</w:t>
            </w:r>
          </w:p>
          <w:p>
            <w:pPr/>
            <w:r>
              <w:rPr/>
              <w:t xml:space="preserve">-	Ecosystem monitoring program developed in line with strategic plan</w:t>
            </w:r>
          </w:p>
          <w:p>
            <w:pPr/>
            <w:r>
              <w:rPr/>
              <w:t xml:space="preserve">-	Formal agreements in place for partnership platform</w:t>
            </w:r>
          </w:p>
          <w:p>
            <w:pPr/>
            <w:r>
              <w:rPr/>
              <w:t xml:space="preserve">-	PNMS admin/management section established, focusing on communications and awareness</w:t>
            </w:r>
          </w:p>
          <w:p>
            <w:pPr/>
            <w:r>
              <w:rPr/>
              <w:t xml:space="preserve">-	Event is organized and conducted for the PNMS Anniversary that engages with the community and key stakeholders</w:t>
            </w:r>
          </w:p>
          <w:p>
            <w:pPr/>
            <w:r>
              <w:rPr/>
              <w:t xml:space="preserve">The above is a reflection of a positive management approach in implementation given the project has just started. However with the recent developments in the amendments to the PNMS legal framework, adaptive management strategies would need to be introduced immediately to adapt to the changes being made.</w:t>
            </w:r>
          </w:p>
        </w:tc>
      </w:tr>
      <w:tr>
        <w:trPr/>
        <w:tc>
          <w:tcPr>
            <w:tcW w:w="5000" w:type="dxa"/>
            <w:gridSpan w:val="1"/>
          </w:tcPr>
          <w:p>
            <w:pPr/>
            <w:r>
              <w:rPr>
                <w:b w:val="1"/>
                <w:bCs w:val="1"/>
              </w:rPr>
              <w:t xml:space="preserve">Project Manager/Coordinator</w:t>
            </w:r>
          </w:p>
        </w:tc>
        <w:tc>
          <w:tcPr>
            <w:tcW w:w="10000" w:type="dxa"/>
            <w:gridSpan w:val="1"/>
          </w:tcPr>
          <w:p>
            <w:pPr/>
            <w:r>
              <w:rPr/>
              <w:t xml:space="preserve">The awarding of the project was timely as it aligned well with the recent establishment of the PNMS department within the Palau International Coral Reef Center.  This injected much needed financial support into our efforts on institutional strengthening of the project management unit within PICRC as well as initiate key engagements with MAFE and MOJ in collaborating and coordinating the work mandated by to the respective agencies through the PNMS act.</w:t>
            </w:r>
          </w:p>
          <w:p>
            <w:pPr/>
            <w:r>
              <w:rPr/>
              <w:t xml:space="preserve"/>
            </w:r>
          </w:p>
          <w:p>
            <w:pPr/>
            <w:r>
              <w:rPr/>
              <w:t xml:space="preserve">Stakeholder engagements with partners and relevant agencies, including government officials was positive and productive at the beginning, particularly during the phase of the annual work planning exercise through to the inception workshop and induction workshop.  It would have been ideal for UNDP officials to participate in-person but there was no travelling due to COVID19 so this limited our ability to maximize on building project management capacity in terms of reporting, annual work planning, understanding the importance of the project log frame as a reference, which, to our later understanding, was not fully developed within the prodoc, and the lack of clarity on the project indicators.</w:t>
            </w:r>
          </w:p>
          <w:p>
            <w:pPr/>
            <w:r>
              <w:rPr/>
              <w:t xml:space="preserve"/>
            </w:r>
          </w:p>
          <w:p>
            <w:pPr/>
            <w:r>
              <w:rPr/>
              <w:t xml:space="preserve">There was some concern on the part of BOF/MAFE on the utilization of funds after AWP approval and this caused significant delays in clearing 80% in Q1 as mentioned earlier in the report.  Most importantly, the implementation of activities have been delayed because of the proposed opening of the PNMS which was introduced in the House of Delegates last year.  This was later followed by a supplemental budget bill the Office of the President submitted to congress that included significant amendments to the PNMS legal framework.  These key issues were stated earlier in the report with the bills attached for reference.</w:t>
            </w:r>
          </w:p>
          <w:p>
            <w:pPr/>
            <w:r>
              <w:rPr/>
              <w:t xml:space="preserve"/>
            </w:r>
          </w:p>
          <w:p>
            <w:pPr/>
            <w:r>
              <w:rPr/>
              <w:t xml:space="preserve">Such issues led to strained partnerships and some discussions on whether it would be best to transfer the project to MAFE for ease of implementation.  However, MAFE indicated that PICRC continue to lead project management.  This is the current challenge with project management which requires great consideration towards adaptive management and we hope the project provides mechanisms to respond as such.</w:t>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Results Framework</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the 'Results framework'</w:t>
            </w:r>
          </w:p>
        </w:tc>
      </w:tr>
      <w:tr>
        <w:trPr/>
        <w:tc>
          <w:tcPr>
            <w:tcW w:w="10000" w:type="dxa"/>
            <w:gridSpan w:val="1"/>
          </w:tcPr>
          <w:p>
            <w:pPr/>
            <w:r>
              <w:rPr/>
              <w:t xml:space="preserve">Project manager:  It is important to reiterate our ongoing discussion with UNDP on revising some of the indicators.  The inception report, which is provided here in draft form, includes the list of indicators and the comments on clarifying and amending certain targets so they are accurately measuring project activities.  These discussions were recorded in our induction workshop and included into the inception report and we've brought this to the attention of UNDP.</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 Components and cost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'Components and cost'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 Institutional and implementation arrangements</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'Institutional and implementation arrangements'</w:t>
            </w:r>
          </w:p>
        </w:tc>
      </w:tr>
      <w:tr>
        <w:trPr/>
        <w:tc>
          <w:tcPr>
            <w:tcW w:w="10000" w:type="dxa"/>
            <w:gridSpan w:val="1"/>
          </w:tcPr>
          <w:p>
            <w:pPr/>
            <w:r>
              <w:rPr/>
              <w:t xml:space="preserve">Project manager: Delays in implementation of activities and/or lack of clarity on utilizing the associated funds on the part of MAFE and Bureau of Fisheries resulted in a significant delay in clearing the 80% of total funds for Q1.  This is why we did not request any Q2 advance and took urgent actions to contract an activity to The Nature Conservancy and re-tasking another activity to the Ministry of Justice in order to resolve this issue.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 Financial management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'Financial Management'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E) Implementation schedule</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'Implementation schedule'</w:t>
            </w:r>
          </w:p>
        </w:tc>
      </w:tr>
      <w:tr>
        <w:trPr/>
        <w:tc>
          <w:tcPr>
            <w:tcW w:w="10000" w:type="dxa"/>
            <w:gridSpan w:val="1"/>
          </w:tcPr>
          <w:p>
            <w:pPr/>
            <w:r>
              <w:rPr/>
              <w:t xml:space="preserve">Project manager: The activities we envisioned would be implemented this year will likely be pushed ahead because of the unique and unforeseen issues confronting project management.  Specifically, the proposed bill to repeal the PNMS legislation and restructure management of the site, particularly between MAFE and PICRC.  The bill is currently being deliberated through a joint congressional session.  The first attempt to repeal the PNMS legislation was introduced at the House of Delegates.  The second effort which is ongoing comes in the form of a supplemental budget bill that proposes key amendments to the PNMS.  Both bills are attached here for your understanding.</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 Executing Entity</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'Executing Entity'</w:t>
            </w:r>
          </w:p>
        </w:tc>
      </w:tr>
      <w:tr>
        <w:trPr/>
        <w:tc>
          <w:tcPr>
            <w:tcW w:w="10000" w:type="dxa"/>
            <w:gridSpan w:val="1"/>
          </w:tcPr>
          <w:p>
            <w:pPr/>
            <w:r>
              <w:rPr/>
              <w:t xml:space="preserve">Project manager: There is a possibility that PICRC will have a reduced role in managing the PNMS which warrants due consideration for moving the executing entity from PICRC to MAFE.  It is uncertain what the final outcome of the legislation will look like at the moment.</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G) Executing Entity Category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 Category'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H) Minor project objective change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'minor project objective change'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 Safeguards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'Safeguards'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J) Risk Analysis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'Risk Analysis'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K) Increase of GEF project financing up to 5%</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 to GEF project financing up to 5%</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L) Co-financing</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'Co-financing'</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M) Location of project activity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project location activity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Other</w:t>
            </w:r>
          </w:p>
        </w:tc>
      </w:tr>
      <w:tr>
        <w:trPr/>
        <w:tc>
          <w:tcPr>
            <w:tcW w:w="10000" w:type="dxa"/>
            <w:gridSpan w:val="1"/>
          </w:tcPr>
          <w:p>
            <w:pPr/>
            <w:r>
              <w:rPr/>
              <w:t xml:space="preserve">No</w:t>
            </w:r>
          </w:p>
        </w:tc>
      </w:tr>
      <w:tr>
        <w:trPr/>
        <w:tc>
          <w:tcPr>
            <w:tcW w:w="10000" w:type="dxa"/>
            <w:shd w:val="clear" w:fill="#D9D9D9"/>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Upload any supporting documentation related to responses in this section.</w:t>
            </w:r>
          </w:p>
        </w:tc>
      </w:tr>
      <w:tr>
        <w:trPr/>
        <w:tc>
          <w:tcPr>
            <w:tcW w:w="10000" w:type="dxa"/>
          </w:tcPr>
          <w:p>
            <w:pPr>
              <w:spacing w:before="0" w:after="0"/>
            </w:pPr>
            <w:hyperlink r:id="rId10" w:history="1">
              <w:r>
                <w:rPr>
                  <w:color w:val="#0000FF"/>
                  <w:u w:val="single"/>
                </w:rPr>
                <w:t xml:space="preserve">HOD_11-30-2S_PNMS Bill_Amendments_2nd Reading.pdf</w:t>
              </w:r>
            </w:hyperlink>
          </w:p>
          <w:p>
            <w:pP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Atlas Gender Marker Rating</w:t>
            </w:r>
          </w:p>
        </w:tc>
      </w:tr>
      <w:tr>
        <w:trPr/>
        <w:tc>
          <w:tcPr>
            <w:tcW w:w="10000" w:type="dxa"/>
          </w:tcPr>
          <w:p>
            <w:pPr/>
            <w:r>
              <w:rPr>
                <w:b w:val="1"/>
                <w:bCs w:val="1"/>
              </w:rPr>
              <w:t xml:space="preserve">GEN2: </w:t>
            </w:r>
            <w:r>
              <w:rPr/>
              <w:t xml:space="preserve">gender equality as significant objective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No</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No</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It is important to note that Palau is a matrilineal society and women possess unique strength and influence in our communities.  Nothing in our cultural practices or legal system precludes women from taking up any position in government or management.  They also have associations that organize an annual women's conference that continues to be an influential body in holding government officials accountable and influencing national policies.</w:t>
            </w:r>
          </w:p>
          <w:p>
            <w:pPr/>
            <w:r>
              <w:rPr/>
              <w:t xml:space="preserve"/>
            </w:r>
          </w:p>
          <w:p>
            <w:pPr/>
            <w:r>
              <w:rPr/>
              <w:t xml:space="preserve">In terms of the project, women are well represented in the PNMS Advisory Committee with a woman serving as co-chair, and in the larger environmental sector and actively participate in meetings and other collaborative activities.  Gender is well documented in attendance sheets for these meetings.  Women play key roles in contributing to the project.  The Vice President/Minister of Justice and the Planning &amp; Development Officer, the Director of the Bureau of Fisheries, the Director of Research and the Director of Administration at PICRC as well as the PNMS Research/Science Officer are some of the women who play important roles.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Same as above.</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Review of Risks outlined in Risk Register and PIMS+ risk tab</w:t>
      </w:r>
      <w:bookmarkEnd w:id="13"/>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Has the Atlas Risk Register been updated during this reporting period?</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w:t>
            </w:r>
          </w:p>
          <w:p>
            <w:pPr/>
            <w:r>
              <w:rPr/>
              <w:t xml:space="preserve">Please provide an assessment of project risk management (including risks reported in  Risk Register and risks included in the project’s risk tab in  PIMS+ ) undertaken in the reporting period  and summarize the key risk management measures to be taken in the coming year. This text will be pulled into the risk management action plan in this project’s risk tab in PIMS+.</w:t>
            </w:r>
          </w:p>
        </w:tc>
      </w:tr>
      <w:tr>
        <w:trPr/>
        <w:tc>
          <w:tcPr>
            <w:tcW w:w="10000" w:type="dxa"/>
            <w:gridSpan w:val="1"/>
          </w:tcPr>
          <w:p>
            <w:pPr/>
            <w:r>
              <w:rPr>
                <w:i w:val="1"/>
                <w:iCs w:val="1"/>
              </w:rPr>
              <w:t xml:space="preserve">(not set or not applicable)</w:t>
            </w:r>
          </w:p>
        </w:tc>
      </w:tr>
    </w:tbl>
    <w:p>
      <w:pPr>
        <w:pStyle w:val="Heading2"/>
      </w:pPr>
      <w:bookmarkStart w:id="14" w:name="_Toc14"/>
      <w:r>
        <w:t>B) Social and Environmental Standards (Safeguards) Risks</w:t>
      </w:r>
      <w:bookmarkEnd w:id="14"/>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For reference, please find below the project's safeguards screening (Social and Environmental Screening Procedure (SESP) or the old ESSP tool); management plans (if any); and its SESP categorization above.  Please note that the SESP categorization might have been corrected during a centralized review.</w:t>
            </w:r>
          </w:p>
          <w:p>
            <w:pPr/>
            <w:r>
              <w:rPr/>
              <w:t xml:space="preserve">If the project has updated its SESP during implementation, then please upload that file below.</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Have any new social and/or environmental risks been identified during the reporting period?</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any new social and/or environmental risks have been identified during the reporting period please describe the new risk(s) and the response to it.</w:t>
            </w:r>
          </w:p>
        </w:tc>
      </w:tr>
      <w:tr>
        <w:trPr/>
        <w:tc>
          <w:tcPr>
            <w:tcW w:w="10000" w:type="dxa"/>
            <w:gridSpan w:val="1"/>
          </w:tcPr>
          <w:p>
            <w:pPr/>
            <w:r>
              <w:rPr/>
              <w:t xml:space="preserve">In July of 2021, the House of Delegates introduced a bill proposing to open the Palau National Marine Sanctuary (PNMS) to fishing activities for a term of 5-years on the basis of economic recovery due to the COVID-19 pandemic.  The bill would have had significant implications on project management.  For one, the PNMS had only been under full implementation for 6-months which did not allow for sufficient monitoring and research to provide any substantial recommendations for policy makers to consider.  This was happening at a time when planning and preparations for the Our Ocean Conference was underway.</w:t>
            </w:r>
          </w:p>
          <w:p>
            <w:pPr/>
            <w:r>
              <w:rPr/>
              <w:t xml:space="preserve"/>
            </w:r>
          </w:p>
          <w:p>
            <w:pPr/>
            <w:r>
              <w:rPr/>
              <w:t xml:space="preserve">There was a considerable amount of pushback from the community and different associations and organizations, which slowed the momentum of the bill.  No further action was taken at this point by the House of Delegates.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Have any existing social and/or environmental risks become more severe and/or has the project's SESP categorization changed during the reporting period? For example, when a low risk increased to moderate, or a moderate risk increased to substantial/high.</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any existing social and/or environmental risks have become more severe and/or if the project's SESP categorization has changed during implementation please describe the change(s) and the response to it. Note that any change to the project's SESP categorization should be confirmed by the Project Board and by the NCE PTA (and potentially cleared by the NCE safeguards team).</w:t>
            </w:r>
          </w:p>
        </w:tc>
      </w:tr>
      <w:tr>
        <w:trPr/>
        <w:tc>
          <w:tcPr>
            <w:tcW w:w="10000" w:type="dxa"/>
            <w:gridSpan w:val="1"/>
          </w:tcPr>
          <w:p>
            <w:pPr/>
            <w:r>
              <w:rPr/>
              <w:t xml:space="preserve">The push to repeal the PNMS legislation took on a different approach this past May, with the President of the Republic of Palau introducing a supplemental budget bill that included policy changes to the PNMS.  These included permitting a few long-line fishing vessels to conduct some fishing activities within the PNMS, removing funds allocated to the Palau International Coral Reef Center (PICRC) to support its PNMS activities and for the Ministry of Agriculture, Fisheries and Environment (MAFE) to undertake a 3-year marine spatial planning exercise to inform how the PNMS would be managed.  This has caused delays in project implementation given the potential restructuring of mandates for the respective agencies who are collectively managing the PNMS, particularly between the MAFE and PICRC.</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Have any social and environmental assessments and/or management plans been prepared or updated, and/or has the SESP been updated in the reporting period, as required? For example, an updated Stakeholder Engagement Plan, Environmental and Social Impact Assessment (ESIA) or Indigenous Peoples Plan.</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yes, please upload the document(s) above using the FILE LIBRARY button. If no, please explain when the required documents will be prepared.</w:t>
            </w:r>
          </w:p>
        </w:tc>
      </w:tr>
      <w:tr>
        <w:trPr/>
        <w:tc>
          <w:tcPr>
            <w:tcW w:w="10000" w:type="dxa"/>
            <w:gridSpan w:val="1"/>
          </w:tcPr>
          <w:p>
            <w:pPr/>
            <w:r>
              <w:rPr/>
              <w:t xml:space="preserve">Given the potential changes to the PNMS legislation, the drafting of the PNMS 5-year strategic management plan has experienced delays.  Other activities designed to improve coordination and collaboration, including the establishment of effective partnership platforms have experienced significant delays as well.  The plan, for example, is still in draft form and should have been completed by the end of Q2.  It has been attached to the file library for reference.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Has the project received complaints related to social and/or environmental impacts (actual or potential ) during the reporting period?</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yes,  please describe the complaint(s) or grievance(s) in detail including the status, significance, who was involved and what action was taken.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5) Is this project on track with the preparation and/or implementation of all safeguards measures required for compliance with the UNDP SES?</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no, please explain:</w:t>
            </w:r>
          </w:p>
        </w:tc>
      </w:tr>
      <w:tr>
        <w:trPr/>
        <w:tc>
          <w:tcPr>
            <w:tcW w:w="10000" w:type="dxa"/>
            <w:gridSpan w:val="1"/>
          </w:tcPr>
          <w:p>
            <w:pPr/>
            <w:r>
              <w:rPr/>
              <w:t xml:space="preserve">The supplemental budget bill is currently under deliberation through a joint session of the Senate and House of Delegates.  We don't know what the final outcome will be and are therefore unable to proceed with a clear understanding of who would be the appropriate lead and how they would implement.  One particular risk is that activities in the middle of implementation may need to shift from one agency to the other so we have been tentative to act without knowing the outcome of this key issue.  There has been discussion with MAFE to explore the possibility that they may need to take on project management should the legislation reduce the role of PICRC which is the current project management unit.</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Project management has taken several approaches toward addressing the Knowledge Management component.  Establishing a partnership platform through the PNMS Advisory Committee which is a true public-private partnership arrangement has been an important contributor to KM.  Organizing community events such as the 6th anniversary event for the PNMS, participation and support in organizing fishing tournaments that encourage a shift to targeting pelagic fish species and conducting a regular bi-weekly radio talk-show have proven effective.  Utilizing social media platforms such as facebook, twitter and instagram have also been quite useful in disseminating information and lessons learned.</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www.picrc.org</w:t>
            </w:r>
          </w:p>
          <w:p>
            <w:pPr/>
            <w:r>
              <w:rPr/>
              <w:t xml:space="preserve">Facebook:  Palauinternationalcoralreefcenter and Palaunationalmarinesanctuary</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tcPr>
          <w:p>
            <w:pPr>
              <w:spacing w:before="0" w:after="0"/>
            </w:pPr>
            <w:hyperlink r:id="rId11" w:history="1">
              <w:r>
                <w:rPr>
                  <w:color w:val="#0000FF"/>
                  <w:u w:val="single"/>
                </w:rPr>
                <w:t xml:space="preserve">Outcome 4.1_Education and Outreach Products.docx</w:t>
              </w:r>
            </w:hyperlink>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Stakeholder Engagement</w:t>
      </w:r>
      <w:bookmarkEnd w:id="16"/>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Provide an update on progress, challenges and outcomes related to stakeholder engagement based on the description in the Stakeholder Engagement Plan or equivalent documentation submitted at CEO Endorsement/Approval.</w:t>
            </w:r>
          </w:p>
          <w:p>
            <w:pPr/>
            <w:r>
              <w:rPr>
                <w:b w:val="1"/>
                <w:bCs w:val="1"/>
              </w:rPr>
              <w:t xml:space="preserve"/>
            </w:r>
          </w:p>
          <w:p>
            <w:pPr/>
            <w:r>
              <w:rPr>
                <w:b w:val="1"/>
                <w:bCs w:val="1"/>
              </w:rPr>
              <w:t xml:space="preserve">(B) Upload all available documentation of the project's stakeholder engagement, including surveys, FPIC reports and others using the FILE LIBRARY button in the upper right corner of the PIR.</w:t>
            </w:r>
          </w:p>
          <w:p>
            <w:pPr/>
            <w:r>
              <w:rPr>
                <w:b w:val="1"/>
                <w:bCs w:val="1"/>
              </w:rPr>
              <w:t xml:space="preserve"/>
            </w:r>
          </w:p>
          <w:p>
            <w:pPr/>
            <w:r>
              <w:rPr>
                <w:b w:val="1"/>
                <w:bCs w:val="1"/>
              </w:rPr>
              <w:t xml:space="preserve">(C) If the project's Stakeholder Engagement Plan has been updated during the reporting period, please upload that file using the FILE LIBRARY button above.</w:t>
            </w:r>
          </w:p>
        </w:tc>
      </w:tr>
      <w:tr>
        <w:trPr/>
        <w:tc>
          <w:tcPr>
            <w:tcW w:w="10000" w:type="dxa"/>
            <w:gridSpan w:val="1"/>
          </w:tcPr>
          <w:p>
            <w:pPr/>
            <w:r>
              <w:rPr/>
              <w:t xml:space="preserve">The project has conducted regular stakeholder engagement meetings and consultations with government agencies, NGOs, the private sector and communities.  In addition, there have been regular meetings with the PNMS Advisory Committee and engagements with international conservation organizations and partners who provide important expertise and technical support to the project.</w:t>
            </w:r>
          </w:p>
        </w:tc>
      </w:tr>
    </w:tbl>
    <w:p>
      <w:pPr>
        <w:sectPr>
          <w:pgSz w:orient="portrait" w:w="11905.511811023622" w:h="16837.79527559055"/>
          <w:pgMar w:top="1440" w:right="1440" w:bottom="1440" w:left="1440" w:header="720" w:footer="720" w:gutter="0"/>
          <w:cols w:num="1" w:space="720"/>
        </w:sectPr>
      </w:pPr>
    </w:p>
    <w:p>
      <w:pPr>
        <w:pStyle w:val="Heading1"/>
      </w:pPr>
      <w:bookmarkStart w:id="17" w:name="_Toc17"/>
      <w:r>
        <w:t>Annex - Ratings Definitions</w:t>
      </w:r>
      <w:bookmarkEnd w:id="17"/>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2022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5A9A2"/>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yperlink" Target="https://pims.undp.org/attachments/6418/217119/1756852/1805857/Outcome%204.1_Education%20and%20Outreach%20Products.docx"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pims.undp.org/attachments/6418/217119/1756960/1806042/HOD_11-30-2S_PNMS%20Bill_Amendments_2nd%20Reading.pdf" TargetMode="External"/><Relationship Id="rId4" Type="http://schemas.openxmlformats.org/officeDocument/2006/relationships/theme" Target="theme/theme1.xml"/><Relationship Id="rId9" Type="http://schemas.openxmlformats.org/officeDocument/2006/relationships/image" Target="media/section_image3.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B0423 - Palau - Cty Pgmm</OfficeCountry>
    <DocumentStatus xmlns="d9cf0e28-81d2-4dc7-8b10-820d80ed680d">Final</DocumentStatus>
    <DocCoverageEndDate xmlns="d9cf0e28-81d2-4dc7-8b10-820d80ed680d">2022-06-30T04:00:00+00:00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Project Implementation Report</FileNameDescription>
    <ProjectNumber xmlns="d9cf0e28-81d2-4dc7-8b10-820d80ed680d">00119066</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UNDP-FJI</OperatingUnit>
    <lcf76f155ced4ddcb4097134ff3c332f xmlns="d9cf0e28-81d2-4dc7-8b10-820d80ed680d">
      <Terms xmlns="http://schemas.microsoft.com/office/infopath/2007/PartnerControls"/>
    </lcf76f155ced4ddcb4097134ff3c332f>
    <FocusArea xmlns="d9cf0e28-81d2-4dc7-8b10-820d80ed680d">Projects</FocusArea>
    <DocCoverageStartDate xmlns="d9cf0e28-81d2-4dc7-8b10-820d80ed680d">2021-07-01T04:00:00+00:00</DocCoverageStartDate>
    <FileClassificationMode xmlns="d9cf0e28-81d2-4dc7-8b10-820d80ed680d">Public</FileClassificationMode>
    <OutputNumber xmlns="d9cf0e28-81d2-4dc7-8b10-820d80ed680d">00115622</OutputNumber>
  </documentManagement>
</p:properties>
</file>

<file path=customXml/itemProps1.xml><?xml version="1.0" encoding="utf-8"?>
<ds:datastoreItem xmlns:ds="http://schemas.openxmlformats.org/officeDocument/2006/customXml" ds:itemID="{3B3E530E-5F9F-4194-BDB1-603977CA30E5}"/>
</file>

<file path=customXml/itemProps2.xml><?xml version="1.0" encoding="utf-8"?>
<ds:datastoreItem xmlns:ds="http://schemas.openxmlformats.org/officeDocument/2006/customXml" ds:itemID="{C1831A0F-5EE6-4282-9466-745C8BB53633}"/>
</file>

<file path=customXml/itemProps3.xml><?xml version="1.0" encoding="utf-8"?>
<ds:datastoreItem xmlns:ds="http://schemas.openxmlformats.org/officeDocument/2006/customXml" ds:itemID="{5D3E3BCE-BC99-4F61-996B-AEB29BE138C7}"/>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Implementation Report</dc:title>
  <dc:subject/>
  <dc:creator/>
  <cp:keywords/>
  <dc:description/>
  <cp:lastModifiedBy/>
  <dcterms:created xsi:type="dcterms:W3CDTF">2022-09-14T05:22:26Z</dcterms:created>
  <dcterms:modified xsi:type="dcterms:W3CDTF">2022-09-14T05:22:26Z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