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2023</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Palau PNMS</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5" w:history="1">
        <w:r>
          <w:t>Implementation Progress</w:t>
        </w:r>
        <w:r>
          <w:tab/>
        </w:r>
        <w:r>
          <w:fldChar w:fldCharType="begin"/>
        </w:r>
        <w:r>
          <w:instrText xml:space="preserve">PAGEREF _Toc5 \h</w:instrText>
        </w:r>
        <w:r>
          <w:fldChar w:fldCharType="end"/>
        </w:r>
      </w:hyperlink>
    </w:p>
    <w:p>
      <w:pPr>
        <w:tabs>
          <w:tab w:val="right" w:leader="dot" w:pos="9062"/>
        </w:tabs>
      </w:pPr>
      <w:hyperlink w:anchor="_Toc8" w:history="1">
        <w:r>
          <w:t>Project Governance</w:t>
        </w:r>
        <w:r>
          <w:tab/>
        </w:r>
        <w:r>
          <w:fldChar w:fldCharType="begin"/>
        </w:r>
        <w:r>
          <w:instrText xml:space="preserve">PAGEREF _Toc8 \h</w:instrText>
        </w:r>
        <w:r>
          <w:fldChar w:fldCharType="end"/>
        </w:r>
      </w:hyperlink>
    </w:p>
    <w:p>
      <w:pPr>
        <w:tabs>
          <w:tab w:val="right" w:leader="dot" w:pos="9062"/>
        </w:tabs>
      </w:pPr>
      <w:hyperlink w:anchor="_Toc9" w:history="1">
        <w:r>
          <w:t>Ratings and Overall Assessments</w:t>
        </w:r>
        <w:r>
          <w:tab/>
        </w:r>
        <w:r>
          <w:fldChar w:fldCharType="begin"/>
        </w:r>
        <w:r>
          <w:instrText xml:space="preserve">PAGEREF _Toc9 \h</w:instrText>
        </w:r>
        <w:r>
          <w:fldChar w:fldCharType="end"/>
        </w:r>
      </w:hyperlink>
    </w:p>
    <w:p>
      <w:pPr>
        <w:tabs>
          <w:tab w:val="right" w:leader="dot" w:pos="9062"/>
        </w:tabs>
      </w:pPr>
      <w:hyperlink w:anchor="_Toc10" w:history="1">
        <w:r>
          <w:t>Minor Amendments</w:t>
        </w:r>
        <w:r>
          <w:tab/>
        </w:r>
        <w:r>
          <w:fldChar w:fldCharType="begin"/>
        </w:r>
        <w:r>
          <w:instrText xml:space="preserve">PAGEREF _Toc10 \h</w:instrText>
        </w:r>
        <w:r>
          <w:fldChar w:fldCharType="end"/>
        </w:r>
      </w:hyperlink>
    </w:p>
    <w:p>
      <w:pPr>
        <w:tabs>
          <w:tab w:val="right" w:leader="dot" w:pos="9062"/>
        </w:tabs>
      </w:pPr>
      <w:hyperlink w:anchor="_Toc11" w:history="1">
        <w:r>
          <w:t>Gender</w:t>
        </w:r>
        <w:r>
          <w:tab/>
        </w:r>
        <w:r>
          <w:fldChar w:fldCharType="begin"/>
        </w:r>
        <w:r>
          <w:instrText xml:space="preserve">PAGEREF _Toc11 \h</w:instrText>
        </w:r>
        <w:r>
          <w:fldChar w:fldCharType="end"/>
        </w:r>
      </w:hyperlink>
    </w:p>
    <w:p>
      <w:pPr>
        <w:tabs>
          <w:tab w:val="right" w:leader="dot" w:pos="9062"/>
        </w:tabs>
      </w:pPr>
      <w:hyperlink w:anchor="_Toc13" w:history="1">
        <w:r>
          <w:t>Risk Management</w:t>
        </w:r>
        <w:r>
          <w:tab/>
        </w:r>
        <w:r>
          <w:fldChar w:fldCharType="begin"/>
        </w:r>
        <w:r>
          <w:instrText xml:space="preserve">PAGEREF _Toc13 \h</w:instrText>
        </w:r>
        <w:r>
          <w:fldChar w:fldCharType="end"/>
        </w:r>
      </w:hyperlink>
    </w:p>
    <w:p>
      <w:pPr>
        <w:tabs>
          <w:tab w:val="right" w:leader="dot" w:pos="9062"/>
        </w:tabs>
      </w:pPr>
      <w:hyperlink w:anchor="_Toc16" w:history="1">
        <w:r>
          <w:t>Knowledge Management &amp; Communications</w:t>
        </w:r>
        <w:r>
          <w:tab/>
        </w:r>
        <w:r>
          <w:fldChar w:fldCharType="begin"/>
        </w:r>
        <w:r>
          <w:instrText xml:space="preserve">PAGEREF _Toc16 \h</w:instrText>
        </w:r>
        <w:r>
          <w:fldChar w:fldCharType="end"/>
        </w:r>
      </w:hyperlink>
    </w:p>
    <w:p>
      <w:pPr>
        <w:tabs>
          <w:tab w:val="right" w:leader="dot" w:pos="9062"/>
        </w:tabs>
      </w:pPr>
      <w:hyperlink w:anchor="_Toc17" w:history="1">
        <w:r>
          <w:t>Stakeholder Engagement</w:t>
        </w:r>
        <w:r>
          <w:tab/>
        </w:r>
        <w:r>
          <w:fldChar w:fldCharType="begin"/>
        </w:r>
        <w:r>
          <w:instrText xml:space="preserve">PAGEREF _Toc17 \h</w:instrText>
        </w:r>
        <w:r>
          <w:fldChar w:fldCharType="end"/>
        </w:r>
      </w:hyperlink>
    </w:p>
    <w:p>
      <w:pPr>
        <w:tabs>
          <w:tab w:val="right" w:leader="dot" w:pos="9062"/>
        </w:tabs>
      </w:pPr>
      <w:hyperlink w:anchor="_Toc18" w:history="1">
        <w:r>
          <w:t>Annex - Ratings Definitions</w:t>
        </w:r>
        <w:r>
          <w:tab/>
        </w:r>
        <w:r>
          <w:fldChar w:fldCharType="begin"/>
        </w:r>
        <w:r>
          <w:instrText xml:space="preserve">PAGEREF _Toc18 \h</w:instrText>
        </w:r>
        <w:r>
          <w:fldChar w:fldCharType="end"/>
        </w:r>
      </w:hyperlink>
    </w:p>
    <w:p>
      <w:r>
        <w:fldChar w:fldCharType="end"/>
      </w:r>
    </w:p>
    <w:p>
      <w:pPr>
        <w:sectPr>
          <w:headerReference w:type="default" r:id="rId10"/>
          <w:footerReference w:type="default" r:id="rId11"/>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6418</w:t>
            </w:r>
          </w:p>
        </w:tc>
      </w:tr>
      <w:tr>
        <w:trPr/>
        <w:tc>
          <w:tcPr>
            <w:tcW w:w="5000" w:type="dxa"/>
            <w:gridSpan w:val="1"/>
          </w:tcPr>
          <w:p>
            <w:pPr/>
            <w:r>
              <w:rPr/>
              <w:t xml:space="preserve">GEF ID</w:t>
            </w:r>
          </w:p>
        </w:tc>
        <w:tc>
          <w:tcPr>
            <w:tcW w:w="5000" w:type="dxa"/>
            <w:gridSpan w:val="1"/>
          </w:tcPr>
          <w:p>
            <w:pPr/>
            <w:r>
              <w:rPr/>
              <w:t xml:space="preserve">10611</w:t>
            </w:r>
          </w:p>
        </w:tc>
      </w:tr>
      <w:tr>
        <w:trPr/>
        <w:tc>
          <w:tcPr>
            <w:tcW w:w="5000" w:type="dxa"/>
            <w:gridSpan w:val="1"/>
          </w:tcPr>
          <w:p>
            <w:pPr/>
            <w:r>
              <w:rPr/>
              <w:t xml:space="preserve">Title</w:t>
            </w:r>
          </w:p>
        </w:tc>
        <w:tc>
          <w:tcPr>
            <w:tcW w:w="5000" w:type="dxa"/>
            <w:gridSpan w:val="1"/>
          </w:tcPr>
          <w:p>
            <w:pPr/>
            <w:r>
              <w:rPr/>
              <w:t xml:space="preserve">Strengthening the Palau National Marine Sanctuary for the Conservation and Management of Global Marine Biodiversity and Sustainable Fisheries</w:t>
            </w:r>
          </w:p>
        </w:tc>
      </w:tr>
      <w:tr>
        <w:trPr/>
        <w:tc>
          <w:tcPr>
            <w:tcW w:w="5000" w:type="dxa"/>
            <w:gridSpan w:val="1"/>
          </w:tcPr>
          <w:p>
            <w:pPr/>
            <w:r>
              <w:rPr/>
              <w:t xml:space="preserve">Country(ies)</w:t>
            </w:r>
          </w:p>
        </w:tc>
        <w:tc>
          <w:tcPr>
            <w:tcW w:w="5000" w:type="dxa"/>
            <w:gridSpan w:val="1"/>
          </w:tcPr>
          <w:p>
            <w:pPr/>
            <w:r>
              <w:rPr/>
              <w:t xml:space="preserve">Palau, Palau</w:t>
            </w:r>
          </w:p>
        </w:tc>
      </w:tr>
      <w:tr>
        <w:trPr/>
        <w:tc>
          <w:tcPr>
            <w:tcW w:w="5000" w:type="dxa"/>
            <w:gridSpan w:val="1"/>
          </w:tcPr>
          <w:p>
            <w:pPr/>
            <w:r>
              <w:rPr/>
              <w:t xml:space="preserve">UNDP-NCE Technical Team</w:t>
            </w:r>
          </w:p>
        </w:tc>
        <w:tc>
          <w:tcPr>
            <w:tcW w:w="5000" w:type="dxa"/>
            <w:gridSpan w:val="1"/>
          </w:tcPr>
          <w:p>
            <w:pPr/>
            <w:r>
              <w:rPr/>
              <w:t xml:space="preserve">Water and Oceans</w:t>
            </w:r>
          </w:p>
        </w:tc>
      </w:tr>
      <w:tr>
        <w:trPr/>
        <w:tc>
          <w:tcPr>
            <w:tcW w:w="5000" w:type="dxa"/>
            <w:gridSpan w:val="1"/>
          </w:tcPr>
          <w:p>
            <w:pPr/>
            <w:r>
              <w:rPr/>
              <w:t xml:space="preserve">Management Arrangements</w:t>
            </w:r>
          </w:p>
        </w:tc>
        <w:tc>
          <w:tcPr>
            <w:tcW w:w="5000" w:type="dxa"/>
            <w:gridSpan w:val="1"/>
          </w:tcPr>
          <w:p>
            <w:pPr/>
            <w:r>
              <w:rPr/>
              <w:t xml:space="preserve">CO Support to NIM</w:t>
            </w:r>
          </w:p>
        </w:tc>
      </w:tr>
      <w:tr>
        <w:trPr/>
        <w:tc>
          <w:tcPr>
            <w:tcW w:w="5000" w:type="dxa"/>
            <w:gridSpan w:val="1"/>
          </w:tcPr>
          <w:p>
            <w:pPr/>
            <w:r>
              <w:rPr/>
              <w:t xml:space="preserve">Project Implementing Partner</w:t>
            </w:r>
          </w:p>
        </w:tc>
        <w:tc>
          <w:tcPr>
            <w:tcW w:w="5000" w:type="dxa"/>
            <w:gridSpan w:val="1"/>
          </w:tcPr>
          <w:p>
            <w:pPr/>
            <w:r>
              <w:rPr/>
              <w:t xml:space="preserve">Government</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Medium Size - 1 step</w:t>
            </w:r>
          </w:p>
        </w:tc>
      </w:tr>
      <w:tr>
        <w:trPr/>
        <w:tc>
          <w:tcPr>
            <w:tcW w:w="5000" w:type="dxa"/>
            <w:gridSpan w:val="1"/>
          </w:tcPr>
          <w:p>
            <w:pPr/>
            <w:r>
              <w:rPr/>
              <w:t xml:space="preserve">Implementation Status</w:t>
            </w:r>
          </w:p>
        </w:tc>
        <w:tc>
          <w:tcPr>
            <w:tcW w:w="5000" w:type="dxa"/>
            <w:gridSpan w:val="1"/>
          </w:tcPr>
          <w:p>
            <w:pPr/>
            <w:r>
              <w:rPr/>
              <w:t xml:space="preserve">2nd PIR</w:t>
            </w:r>
          </w:p>
        </w:tc>
      </w:tr>
      <w:tr>
        <w:trPr/>
        <w:tc>
          <w:tcPr>
            <w:tcW w:w="5000" w:type="dxa"/>
            <w:gridSpan w:val="1"/>
          </w:tcPr>
          <w:p>
            <w:pPr/>
            <w:r>
              <w:rPr/>
              <w:t xml:space="preserve">GEF Fiscal Year</w:t>
            </w:r>
          </w:p>
        </w:tc>
        <w:tc>
          <w:tcPr>
            <w:tcW w:w="5000" w:type="dxa"/>
            <w:gridSpan w:val="1"/>
          </w:tcPr>
          <w:p>
            <w:pPr/>
            <w:r>
              <w:rPr/>
              <w:t xml:space="preserve">FY23</w:t>
            </w:r>
          </w:p>
        </w:tc>
      </w:tr>
      <w:tr>
        <w:trPr/>
        <w:tc>
          <w:tcPr>
            <w:tcW w:w="5000" w:type="dxa"/>
            <w:gridSpan w:val="1"/>
          </w:tcPr>
          <w:p>
            <w:pPr/>
            <w:r>
              <w:rPr/>
              <w:t xml:space="preserve">Trust Fund</w:t>
            </w:r>
          </w:p>
        </w:tc>
        <w:tc>
          <w:tcPr>
            <w:tcW w:w="5000" w:type="dxa"/>
            <w:gridSpan w:val="1"/>
          </w:tcPr>
          <w:p>
            <w:pPr/>
            <w:r>
              <w:rPr/>
              <w:t xml:space="preserve">GEF Trust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In 2015, Palau signed into law a National Marine Sanctuary (PNMS) and a Domestic Fishing Zone (DFZ). The PNMS aims to protect renewable and sustainable living marine resources which provide direct value and revenue to Palau. The DFZ will provide long-term food security within Palau and protect important goods and services, increasing livelihoods and reducing pressure on reef fisheries.   Furthermore, the presence of a 500,000 sq. km. sanctuary provides a replenishment zone for pelagic fish stocks that are important to the entire region. Since its declaration, a number of constraints and challenges hinder the full implementation of the PNMS and DFZ including institutional constraints, financial and economic challenges and some general governance and legal issues. The objective of the Project would be to strengthen and implement a Strategic Plan for sustainable management of the PNMS and DFZ. The project will build on the existing efforts of Palau to conserve its renewable natural resources while adding significantly to the global MPA estate and providing a protected migratory route for globally important fish stocks as well as other non-commercial species and bycatch (e.g. cetaceans, turtles, sharks, seabirds, etc.). Globally, the PNMS will make a valuable contribution to the SDG 14 targets.</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UNDP-NCE Technical Adviser</w:t>
            </w:r>
          </w:p>
        </w:tc>
        <w:tc>
          <w:tcPr>
            <w:tcW w:w="5000" w:type="dxa"/>
            <w:gridSpan w:val="1"/>
          </w:tcPr>
          <w:p>
            <w:pPr/>
            <w:r>
              <w:rPr/>
              <w:t xml:space="preserve">Mr. Sofiane Mahjoub (sofiane.mahjoub@undp.org)</w:t>
            </w:r>
          </w:p>
        </w:tc>
      </w:tr>
      <w:tr>
        <w:trPr/>
        <w:tc>
          <w:tcPr>
            <w:tcW w:w="5000" w:type="dxa"/>
            <w:gridSpan w:val="1"/>
          </w:tcPr>
          <w:p>
            <w:pPr/>
            <w:r>
              <w:rPr/>
              <w:t xml:space="preserve">UNDP-NCE Programme Associate</w:t>
            </w:r>
          </w:p>
        </w:tc>
        <w:tc>
          <w:tcPr>
            <w:tcW w:w="5000" w:type="dxa"/>
            <w:gridSpan w:val="1"/>
          </w:tcPr>
          <w:p>
            <w:pPr/>
            <w:r>
              <w:rPr/>
              <w:t xml:space="preserve">Ms. Pinyavi Chaiwongsrisuk (pinyavi.chaiwongsrisuk@undp.org)</w:t>
            </w:r>
          </w:p>
        </w:tc>
      </w:tr>
      <w:tr>
        <w:trPr/>
        <w:tc>
          <w:tcPr>
            <w:tcW w:w="5000" w:type="dxa"/>
            <w:gridSpan w:val="1"/>
          </w:tcPr>
          <w:p>
            <w:pPr/>
            <w:r>
              <w:rPr/>
              <w:t xml:space="preserve">Project Manager/Coordinator</w:t>
            </w:r>
          </w:p>
        </w:tc>
        <w:tc>
          <w:tcPr>
            <w:tcW w:w="5000" w:type="dxa"/>
            <w:gridSpan w:val="1"/>
          </w:tcPr>
          <w:p>
            <w:pPr/>
            <w:r>
              <w:rPr/>
              <w:t xml:space="preserve">King Sam (ksam.picrc@gmail.com)</w:t>
            </w:r>
          </w:p>
        </w:tc>
      </w:tr>
      <w:tr>
        <w:trPr/>
        <w:tc>
          <w:tcPr>
            <w:tcW w:w="5000" w:type="dxa"/>
            <w:gridSpan w:val="1"/>
          </w:tcPr>
          <w:p>
            <w:pPr/>
            <w:r>
              <w:rPr/>
              <w:t xml:space="preserve">UNDP Country Office Programme Officer</w:t>
            </w:r>
          </w:p>
        </w:tc>
        <w:tc>
          <w:tcPr>
            <w:tcW w:w="5000" w:type="dxa"/>
            <w:gridSpan w:val="1"/>
          </w:tcPr>
          <w:p>
            <w:pPr/>
            <w:r>
              <w:rPr/>
              <w:t xml:space="preserve">Ms. Anne Trevor (anne.trevor@undp.org)</w:t>
            </w:r>
          </w:p>
          <w:p>
            <w:pPr/>
            <w:r>
              <w:rPr/>
              <w:t xml:space="preserve">Ms. Vasiti Navuku (vasiti.navuku@undp.org)</w:t>
            </w:r>
          </w:p>
        </w:tc>
      </w:tr>
      <w:tr>
        <w:trPr/>
        <w:tc>
          <w:tcPr>
            <w:tcW w:w="5000" w:type="dxa"/>
            <w:gridSpan w:val="1"/>
          </w:tcPr>
          <w:p>
            <w:pPr/>
            <w:r>
              <w:rPr/>
              <w:t xml:space="preserve">UNDP Country Office Deputy Resident Representative</w:t>
            </w:r>
          </w:p>
        </w:tc>
        <w:tc>
          <w:tcPr>
            <w:tcW w:w="5000" w:type="dxa"/>
            <w:gridSpan w:val="1"/>
          </w:tcPr>
          <w:p>
            <w:pPr/>
            <w:r>
              <w:rPr/>
              <w:t xml:space="preserve">Mr. Kevin Joseph PETRINI (kevin.petrini@undp.org)</w:t>
            </w:r>
          </w:p>
        </w:tc>
      </w:tr>
      <w:tr>
        <w:trPr/>
        <w:tc>
          <w:tcPr>
            <w:tcW w:w="5000" w:type="dxa"/>
            <w:gridSpan w:val="1"/>
          </w:tcPr>
          <w:p>
            <w:pPr/>
            <w:r>
              <w:rPr/>
              <w:t xml:space="preserve">UNDP Regional Bureau Desk Officer</w:t>
            </w:r>
          </w:p>
        </w:tc>
        <w:tc>
          <w:tcPr>
            <w:tcW w:w="5000" w:type="dxa"/>
            <w:gridSpan w:val="1"/>
          </w:tcPr>
          <w:p>
            <w:pPr/>
            <w:r>
              <w:rPr/>
              <w:t xml:space="preserve">Ms. Rany PEN (rany.pen@undp.org)</w:t>
            </w:r>
          </w:p>
          <w:p>
            <w:pPr/>
            <w:r>
              <w:rPr/>
              <w:t xml:space="preserve">Mr. Paolo DALLA STELLA (paolo.d.stella@undp.org)</w:t>
            </w:r>
          </w:p>
        </w:tc>
      </w:tr>
      <w:tr>
        <w:trPr/>
        <w:tc>
          <w:tcPr>
            <w:tcW w:w="5000" w:type="dxa"/>
            <w:gridSpan w:val="1"/>
          </w:tcPr>
          <w:p>
            <w:pPr/>
            <w:r>
              <w:rPr/>
              <w:t xml:space="preserve">GEF Operational Focal Point</w:t>
            </w:r>
          </w:p>
        </w:tc>
        <w:tc>
          <w:tcPr>
            <w:tcW w:w="5000" w:type="dxa"/>
            <w:gridSpan w:val="1"/>
          </w:tcPr>
          <w:p>
            <w:pPr/>
            <w:r>
              <w:rPr/>
              <w:t xml:space="preserve">Ms. Charlene Mersai (charmersai@gmail.com)</w:t>
            </w:r>
          </w:p>
        </w:tc>
      </w:tr>
      <w:tr>
        <w:trPr/>
        <w:tc>
          <w:tcPr>
            <w:tcW w:w="5000" w:type="dxa"/>
            <w:gridSpan w:val="1"/>
          </w:tcPr>
          <w:p>
            <w:pPr/>
            <w:r>
              <w:rPr/>
              <w:t xml:space="preserve">Project Implementing Partner</w:t>
            </w:r>
          </w:p>
        </w:tc>
        <w:tc>
          <w:tcPr>
            <w:tcW w:w="5000" w:type="dxa"/>
            <w:gridSpan w:val="1"/>
          </w:tcPr>
          <w:p>
            <w:pPr/>
            <w:r>
              <w:rPr/>
              <w:t xml:space="preserve">Ms. Elilai Ngirmang (elilai.ngirmang@gmail.com)</w:t>
            </w:r>
          </w:p>
          <w:p>
            <w:pPr/>
            <w:r>
              <w:rPr/>
              <w:t xml:space="preserve">Ms. Persis Omelau (omelaupersis@gmail.com)</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Unsatisfactory</w:t>
            </w:r>
          </w:p>
        </w:tc>
      </w:tr>
      <w:tr>
        <w:trPr/>
        <w:tc>
          <w:tcPr>
            <w:tcW w:w="8000" w:type="dxa"/>
            <w:gridSpan w:val="1"/>
          </w:tcPr>
          <w:p>
            <w:pPr/>
            <w:r>
              <w:rPr/>
              <w:t xml:space="preserve">Overall IP Rating</w:t>
            </w:r>
          </w:p>
        </w:tc>
        <w:tc>
          <w:tcPr>
            <w:tcW w:w="8000" w:type="dxa"/>
            <w:gridSpan w:val="1"/>
          </w:tcPr>
          <w:p>
            <w:pPr/>
            <w:r>
              <w:rPr/>
              <w:t xml:space="preserve">Unsatisfactory</w:t>
            </w:r>
          </w:p>
        </w:tc>
      </w:tr>
      <w:tr>
        <w:trPr/>
        <w:tc>
          <w:tcPr>
            <w:tcW w:w="8000" w:type="dxa"/>
            <w:gridSpan w:val="1"/>
          </w:tcPr>
          <w:p>
            <w:pPr/>
            <w:r>
              <w:rPr/>
              <w:t xml:space="preserve">Overall Risk Rating</w:t>
            </w:r>
          </w:p>
        </w:tc>
        <w:tc>
          <w:tcPr>
            <w:tcW w:w="8000" w:type="dxa"/>
            <w:gridSpan w:val="1"/>
          </w:tcPr>
          <w:p>
            <w:pPr/>
            <w:r>
              <w:rPr/>
              <w:t xml:space="preserve">moderate</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Strengthen the Institutional and Governance Structure and Implement a Strategic Plan for the Sustainable Management of the Palau National Marine Sanctuary and Domestic Fishing Zone and provide a healthy and productive ecosystem  for the benefit of all people of Palau</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INDICATOR 1</w:t>
            </w:r>
          </w:p>
          <w:p>
            <w:pPr/>
            <w:r>
              <w:rPr/>
              <w:t xml:space="preserve">Mandatory Indicator 1: Direct Project beneficiaries</w:t>
            </w:r>
          </w:p>
          <w:p>
            <w:pPr/>
            <w:r>
              <w:rPr/>
              <w:t xml:space="preserve"/>
            </w:r>
          </w:p>
          <w:p>
            <w:pPr/>
            <w:r>
              <w:rPr/>
              <w:t xml:space="preserve"/>
            </w:r>
          </w:p>
        </w:tc>
        <w:tc>
          <w:tcPr>
            <w:tcW w:w="2000" w:type="dxa"/>
            <w:gridSpan w:val="1"/>
          </w:tcPr>
          <w:p>
            <w:pPr/>
            <w:r>
              <w:rPr/>
              <w:t xml:space="preserve">Less than 1%. Population of Palau is not yet realising the benefits of the MPA/PNMS or the DFZ as a result of lack of knowledge and awareness and inadequate human resources</w:t>
            </w:r>
          </w:p>
        </w:tc>
        <w:tc>
          <w:tcPr>
            <w:tcW w:w="2000" w:type="dxa"/>
            <w:gridSpan w:val="1"/>
          </w:tcPr>
          <w:p>
            <w:pPr/>
            <w:r>
              <w:rPr/>
              <w:t xml:space="preserve">Demographics survey showing strong improvement in understanding and benefit (livelihoods and food security) particularly for women and poorer communities. Indicator 1 and 2 improved by 20%</w:t>
            </w:r>
          </w:p>
          <w:p>
            <w:pPr/>
            <w:r>
              <w:rPr/>
              <w:t xml:space="preserve"/>
            </w:r>
          </w:p>
          <w:p>
            <w:pPr/>
            <w:r>
              <w:rPr/>
              <w:t xml:space="preserve"/>
            </w:r>
          </w:p>
        </w:tc>
        <w:tc>
          <w:tcPr>
            <w:tcW w:w="2000" w:type="dxa"/>
            <w:gridSpan w:val="1"/>
          </w:tcPr>
          <w:p>
            <w:pPr/>
            <w:r>
              <w:rPr/>
              <w:t xml:space="preserve">Approx 2,000 persons (600 women) from tourism sector, fisheries sector,</w:t>
            </w:r>
          </w:p>
        </w:tc>
        <w:tc>
          <w:tcPr>
            <w:tcW w:w="4000" w:type="dxa"/>
            <w:gridSpan w:val="1"/>
          </w:tcPr>
          <w:p>
            <w:pPr/>
            <w:r>
              <w:rPr/>
              <w:t xml:space="preserve">It should be noted that we have requested revising some indicators to accurately measure project progress.  We are still working with UNDP to resolve this issue.  In this context, I will answer the questions as best I can.</w:t>
            </w:r>
          </w:p>
          <w:p>
            <w:pPr/>
            <w:r>
              <w:rPr/>
              <w:t xml:space="preserve">A socioeconomic assessment was conducted in the state of Airai (1 of 16 states in Palau) to understand how people perceived benefits relating to the PNMS. A Palau-wide assessment will be undertaken within 2022.  The Airai Report is included for understanding.</w:t>
            </w:r>
          </w:p>
        </w:tc>
        <w:tc>
          <w:tcPr>
            <w:tcW w:w="4000" w:type="dxa"/>
            <w:gridSpan w:val="1"/>
          </w:tcPr>
          <w:p>
            <w:pPr/>
            <w:r>
              <w:rPr/>
              <w:t xml:space="preserve">Approximately 105 individuals (based the Airai study)</w:t>
            </w:r>
          </w:p>
          <w:p>
            <w:pPr/>
            <w:r>
              <w:rPr/>
              <w:t xml:space="preserve"/>
            </w:r>
          </w:p>
          <w:p>
            <w:pPr/>
            <w:r>
              <w:rPr/>
              <w:t xml:space="preserve">An island-wide socioeconomic assessment is currently underway and is expected to be completed by the end of 2023.  This is a scaling up of the study that was conducted in the state of Airai. Data analysis will begin after the completion of data collection and therefore, no preliminary results are available to share.  As such, we are unable to provide any numbers at this point.  The Airai study surveyed 266 individuals (53% female, 47% male). The majority of respondents (39.8%) indicated high support for the PNMS and the closure of 80% of Palau’s EEZ. The main finding of the Airai study showed, (1)Preference for pelagic fish consumption may potentially increase with an increase in consistent availability of affordable pelagic fish and (2) There is a strong need for outreach/awareness and education to all levels of the community focused on addressing misperceptions</w:t>
            </w:r>
          </w:p>
          <w:p>
            <w:pPr/>
            <w:r>
              <w:rPr/>
              <w:t xml:space="preserve"/>
            </w:r>
          </w:p>
          <w:p>
            <w:pPr/>
            <w:r>
              <w:rPr/>
              <w:t xml:space="preserve">The methods for household survey administration and selection and use of enumerators have been uploaded for reference.</w:t>
            </w:r>
          </w:p>
          <w:p>
            <w:pPr/>
            <w:r>
              <w:rPr/>
              <w:t xml:space="preserve"/>
            </w:r>
          </w:p>
          <w:p>
            <w:pPr/>
            <w:r>
              <w:rPr/>
              <w:t xml:space="preserve">Reference in uploaded evidence:</w:t>
            </w:r>
          </w:p>
          <w:p>
            <w:pPr/>
            <w:r>
              <w:rPr/>
              <w:t xml:space="preserve">1. PNMS SE Report_FINAL_28 March 202].pdf (Airai survey)</w:t>
            </w:r>
          </w:p>
          <w:p>
            <w:pPr/>
            <w:r>
              <w:rPr/>
              <w:t xml:space="preserve">2. Methods_Household Survey</w:t>
            </w:r>
          </w:p>
          <w:p>
            <w:pPr/>
            <w:r>
              <w:rPr/>
              <w:t xml:space="preserve">3. Enumerator SE survey</w:t>
            </w:r>
          </w:p>
          <w:p>
            <w:pPr/>
            <w:r>
              <w:rPr/>
              <w:t xml:space="preserve"/>
            </w:r>
          </w:p>
        </w:tc>
      </w:tr>
      <w:tr>
        <w:trPr/>
        <w:tc>
          <w:tcPr>
            <w:tcW w:w="4000" w:type="dxa"/>
            <w:gridSpan w:val="1"/>
          </w:tcPr>
          <w:p>
            <w:pPr/>
            <w:r>
              <w:rPr/>
              <w:t xml:space="preserve">INDICATOR 2: Mandatory Indicator 2: Indirect Project beneficiaries</w:t>
            </w:r>
          </w:p>
          <w:p>
            <w:pPr/>
            <w:r>
              <w:rPr/>
              <w:t xml:space="preserve"/>
            </w:r>
          </w:p>
        </w:tc>
        <w:tc>
          <w:tcPr>
            <w:tcW w:w="2000" w:type="dxa"/>
            <w:gridSpan w:val="1"/>
          </w:tcPr>
          <w:p>
            <w:pPr/>
            <w:r>
              <w:rPr/>
              <w:t xml:space="preserve">Less than 1%</w:t>
            </w:r>
          </w:p>
          <w:p>
            <w:pPr/>
            <w:r>
              <w:rPr/>
              <w:t xml:space="preserve">As above</w:t>
            </w:r>
          </w:p>
          <w:p>
            <w:pPr/>
            <w:r>
              <w:rPr/>
              <w:t xml:space="preserve"/>
            </w:r>
          </w:p>
        </w:tc>
        <w:tc>
          <w:tcPr>
            <w:tcW w:w="2000" w:type="dxa"/>
            <w:gridSpan w:val="1"/>
          </w:tcPr>
          <w:p>
            <w:pPr/>
            <w:r>
              <w:rPr/>
              <w:t xml:space="preserve">na</w:t>
            </w:r>
          </w:p>
        </w:tc>
        <w:tc>
          <w:tcPr>
            <w:tcW w:w="2000" w:type="dxa"/>
            <w:gridSpan w:val="1"/>
          </w:tcPr>
          <w:p>
            <w:pPr/>
            <w:r>
              <w:rPr/>
              <w:t xml:space="preserve">100% - Confirmation of overall beneficiaries from the GEF investment in this Project = 20,135 (overall population) with 45% women (9,014)</w:t>
            </w:r>
          </w:p>
        </w:tc>
        <w:tc>
          <w:tcPr>
            <w:tcW w:w="4000" w:type="dxa"/>
            <w:gridSpan w:val="1"/>
          </w:tcPr>
          <w:p>
            <w:pPr/>
            <w:r>
              <w:rPr/>
              <w:t xml:space="preserve">A national event celebrating the 6th anniversary of the enactment of the PNMS legislation was held on Oct. 28, 2021.  Over 200 people participated in the event.  Links are provided for this.</w:t>
            </w:r>
          </w:p>
        </w:tc>
        <w:tc>
          <w:tcPr>
            <w:tcW w:w="4000" w:type="dxa"/>
            <w:gridSpan w:val="1"/>
          </w:tcPr>
          <w:p>
            <w:pPr/>
            <w:r>
              <w:rPr/>
              <w:t xml:space="preserve">105 individuals based on the Airai study</w:t>
            </w:r>
          </w:p>
          <w:p>
            <w:pPr/>
            <w:r>
              <w:rPr/>
              <w:t xml:space="preserve"/>
            </w:r>
          </w:p>
          <w:p>
            <w:pPr/>
            <w:r>
              <w:rPr/>
              <w:t xml:space="preserve">The above-mentioned socioeconomic study will inform on the status of this indicator and will be reported in the 2024 reporting period.  Data analysis will begin after the completion of data collection and therefore, no preliminary results are available to share.  As stated above, we are unable to provide any numbers at this point.</w:t>
            </w:r>
          </w:p>
          <w:p>
            <w:pPr/>
            <w:r>
              <w:rPr/>
              <w:t xml:space="preserve"/>
            </w:r>
          </w:p>
          <w:p>
            <w:pPr/>
            <w:r>
              <w:rPr/>
              <w:t xml:space="preserve">Reference in uploaded evidence:</w:t>
            </w:r>
          </w:p>
          <w:p>
            <w:pPr/>
            <w:r>
              <w:rPr/>
              <w:t xml:space="preserve">1. PNMS SE Report_FINAL_28 March 202].pdf (Airai survey)</w:t>
            </w:r>
          </w:p>
          <w:p>
            <w:pPr/>
            <w:r>
              <w:rPr/>
              <w:t xml:space="preserve">2. Methods_Household Survey</w:t>
            </w:r>
          </w:p>
          <w:p>
            <w:pPr/>
            <w:r>
              <w:rPr/>
              <w:t xml:space="preserve">3. Enumerator SE survey</w:t>
            </w:r>
          </w:p>
        </w:tc>
      </w:tr>
      <w:tr>
        <w:trPr/>
        <w:tc>
          <w:tcPr>
            <w:tcW w:w="4000" w:type="dxa"/>
            <w:gridSpan w:val="1"/>
          </w:tcPr>
          <w:p>
            <w:pPr/>
            <w:r>
              <w:rPr/>
              <w:t xml:space="preserve">INDICATOR 3</w:t>
            </w:r>
          </w:p>
          <w:p>
            <w:pPr/>
            <w:r>
              <w:rPr/>
              <w:t xml:space="preserve">Core Indicator 2:</w:t>
            </w:r>
          </w:p>
          <w:p>
            <w:pPr/>
            <w:r>
              <w:rPr/>
              <w:t xml:space="preserve">Marine protected areas created or under improved management for conservation and sustainable use</w:t>
            </w:r>
          </w:p>
          <w:p>
            <w:pPr/>
            <w:r>
              <w:rPr/>
              <w:t xml:space="preserve"/>
            </w:r>
          </w:p>
        </w:tc>
        <w:tc>
          <w:tcPr>
            <w:tcW w:w="2000" w:type="dxa"/>
            <w:gridSpan w:val="1"/>
          </w:tcPr>
          <w:p>
            <w:pPr/>
            <w:r>
              <w:rPr/>
              <w:t xml:space="preserve">Less than 2% (950,000 Ha) of area effectively managed. MPA currently having limited to zero effect on improving management and conservation for sustainable use.</w:t>
            </w:r>
          </w:p>
        </w:tc>
        <w:tc>
          <w:tcPr>
            <w:tcW w:w="2000" w:type="dxa"/>
            <w:gridSpan w:val="1"/>
          </w:tcPr>
          <w:p>
            <w:pPr/>
            <w:r>
              <w:rPr/>
              <w:t xml:space="preserve">80% under improved management. PNMS management and administrative processes fully functional within PICRC (Palau International Coral Reef Center)</w:t>
            </w:r>
          </w:p>
        </w:tc>
        <w:tc>
          <w:tcPr>
            <w:tcW w:w="2000" w:type="dxa"/>
            <w:gridSpan w:val="1"/>
          </w:tcPr>
          <w:p>
            <w:pPr/>
            <w:r>
              <w:rPr/>
              <w:t xml:space="preserve">80% (47.5 million Hectares) of EEZ under fully effective management as a marine sanctuary and no-take zone</w:t>
            </w:r>
          </w:p>
        </w:tc>
        <w:tc>
          <w:tcPr>
            <w:tcW w:w="4000" w:type="dxa"/>
            <w:gridSpan w:val="1"/>
          </w:tcPr>
          <w:p>
            <w:pPr/>
            <w:r>
              <w:rPr/>
              <w:t xml:space="preserve">Agreements have been put in place with implementing partners (Ministry of Justice and Ministry of Agriculture, Fisheries and Environment) who are the respective authorities for managing the PNMS.  The agreements are attached.</w:t>
            </w:r>
          </w:p>
        </w:tc>
        <w:tc>
          <w:tcPr>
            <w:tcW w:w="4000" w:type="dxa"/>
            <w:gridSpan w:val="1"/>
          </w:tcPr>
          <w:p>
            <w:pPr/>
            <w:r>
              <w:rPr/>
              <w:t xml:space="preserve">50%</w:t>
            </w:r>
          </w:p>
          <w:p>
            <w:pPr/>
            <w:r>
              <w:rPr/>
              <w:t xml:space="preserve">The development of the PNMS strategic plan has been underway since the beginning of 2022 and is expected to be completed by the end of 2023. Drafts of the strategies (volume 1 &amp; 2) have been uploaded (for your understanding only and not to be widely distributed in its current form).</w:t>
            </w:r>
          </w:p>
          <w:p>
            <w:pPr/>
            <w:r>
              <w:rPr/>
              <w:t xml:space="preserve">Effective management of the 80% will require formal and regular collaboration of the management authorities (fisheries, enforcement &amp; surveillance and research &amp; education/outreach).  The PNMS strategic plan is expected to enable a framework for such collaboration.  Focus is not on the creation of MPAs but rather on the improvement of management.</w:t>
            </w:r>
          </w:p>
          <w:p>
            <w:pPr/>
            <w:r>
              <w:rPr/>
              <w:t xml:space="preserve"/>
            </w:r>
          </w:p>
          <w:p>
            <w:pPr/>
            <w:r>
              <w:rPr/>
              <w:t xml:space="preserve">Reference in uploaded evidence:</w:t>
            </w:r>
          </w:p>
          <w:p>
            <w:pPr/>
            <w:r>
              <w:rPr/>
              <w:t xml:space="preserve">1. PNMS Strategy Plan Vol. 1</w:t>
            </w:r>
          </w:p>
          <w:p>
            <w:pPr/>
            <w:r>
              <w:rPr/>
              <w:t xml:space="preserve">2. PNMS Strategy Plan Vol. 2</w:t>
            </w:r>
          </w:p>
        </w:tc>
      </w:tr>
      <w:tr>
        <w:trPr/>
        <w:tc>
          <w:tcPr>
            <w:tcW w:w="4000" w:type="dxa"/>
            <w:gridSpan w:val="1"/>
          </w:tcPr>
          <w:p>
            <w:pPr/>
            <w:r>
              <w:rPr/>
              <w:t xml:space="preserve">INDICATOR 4</w:t>
            </w:r>
          </w:p>
          <w:p>
            <w:pPr/>
            <w:r>
              <w:rPr/>
              <w:t xml:space="preserve">Core Indicator 5:</w:t>
            </w:r>
          </w:p>
          <w:p>
            <w:pPr/>
            <w:r>
              <w:rPr/>
              <w:t xml:space="preserve">Area of marine habitat under improved practices to benefit biodiversity</w:t>
            </w:r>
          </w:p>
          <w:p>
            <w:pPr/>
            <w:r>
              <w:rPr/>
              <w:t xml:space="preserve"/>
            </w:r>
          </w:p>
        </w:tc>
        <w:tc>
          <w:tcPr>
            <w:tcW w:w="2000" w:type="dxa"/>
            <w:gridSpan w:val="1"/>
          </w:tcPr>
          <w:p>
            <w:pPr/>
            <w:r>
              <w:rPr/>
              <w:t xml:space="preserve">Zero % of Domestic Fishing Zone – no management as yet.</w:t>
            </w:r>
          </w:p>
        </w:tc>
        <w:tc>
          <w:tcPr>
            <w:tcW w:w="2000" w:type="dxa"/>
            <w:gridSpan w:val="1"/>
          </w:tcPr>
          <w:p>
            <w:pPr/>
            <w:r>
              <w:rPr/>
              <w:t xml:space="preserve">20% of Domestic Fishing Zone under formal management</w:t>
            </w:r>
          </w:p>
        </w:tc>
        <w:tc>
          <w:tcPr>
            <w:tcW w:w="2000" w:type="dxa"/>
            <w:gridSpan w:val="1"/>
          </w:tcPr>
          <w:p>
            <w:pPr/>
            <w:r>
              <w:rPr/>
              <w:t xml:space="preserve">20% (11.8 Million Hectares) of EEZ and territorial waters under strict management as a domestic fishery with limited and controlled commercial fishing and exportation</w:t>
            </w:r>
          </w:p>
        </w:tc>
        <w:tc>
          <w:tcPr>
            <w:tcW w:w="4000" w:type="dxa"/>
            <w:gridSpan w:val="1"/>
          </w:tcPr>
          <w:p>
            <w:pPr/>
            <w:r>
              <w:rPr/>
              <w:t xml:space="preserve">The only local fishing company operating right now is the Belau Offshore Fishers Inc (BOFI).  They have begun fishing within the 20% domestic fishing zone.  Data is collected when fish is being off-loaded to support research efforts and there is a collaborative agreement in place with them, provided here.</w:t>
            </w:r>
          </w:p>
        </w:tc>
        <w:tc>
          <w:tcPr>
            <w:tcW w:w="4000" w:type="dxa"/>
            <w:gridSpan w:val="1"/>
          </w:tcPr>
          <w:p>
            <w:pPr/>
            <w:r>
              <w:rPr/>
              <w:t xml:space="preserve">Progress of this target is 2.</w:t>
            </w:r>
          </w:p>
          <w:p>
            <w:pPr/>
            <w:r>
              <w:rPr/>
              <w:t xml:space="preserve">Establishing a monitoring program and standard measurements cannot be determined at this stage given a lack of understanding of local and regional level data management systems and analysis for tracking.</w:t>
            </w:r>
          </w:p>
          <w:p>
            <w:pPr/>
            <w:r>
              <w:rPr/>
              <w:t xml:space="preserve"/>
            </w:r>
          </w:p>
          <w:p>
            <w:pPr/>
            <w:r>
              <w:rPr/>
              <w:t xml:space="preserve">A new locally established longline fishing company has started fishing within the DFZ.  The company is called the Palau Commercial Fishing Company (PCFC).  Through the project, have established partnership agreements with both PCFC and BOFI which have been uploaded for reference.  It is important to note that the domestic fishery (20% of the EEZ) is already under management with only two locally based fishing companies operating in this space along with a fleet from Okinawa.  The agreements indicated here with the two local fishing companies allow us to begin collecting catch data to eventually inform appropriate management measures.  The 20% fishing zone is established by law and is being deliberated through the ongoing marine spatial planning exercise.  This is a nationally mandated process that is led by the Ministry of Agriculture, Fisheries &amp; Environment, not the PMU.</w:t>
            </w:r>
          </w:p>
          <w:p>
            <w:pPr/>
            <w:r>
              <w:rPr/>
              <w:t xml:space="preserve"/>
            </w:r>
          </w:p>
          <w:p>
            <w:pPr/>
            <w:r>
              <w:rPr/>
              <w:t xml:space="preserve">Reference for uploaded evidence:</w:t>
            </w:r>
          </w:p>
          <w:p>
            <w:pPr/>
            <w:r>
              <w:rPr/>
              <w:t xml:space="preserve">1. MOU_BOFI_PICRC_Fishing Day_3.8.22</w:t>
            </w:r>
          </w:p>
          <w:p>
            <w:pPr/>
            <w:r>
              <w:rPr/>
              <w:t xml:space="preserve">2. MOU_PCFC_3.31.23</w:t>
            </w:r>
          </w:p>
          <w:p>
            <w:pPr/>
            <w:r>
              <w:rPr/>
              <w:t xml:space="preserve">3. PNMS Science_Monitoring Strategy</w:t>
            </w:r>
          </w:p>
        </w:tc>
      </w:tr>
      <w:tr>
        <w:trPr/>
        <w:tc>
          <w:tcPr>
            <w:tcW w:w="4000" w:type="dxa"/>
            <w:gridSpan w:val="1"/>
          </w:tcPr>
          <w:p>
            <w:pPr/>
            <w:r>
              <w:rPr/>
              <w:t xml:space="preserve">INDICATOR 5</w:t>
            </w:r>
          </w:p>
          <w:p>
            <w:pPr/>
            <w:r>
              <w:rPr/>
              <w:t xml:space="preserve">Core Indicator 8: Globally over-exploited marine fisheries moved to more sustainable levels</w:t>
            </w:r>
          </w:p>
          <w:p>
            <w:pPr/>
            <w:r>
              <w:rPr/>
              <w:t xml:space="preserve"/>
            </w:r>
          </w:p>
        </w:tc>
        <w:tc>
          <w:tcPr>
            <w:tcW w:w="2000" w:type="dxa"/>
            <w:gridSpan w:val="1"/>
          </w:tcPr>
          <w:p>
            <w:pPr/>
            <w:r>
              <w:rPr/>
              <w:t xml:space="preserve">Approx 2% as above equivalent to 225 tonnes sustainable</w:t>
            </w:r>
          </w:p>
        </w:tc>
        <w:tc>
          <w:tcPr>
            <w:tcW w:w="2000" w:type="dxa"/>
            <w:gridSpan w:val="1"/>
          </w:tcPr>
          <w:p>
            <w:pPr/>
            <w:r>
              <w:rPr/>
              <w:t xml:space="preserve">Improved by 50% (10,625 tonnes)</w:t>
            </w:r>
          </w:p>
        </w:tc>
        <w:tc>
          <w:tcPr>
            <w:tcW w:w="2000" w:type="dxa"/>
            <w:gridSpan w:val="1"/>
          </w:tcPr>
          <w:p>
            <w:pPr/>
            <w:r>
              <w:rPr/>
              <w:t xml:space="preserve">21,250 metric tonnes per annum of fishery moved to more sustainable levels</w:t>
            </w:r>
          </w:p>
        </w:tc>
        <w:tc>
          <w:tcPr>
            <w:tcW w:w="4000" w:type="dxa"/>
            <w:gridSpan w:val="1"/>
          </w:tcPr>
          <w:p>
            <w:pPr/>
            <w:r>
              <w:rPr/>
              <w:t xml:space="preserve">Enactment of the PNMS legislation led to the exit of all locally based fishing companies.  This was exacerbated by COVID19 which led to reduced fishing effort from BOFI and zero export.  It is important to note that we are trying to access fishing data from the Japanese fleet who offload catch in Okinawa.  We have begun compiling the data which is limited but we hope to build on it.  This can be seen in the fish graphs attached.</w:t>
            </w:r>
          </w:p>
        </w:tc>
        <w:tc>
          <w:tcPr>
            <w:tcW w:w="4000" w:type="dxa"/>
            <w:gridSpan w:val="1"/>
          </w:tcPr>
          <w:p>
            <w:pPr/>
            <w:r>
              <w:rPr/>
              <w:t xml:space="preserve">Progress of this target is Zero as this is yet to be  determined. The determination of appropriate levels of efforts for sustainable fishing is determined at the regional level and will require long-term engagements with regional fisheries management organizations and multilateral negotiations to effectively address.  At the national level, efforts are ongoing to develop a viable science &amp; monitoring program for the PNMS.  We have recently completed the first PNMS Science &amp; Monitoring Strategy which will enable actions toward this indicator.  The strategy has been uploaded for your understanding.  Planning is underway for rolling out the strategy.  In terms of measuring the amount of fish to serve as an indicator of progress, it should be noted that the numbers indicated are historical data prior to a scaling down of fishing efforts beginning in 2015 and leading to the full implementation of the Palau National Marine Sanctuary in 2020 - where 80% of the EEZ was closed and 20% was designated as the fishing zone.  This effectively means there is no baseline of catch data and therefore any attempts to provide estimates would be arbitrary.  A quick review of 2021 data which has not been formally analyzed show a rough estimate of 9.49 tons of tuna caught by BOFI.  It should be noted that this is a very rough estimate that should merely indicate the beginnings of efforts to manage such data.  PCFC is relatively new and therefore we have yet to collect sufficient data to include here.  The Okinawan fleet also operates within the domestic fishing zone and efforts are ongoing to access this portion of catch data.</w:t>
            </w:r>
          </w:p>
          <w:p>
            <w:pPr/>
            <w:r>
              <w:rPr/>
              <w:t xml:space="preserve"/>
            </w:r>
          </w:p>
          <w:p>
            <w:pPr/>
            <w:r>
              <w:rPr/>
              <w:t xml:space="preserve">Reference for uploaded evidence:</w:t>
            </w:r>
          </w:p>
          <w:p>
            <w:pPr/>
            <w:r>
              <w:rPr/>
              <w:t xml:space="preserve">1. PNMS Science Monitoring Strategy</w:t>
            </w:r>
          </w:p>
          <w:p>
            <w:pPr/>
            <w:r>
              <w:rPr/>
              <w:t xml:space="preserve">2. MSP_Executive Order</w:t>
            </w:r>
          </w:p>
          <w:p>
            <w:pPr/>
            <w:r>
              <w:rPr/>
              <w:t xml:space="preserve">3. PNMS Science_Monitoring Strategy</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Off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w:t>
            </w:r>
          </w:p>
          <w:p>
            <w:pPr/>
            <w:r>
              <w:rPr>
                <w:b w:val="1"/>
                <w:bCs w:val="1"/>
              </w:rPr>
              <w:t xml:space="preserve">Institutional and Governance Realignment for Effective Monitoring and Adaptive Management within the PNMS and adjacent Domestic Fishing Zone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1.1</w:t>
            </w:r>
          </w:p>
          <w:p>
            <w:pPr/>
            <w:r>
              <w:rPr/>
              <w:t xml:space="preserve"/>
            </w:r>
          </w:p>
          <w:p>
            <w:pPr/>
            <w:r>
              <w:rPr/>
              <w:t xml:space="preserve">PNMS Institutional, Management and Regulatory Framework and mechanisms strengthened and under Implementation through enhanced national, regional and global support</w:t>
            </w:r>
          </w:p>
          <w:p>
            <w:pPr/>
            <w:r>
              <w:rPr/>
              <w:t xml:space="preserve"/>
            </w:r>
          </w:p>
        </w:tc>
        <w:tc>
          <w:tcPr>
            <w:tcW w:w="2000" w:type="dxa"/>
            <w:gridSpan w:val="1"/>
          </w:tcPr>
          <w:p>
            <w:pPr/>
            <w:r>
              <w:rPr/>
              <w:t xml:space="preserve">Limited control over illegal activities. Only 5-6 interdictions per annum</w:t>
            </w:r>
          </w:p>
          <w:p>
            <w:pPr/>
            <w:r>
              <w:rPr/>
              <w:t xml:space="preserve"/>
            </w:r>
          </w:p>
          <w:p>
            <w:pPr/>
            <w:r>
              <w:rPr/>
              <w:t xml:space="preserve">Lack of a current formal institutional base, inadequately defined mandates and responsibilities, and absence of a formally-agreed strategy and work-plan for effective management of the PNMS.</w:t>
            </w:r>
          </w:p>
          <w:p>
            <w:pPr/>
            <w:r>
              <w:rPr/>
              <w:t xml:space="preserve"/>
            </w:r>
          </w:p>
          <w:p>
            <w:pPr/>
            <w:r>
              <w:rPr/>
              <w:t xml:space="preserve">Inability to currently fully and effectively control harmful or illegal activities within the PNMS with limited control over illegal activities. Only 5-6 interdictions per annum</w:t>
            </w:r>
          </w:p>
          <w:p>
            <w:pPr/>
            <w:r>
              <w:rPr/>
              <w:t xml:space="preserve"/>
            </w:r>
          </w:p>
          <w:p>
            <w:pPr/>
            <w:r>
              <w:rPr/>
              <w:t xml:space="preserve">Baseline Score: 1</w:t>
            </w:r>
          </w:p>
          <w:p>
            <w:pPr/>
            <w:r>
              <w:rPr/>
              <w:t xml:space="preserve"/>
            </w:r>
          </w:p>
          <w:p>
            <w:pPr/>
            <w:r>
              <w:rPr/>
              <w:t xml:space="preserve"/>
            </w:r>
          </w:p>
          <w:p>
            <w:pPr/>
            <w:r>
              <w:rPr/>
              <w:t xml:space="preserve">New regulations that now apply to the Domestic Fishing Zone need enforcement and effective monitoring for compliance</w:t>
            </w:r>
          </w:p>
          <w:p>
            <w:pPr/>
            <w:r>
              <w:rPr/>
              <w:t xml:space="preserve"/>
            </w:r>
          </w:p>
          <w:p>
            <w:pPr/>
            <w:r>
              <w:rPr/>
              <w:t xml:space="preserve">No current harvesting strategies within DFZ</w:t>
            </w:r>
          </w:p>
          <w:p>
            <w:pPr/>
            <w:r>
              <w:rPr/>
              <w:t xml:space="preserve"/>
            </w:r>
          </w:p>
          <w:p>
            <w:pPr/>
            <w:r>
              <w:rPr/>
              <w:t xml:space="preserve">Baseline Score: 1</w:t>
            </w:r>
          </w:p>
          <w:p>
            <w:pPr/>
            <w:r>
              <w:rPr/>
              <w:t xml:space="preserve"/>
            </w:r>
          </w:p>
        </w:tc>
        <w:tc>
          <w:tcPr>
            <w:tcW w:w="2000" w:type="dxa"/>
            <w:gridSpan w:val="1"/>
          </w:tcPr>
          <w:p>
            <w:pPr/>
            <w:r>
              <w:rPr/>
              <w:t xml:space="preserve">PNMS Institutional /Administrative base/headquarters established and functional</w:t>
            </w:r>
          </w:p>
          <w:p>
            <w:pPr/>
            <w:r>
              <w:rPr/>
              <w:t xml:space="preserve"/>
            </w:r>
          </w:p>
          <w:p>
            <w:pPr/>
            <w:r>
              <w:rPr/>
              <w:t xml:space="preserve">Mandates and responsibilities of various government bodies clearly defined in adopted Strategic Plan</w:t>
            </w:r>
          </w:p>
          <w:p>
            <w:pPr/>
            <w:r>
              <w:rPr/>
              <w:t xml:space="preserve"/>
            </w:r>
          </w:p>
          <w:p>
            <w:pPr/>
            <w:r>
              <w:rPr/>
              <w:t xml:space="preserve">A Strategic Plan finalised and adopted along with an Operations Manual and Terms of Reference</w:t>
            </w:r>
          </w:p>
          <w:p>
            <w:pPr/>
            <w:r>
              <w:rPr/>
              <w:t xml:space="preserve"/>
            </w:r>
          </w:p>
          <w:p>
            <w:pPr/>
            <w:r>
              <w:rPr/>
              <w:t xml:space="preserve">indicator 6: Long-term Partnerships identified and formally adopted through a ‘Partnership Platform’ to provide support for scientific monitoring and MCS (including innovative technologies as per below)</w:t>
            </w:r>
          </w:p>
          <w:p>
            <w:pPr/>
            <w:r>
              <w:rPr/>
              <w:t xml:space="preserve"/>
            </w:r>
          </w:p>
          <w:p>
            <w:pPr/>
            <w:r>
              <w:rPr/>
              <w:t xml:space="preserve">MCS Action Plan reviewed and draft revision distributed for stakeholder input (including with regional partners)</w:t>
            </w:r>
          </w:p>
          <w:p>
            <w:pPr/>
            <w:r>
              <w:rPr/>
              <w:t xml:space="preserve"/>
            </w:r>
          </w:p>
          <w:p>
            <w:pPr/>
            <w:r>
              <w:rPr/>
              <w:t xml:space="preserve">New fisheries management strategies and regulations are under implementation and actively enforced</w:t>
            </w:r>
          </w:p>
          <w:p>
            <w:pPr/>
            <w:r>
              <w:rPr/>
              <w:t xml:space="preserve"/>
            </w:r>
          </w:p>
          <w:p>
            <w:pPr/>
            <w:r>
              <w:rPr/>
              <w:t xml:space="preserve">Mid Term Score Target: 2</w:t>
            </w:r>
          </w:p>
          <w:p>
            <w:pPr/>
            <w:r>
              <w:rPr/>
              <w:t xml:space="preserve"/>
            </w:r>
          </w:p>
          <w:p>
            <w:pPr/>
            <w:r>
              <w:rPr/>
              <w:t xml:space="preserve">Indicator 7: New fisheries management strategies and regulations adopted for the DFZ, under implementation and actively enforced. These management plans will clearly define the purpose of the DFZ as a domestic fishery for the benefit of Palauans with due consideration given to subsistence fisheries versus commercial foreign licensed fisheries and strict control and regulation of the latter</w:t>
            </w:r>
          </w:p>
          <w:p>
            <w:pPr/>
            <w:r>
              <w:rPr/>
              <w:t xml:space="preserve"/>
            </w:r>
          </w:p>
          <w:p>
            <w:pPr/>
            <w:r>
              <w:rPr/>
              <w:t xml:space="preserve">A food security assessment made relating to the long-term management of the DFZ with an emphasis on state benefits as well as national community benefits</w:t>
            </w:r>
          </w:p>
          <w:p>
            <w:pPr/>
            <w:r>
              <w:rPr/>
              <w:t xml:space="preserve"/>
            </w:r>
          </w:p>
          <w:p>
            <w:pPr/>
            <w:r>
              <w:rPr/>
              <w:t xml:space="preserve">Mid-Term Target Score: 2</w:t>
            </w:r>
          </w:p>
          <w:p>
            <w:pPr/>
            <w:r>
              <w:rPr/>
              <w:t xml:space="preserve"/>
            </w:r>
          </w:p>
          <w:p>
            <w:pPr/>
            <w:r>
              <w:rPr/>
              <w:t xml:space="preserve"/>
            </w:r>
          </w:p>
        </w:tc>
        <w:tc>
          <w:tcPr>
            <w:tcW w:w="2000" w:type="dxa"/>
            <w:gridSpan w:val="1"/>
          </w:tcPr>
          <w:p>
            <w:pPr/>
            <w:r>
              <w:rPr/>
              <w:t xml:space="preserve">Strategic Plan adopted and record of illegal activities within PNMS shows significant reduction by at least 50%</w:t>
            </w:r>
          </w:p>
          <w:p>
            <w:pPr/>
            <w:r>
              <w:rPr/>
              <w:t xml:space="preserve"/>
            </w:r>
          </w:p>
          <w:p>
            <w:pPr/>
            <w:r>
              <w:rPr/>
              <w:t xml:space="preserve">TE identifies an effective Partnership Platform supporting ecosystem monitoring as well as enforcement and compliance procedures</w:t>
            </w:r>
          </w:p>
          <w:p>
            <w:pPr/>
            <w:r>
              <w:rPr/>
              <w:t xml:space="preserve"/>
            </w:r>
          </w:p>
          <w:p>
            <w:pPr/>
            <w:r>
              <w:rPr/>
              <w:t xml:space="preserve">MCS Action Plan updated, adopted and fully implemented</w:t>
            </w:r>
          </w:p>
          <w:p>
            <w:pPr/>
            <w:r>
              <w:rPr/>
              <w:t xml:space="preserve"/>
            </w:r>
          </w:p>
          <w:p>
            <w:pPr/>
            <w:r>
              <w:rPr/>
              <w:t xml:space="preserve">Record of illegal activities within PNMS shows significant reduction by at least 50%</w:t>
            </w:r>
          </w:p>
          <w:p>
            <w:pPr/>
            <w:r>
              <w:rPr/>
              <w:t xml:space="preserve"/>
            </w:r>
          </w:p>
          <w:p>
            <w:pPr/>
            <w:r>
              <w:rPr/>
              <w:t xml:space="preserve">Ecosystem-based harvest strategies for at least 3 major commercial species are adopted and implemented within the DFZ and being assessed and acted on as part of an adaptive management approach</w:t>
            </w:r>
          </w:p>
          <w:p>
            <w:pPr/>
            <w:r>
              <w:rPr/>
              <w:t xml:space="preserve"/>
            </w:r>
          </w:p>
          <w:p>
            <w:pPr/>
            <w:r>
              <w:rPr/>
              <w:t xml:space="preserve">End of Project Target Score: 3</w:t>
            </w:r>
          </w:p>
          <w:p>
            <w:pPr/>
            <w:r>
              <w:rPr/>
              <w:t xml:space="preserve"/>
            </w:r>
          </w:p>
          <w:p>
            <w:pPr/>
            <w:r>
              <w:rPr/>
              <w:t xml:space="preserve">Ecosystem-based harvest strategies for at least 3 major commercial species are adopted and implemented within the DFZ and being assessed and acted on as part of an adaptive management and food security approach</w:t>
            </w:r>
          </w:p>
          <w:p>
            <w:pPr/>
            <w:r>
              <w:rPr/>
              <w:t xml:space="preserve"/>
            </w:r>
          </w:p>
          <w:p>
            <w:pPr/>
            <w:r>
              <w:rPr/>
              <w:t xml:space="preserve">Enforcement partnerships between state level and national level (MoJ, MNRET) established and implemented</w:t>
            </w:r>
          </w:p>
          <w:p>
            <w:pPr/>
            <w:r>
              <w:rPr/>
              <w:t xml:space="preserve"/>
            </w:r>
          </w:p>
          <w:p>
            <w:pPr/>
            <w:r>
              <w:rPr/>
              <w:t xml:space="preserve">End of Project Target Score: 3</w:t>
            </w:r>
          </w:p>
          <w:p>
            <w:pPr/>
            <w:r>
              <w:rPr/>
              <w:t xml:space="preserve"/>
            </w:r>
          </w:p>
          <w:p>
            <w:pPr/>
            <w:r>
              <w:rPr/>
              <w:t xml:space="preserve"/>
            </w:r>
          </w:p>
          <w:p>
            <w:pPr/>
            <w:r>
              <w:rPr/>
              <w:t xml:space="preserve"/>
            </w:r>
          </w:p>
        </w:tc>
        <w:tc>
          <w:tcPr>
            <w:tcW w:w="4000" w:type="dxa"/>
            <w:gridSpan w:val="1"/>
          </w:tcPr>
          <w:p>
            <w:pPr/>
            <w:r>
              <w:rPr/>
              <w:t xml:space="preserve">The project has enabled a positive collaboration with MOJ that has streamlined procedures for accessing surveillance and enforcement data.  Equally important is the partnership has allowed for collaborative research within the PNMS which is being done for the first time.  These activities are elaborated further in the attached links.</w:t>
            </w:r>
          </w:p>
        </w:tc>
        <w:tc>
          <w:tcPr>
            <w:tcW w:w="4000" w:type="dxa"/>
            <w:gridSpan w:val="1"/>
          </w:tcPr>
          <w:p>
            <w:pPr/>
            <w:r>
              <w:rPr/>
              <w:t xml:space="preserve">In response to outcome 1.1 targets under indicator 6, score is at 2-3; 50% improvement on the PNMS institutional, management and regulatory framework</w:t>
            </w:r>
          </w:p>
          <w:p>
            <w:pPr/>
            <w:r>
              <w:rPr/>
              <w:t xml:space="preserve"/>
            </w:r>
          </w:p>
          <w:p>
            <w:pPr/>
            <w:r>
              <w:rPr/>
              <w:t xml:space="preserve">Progress of indicator 7 is also 2 - 50% enforcement and monitoring for compliance</w:t>
            </w:r>
          </w:p>
          <w:p>
            <w:pPr/>
            <w:r>
              <w:rPr/>
              <w:t xml:space="preserve"/>
            </w:r>
          </w:p>
          <w:p>
            <w:pPr/>
            <w:r>
              <w:rPr/>
              <w:t xml:space="preserve">The above-mentioned draft PNMS strategic plan identifies this as the key objective to address.  Parallel to this is a marine spatial planning exercise currently underway that was initiated via national legislation and presidential executive order.  The marine spatial planning exercise is expected to provided recommendations informing policies regarding the designated (80% no take and 20% domestic fishing) PNMS zones and the governance structure and procedures for management to operate.  It should be noted that mandates and responsibilities of the government bodies cannot be clearly defined ahead of the marine spatial planning exercise.  The key challenge which has been reiterated across this report is essentially the marine spatial planning process.  Simply put, key project deliverables cannot supersede the outcomes of the marine spatial planning process.</w:t>
            </w:r>
          </w:p>
          <w:p>
            <w:pPr/>
            <w:r>
              <w:rPr/>
              <w:t xml:space="preserve"/>
            </w:r>
          </w:p>
          <w:p>
            <w:pPr/>
            <w:r>
              <w:rPr/>
              <w:t xml:space="preserve">The marine spatial planning executive committee and working groups have initiated this work.  The presidential executive order has been uploaded.</w:t>
            </w:r>
          </w:p>
          <w:p>
            <w:pPr/>
            <w:r>
              <w:rPr/>
              <w:t xml:space="preserve"/>
            </w:r>
          </w:p>
          <w:p>
            <w:pPr/>
            <w:r>
              <w:rPr/>
              <w:t xml:space="preserve">Reference in uploaded evidence:</w:t>
            </w:r>
          </w:p>
          <w:p>
            <w:pPr/>
            <w:r>
              <w:rPr/>
              <w:t xml:space="preserve">1. PNMS Strategy Plan Vol. 1</w:t>
            </w:r>
          </w:p>
          <w:p>
            <w:pPr/>
            <w:r>
              <w:rPr/>
              <w:t xml:space="preserve">2. PNMS Strategy Plan Vol. 2</w:t>
            </w:r>
          </w:p>
          <w:p>
            <w:pPr/>
            <w:r>
              <w:rPr/>
              <w:t xml:space="preserve"/>
            </w:r>
          </w:p>
        </w:tc>
      </w:tr>
      <w:tr>
        <w:trPr/>
        <w:tc>
          <w:tcPr>
            <w:tcW w:w="4000" w:type="dxa"/>
            <w:gridSpan w:val="1"/>
          </w:tcPr>
          <w:p>
            <w:pPr/>
            <w:r>
              <w:rPr/>
              <w:t xml:space="preserve">Outcome 1.2: Improved and effective management and governance of PNMS/DFZ through strengthened capacity, skills and knowledge  (including at the State, National, regional level as well as NGOs)</w:t>
            </w:r>
          </w:p>
          <w:p>
            <w:pPr/>
            <w:r>
              <w:rPr/>
              <w:t xml:space="preserve"/>
            </w:r>
          </w:p>
          <w:p>
            <w:pPr/>
            <w:r>
              <w:rPr/>
              <w:t xml:space="preserve">INDICATOR 8:</w:t>
            </w:r>
          </w:p>
          <w:p>
            <w:pPr/>
            <w:r>
              <w:rPr/>
              <w:t xml:space="preserve">Number of staff (disaggregated by males and females) that have undergone training and built capacity on PNMS governance and management</w:t>
            </w:r>
          </w:p>
          <w:p>
            <w:pPr/>
            <w:r>
              <w:rPr/>
              <w:t xml:space="preserve">INDICATOR 9:</w:t>
            </w:r>
          </w:p>
          <w:p>
            <w:pPr/>
            <w:r>
              <w:rPr/>
              <w:t xml:space="preserve">Extent of capacity building programme established in country on PNMS management &amp; monitoring</w:t>
            </w:r>
          </w:p>
          <w:p>
            <w:pPr/>
            <w:r>
              <w:rPr/>
              <w:t xml:space="preserve">Scores:</w:t>
            </w:r>
          </w:p>
          <w:p>
            <w:pPr/>
            <w:r>
              <w:rPr/>
              <w:t xml:space="preserve">1. No capacity building programme established in country on PNMS management &amp; monitoring</w:t>
            </w:r>
          </w:p>
          <w:p>
            <w:pPr/>
            <w:r>
              <w:rPr/>
              <w:t xml:space="preserve">2. 50% capacity building programme implemented in country on PNMS management and monitoring</w:t>
            </w:r>
          </w:p>
          <w:p>
            <w:pPr/>
            <w:r>
              <w:rPr/>
              <w:t xml:space="preserve">3.  Capacity building programme under full implementation  in country on PNMS management &amp; monitoring</w:t>
            </w:r>
          </w:p>
          <w:p>
            <w:pPr/>
            <w:r>
              <w:rPr/>
              <w:t xml:space="preserve"/>
            </w:r>
          </w:p>
        </w:tc>
        <w:tc>
          <w:tcPr>
            <w:tcW w:w="2000" w:type="dxa"/>
            <w:gridSpan w:val="1"/>
          </w:tcPr>
          <w:p>
            <w:pPr/>
            <w:r>
              <w:rPr/>
              <w:t xml:space="preserve">Only 2 technical staff in PNMS with any offshore skills. General shortage of trained and skilled technical and managerial staff to manage the PNMS  (no  specific programme within the PNMS for capacity building and training)</w:t>
            </w:r>
          </w:p>
          <w:p>
            <w:pPr/>
            <w:r>
              <w:rPr/>
              <w:t xml:space="preserve"/>
            </w:r>
          </w:p>
          <w:p>
            <w:pPr/>
            <w:r>
              <w:rPr/>
              <w:t xml:space="preserve">Baseline: 2</w:t>
            </w:r>
          </w:p>
          <w:p>
            <w:pPr/>
            <w:r>
              <w:rPr/>
              <w:t xml:space="preserve">No current in-country focused modular training courses supporting capacity-building,  training</w:t>
            </w:r>
          </w:p>
          <w:p>
            <w:pPr/>
            <w:r>
              <w:rPr/>
              <w:t xml:space="preserve"/>
            </w:r>
          </w:p>
          <w:p>
            <w:pPr/>
            <w:r>
              <w:rPr/>
              <w:t xml:space="preserve">Baseline Score: 1</w:t>
            </w:r>
          </w:p>
          <w:p>
            <w:pPr/>
            <w:r>
              <w:rPr/>
              <w:t xml:space="preserve"/>
            </w:r>
          </w:p>
        </w:tc>
        <w:tc>
          <w:tcPr>
            <w:tcW w:w="2000" w:type="dxa"/>
            <w:gridSpan w:val="1"/>
          </w:tcPr>
          <w:p>
            <w:pPr/>
            <w:r>
              <w:rPr/>
              <w:t xml:space="preserve">At least two Partnership Agreements in place with associated training and capacity building components</w:t>
            </w:r>
          </w:p>
          <w:p>
            <w:pPr/>
            <w:r>
              <w:rPr/>
              <w:t xml:space="preserve"/>
            </w:r>
          </w:p>
          <w:p>
            <w:pPr/>
            <w:r>
              <w:rPr/>
              <w:t xml:space="preserve">Mid-term Target: 6 male; 4 female</w:t>
            </w:r>
          </w:p>
          <w:p>
            <w:pPr/>
            <w:r>
              <w:rPr/>
              <w:t xml:space="preserve">Best Lessons and Practices captured through modular training courses and offered to in-country technical and managerial personnel and candidates</w:t>
            </w:r>
          </w:p>
          <w:p>
            <w:pPr/>
            <w:r>
              <w:rPr/>
              <w:t xml:space="preserve"/>
            </w:r>
          </w:p>
          <w:p>
            <w:pPr/>
            <w:r>
              <w:rPr/>
              <w:t xml:space="preserve">Mid-Term Target Score: 2</w:t>
            </w:r>
          </w:p>
          <w:p>
            <w:pPr/>
            <w:r>
              <w:rPr/>
              <w:t xml:space="preserve"/>
            </w:r>
          </w:p>
        </w:tc>
        <w:tc>
          <w:tcPr>
            <w:tcW w:w="2000" w:type="dxa"/>
            <w:gridSpan w:val="1"/>
          </w:tcPr>
          <w:p>
            <w:pPr/>
            <w:r>
              <w:rPr/>
              <w:t xml:space="preserve">At least two Partnership Agreements in place with associated training and capacity building components</w:t>
            </w:r>
          </w:p>
          <w:p>
            <w:pPr/>
            <w:r>
              <w:rPr/>
              <w:t xml:space="preserve"/>
            </w:r>
          </w:p>
          <w:p>
            <w:pPr/>
            <w:r>
              <w:rPr/>
              <w:t xml:space="preserve">Mid-term Target: 6 male; 4 female	Minimum of 20 additional trained staff and government/state/community representatives  (40% female) and 4 international mentors identified and directly involved in training and long-term support to PNMS and staff</w:t>
            </w:r>
          </w:p>
          <w:p>
            <w:pPr/>
            <w:r>
              <w:rPr/>
              <w:t xml:space="preserve"/>
            </w:r>
          </w:p>
          <w:p>
            <w:pPr/>
            <w:r>
              <w:rPr/>
              <w:t xml:space="preserve">End of Project Target: 14 Male; 10 Female</w:t>
            </w:r>
          </w:p>
          <w:p>
            <w:pPr/>
            <w:r>
              <w:rPr/>
              <w:t xml:space="preserve">Best Lessons and Practices captured through modular training courses and offered to in-country technical and managerial personnel and candidates</w:t>
            </w:r>
          </w:p>
          <w:p>
            <w:pPr/>
            <w:r>
              <w:rPr/>
              <w:t xml:space="preserve"/>
            </w:r>
          </w:p>
          <w:p>
            <w:pPr/>
            <w:r>
              <w:rPr/>
              <w:t xml:space="preserve">Mid-Term Target Score: 2	At least 4 focused training courses/modules on various elements of PNMS management and monitoring (governance, management and/or technical aspects). These delivered at state as well as national government level</w:t>
            </w:r>
          </w:p>
          <w:p>
            <w:pPr/>
            <w:r>
              <w:rPr/>
              <w:t xml:space="preserve"/>
            </w:r>
          </w:p>
          <w:p>
            <w:pPr/>
            <w:r>
              <w:rPr/>
              <w:t xml:space="preserve">End of Project Target Score:3</w:t>
            </w:r>
          </w:p>
          <w:p>
            <w:pPr/>
            <w:r>
              <w:rPr/>
              <w:t xml:space="preserve"/>
            </w:r>
          </w:p>
        </w:tc>
        <w:tc>
          <w:tcPr>
            <w:tcW w:w="4000" w:type="dxa"/>
            <w:gridSpan w:val="1"/>
          </w:tcPr>
          <w:p>
            <w:pPr/>
            <w:r>
              <w:rPr/>
              <w:t xml:space="preserve">Improvement of management and governance mechanisms have been underway with the development of the PNMS 5-year strategic management plan.  This includes the establishment of the PNMS Advisory Committee - a public-private partnership designed to support management efforts. These partnership platforms and collaborative arrangements are further described in the attached draft 5-year PNMS strategic management plan and the partnership agreement with the PNMS advisory committee.</w:t>
            </w:r>
          </w:p>
        </w:tc>
        <w:tc>
          <w:tcPr>
            <w:tcW w:w="4000" w:type="dxa"/>
            <w:gridSpan w:val="1"/>
          </w:tcPr>
          <w:p>
            <w:pPr/>
            <w:r>
              <w:rPr/>
              <w:t xml:space="preserve">Progress of Indicator 8 is 2 - Key aspects of enforcement &amp; surveillance conduct regular trainings but a more systematic program still needs to be developed to incorporate fisheries management and monitoring.</w:t>
            </w:r>
          </w:p>
          <w:p>
            <w:pPr/>
            <w:r>
              <w:rPr/>
              <w:t xml:space="preserve"/>
            </w:r>
          </w:p>
          <w:p>
            <w:pPr/>
            <w:r>
              <w:rPr/>
              <w:t xml:space="preserve">Progress of indicator 9 is 2 - 50% capacity building programme implemented in country on PNMS management and monitoring</w:t>
            </w:r>
          </w:p>
          <w:p>
            <w:pPr/>
            <w:r>
              <w:rPr/>
              <w:t xml:space="preserve"/>
            </w:r>
          </w:p>
          <w:p>
            <w:pPr/>
            <w:r>
              <w:rPr/>
              <w:t xml:space="preserve">Ongoing development of the PNMS strategic plan and collaboration with the respective PNMS management authorities along with project implementation have led to a recent awarding of a contract to a consultant (through a request for proposals) to establish Capacity Building and Training (CB&amp;T) agreements that enable the development of a sustainable CB&amp;T program.</w:t>
            </w:r>
          </w:p>
          <w:p>
            <w:pPr/>
            <w:r>
              <w:rPr/>
              <w:t xml:space="preserve"/>
            </w:r>
          </w:p>
          <w:p>
            <w:pPr/>
            <w:r>
              <w:rPr/>
              <w:t xml:space="preserve">The announcement to solicit proposals has been uploaded.</w:t>
            </w:r>
          </w:p>
          <w:p>
            <w:pPr/>
            <w:r>
              <w:rPr/>
              <w:t xml:space="preserve"/>
            </w:r>
          </w:p>
          <w:p>
            <w:pPr/>
            <w:r>
              <w:rPr/>
              <w:t xml:space="preserve">Reference in uploaded evidence:</w:t>
            </w:r>
          </w:p>
          <w:p>
            <w:pPr/>
            <w:r>
              <w:rPr/>
              <w:t xml:space="preserve">1. RFP_CB_T_GEF7PNMS</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Off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2</w:t>
            </w:r>
          </w:p>
          <w:p>
            <w:pPr/>
            <w:r>
              <w:rPr>
                <w:b w:val="1"/>
                <w:bCs w:val="1"/>
              </w:rPr>
              <w:t xml:space="preserve">Enhanced Management through improved Monitoring, Control and Surveillance of Activities within the Established PNMS and DFZ  Boundaries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2.1 All regulations and laws pertaining to PNMS and DFZ enforced effectively and sustainably In further close collaboration with WCPFC, FFA and PNA</w:t>
            </w:r>
          </w:p>
          <w:p>
            <w:pPr/>
            <w:r>
              <w:rPr/>
              <w:t xml:space="preserve">INDICATOR 10:</w:t>
            </w:r>
          </w:p>
          <w:p>
            <w:pPr/>
            <w:r>
              <w:rPr/>
              <w:t xml:space="preserve">Extent at which Palau’s Operations Centre for Monitoring, Control and Surveillance is  manned, equipped and coordinating active MCS patrols, interdiction and prosecution</w:t>
            </w:r>
          </w:p>
          <w:p>
            <w:pPr/>
            <w:r>
              <w:rPr/>
              <w:t xml:space="preserve">1. Non-functional Palau operational centre</w:t>
            </w:r>
          </w:p>
          <w:p>
            <w:pPr/>
            <w:r>
              <w:rPr/>
              <w:t xml:space="preserve">2. Partial functional Palau operational centre</w:t>
            </w:r>
          </w:p>
          <w:p>
            <w:pPr/>
            <w:r>
              <w:rPr/>
              <w:t xml:space="preserve">3. Full functional Palau operational centre</w:t>
            </w:r>
          </w:p>
          <w:p>
            <w:pPr/>
            <w:r>
              <w:rPr/>
              <w:t xml:space="preserve">4. Full functional Palau operational centre supporting 100% increase in offshore patrol and enforcement</w:t>
            </w:r>
          </w:p>
          <w:p>
            <w:pPr/>
            <w:r>
              <w:rPr/>
              <w:t xml:space="preserve">INDICATOR 11:</w:t>
            </w:r>
          </w:p>
          <w:p>
            <w:pPr/>
            <w:r>
              <w:rPr/>
              <w:t xml:space="preserve">Extent of effective human electronic monitoring, reporting within the DFZ</w:t>
            </w:r>
          </w:p>
          <w:p>
            <w:pPr/>
            <w:r>
              <w:rPr/>
              <w:t xml:space="preserve">Scores:</w:t>
            </w:r>
          </w:p>
          <w:p>
            <w:pPr/>
            <w:r>
              <w:rPr/>
              <w:t xml:space="preserve">1. No electronic monitoring and reporting</w:t>
            </w:r>
          </w:p>
          <w:p>
            <w:pPr/>
            <w:r>
              <w:rPr/>
              <w:t xml:space="preserve">2. 30% of vessels have human and electronic monitoring and are reporting on findings</w:t>
            </w:r>
          </w:p>
          <w:p>
            <w:pPr/>
            <w:r>
              <w:rPr/>
              <w:t xml:space="preserve">3. 50% of vessels have human and electronic monitoring and are reporting on findings</w:t>
            </w:r>
          </w:p>
        </w:tc>
        <w:tc>
          <w:tcPr>
            <w:tcW w:w="2000" w:type="dxa"/>
            <w:gridSpan w:val="1"/>
          </w:tcPr>
          <w:p>
            <w:pPr/>
            <w:r>
              <w:rPr/>
              <w:t xml:space="preserve">Operations Room and associated equipment and satellite linkages currently not fully functional nor manned on a regular and 24-hour basis.</w:t>
            </w:r>
          </w:p>
          <w:p>
            <w:pPr/>
            <w:r>
              <w:rPr/>
              <w:t xml:space="preserve"/>
            </w:r>
          </w:p>
          <w:p>
            <w:pPr/>
            <w:r>
              <w:rPr/>
              <w:t xml:space="preserve">No permanent staff currently available to provide 24-hour manning of Operations Centre or support for patrol vessels</w:t>
            </w:r>
          </w:p>
          <w:p>
            <w:pPr/>
            <w:r>
              <w:rPr/>
              <w:t xml:space="preserve"/>
            </w:r>
          </w:p>
          <w:p>
            <w:pPr/>
            <w:r>
              <w:rPr/>
              <w:t xml:space="preserve">Baseline Score: 2</w:t>
            </w:r>
          </w:p>
          <w:p>
            <w:pPr/>
            <w:r>
              <w:rPr/>
              <w:t xml:space="preserve">No electronic monitoring or reporting requirements. Inadequate current understanding and usage of modern technologies to assist with MCS despite their regional availability</w:t>
            </w:r>
          </w:p>
          <w:p>
            <w:pPr/>
            <w:r>
              <w:rPr/>
              <w:t xml:space="preserve"/>
            </w:r>
          </w:p>
          <w:p>
            <w:pPr/>
            <w:r>
              <w:rPr/>
              <w:t xml:space="preserve">Baseline Score: 1</w:t>
            </w:r>
          </w:p>
          <w:p>
            <w:pPr/>
            <w:r>
              <w:rPr/>
              <w:t xml:space="preserve"/>
            </w:r>
          </w:p>
        </w:tc>
        <w:tc>
          <w:tcPr>
            <w:tcW w:w="2000" w:type="dxa"/>
            <w:gridSpan w:val="1"/>
          </w:tcPr>
          <w:p>
            <w:pPr/>
            <w:r>
              <w:rPr/>
              <w:t xml:space="preserve">A fully-functional Operations Centre linked into WCPFC/FFA Surveillance Centre in Honiara as well as the Vulcan Operation Center in Seattle which is providing real time information on potential IUU in the PNMS and DFZ</w:t>
            </w:r>
          </w:p>
          <w:p>
            <w:pPr/>
            <w:r>
              <w:rPr/>
              <w:t xml:space="preserve"/>
            </w:r>
          </w:p>
          <w:p>
            <w:pPr/>
            <w:r>
              <w:rPr/>
              <w:t xml:space="preserve">Mid-Term Target Score: 3</w:t>
            </w:r>
          </w:p>
          <w:p>
            <w:pPr/>
            <w:r>
              <w:rPr/>
              <w:t xml:space="preserve">E-Reporting and E-Monitoring introduced as a requirement on commercial fishing vessels in DFZ  as well as FAD monitoring and tracking  technologies</w:t>
            </w:r>
          </w:p>
          <w:p>
            <w:pPr/>
            <w:r>
              <w:rPr/>
              <w:t xml:space="preserve"/>
            </w:r>
          </w:p>
          <w:p>
            <w:pPr/>
            <w:r>
              <w:rPr/>
              <w:t xml:space="preserve">Mid-Term Target Score: 2</w:t>
            </w:r>
          </w:p>
          <w:p>
            <w:pPr/>
            <w:r>
              <w:rPr/>
              <w:t xml:space="preserve"/>
            </w:r>
          </w:p>
        </w:tc>
        <w:tc>
          <w:tcPr>
            <w:tcW w:w="2000" w:type="dxa"/>
            <w:gridSpan w:val="1"/>
          </w:tcPr>
          <w:p>
            <w:pPr/>
            <w:r>
              <w:rPr/>
              <w:t xml:space="preserve">Six permanent staff associated with the running of the Operations Room supporting 100% increase in offshore patrols (airborne and sea-going)</w:t>
            </w:r>
          </w:p>
          <w:p>
            <w:pPr/>
            <w:r>
              <w:rPr/>
              <w:t xml:space="preserve"/>
            </w:r>
          </w:p>
          <w:p>
            <w:pPr/>
            <w:r>
              <w:rPr/>
              <w:t xml:space="preserve">FFA Review of Palau Operational Centre as a demonstration of national-regional MCS interaction and IUU interdiction</w:t>
            </w:r>
          </w:p>
          <w:p>
            <w:pPr/>
            <w:r>
              <w:rPr/>
              <w:t xml:space="preserve"/>
            </w:r>
          </w:p>
          <w:p>
            <w:pPr/>
            <w:r>
              <w:rPr/>
              <w:t xml:space="preserve">End-of-Project Target Score: 4</w:t>
            </w:r>
          </w:p>
          <w:p>
            <w:pPr/>
            <w:r>
              <w:rPr/>
              <w:t xml:space="preserve">E-reporting and E-monitoring as permanent fixtures on at least 75% of vessels operating in the DFZ</w:t>
            </w:r>
          </w:p>
          <w:p>
            <w:pPr/>
            <w:r>
              <w:rPr/>
              <w:t xml:space="preserve"/>
            </w:r>
          </w:p>
          <w:p>
            <w:pPr/>
            <w:r>
              <w:rPr/>
              <w:t xml:space="preserve">100% of FADs in DFZ with tracking devices</w:t>
            </w:r>
          </w:p>
          <w:p>
            <w:pPr/>
            <w:r>
              <w:rPr/>
              <w:t xml:space="preserve"/>
            </w:r>
          </w:p>
          <w:p>
            <w:pPr/>
            <w:r>
              <w:rPr/>
              <w:t xml:space="preserve">End of Project Target Score: 3</w:t>
            </w:r>
          </w:p>
          <w:p>
            <w:pPr/>
            <w:r>
              <w:rPr/>
              <w:t xml:space="preserve"/>
            </w:r>
          </w:p>
        </w:tc>
        <w:tc>
          <w:tcPr>
            <w:tcW w:w="4000" w:type="dxa"/>
            <w:gridSpan w:val="1"/>
          </w:tcPr>
          <w:p>
            <w:pPr/>
            <w:r>
              <w:rPr/>
              <w:t xml:space="preserve">The project has further equipped and provided needed capacity for the Maritime Operations Center.  The placement of a Surveillance &amp; Enforcement Officer and a Planning &amp; Development Officer provided for a strategic approach to maximizing on the use of the Maritime Operations Center and the Ministry of Justice.  Provided here detailing such progress is a summarized report of surveillance &amp; monitoring activities within the Maritime Operations Center and a visit by students to observe the Center's capabilities.</w:t>
            </w:r>
          </w:p>
        </w:tc>
        <w:tc>
          <w:tcPr>
            <w:tcW w:w="4000" w:type="dxa"/>
            <w:gridSpan w:val="1"/>
          </w:tcPr>
          <w:p>
            <w:pPr/>
            <w:r>
              <w:rPr/>
              <w:t xml:space="preserve">Progress of indicator 10 is at 2 - Partial functional Palau operational centre.</w:t>
            </w:r>
          </w:p>
          <w:p>
            <w:pPr/>
            <w:r>
              <w:rPr/>
              <w:t xml:space="preserve"/>
            </w:r>
          </w:p>
          <w:p>
            <w:pPr/>
            <w:r>
              <w:rPr/>
              <w:t xml:space="preserve">Progress of indicator 11 is at 2 - 30% of vessels have human and electronic monitoring and are reporting on findings</w:t>
            </w:r>
          </w:p>
          <w:p>
            <w:pPr/>
            <w:r>
              <w:rPr/>
              <w:t xml:space="preserve"/>
            </w:r>
          </w:p>
          <w:p>
            <w:pPr/>
            <w:r>
              <w:rPr/>
              <w:t xml:space="preserve">The Operations Center which is housed at the Division of Maritime Security and Fish &amp; Wildlife Protection (Ministry of Justice) has continued to develop its capabilities through the project.  Uploaded for your understanding are maritime surveillance patrol reports accumulated from January through June 2023.  It should be noted that e-monitoring/reporting are not standard requirements for licensing fishing vessels and therefore cannot be viable targets to track given the multilateral negotiations that are required to formally incorporate e-monitoring/reporting into the current monitoring programs.</w:t>
            </w:r>
          </w:p>
          <w:p>
            <w:pPr/>
            <w:r>
              <w:rPr/>
              <w:t xml:space="preserve"/>
            </w:r>
          </w:p>
          <w:p>
            <w:pPr/>
            <w:r>
              <w:rPr/>
              <w:t xml:space="preserve">Reference in uploaded evidence:</w:t>
            </w:r>
          </w:p>
          <w:p>
            <w:pPr/>
            <w:r>
              <w:rPr/>
              <w:t xml:space="preserve">1. MLE Cumulated Maritime Surveillance Patrol Report JAN_JUN 2023</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Off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3</w:t>
            </w:r>
          </w:p>
          <w:p>
            <w:pPr/>
            <w:r>
              <w:rPr>
                <w:b w:val="1"/>
                <w:bCs w:val="1"/>
              </w:rPr>
              <w:t xml:space="preserve">Ecosystem Assessment and Financial Planning for a Long-term Sustainability Strategy for the PNMS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3.1 Long-term mechanisms to support financial  sustainability and security PNMS  and its associated administrative and management arrangements are negotiated and identified</w:t>
            </w:r>
          </w:p>
          <w:p>
            <w:pPr/>
            <w:r>
              <w:rPr/>
              <w:t xml:space="preserve">INDICATOR 12:</w:t>
            </w:r>
          </w:p>
          <w:p>
            <w:pPr/>
            <w:r>
              <w:rPr/>
              <w:t xml:space="preserve">Extent of 10 years sustainable funding roadmap for PNMS and DFZ formally adopted integrating ecotourism and livelihoods</w:t>
            </w:r>
          </w:p>
          <w:p>
            <w:pPr/>
            <w:r>
              <w:rPr/>
              <w:t xml:space="preserve">1. No adoption by Government on the 10 years sustainable funding roadmap for PNMS and DFZ</w:t>
            </w:r>
          </w:p>
          <w:p>
            <w:pPr/>
            <w:r>
              <w:rPr/>
              <w:t xml:space="preserve">2. Draft 10 years sustainable funding roadmap for PNMS and DFZ developed integrating ecotourism and livelihood</w:t>
            </w:r>
          </w:p>
          <w:p>
            <w:pPr/>
            <w:r>
              <w:rPr/>
              <w:t xml:space="preserve">3. Finalized and adopted 10 years sustainable funding roadmap for PNMS and DFZ established</w:t>
            </w:r>
          </w:p>
          <w:p>
            <w:pPr/>
            <w:r>
              <w:rPr/>
              <w:t xml:space="preserve">INDICATOR 13:</w:t>
            </w:r>
          </w:p>
          <w:p>
            <w:pPr/>
            <w:r>
              <w:rPr/>
              <w:t xml:space="preserve">Extent of PNA vessel day scheme and sustainable funding programme established</w:t>
            </w:r>
          </w:p>
          <w:p>
            <w:pPr/>
            <w:r>
              <w:rPr/>
              <w:t xml:space="preserve">Scores:</w:t>
            </w:r>
          </w:p>
          <w:p>
            <w:pPr/>
            <w:r>
              <w:rPr/>
              <w:t xml:space="preserve">1. No PNA vessels day scheme and sustainable funding programme established</w:t>
            </w:r>
          </w:p>
          <w:p>
            <w:pPr/>
            <w:r>
              <w:rPr/>
              <w:t xml:space="preserve">2. Negotiations and drafting of PNA vessel day scheme and sustainable funding programme reviewed and adopted</w:t>
            </w:r>
          </w:p>
          <w:p>
            <w:pPr/>
            <w:r>
              <w:rPr/>
              <w:t xml:space="preserve">3. Specific revenue allocations from benefits of PNMS and DFZ (including VDS) at the state and community level &amp; maintenance of at least 75% of the previous VDS income to Palau</w:t>
            </w:r>
          </w:p>
          <w:p>
            <w:pPr/>
            <w:r>
              <w:rPr/>
              <w:t xml:space="preserve"/>
            </w:r>
          </w:p>
        </w:tc>
        <w:tc>
          <w:tcPr>
            <w:tcW w:w="2000" w:type="dxa"/>
            <w:gridSpan w:val="1"/>
          </w:tcPr>
          <w:p>
            <w:pPr/>
            <w:r>
              <w:rPr/>
              <w:t xml:space="preserve">Overall lack of awareness of importance of marine ecosystem goods and services to ecotourism and the need to address the carrying capacity for environmentally-sustainable tourism</w:t>
            </w:r>
          </w:p>
          <w:p>
            <w:pPr/>
            <w:r>
              <w:rPr/>
              <w:t xml:space="preserve"/>
            </w:r>
          </w:p>
          <w:p>
            <w:pPr/>
            <w:r>
              <w:rPr/>
              <w:t xml:space="preserve">Baseline Score: 1</w:t>
            </w:r>
          </w:p>
          <w:p>
            <w:pPr/>
            <w:r>
              <w:rPr/>
              <w:t xml:space="preserve">Uncertainty of income/revenues and therefore lack of sustainability of  revenue sources to support PNMS</w:t>
            </w:r>
          </w:p>
          <w:p>
            <w:pPr/>
            <w:r>
              <w:rPr/>
              <w:t xml:space="preserve"/>
            </w:r>
          </w:p>
          <w:p>
            <w:pPr/>
            <w:r>
              <w:rPr/>
              <w:t xml:space="preserve">Baseline Score: 1</w:t>
            </w:r>
          </w:p>
          <w:p>
            <w:pPr/>
            <w:r>
              <w:rPr/>
              <w:t xml:space="preserve"/>
            </w:r>
          </w:p>
        </w:tc>
        <w:tc>
          <w:tcPr>
            <w:tcW w:w="2000" w:type="dxa"/>
            <w:gridSpan w:val="1"/>
          </w:tcPr>
          <w:p>
            <w:pPr/>
            <w:r>
              <w:rPr/>
              <w:t xml:space="preserve">Formal Economic Assessment and Ecotourism Cost-Benefit Analysis completed and used to define national tourism policy and planning as well as enhancing awareness and ownership by all stakeholders. Careful consideration of the COVID 19 pandemic constraints and predictions to be a major focus of this assessment and analysis.</w:t>
            </w:r>
          </w:p>
          <w:p>
            <w:pPr/>
            <w:r>
              <w:rPr/>
              <w:t xml:space="preserve"/>
            </w:r>
          </w:p>
          <w:p>
            <w:pPr/>
            <w:r>
              <w:rPr/>
              <w:t xml:space="preserve">Mid-Term Target Score: 2</w:t>
            </w:r>
          </w:p>
          <w:p>
            <w:pPr/>
            <w:r>
              <w:rPr/>
              <w:t xml:space="preserve">Clear definition of benefits for communities and state-level stakeholders from the overall cost-benefit analysis and tourism policy</w:t>
            </w:r>
          </w:p>
          <w:p>
            <w:pPr/>
            <w:r>
              <w:rPr/>
              <w:t xml:space="preserve"/>
            </w:r>
          </w:p>
          <w:p>
            <w:pPr/>
            <w:r>
              <w:rPr/>
              <w:t xml:space="preserve">Negotiations progressing with PNA over the Vessel Day Scheme allocations for Palau</w:t>
            </w:r>
          </w:p>
          <w:p>
            <w:pPr/>
            <w:r>
              <w:rPr/>
              <w:t xml:space="preserve"/>
            </w:r>
          </w:p>
          <w:p>
            <w:pPr/>
            <w:r>
              <w:rPr/>
              <w:t xml:space="preserve">Stakeholder driven Sustainable Funding Programme drafted  for formal review and adoption</w:t>
            </w:r>
          </w:p>
          <w:p>
            <w:pPr/>
            <w:r>
              <w:rPr/>
              <w:t xml:space="preserve"/>
            </w:r>
          </w:p>
          <w:p>
            <w:pPr/>
            <w:r>
              <w:rPr/>
              <w:t xml:space="preserve">Mid-Term Target Score: 2</w:t>
            </w:r>
          </w:p>
          <w:p>
            <w:pPr/>
            <w:r>
              <w:rPr/>
              <w:t xml:space="preserve"/>
            </w:r>
          </w:p>
        </w:tc>
        <w:tc>
          <w:tcPr>
            <w:tcW w:w="2000" w:type="dxa"/>
            <w:gridSpan w:val="1"/>
          </w:tcPr>
          <w:p>
            <w:pPr/>
            <w:r>
              <w:rPr/>
              <w:t xml:space="preserve">A 10-year sustainable funding road-map for PNMS and DFZ identified by government which prioritises ecotourism and associated livelihoods enrichment and improvement. Where necessary this will need to address the expected impacts from the COVID-19 pandemic and its predicted impacts on sustainable funding sources and reliability while noting that it is expected that tourism would re-open sometime in 2021 when the Project would be expected to be in its first 6-12 months.</w:t>
            </w:r>
          </w:p>
          <w:p>
            <w:pPr/>
            <w:r>
              <w:rPr/>
              <w:t xml:space="preserve"/>
            </w:r>
          </w:p>
          <w:p>
            <w:pPr/>
            <w:r>
              <w:rPr/>
              <w:t xml:space="preserve">End of Project Target Score: 3</w:t>
            </w:r>
          </w:p>
          <w:p>
            <w:pPr/>
            <w:r>
              <w:rPr/>
              <w:t xml:space="preserve">Specific revenue allocations from benefits of PNMS and DFZ (including VDS) at the state and community level</w:t>
            </w:r>
          </w:p>
          <w:p>
            <w:pPr/>
            <w:r>
              <w:rPr/>
              <w:t xml:space="preserve"/>
            </w:r>
          </w:p>
          <w:p>
            <w:pPr/>
            <w:r>
              <w:rPr/>
              <w:t xml:space="preserve">Negotiations completed with PNA regarding the Vessel Day Scheme (VDS) to ensure maintenance of at least 75% of the previous VDS income to Palau</w:t>
            </w:r>
          </w:p>
          <w:p>
            <w:pPr/>
            <w:r>
              <w:rPr/>
              <w:t xml:space="preserve"/>
            </w:r>
          </w:p>
          <w:p>
            <w:pPr/>
            <w:r>
              <w:rPr/>
              <w:t xml:space="preserve">End-Of Project Target Score: 3</w:t>
            </w:r>
          </w:p>
          <w:p>
            <w:pPr/>
            <w:r>
              <w:rPr/>
              <w:t xml:space="preserve"/>
            </w:r>
          </w:p>
          <w:p>
            <w:pPr/>
            <w:r>
              <w:rPr/>
              <w:t xml:space="preserve"/>
            </w:r>
          </w:p>
          <w:p>
            <w:pPr/>
            <w:r>
              <w:rPr/>
              <w:t xml:space="preserve"/>
            </w:r>
          </w:p>
        </w:tc>
        <w:tc>
          <w:tcPr>
            <w:tcW w:w="4000" w:type="dxa"/>
            <w:gridSpan w:val="1"/>
          </w:tcPr>
          <w:p>
            <w:pPr/>
            <w:r>
              <w:rPr/>
              <w:t xml:space="preserve">Partnerships that have been fostered through the project have led to the initiation of a scoping exercise and proposed roadmap for designing a sustainable financing mechanism for the PNMS and other environmental programs.  This would be the first comprehensive environmental financing mechanism.  Attached is the current proposed pathway for taking this work forward.</w:t>
            </w:r>
          </w:p>
        </w:tc>
        <w:tc>
          <w:tcPr>
            <w:tcW w:w="4000" w:type="dxa"/>
            <w:gridSpan w:val="1"/>
          </w:tcPr>
          <w:p>
            <w:pPr/>
            <w:r>
              <w:rPr/>
              <w:t xml:space="preserve">Progress of indicator 12 is at 2 - Draft 10 years sustainable funding roadmap for PNMS and DFZ developed integrating ecotourism and livelihood.</w:t>
            </w:r>
          </w:p>
          <w:p>
            <w:pPr/>
            <w:r>
              <w:rPr/>
              <w:t xml:space="preserve"/>
            </w:r>
          </w:p>
          <w:p>
            <w:pPr/>
            <w:r>
              <w:rPr/>
              <w:t xml:space="preserve">While key recommendations were provided in the sustainable financing consultations as reflected in the 2022 PIR, the next steps of collaborating with Ministry of Finance as the appropriate lead was unclear given the recent enactment of a Palau Goods and Services Tax in January 2023, coupled with increased inflation rates and ongoing economic recovery due to the COVID19 pandemic.</w:t>
            </w:r>
          </w:p>
          <w:p>
            <w:pPr/>
            <w:r>
              <w:rPr/>
              <w:t xml:space="preserve"/>
            </w:r>
          </w:p>
          <w:p>
            <w:pPr/>
            <w:r>
              <w:rPr/>
              <w:t xml:space="preserve">Due to these factors, it was determined in consultation with Ministry of Finance that it simply was not the right time to propose additional tax-related policies and costs pertaining to the PNMS.</w:t>
            </w:r>
          </w:p>
          <w:p>
            <w:pPr/>
            <w:r>
              <w:rPr/>
              <w:t xml:space="preserve"/>
            </w:r>
          </w:p>
          <w:p>
            <w:pPr/>
            <w:r>
              <w:rPr/>
              <w:t xml:space="preserve">An alternative that is underway are efforts to develop ocean accounts which is also in collaboration with the Ministry of Finance.  The scope of the ocean accounts initiative has been uploaded.</w:t>
            </w:r>
          </w:p>
          <w:p>
            <w:pPr/>
            <w:r>
              <w:rPr/>
              <w:t xml:space="preserve"/>
            </w:r>
          </w:p>
          <w:p>
            <w:pPr/>
            <w:r>
              <w:rPr/>
              <w:t xml:space="preserve">Additionally, a way forward in terms of sustainable financing would be clarified as the marine spatial planning exercise progresses.</w:t>
            </w:r>
          </w:p>
          <w:p>
            <w:pPr/>
            <w:r>
              <w:rPr/>
              <w:t xml:space="preserve"/>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Off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4</w:t>
            </w:r>
          </w:p>
          <w:p>
            <w:pPr/>
            <w:r>
              <w:rPr>
                <w:b w:val="1"/>
                <w:bCs w:val="1"/>
              </w:rPr>
              <w:t xml:space="preserve">Improvement of Knowledge Management, communication and awareness outreach coupled with effective Project Monitoring and Evaluation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2022</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Outcome 4.1</w:t>
            </w:r>
          </w:p>
          <w:p>
            <w:pPr/>
            <w:r>
              <w:rPr/>
              <w:t xml:space="preserve"/>
            </w:r>
          </w:p>
          <w:p>
            <w:pPr/>
            <w:r>
              <w:rPr/>
              <w:t xml:space="preserve">Strong stakeholder support for the PNMS  and DFZ and associated benefits and fees at the broad stakeholder level including the state, national, and international community</w:t>
            </w:r>
          </w:p>
          <w:p>
            <w:pPr/>
            <w:r>
              <w:rPr/>
              <w:t xml:space="preserve">INDICATOR 14:</w:t>
            </w:r>
          </w:p>
          <w:p>
            <w:pPr/>
            <w:r>
              <w:rPr/>
              <w:t xml:space="preserve">Appropriate Lessons and Best Practices (L&amp;BP) ( from other similar GEF projects and other relevant initiatives captured and incorporated into this project as appropriate</w:t>
            </w:r>
          </w:p>
          <w:p>
            <w:pPr/>
            <w:r>
              <w:rPr/>
              <w:t xml:space="preserve">INDICATOR 15:</w:t>
            </w:r>
          </w:p>
          <w:p>
            <w:pPr/>
            <w:r>
              <w:rPr/>
              <w:t xml:space="preserve">Lessons and Best Practices from the project identified and documented and distributed to support a) an effective long-term Communications and Awareness strategy , and b) replication of the project results and achievements in other SIDS/PICTs</w:t>
            </w:r>
          </w:p>
          <w:p>
            <w:pPr/>
            <w:r>
              <w:rPr/>
              <w:t xml:space="preserve"/>
            </w:r>
          </w:p>
          <w:p>
            <w:pPr/>
            <w:r>
              <w:rPr/>
              <w:t xml:space="preserve"/>
            </w:r>
          </w:p>
        </w:tc>
        <w:tc>
          <w:tcPr>
            <w:tcW w:w="2000" w:type="dxa"/>
            <w:gridSpan w:val="1"/>
          </w:tcPr>
          <w:p>
            <w:pPr/>
            <w:r>
              <w:rPr/>
              <w:t xml:space="preserve">Absence of experience nationally with managing such a large ‘no-take’ protected area or domestic fisheries management zone and no information on L&amp;BP to fall back on</w:t>
            </w:r>
          </w:p>
          <w:p>
            <w:pPr/>
            <w:r>
              <w:rPr/>
              <w:t xml:space="preserve"/>
            </w:r>
          </w:p>
          <w:p>
            <w:pPr/>
            <w:r>
              <w:rPr/>
              <w:t xml:space="preserve"/>
            </w:r>
          </w:p>
          <w:p>
            <w:pPr/>
            <w:r>
              <w:rPr/>
              <w:t xml:space="preserve">Few examples for other Pacific or global SIDS  to follow or learn from in the context of managing similar areas within their vast EEZs</w:t>
            </w:r>
          </w:p>
          <w:p>
            <w:pPr/>
            <w:r>
              <w:rPr/>
              <w:t xml:space="preserve"/>
            </w:r>
          </w:p>
        </w:tc>
        <w:tc>
          <w:tcPr>
            <w:tcW w:w="2000" w:type="dxa"/>
            <w:gridSpan w:val="1"/>
          </w:tcPr>
          <w:p>
            <w:pPr/>
            <w:r>
              <w:rPr/>
              <w:t xml:space="preserve">Report to PNMS Management on lessons and best practices from other initiatives, SIDS and regions (e.g. LMEs) and appropriate BL&amp;P captured through project activities</w:t>
            </w:r>
          </w:p>
          <w:p>
            <w:pPr/>
            <w:r>
              <w:rPr/>
              <w:t xml:space="preserve">Best lessons and practices captured at Mid Term for consideration in MTR</w:t>
            </w:r>
          </w:p>
          <w:p>
            <w:pPr/>
            <w:r>
              <w:rPr/>
              <w:t xml:space="preserve"/>
            </w:r>
          </w:p>
          <w:p>
            <w:pPr/>
            <w:r>
              <w:rPr/>
              <w:t xml:space="preserve">A Communications and Awareness Outreach Programme under delivery from early stages of Project Implementation with clear assessment and reporting on its effectiveness</w:t>
            </w:r>
          </w:p>
          <w:p>
            <w:pPr/>
            <w:r>
              <w:rPr/>
              <w:t xml:space="preserve"/>
            </w:r>
          </w:p>
        </w:tc>
        <w:tc>
          <w:tcPr>
            <w:tcW w:w="2000" w:type="dxa"/>
            <w:gridSpan w:val="1"/>
          </w:tcPr>
          <w:p>
            <w:pPr/>
            <w:r>
              <w:rPr/>
              <w:t xml:space="preserve">L&amp;BP captured in  ‘Operational Guidelines’ for PNMS and for DFZ (two documents). TE can clearly identify use of L&amp;BP where appropriate, from other examples within the PNMS project</w:t>
            </w:r>
          </w:p>
          <w:p>
            <w:pPr/>
            <w:r>
              <w:rPr/>
              <w:t xml:space="preserve">Final best lessons and practices captured in Experience Notes (at least 3) for IW:LEARN and other appropriate bodies (IUCN, WWF, etc.) for distribution</w:t>
            </w:r>
          </w:p>
          <w:p>
            <w:pPr/>
            <w:r>
              <w:rPr/>
              <w:t xml:space="preserve"/>
            </w:r>
          </w:p>
          <w:p>
            <w:pPr/>
            <w:r>
              <w:rPr/>
              <w:t xml:space="preserve">Two or more twinning exercises / BL&amp;P workshops within the South Pacific region/SIDS</w:t>
            </w:r>
          </w:p>
          <w:p>
            <w:pPr/>
            <w:r>
              <w:rPr/>
              <w:t xml:space="preserve"/>
            </w:r>
          </w:p>
          <w:p>
            <w:pPr/>
            <w:r>
              <w:rPr/>
              <w:t xml:space="preserve">At least one global twinning exercise (possibly virtual)</w:t>
            </w:r>
          </w:p>
          <w:p>
            <w:pPr/>
            <w:r>
              <w:rPr/>
              <w:t xml:space="preserve"/>
            </w:r>
          </w:p>
        </w:tc>
        <w:tc>
          <w:tcPr>
            <w:tcW w:w="4000" w:type="dxa"/>
            <w:gridSpan w:val="1"/>
          </w:tcPr>
          <w:p>
            <w:pPr/>
            <w:r>
              <w:rPr/>
              <w:t xml:space="preserve">The project has supported the establishment of an education &amp; awareness unit dedicated to developing and disseminating PNMS specific content across relevant media platforms.  The attached links showcase the efforts of the education &amp; awareness unit.</w:t>
            </w:r>
          </w:p>
        </w:tc>
        <w:tc>
          <w:tcPr>
            <w:tcW w:w="4000" w:type="dxa"/>
            <w:gridSpan w:val="1"/>
          </w:tcPr>
          <w:p>
            <w:pPr/>
            <w:r>
              <w:rPr/>
              <w:t xml:space="preserve">The establishment of a sister sanctuary agreement with the National Marine Sanctuaries of American Samoa has led to valuable exchanges.  Joint outreach products have been developed due to the learning exchanges and efforts are underway to incorporate an American Samoa exhibit in the aquarium at the Palau International Coral Reef Center.</w:t>
            </w:r>
          </w:p>
          <w:p>
            <w:pPr/>
            <w:r>
              <w:rPr/>
              <w:t xml:space="preserve"/>
            </w:r>
          </w:p>
          <w:p>
            <w:pPr/>
            <w:r>
              <w:rPr/>
              <w:t xml:space="preserve">A partnership with the Ocean Foundation has also benefitted the project in providing opportunities to network with managers of other large scale marine protected areas.</w:t>
            </w:r>
          </w:p>
          <w:p>
            <w:pPr/>
            <w:r>
              <w:rPr/>
              <w:t xml:space="preserve"/>
            </w:r>
          </w:p>
          <w:p>
            <w:pPr/>
            <w:r>
              <w:rPr/>
              <w:t xml:space="preserve">Uploaded to demonstrate these efforts are a press release from a recent visit of the PNMS outreach team to American Samoa and a link to a video that was produced during a managers’ exchange in Hawaii:</w:t>
            </w:r>
          </w:p>
          <w:p>
            <w:pPr/>
            <w:r>
              <w:rPr/>
              <w:t xml:space="preserve"/>
            </w:r>
          </w:p>
          <w:p>
            <w:pPr/>
            <w:r>
              <w:rPr/>
              <w:t xml:space="preserve">Reference in uploaded evidence::</w:t>
            </w:r>
          </w:p>
          <w:p>
            <w:pPr/>
            <w:r>
              <w:rPr/>
              <w:t xml:space="preserve">1. Our Big Ocean video on YouTube https://www.youtube.com/watch?v=lIa0_Q-NzNQ</w:t>
            </w:r>
          </w:p>
          <w:p>
            <w:pPr/>
            <w:r>
              <w:rPr/>
              <w:t xml:space="preserve">2. PR_NMSAS Exchange</w:t>
            </w:r>
          </w:p>
          <w:p>
            <w:pPr/>
            <w:r>
              <w:rPr/>
              <w:t xml:space="preserve">3. PNMS communication strategies and Action Plan final draft</w:t>
            </w:r>
          </w:p>
          <w:p>
            <w:pPr/>
            <w:r>
              <w:rPr/>
              <w:t xml:space="preserve"/>
            </w:r>
          </w:p>
        </w:tc>
      </w:tr>
      <w:tr>
        <w:trPr/>
        <w:tc>
          <w:tcPr>
            <w:tcW w:w="4000" w:type="dxa"/>
            <w:gridSpan w:val="1"/>
          </w:tcPr>
          <w:p>
            <w:pPr/>
            <w:r>
              <w:rPr/>
              <w:t xml:space="preserve">Outcome 4.2 Effective Project Management, Monitoring and Evaluation</w:t>
            </w:r>
          </w:p>
          <w:p>
            <w:pPr/>
            <w:r>
              <w:rPr/>
              <w:t xml:space="preserve">INDICATOR 16:</w:t>
            </w:r>
          </w:p>
          <w:p>
            <w:pPr/>
            <w:r>
              <w:rPr/>
              <w:t xml:space="preserve">Project Coordination Unit and Project Management supported by the host organisation(s) with appropriate staffing levels and Monitoring and Evaluation as defined in the Project Document</w:t>
            </w:r>
          </w:p>
          <w:p>
            <w:pPr/>
            <w:r>
              <w:rPr/>
              <w:t xml:space="preserve">INDICATOR 17:</w:t>
            </w:r>
          </w:p>
          <w:p>
            <w:pPr/>
            <w:r>
              <w:rPr/>
              <w:t xml:space="preserve">Stakeholder and Partner Engagement Plan functional within the project</w:t>
            </w:r>
          </w:p>
          <w:p>
            <w:pPr/>
            <w:r>
              <w:rPr/>
              <w:t xml:space="preserve"/>
            </w:r>
          </w:p>
        </w:tc>
        <w:tc>
          <w:tcPr>
            <w:tcW w:w="2000" w:type="dxa"/>
            <w:gridSpan w:val="1"/>
          </w:tcPr>
          <w:p>
            <w:pPr/>
            <w:r>
              <w:rPr/>
              <w:t xml:space="preserve">No current project management base or staffing in support of PNMS institutionalisation</w:t>
            </w:r>
          </w:p>
          <w:p>
            <w:pPr/>
            <w:r>
              <w:rPr/>
              <w:t xml:space="preserve"/>
            </w:r>
          </w:p>
          <w:p>
            <w:pPr/>
            <w:r>
              <w:rPr/>
              <w:t xml:space="preserve">No associated M&amp;E Plan</w:t>
            </w:r>
          </w:p>
          <w:p>
            <w:pPr/>
            <w:r>
              <w:rPr/>
              <w:t xml:space="preserve">No stakeholder engagement strategy or process for supporting PNMS</w:t>
            </w:r>
          </w:p>
          <w:p>
            <w:pPr/>
            <w:r>
              <w:rPr/>
              <w:t xml:space="preserve"/>
            </w:r>
          </w:p>
        </w:tc>
        <w:tc>
          <w:tcPr>
            <w:tcW w:w="2000" w:type="dxa"/>
            <w:gridSpan w:val="1"/>
          </w:tcPr>
          <w:p>
            <w:pPr/>
            <w:r>
              <w:rPr/>
              <w:t xml:space="preserve">Quarterly and annual (PIR) reporting support effective management and capturing improvements in METT targets</w:t>
            </w:r>
          </w:p>
          <w:p>
            <w:pPr/>
            <w:r>
              <w:rPr/>
              <w:t xml:space="preserve">Stakeholder Engagement Plan and Road-Map (with budget) finalised as a document and under implementation</w:t>
            </w:r>
          </w:p>
          <w:p>
            <w:pPr/>
            <w:r>
              <w:rPr/>
              <w:t xml:space="preserve"/>
            </w:r>
          </w:p>
          <w:p>
            <w:pPr/>
            <w:r>
              <w:rPr/>
              <w:t xml:space="preserve">Partnership Platform engaging directly with Stakeholders</w:t>
            </w:r>
          </w:p>
          <w:p>
            <w:pPr/>
            <w:r>
              <w:rPr/>
              <w:t xml:space="preserve"/>
            </w:r>
          </w:p>
        </w:tc>
        <w:tc>
          <w:tcPr>
            <w:tcW w:w="2000" w:type="dxa"/>
            <w:gridSpan w:val="1"/>
          </w:tcPr>
          <w:p>
            <w:pPr/>
            <w:r>
              <w:rPr/>
              <w:t xml:space="preserve">Overall Project Management receives minimum ‘Satisfactory’ at TE</w:t>
            </w:r>
          </w:p>
          <w:p>
            <w:pPr/>
            <w:r>
              <w:rPr/>
              <w:t xml:space="preserve"/>
            </w:r>
          </w:p>
          <w:p>
            <w:pPr/>
            <w:r>
              <w:rPr/>
              <w:t xml:space="preserve">PCU physical structure and staff rolled over into permanent PNMS establishment by end of project</w:t>
            </w:r>
          </w:p>
          <w:p>
            <w:pPr/>
            <w:r>
              <w:rPr/>
              <w:t xml:space="preserve">Stakeholder Engagement receives minimum ‘Satisfactory’ at TE</w:t>
            </w:r>
          </w:p>
          <w:p>
            <w:pPr/>
            <w:r>
              <w:rPr/>
              <w:t xml:space="preserve">Partnership Platform includes linkage to Stakeholders as a long-term formal agreement</w:t>
            </w:r>
          </w:p>
          <w:p>
            <w:pPr/>
            <w:r>
              <w:rPr/>
              <w:t xml:space="preserve"/>
            </w:r>
          </w:p>
        </w:tc>
        <w:tc>
          <w:tcPr>
            <w:tcW w:w="4000" w:type="dxa"/>
            <w:gridSpan w:val="1"/>
          </w:tcPr>
          <w:p>
            <w:pPr/>
            <w:r>
              <w:rPr/>
              <w:t xml:space="preserve">Project management is supported directly through the PNMS Department - a new section within the Palau International Coral Reef Center.  The Director serves as the Project Manager while administrative support has been incorporated into existing positions to keep operations efficient and streamlined.  A recently developed 5-year strategic plan for the Palau International Coral Reef Center is provided here and shows how project management has been incorporated into the institution.</w:t>
            </w:r>
          </w:p>
        </w:tc>
        <w:tc>
          <w:tcPr>
            <w:tcW w:w="4000" w:type="dxa"/>
            <w:gridSpan w:val="1"/>
          </w:tcPr>
          <w:p>
            <w:pPr/>
            <w:r>
              <w:rPr/>
              <w:t xml:space="preserve">The ideal governance structure and project management support is still being explored.  The PNMS Department under the Palau International Coral Reef Center (PICRC) has been changed into a program while discussions are underway with UNDP to recruit a technical advisor to serve the role of a secretariat.  The marine spatial planning exercise will likely inform the structure of the PNMS management/coordination, including the monitoring and evaluation aspects.</w:t>
            </w:r>
          </w:p>
          <w:p>
            <w:pPr/>
            <w:r>
              <w:rPr/>
              <w:t xml:space="preserve"/>
            </w:r>
          </w:p>
          <w:p>
            <w:pPr/>
            <w:r>
              <w:rPr/>
              <w:t xml:space="preserve">Uploaded for your information are the updated PICRC organizational chart and draft TOR for the technical advisor.</w:t>
            </w:r>
          </w:p>
          <w:p>
            <w:pPr/>
            <w:r>
              <w:rPr/>
              <w:t xml:space="preserve"/>
            </w:r>
          </w:p>
          <w:p>
            <w:pPr/>
            <w:r>
              <w:rPr/>
              <w:t xml:space="preserve">Reference in uploaded evidence:</w:t>
            </w:r>
          </w:p>
          <w:p>
            <w:pPr/>
            <w:r>
              <w:rPr/>
              <w:t xml:space="preserve">1. TOR_TA_PNMS_5.31.23</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bl>
    <w:p>
      <w:pPr>
        <w:pStyle w:val="Heading2"/>
      </w:pPr>
      <w:bookmarkStart w:id="4" w:name="_Toc4"/>
      <w:r>
        <w:t>Action plan</w:t>
      </w:r>
      <w:bookmarkEnd w:id="4"/>
    </w:p>
    <w:tbl>
      <w:tblGrid>
        <w:gridCol w:w="3000" w:type="dxa"/>
        <w:gridCol w:w="5000" w:type="dxa"/>
        <w:gridCol w:w="5000" w:type="dxa"/>
        <w:gridCol w:w="3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3000" w:type="dxa"/>
            <w:gridSpan w:val="1"/>
          </w:tcPr>
          <w:p>
            <w:pPr/>
            <w:r>
              <w:rPr>
                <w:b w:val="1"/>
                <w:bCs w:val="1"/>
              </w:rPr>
              <w:t xml:space="preserve">Off-track objective/outcome</w:t>
            </w:r>
          </w:p>
        </w:tc>
        <w:tc>
          <w:tcPr>
            <w:tcW w:w="5000" w:type="dxa"/>
            <w:gridSpan w:val="1"/>
          </w:tcPr>
          <w:p>
            <w:pPr/>
            <w:r>
              <w:rPr>
                <w:b w:val="1"/>
                <w:bCs w:val="1"/>
              </w:rPr>
              <w:t xml:space="preserve">Action(s) to be taken</w:t>
            </w:r>
          </w:p>
        </w:tc>
        <w:tc>
          <w:tcPr>
            <w:tcW w:w="5000" w:type="dxa"/>
            <w:gridSpan w:val="1"/>
          </w:tcPr>
          <w:p>
            <w:pPr/>
            <w:r>
              <w:rPr>
                <w:b w:val="1"/>
                <w:bCs w:val="1"/>
              </w:rPr>
              <w:t xml:space="preserve">Responsible party/ies</w:t>
            </w:r>
          </w:p>
        </w:tc>
        <w:tc>
          <w:tcPr>
            <w:tcW w:w="3000" w:type="dxa"/>
            <w:gridSpan w:val="1"/>
          </w:tcPr>
          <w:p>
            <w:pPr/>
            <w:r>
              <w:rPr>
                <w:b w:val="1"/>
                <w:bCs w:val="1"/>
              </w:rPr>
              <w:t xml:space="preserve">Due Date</w:t>
            </w:r>
          </w:p>
        </w:tc>
      </w:tr>
      <w:tr>
        <w:trPr/>
        <w:tc>
          <w:tcPr>
            <w:tcW w:w="3000" w:type="dxa"/>
            <w:gridSpan w:val="1"/>
          </w:tcPr>
          <w:p>
            <w:pPr/>
            <w:r>
              <w:rPr/>
              <w:t xml:space="preserve">Objective</w:t>
            </w:r>
          </w:p>
        </w:tc>
        <w:tc>
          <w:tcPr>
            <w:tcW w:w="5000" w:type="dxa"/>
            <w:gridSpan w:val="1"/>
          </w:tcPr>
          <w:p>
            <w:pPr/>
            <w:r>
              <w:rPr/>
              <w:t xml:space="preserve">The progress of this outcome is dependent on factors that are difficult to influence through the project.  The recent high-level consideration to repeal the PNMS legal framework has delayed key deliverables, such as the development of the PNMS strategic plan, the development of a viable monitoring program and the progression of a collaborative framework across the management authorities.  It is difficult for project management to determine a solution as this process is not entirely influenced by the project but more on external factors such as the marine spatial planning process mandated and coordinated by the Ministry of Agriculture, Fisheries &amp; Environment.  As emphasized in previous sections, it is important for the project to consider adaptive management given the lack of clarity in what recommendations will inform the PNMS program in the future.</w:t>
            </w:r>
          </w:p>
        </w:tc>
        <w:tc>
          <w:tcPr>
            <w:tcW w:w="5000" w:type="dxa"/>
            <w:gridSpan w:val="1"/>
          </w:tcPr>
          <w:p>
            <w:pPr/>
            <w:r>
              <w:rPr/>
              <w:t xml:space="preserve">PNMS Project Team</w:t>
            </w:r>
          </w:p>
        </w:tc>
        <w:tc>
          <w:tcPr>
            <w:tcW w:w="3000" w:type="dxa"/>
            <w:gridSpan w:val="1"/>
          </w:tcPr>
          <w:p>
            <w:pPr/>
            <w:r>
              <w:rPr/>
              <w:t xml:space="preserve">Dec 31, 2023</w:t>
            </w:r>
          </w:p>
        </w:tc>
      </w:tr>
      <w:tr>
        <w:trPr/>
        <w:tc>
          <w:tcPr>
            <w:tcW w:w="3000" w:type="dxa"/>
            <w:gridSpan w:val="1"/>
          </w:tcPr>
          <w:p>
            <w:pPr/>
            <w:r>
              <w:rPr/>
              <w:t xml:space="preserve">Outcome 1</w:t>
            </w:r>
          </w:p>
        </w:tc>
        <w:tc>
          <w:tcPr>
            <w:tcW w:w="5000" w:type="dxa"/>
            <w:gridSpan w:val="1"/>
          </w:tcPr>
          <w:p>
            <w:pPr/>
            <w:r>
              <w:rPr/>
              <w:t xml:space="preserve">Similarly, the outcome has been delayed due to the recent push to repeal the PNMS legislation as well as the potential implications resulting from the marine spatial planning exercise.</w:t>
            </w:r>
          </w:p>
        </w:tc>
        <w:tc>
          <w:tcPr>
            <w:tcW w:w="5000" w:type="dxa"/>
            <w:gridSpan w:val="1"/>
          </w:tcPr>
          <w:p>
            <w:pPr/>
            <w:r>
              <w:rPr/>
              <w:t xml:space="preserve">PNMS Project Team</w:t>
            </w:r>
          </w:p>
        </w:tc>
        <w:tc>
          <w:tcPr>
            <w:tcW w:w="3000" w:type="dxa"/>
            <w:gridSpan w:val="1"/>
          </w:tcPr>
          <w:p>
            <w:pPr/>
            <w:r>
              <w:rPr/>
              <w:t xml:space="preserve">Dec 31, 2023</w:t>
            </w:r>
          </w:p>
        </w:tc>
      </w:tr>
      <w:tr>
        <w:trPr/>
        <w:tc>
          <w:tcPr>
            <w:tcW w:w="3000" w:type="dxa"/>
            <w:gridSpan w:val="1"/>
          </w:tcPr>
          <w:p>
            <w:pPr/>
            <w:r>
              <w:rPr/>
              <w:t xml:space="preserve">Outcome 2</w:t>
            </w:r>
          </w:p>
        </w:tc>
        <w:tc>
          <w:tcPr>
            <w:tcW w:w="5000" w:type="dxa"/>
            <w:gridSpan w:val="1"/>
          </w:tcPr>
          <w:p>
            <w:pPr/>
            <w:r>
              <w:rPr/>
              <w:t xml:space="preserve">Similarly, the outcome has been delayed due to the recent push to repeal the PNMS legislation as well as the potential implications resulting from the marine spatial planning exercise.</w:t>
            </w:r>
          </w:p>
        </w:tc>
        <w:tc>
          <w:tcPr>
            <w:tcW w:w="5000" w:type="dxa"/>
            <w:gridSpan w:val="1"/>
          </w:tcPr>
          <w:p>
            <w:pPr/>
            <w:r>
              <w:rPr/>
              <w:t xml:space="preserve">PNMS Project Team</w:t>
            </w:r>
          </w:p>
        </w:tc>
        <w:tc>
          <w:tcPr>
            <w:tcW w:w="3000" w:type="dxa"/>
            <w:gridSpan w:val="1"/>
          </w:tcPr>
          <w:p>
            <w:pPr/>
            <w:r>
              <w:rPr/>
              <w:t xml:space="preserve">Dec 31, 2023</w:t>
            </w:r>
          </w:p>
        </w:tc>
      </w:tr>
      <w:tr>
        <w:trPr/>
        <w:tc>
          <w:tcPr>
            <w:tcW w:w="3000" w:type="dxa"/>
            <w:gridSpan w:val="1"/>
          </w:tcPr>
          <w:p>
            <w:pPr/>
            <w:r>
              <w:rPr/>
              <w:t xml:space="preserve">Outcome 3</w:t>
            </w:r>
          </w:p>
        </w:tc>
        <w:tc>
          <w:tcPr>
            <w:tcW w:w="5000" w:type="dxa"/>
            <w:gridSpan w:val="1"/>
          </w:tcPr>
          <w:p>
            <w:pPr/>
            <w:r>
              <w:rPr/>
              <w:t xml:space="preserve">Similarly, the outcome has been delayed due to the recent push to repeal the PNMS legislation as well as the potential implications resulting from the marine spatial planning exercise.</w:t>
            </w:r>
          </w:p>
        </w:tc>
        <w:tc>
          <w:tcPr>
            <w:tcW w:w="5000" w:type="dxa"/>
            <w:gridSpan w:val="1"/>
          </w:tcPr>
          <w:p>
            <w:pPr/>
            <w:r>
              <w:rPr/>
              <w:t xml:space="preserve">PNMS Project Team</w:t>
            </w:r>
          </w:p>
        </w:tc>
        <w:tc>
          <w:tcPr>
            <w:tcW w:w="3000" w:type="dxa"/>
            <w:gridSpan w:val="1"/>
          </w:tcPr>
          <w:p>
            <w:pPr/>
            <w:r>
              <w:rPr/>
              <w:t xml:space="preserve">Dec 31, 2023</w:t>
            </w:r>
          </w:p>
        </w:tc>
      </w:tr>
    </w:tbl>
    <w:p>
      <w:pPr>
        <w:sectPr>
          <w:pgSz w:orient="landscape" w:w="16837.79527559055" w:h="11905.511811023622"/>
          <w:pgMar w:top="500" w:right="500" w:bottom="500" w:left="500" w:header="720" w:footer="720" w:gutter="0"/>
          <w:cols w:num="1" w:space="720"/>
        </w:sectPr>
      </w:pPr>
    </w:p>
    <w:p>
      <w:pPr>
        <w:pStyle w:val="Heading1"/>
      </w:pPr>
      <w:bookmarkStart w:id="5" w:name="_Toc5"/>
      <w:r>
        <w:t>Implementation Progress</w:t>
      </w:r>
      <w:bookmarkEnd w:id="5"/>
    </w:p>
    <w:p>
      <w:pPr>
        <w:jc w:val="center"/>
      </w:pPr>
      <w:r>
        <w:pict>
          <v:shape type="#_x0000_t75" stroked="f" style="width:450pt; height:300pt; margin-left:0pt; margin-top:0pt; mso-position-horizontal:center; mso-position-vertical:top; mso-position-horizontal-relative:char; mso-position-vertical-relative:line;">
            <w10:wrap type="square"/>
            <v:imagedata r:id="rId9" o:title=""/>
          </v:shape>
        </w:pict>
      </w:r>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Cumulative GL delivery against total approved amount (in prodoc):</w:t>
            </w:r>
          </w:p>
        </w:tc>
        <w:tc>
          <w:tcPr>
            <w:tcW w:w="5000" w:type="dxa"/>
            <w:vAlign w:val="center"/>
            <w:gridSpan w:val="1"/>
          </w:tcPr>
          <w:p>
            <w:pPr>
              <w:jc w:val="right"/>
            </w:pPr>
            <w:r>
              <w:rPr/>
              <w:t xml:space="preserve">38.31%</w:t>
            </w:r>
          </w:p>
        </w:tc>
      </w:tr>
      <w:tr>
        <w:trPr/>
        <w:tc>
          <w:tcPr>
            <w:tcW w:w="5000" w:type="dxa"/>
            <w:gridSpan w:val="1"/>
          </w:tcPr>
          <w:p>
            <w:pPr/>
            <w:r>
              <w:rPr/>
              <w:t xml:space="preserve">Cumulative GL delivery against expected delivery as of this year:</w:t>
            </w:r>
          </w:p>
        </w:tc>
        <w:tc>
          <w:tcPr>
            <w:tcW w:w="5000" w:type="dxa"/>
            <w:vAlign w:val="center"/>
            <w:gridSpan w:val="1"/>
          </w:tcPr>
          <w:p>
            <w:pPr>
              <w:jc w:val="right"/>
            </w:pPr>
            <w:r>
              <w:rPr/>
              <w:t xml:space="preserve">49.3%</w:t>
            </w:r>
          </w:p>
        </w:tc>
      </w:tr>
      <w:tr>
        <w:trPr/>
        <w:tc>
          <w:tcPr>
            <w:tcW w:w="5000" w:type="dxa"/>
            <w:gridSpan w:val="1"/>
          </w:tcPr>
          <w:p>
            <w:pPr/>
            <w:r>
              <w:rPr/>
              <w:t xml:space="preserve">Cumulative disbursement as of 30 June:</w:t>
            </w:r>
          </w:p>
        </w:tc>
        <w:tc>
          <w:tcPr>
            <w:tcW w:w="5000" w:type="dxa"/>
            <w:vAlign w:val="center"/>
            <w:gridSpan w:val="1"/>
          </w:tcPr>
          <w:p>
            <w:pPr>
              <w:jc w:val="right"/>
            </w:pPr>
            <w:r>
              <w:rPr/>
              <w:t xml:space="preserve">699,703</w:t>
            </w:r>
          </w:p>
        </w:tc>
      </w:tr>
    </w:tbl>
    <w:p>
      <w:pPr>
        <w:pStyle w:val="Heading2"/>
      </w:pPr>
      <w:bookmarkStart w:id="6" w:name="_Toc6"/>
      <w:r>
        <w:t>Key Financing Amounts</w:t>
      </w:r>
      <w:bookmarkEnd w:id="6"/>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PPG Amount</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GEF Grant Amount</w:t>
            </w:r>
          </w:p>
        </w:tc>
        <w:tc>
          <w:tcPr>
            <w:tcW w:w="5000" w:type="dxa"/>
            <w:vAlign w:val="center"/>
            <w:gridSpan w:val="1"/>
          </w:tcPr>
          <w:p>
            <w:pPr>
              <w:jc w:val="right"/>
            </w:pPr>
            <w:r>
              <w:rPr/>
              <w:t xml:space="preserve">1,826,484</w:t>
            </w:r>
          </w:p>
        </w:tc>
      </w:tr>
      <w:tr>
        <w:trPr/>
        <w:tc>
          <w:tcPr>
            <w:tcW w:w="5000" w:type="dxa"/>
            <w:gridSpan w:val="1"/>
          </w:tcPr>
          <w:p>
            <w:pPr/>
            <w:r>
              <w:rPr/>
              <w:t xml:space="preserve">Co-financing</w:t>
            </w:r>
          </w:p>
        </w:tc>
        <w:tc>
          <w:tcPr>
            <w:tcW w:w="5000" w:type="dxa"/>
            <w:vAlign w:val="center"/>
            <w:gridSpan w:val="1"/>
          </w:tcPr>
          <w:p>
            <w:pPr>
              <w:jc w:val="right"/>
            </w:pPr>
            <w:r>
              <w:rPr/>
              <w:t xml:space="preserve">17,250,000</w:t>
            </w:r>
          </w:p>
        </w:tc>
      </w:tr>
    </w:tbl>
    <w:p>
      <w:pPr>
        <w:pStyle w:val="Heading2"/>
      </w:pPr>
      <w:bookmarkStart w:id="7" w:name="_Toc7"/>
      <w:r>
        <w:t>Key Project Dates</w:t>
      </w:r>
      <w:bookmarkEnd w:id="7"/>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Project duration</w:t>
            </w:r>
          </w:p>
        </w:tc>
        <w:tc>
          <w:tcPr>
            <w:tcW w:w="5000" w:type="dxa"/>
            <w:vAlign w:val="center"/>
            <w:gridSpan w:val="1"/>
          </w:tcPr>
          <w:p>
            <w:pPr>
              <w:jc w:val="right"/>
            </w:pPr>
            <w:r>
              <w:rPr/>
              <w:t xml:space="preserve">48 months</w:t>
            </w:r>
          </w:p>
        </w:tc>
      </w:tr>
      <w:tr>
        <w:trPr/>
        <w:tc>
          <w:tcPr>
            <w:tcW w:w="5000" w:type="dxa"/>
            <w:gridSpan w:val="1"/>
          </w:tcPr>
          <w:p>
            <w:pPr/>
            <w:r>
              <w:rPr/>
              <w:t xml:space="preserve">PIF Approval Date</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CEO Endorsement Date</w:t>
            </w:r>
          </w:p>
        </w:tc>
        <w:tc>
          <w:tcPr>
            <w:tcW w:w="5000" w:type="dxa"/>
            <w:vAlign w:val="center"/>
            <w:gridSpan w:val="1"/>
          </w:tcPr>
          <w:p>
            <w:pPr>
              <w:jc w:val="right"/>
            </w:pPr>
            <w:r>
              <w:rPr/>
              <w:t xml:space="preserve">Mar 18, 2021</w:t>
            </w:r>
          </w:p>
        </w:tc>
      </w:tr>
      <w:tr>
        <w:trPr/>
        <w:tc>
          <w:tcPr>
            <w:tcW w:w="5000" w:type="dxa"/>
            <w:gridSpan w:val="1"/>
          </w:tcPr>
          <w:p>
            <w:pPr/>
            <w:r>
              <w:rPr/>
              <w:t xml:space="preserve">Project Document Signature Date (project start date):</w:t>
            </w:r>
          </w:p>
        </w:tc>
        <w:tc>
          <w:tcPr>
            <w:tcW w:w="5000" w:type="dxa"/>
            <w:vAlign w:val="center"/>
            <w:gridSpan w:val="1"/>
          </w:tcPr>
          <w:p>
            <w:pPr>
              <w:jc w:val="right"/>
            </w:pPr>
            <w:r>
              <w:rPr/>
              <w:t xml:space="preserve">Jun 10, 2021</w:t>
            </w:r>
          </w:p>
        </w:tc>
      </w:tr>
      <w:tr>
        <w:trPr/>
        <w:tc>
          <w:tcPr>
            <w:tcW w:w="5000" w:type="dxa"/>
            <w:gridSpan w:val="1"/>
          </w:tcPr>
          <w:p>
            <w:pPr/>
            <w:r>
              <w:rPr/>
              <w:t xml:space="preserve">Date of Inception Workshop</w:t>
            </w:r>
          </w:p>
        </w:tc>
        <w:tc>
          <w:tcPr>
            <w:tcW w:w="5000" w:type="dxa"/>
            <w:vAlign w:val="center"/>
            <w:gridSpan w:val="1"/>
          </w:tcPr>
          <w:p>
            <w:pPr>
              <w:jc w:val="right"/>
            </w:pPr>
            <w:r>
              <w:rPr/>
              <w:t xml:space="preserve">Jun 10, 2021</w:t>
            </w:r>
          </w:p>
        </w:tc>
      </w:tr>
      <w:tr>
        <w:trPr/>
        <w:tc>
          <w:tcPr>
            <w:tcW w:w="5000" w:type="dxa"/>
            <w:gridSpan w:val="1"/>
          </w:tcPr>
          <w:p>
            <w:pPr/>
            <w:r>
              <w:rPr/>
              <w:t xml:space="preserve">First Disbursement Date</w:t>
            </w:r>
          </w:p>
        </w:tc>
        <w:tc>
          <w:tcPr>
            <w:tcW w:w="5000" w:type="dxa"/>
            <w:vAlign w:val="center"/>
            <w:gridSpan w:val="1"/>
          </w:tcPr>
          <w:p>
            <w:pPr>
              <w:jc w:val="right"/>
            </w:pPr>
            <w:r>
              <w:rPr/>
              <w:t xml:space="preserve">Aug 26, 2021</w:t>
            </w:r>
          </w:p>
        </w:tc>
      </w:tr>
      <w:tr>
        <w:trPr/>
        <w:tc>
          <w:tcPr>
            <w:tcW w:w="5000" w:type="dxa"/>
            <w:gridSpan w:val="1"/>
          </w:tcPr>
          <w:p>
            <w:pPr/>
            <w:r>
              <w:rPr/>
              <w:t xml:space="preserve">Expected Date of Mid-term Review</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Actual Date of Mid-term Review</w:t>
            </w:r>
          </w:p>
        </w:tc>
        <w:tc>
          <w:tcPr>
            <w:tcW w:w="5000" w:type="dxa"/>
            <w:vAlign w:val="center"/>
            <w:gridSpan w:val="1"/>
          </w:tcPr>
          <w:p>
            <w:pPr>
              <w:jc w:val="right"/>
            </w:pPr>
            <w:r>
              <w:rPr>
                <w:i w:val="1"/>
                <w:iCs w:val="1"/>
              </w:rPr>
              <w:t xml:space="preserve">(not set or not applicable)</w:t>
            </w:r>
          </w:p>
        </w:tc>
      </w:tr>
      <w:tr>
        <w:trPr/>
        <w:tc>
          <w:tcPr>
            <w:tcW w:w="5000" w:type="dxa"/>
            <w:gridSpan w:val="1"/>
          </w:tcPr>
          <w:p>
            <w:pPr/>
            <w:r>
              <w:rPr/>
              <w:t xml:space="preserve">Expected Date of Terminal Evaluation</w:t>
            </w:r>
          </w:p>
        </w:tc>
        <w:tc>
          <w:tcPr>
            <w:tcW w:w="5000" w:type="dxa"/>
            <w:vAlign w:val="center"/>
            <w:gridSpan w:val="1"/>
          </w:tcPr>
          <w:p>
            <w:pPr>
              <w:jc w:val="right"/>
            </w:pPr>
            <w:r>
              <w:rPr/>
              <w:t xml:space="preserve">Mar 10, 2025</w:t>
            </w:r>
          </w:p>
        </w:tc>
      </w:tr>
      <w:tr>
        <w:trPr/>
        <w:tc>
          <w:tcPr>
            <w:tcW w:w="5000" w:type="dxa"/>
            <w:gridSpan w:val="1"/>
          </w:tcPr>
          <w:p>
            <w:pPr/>
            <w:r>
              <w:rPr/>
              <w:t xml:space="preserve">Original Planned Closing Date</w:t>
            </w:r>
          </w:p>
        </w:tc>
        <w:tc>
          <w:tcPr>
            <w:tcW w:w="5000" w:type="dxa"/>
            <w:vAlign w:val="center"/>
            <w:gridSpan w:val="1"/>
          </w:tcPr>
          <w:p>
            <w:pPr>
              <w:jc w:val="right"/>
            </w:pPr>
            <w:r>
              <w:rPr/>
              <w:t xml:space="preserve">Jun 10, 2025</w:t>
            </w:r>
          </w:p>
        </w:tc>
      </w:tr>
      <w:tr>
        <w:trPr/>
        <w:tc>
          <w:tcPr>
            <w:tcW w:w="5000" w:type="dxa"/>
            <w:gridSpan w:val="1"/>
          </w:tcPr>
          <w:p>
            <w:pPr/>
            <w:r>
              <w:rPr/>
              <w:t xml:space="preserve">Revised Planned Closing Date</w:t>
            </w:r>
          </w:p>
        </w:tc>
        <w:tc>
          <w:tcPr>
            <w:tcW w:w="5000" w:type="dxa"/>
            <w:vAlign w:val="center"/>
            <w:gridSpan w:val="1"/>
          </w:tcPr>
          <w:p>
            <w:pPr>
              <w:jc w:val="right"/>
            </w:pPr>
            <w:r>
              <w:rPr>
                <w:i w:val="1"/>
                <w:iCs w:val="1"/>
              </w:rPr>
              <w:t xml:space="preserve">(not set or not applicable)</w:t>
            </w:r>
          </w:p>
        </w:tc>
      </w:tr>
    </w:tbl>
    <w:p>
      <w:pPr/>
      <w:r>
        <w:rPr/>
        <w:t xml:space="preserve"/>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gridSpan w:val="1"/>
          </w:tcPr>
          <w:p>
            <w:pPr/>
            <w:r>
              <w:rPr>
                <w:b w:val="1"/>
                <w:bCs w:val="1"/>
              </w:rPr>
              <w:t xml:space="preserve">Dates of Project Steering Committee/Board Meetings during reporting period (30 June 2022 to 1 July 2023)</w:t>
            </w:r>
          </w:p>
        </w:tc>
      </w:tr>
      <w:tr>
        <w:trPr/>
        <w:tc>
          <w:tcPr>
            <w:tcW w:w="10000" w:type="dxa"/>
            <w:gridSpan w:val="1"/>
          </w:tcPr>
          <w:p>
            <w:pPr/>
            <w:r>
              <w:rPr/>
              <w:t xml:space="preserve">2023-03-24</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The project has experienced significant delays in some key activities going back to last year and the COVID19 pandemic.  More recent causes for delays were efforts to amend and repeal the PNMS legislation and the potentially significant changes that were anticipated in the governance/management structure and designated 80/20 (80% area no-take and 20% for area domestic fishing) PNMS zones.</w:t>
            </w:r>
          </w:p>
          <w:p>
            <w:pPr/>
            <w:r>
              <w:rPr/>
              <w:t xml:space="preserve"/>
            </w:r>
          </w:p>
          <w:p>
            <w:pPr/>
            <w:r>
              <w:rPr/>
              <w:t xml:space="preserve">The anticipated policy changes led to delays in efforts to develop the PNMS strategic plan which called for a more collaborated and coordinated approach to managing the PNMS.  Consultations with the respective management authorities and regular engagements were further hindered given the lack of clarity on the outcome of the PNMS legal framework.  Some of these issues are documented in the draft PNMS strategic plan.</w:t>
            </w:r>
          </w:p>
          <w:p>
            <w:pPr/>
            <w:r>
              <w:rPr/>
              <w:t xml:space="preserve"/>
            </w:r>
          </w:p>
          <w:p>
            <w:pPr/>
            <w:r>
              <w:rPr/>
              <w:t xml:space="preserve">Essentially, the push to alter the PNMS was premature in the context of the limited information and understanding we had as well as the early stages of program development that were underway.  This ultimately led to delays in several aspects of project implementation.  Policy makers reached a compromise wherein the PNMS legal framework would remain as-is while a marine spatial planning exercise would be undertaken within a span of two years to determine the state of the PNMS.  A total of (7) assessments are expected to be conducted in order to inform the marine spatial planning process and discussions.</w:t>
            </w:r>
          </w:p>
          <w:p>
            <w:pPr/>
            <w:r>
              <w:rPr/>
              <w:t xml:space="preserve"/>
            </w:r>
          </w:p>
          <w:p>
            <w:pPr/>
            <w:r>
              <w:rPr/>
              <w:t xml:space="preserve">Separately, PMU is working closely with the RTA to align the project’s targets/indicators to better track progress.  This effort is ongoing.</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The MCO meets regularly with the PMU on the bi-weekly basis to discuss project implementation and troubleshoot</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 Please include specific measures to manage the project's implementation performance.</w:t>
            </w:r>
          </w:p>
        </w:tc>
      </w:tr>
      <w:tr>
        <w:trPr/>
        <w:tc>
          <w:tcPr>
            <w:tcW w:w="10000" w:type="dxa"/>
            <w:gridSpan w:val="1"/>
          </w:tcPr>
          <w:p>
            <w:pPr/>
            <w:r>
              <w:rPr/>
              <w:t xml:space="preserve">Following meetings with Programme Officer in April and May 2024, it has been advised to proceed to an MTR or an Independent advisory assessment of project at Mid-term (as per ProDoc and which has also been recommended in the previous PIR). This would provide appropriate recommendations including potential revision of EOP targets. This will ultimately guide the development of management responses including the preparation of an accelerated work plan for 2024 that will enable it to catch up with the project targets.</w:t>
            </w:r>
          </w:p>
          <w:p>
            <w:pPr/>
            <w:r>
              <w:rPr/>
              <w:t xml:space="preserve"/>
            </w:r>
          </w:p>
          <w:p>
            <w:pPr/>
            <w:r>
              <w:rPr/>
              <w:t xml:space="preserve">NB: While the RTA can provide oversight to this process, namely by ensuring UNDP and GEF procedures are followed, no implementation support can be provided by the RTA to ensure the separation of execution and oversight roles.</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Project Governance</w:t>
      </w:r>
      <w:bookmarkEnd w:id="8"/>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Dates of Project Board Meetings during reporting period (1 July 2022 to 30 June 2023).  Please also upload all meeting minutes using the FILE LIBRARY button.</w:t>
            </w:r>
          </w:p>
        </w:tc>
      </w:tr>
      <w:tr>
        <w:trPr/>
        <w:tc>
          <w:tcPr>
            <w:tcW w:w="10000" w:type="dxa"/>
            <w:gridSpan w:val="1"/>
          </w:tcPr>
          <w:p>
            <w:pPr/>
            <w:r>
              <w:rPr/>
              <w:t xml:space="preserve">2023-03-24</w:t>
            </w:r>
          </w:p>
        </w:tc>
      </w:tr>
    </w:tbl>
    <w:p>
      <w:pPr>
        <w:sectPr>
          <w:pgSz w:orient="portrait" w:w="11905.511811023622" w:h="16837.79527559055"/>
          <w:pgMar w:top="1440" w:right="1440" w:bottom="1440" w:left="1440" w:header="720" w:footer="720" w:gutter="0"/>
          <w:cols w:num="1" w:space="720"/>
        </w:sectPr>
      </w:pPr>
    </w:p>
    <w:p>
      <w:pPr>
        <w:pStyle w:val="Heading1"/>
      </w:pPr>
      <w:bookmarkStart w:id="9" w:name="_Toc9"/>
      <w:r>
        <w:t>Ratings and Overall Assessments</w:t>
      </w:r>
      <w:bookmarkEnd w:id="9"/>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2023 Development Objective Progress Rating</w:t>
            </w:r>
          </w:p>
        </w:tc>
        <w:tc>
          <w:tcPr>
            <w:tcW w:w="5000" w:type="dxa"/>
            <w:gridSpan w:val="1"/>
          </w:tcPr>
          <w:p>
            <w:pPr/>
            <w:r>
              <w:rPr>
                <w:b w:val="1"/>
                <w:bCs w:val="1"/>
              </w:rPr>
              <w:t xml:space="preserve">2023 Implementation Progress Rating</w:t>
            </w:r>
          </w:p>
        </w:tc>
      </w:tr>
      <w:tr>
        <w:trPr/>
        <w:tc>
          <w:tcPr>
            <w:tcW w:w="5000" w:type="dxa"/>
            <w:gridSpan w:val="1"/>
          </w:tcPr>
          <w:p>
            <w:pPr/>
            <w:r>
              <w:rPr>
                <w:b w:val="1"/>
                <w:bCs w:val="1"/>
              </w:rPr>
              <w:t xml:space="preserve">UNDP-NCE Technical Adviser</w:t>
            </w:r>
          </w:p>
        </w:tc>
        <w:tc>
          <w:tcPr>
            <w:tcW w:w="5000" w:type="dxa"/>
            <w:gridSpan w:val="1"/>
          </w:tcPr>
          <w:p>
            <w:pPr/>
            <w:r>
              <w:rPr/>
              <w:t xml:space="preserve">Moderately Unsatisfactory</w:t>
            </w:r>
          </w:p>
        </w:tc>
        <w:tc>
          <w:tcPr>
            <w:tcW w:w="5000" w:type="dxa"/>
            <w:gridSpan w:val="1"/>
          </w:tcPr>
          <w:p>
            <w:pPr/>
            <w:r>
              <w:rPr/>
              <w:t xml:space="preserve">Unsatisfactory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Moderately Unsatisfactory</w:t>
            </w:r>
          </w:p>
        </w:tc>
        <w:tc>
          <w:tcPr>
            <w:tcW w:w="5000" w:type="dxa"/>
            <w:gridSpan w:val="1"/>
          </w:tcPr>
          <w:p>
            <w:pPr/>
            <w:r>
              <w:rPr/>
              <w:t xml:space="preserve">Moderately Unsatisfactory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2023 Overall Assessment</w:t>
            </w:r>
          </w:p>
        </w:tc>
      </w:tr>
      <w:tr>
        <w:trPr/>
        <w:tc>
          <w:tcPr>
            <w:tcW w:w="5000" w:type="dxa"/>
            <w:gridSpan w:val="1"/>
          </w:tcPr>
          <w:p>
            <w:pPr/>
            <w:r>
              <w:rPr>
                <w:b w:val="1"/>
                <w:bCs w:val="1"/>
              </w:rPr>
              <w:t xml:space="preserve">UNDP-NCE Technical Adviser</w:t>
            </w:r>
          </w:p>
        </w:tc>
        <w:tc>
          <w:tcPr>
            <w:tcW w:w="10000" w:type="dxa"/>
            <w:gridSpan w:val="1"/>
          </w:tcPr>
          <w:p>
            <w:pPr/>
            <w:r>
              <w:rPr/>
              <w:t xml:space="preserve">This is the second PIR of the Medium Sized project “Strengthening the Palau National Marine Sanctuary for the Conservation and Management of Global Marine Biodiversity and Sustainable Fisheries”. The ProDoc was signed on 10 June 2021 and the expected Date of Operational Closure is 10 June 2025. This project aims to protect renewable and sustainable living marine resources which provide direct value and revenue to Palau while representing important global biodiversity by strengthening and implementing a Strategic Plan for sustainable management of the Palau National Marine Sanctuary (PNMS) and Domestic Fishing Zone (DFZ). This project is particularly important because PNMS and DFZ have been facing several financial, governance and institutional constraints since their establishment. As mentioned in the previous PIR, there are political discussions about amending/revising the law that created the PNMS. An ongoing marine spatial planning exercise is expected to inform policies regarding the designated PNMS zones (currently 80% PNMS and 20% DMZ) which may have substantive impact on the project core indicators.</w:t>
            </w:r>
          </w:p>
          <w:p>
            <w:pPr/>
            <w:r>
              <w:rPr/>
              <w:t xml:space="preserve"/>
            </w:r>
          </w:p>
          <w:p>
            <w:pPr/>
            <w:r>
              <w:rPr/>
              <w:t xml:space="preserve">The project is articulated around 4 components: 1) Institutional and Governance Realignment for Effective Monitoring and Adaptive Management within the PNMS and adjacent Domestic Fishing Zone, 2)Enhanced Management through improved Monitoring, Control and Surveillance of Activities within the Established PNMS and DFZ  Boundaries, 3) Ecosystem Assessment and Financial Planning for a Long-term Sustainability Strategy for the PNMS, and 4) Improvement in Knowledge Management, communication and awareness outreach coupled with effective Project Monitoring and Evaluation.</w:t>
            </w:r>
          </w:p>
          <w:p>
            <w:pPr/>
            <w:r>
              <w:rPr/>
              <w:t xml:space="preserve"/>
            </w:r>
          </w:p>
          <w:p>
            <w:pPr/>
            <w:r>
              <w:rPr/>
              <w:t xml:space="preserve">It is important to note that the project has suffered from external factors that have seriously delayed progress. These are related to COVID and to the political consideration to repeal the PNMS legal framework noted above.</w:t>
            </w:r>
          </w:p>
          <w:p>
            <w:pPr/>
            <w:r>
              <w:rPr/>
              <w:t xml:space="preserve"/>
            </w:r>
          </w:p>
          <w:p>
            <w:pPr/>
            <w:r>
              <w:rPr/>
              <w:t xml:space="preserve">In agreement with the ratings of the Country Office Programme Officer, the RTA rated Progress towards the Development Objective (DO) as Moderately Unsatisfactory (MU), which is lower than the 2022 rating (Moderately Satisfactory). Slightly lower than the previous PIR and the Country Office Programme Officer. However, I have rated the Implementation Performance was rated as Unsatisfactory (U) lower than the CO’s rating and last year’s rating of Moderately Unsatisfactory (MU).</w:t>
            </w:r>
          </w:p>
          <w:p>
            <w:pPr/>
            <w:r>
              <w:rPr/>
              <w:t xml:space="preserve"/>
            </w:r>
          </w:p>
          <w:p>
            <w:pPr/>
            <w:r>
              <w:rPr/>
              <w:t xml:space="preserve">Development Objective Progress</w:t>
            </w:r>
          </w:p>
          <w:p>
            <w:pPr/>
            <w:r>
              <w:rPr/>
              <w:t xml:space="preserve"/>
            </w:r>
          </w:p>
          <w:p>
            <w:pPr/>
            <w:r>
              <w:rPr/>
              <w:t xml:space="preserve">Objective indicators</w:t>
            </w:r>
          </w:p>
          <w:p>
            <w:pPr/>
            <w:r>
              <w:rPr/>
              <w:t xml:space="preserve">Progress towards the objective indicators has been limited and has been candidly rated as being off-track by the project manager. For instance, out of the 5 indicators, only indicator 3, on improved MPA management, showed some progress, but remained below the mid-term target. The reported numbers for direct and indirect beneficiaries, indicators 1 and 2, were low and the uploaded justification is the same as what has been reported in 2022 PIR. This denotes flaws in the monitoring process.</w:t>
            </w:r>
          </w:p>
          <w:p>
            <w:pPr/>
            <w:r>
              <w:rPr/>
              <w:t xml:space="preserve"/>
            </w:r>
          </w:p>
          <w:p>
            <w:pPr/>
            <w:r>
              <w:rPr/>
              <w:t xml:space="preserve">Outcome indicators</w:t>
            </w:r>
          </w:p>
          <w:p>
            <w:pPr/>
            <w:r>
              <w:rPr/>
              <w:t xml:space="preserve">The detailed progress under each of the outcomes is summarized below.</w:t>
            </w:r>
          </w:p>
          <w:p>
            <w:pPr/>
            <w:r>
              <w:rPr/>
              <w:t xml:space="preserve"/>
            </w:r>
          </w:p>
          <w:p>
            <w:pPr/>
            <w:r>
              <w:rPr/>
              <w:t xml:space="preserve">Outcome 1 aims to achieve Institutional and Governance Realignment for Effective Monitoring and Adaptive Management within the PNMS and adjacent Domestic Fishing Zone. through output 1.1. strengthened Institutional, Management and Regulatory Framework and mechanisms and Output 1.2. Improved and effective management and governance of PNMS/DFZ through strengthened capacity, skills and knowledge. Despite a draft PNMS strategy, this outcome has seen little change since last year´s PIR and has been rated as being off-track with many targets not achieved (or inadequately reported). This further confirms the challenges that this project is facing as its progress depends on external factors (i.e. high-level consideration to repeal the PNMS legal framework).</w:t>
            </w:r>
          </w:p>
          <w:p>
            <w:pPr/>
            <w:r>
              <w:rPr/>
              <w:t xml:space="preserve"/>
            </w:r>
          </w:p>
          <w:p>
            <w:pPr/>
            <w:r>
              <w:rPr/>
              <w:t xml:space="preserve">Outcome 2 intends to enhance the management through improved Monitoring, Control and Surveillance of Activities within the Established PNMS and DFZ Boundaries through Output 2.1. The Outcome 2.1 All regulations and laws pertaining to PNMS and DFZ enforced effectively and sustainably was also rated off-track and the reported progress was not fully supported by compelling evidence as only a Cumulative Maritime Surveillance Patrol Reports pertaining to Monitoring Control and Surveillance activities has been uploaded.</w:t>
            </w:r>
          </w:p>
          <w:p>
            <w:pPr/>
            <w:r>
              <w:rPr/>
              <w:t xml:space="preserve"/>
            </w:r>
          </w:p>
          <w:p>
            <w:pPr/>
            <w:r>
              <w:rPr/>
              <w:t xml:space="preserve">Outcome 3 aims to provide Ecosystem Assessment and Financial Planning for a Long-term Sustainability Strategy for the PNMS through Outcome 3.1, Long-term mechanisms to support financial sustainability and security PNMS and its associated administrative and management arrangements are negotiated and identified. While the development of a 10-year sustainable funding roadmap and efforts to develop ocean accounts have been reported, there was no supporting evidence to this progress. It is noteworthy that, while tax-related policies and costs pertaining to the PNMS recommendations were provided during the previous PIR cycle, the economic situation of the country - with the enactment of Goods and Services Tax in January 2023, coupled with increased inflation rates and ongoing economic recovery due to the COVID19 pandemic – rendered the implementation of such policies unsuitable, further delaying progress.</w:t>
            </w:r>
          </w:p>
          <w:p>
            <w:pPr/>
            <w:r>
              <w:rPr/>
              <w:t xml:space="preserve"/>
            </w:r>
          </w:p>
          <w:p>
            <w:pPr/>
            <w:r>
              <w:rPr/>
              <w:t xml:space="preserve">Outcome #4 targeting the Improvement of Knowledge Management, communication and awareness outreach coupled with effective Project Monitoring and Evaluation, is the only on-track outcome. Exchanges and networking activities have been realized and a PNMS communication strategies and Action Plan final drafted. Unfortunately, it is not clear how the project has supported these activities as neither the GEF nor UNDP were mentioned in those products and evidence.</w:t>
            </w:r>
          </w:p>
          <w:p>
            <w:pPr/>
            <w:r>
              <w:rPr/>
              <w:t xml:space="preserve"/>
            </w:r>
          </w:p>
          <w:p>
            <w:pPr/>
            <w:r>
              <w:rPr/>
              <w:t xml:space="preserve">Implementation Progress</w:t>
            </w:r>
          </w:p>
          <w:p>
            <w:pPr/>
            <w:r>
              <w:rPr/>
              <w:t xml:space="preserve"/>
            </w:r>
          </w:p>
          <w:p>
            <w:pPr/>
            <w:r>
              <w:rPr/>
              <w:t xml:space="preserve">The progress toward implementation is rated as unsatisfactory which is slightly below last year´s rating and the current CO rating of MU. My rating is based on the following observations:</w:t>
            </w:r>
          </w:p>
          <w:p>
            <w:pPr/>
            <w:r>
              <w:rPr/>
              <w:t xml:space="preserve"/>
            </w:r>
          </w:p>
          <w:p>
            <w:pPr/>
            <w:r>
              <w:rPr/>
              <w:t xml:space="preserve">The inception workshop took place on 10 June 2021, but the inception report was only finalized and uploaded on 2 August 2023. Although, not compulsory for an MSP, the ProDoc planned an Independent Advisory Assessment of project between the 18th and 22nd Month of this 48-month. This did not take place. These are two key documents that could have supported adaptive management. Delays on the finalization of these documents represent missed opportunities for the project to adapt to the difficult context.</w:t>
            </w:r>
          </w:p>
          <w:p>
            <w:pPr/>
            <w:r>
              <w:rPr/>
              <w:t xml:space="preserve">The project Cumulative financial delivery as of this year stands at 49.3% denoting slightly low delivery rate against the expected delivery as per the ProDoc. However, the Cumulative disbursement as of June 2023 is USD 699,703.03 which represents 24.2% of the total budget of USD 1,826,484. This represents a substantial portfolio-level risk.</w:t>
            </w:r>
          </w:p>
          <w:p>
            <w:pPr/>
            <w:r>
              <w:rPr/>
              <w:t xml:space="preserve"/>
            </w:r>
          </w:p>
          <w:p>
            <w:pPr/>
            <w:r>
              <w:rPr/>
              <w:t xml:space="preserve">As of June 2023, USD 7,621,000 in co-financing have been tracked out of a total co-financing commitment of USD 17,250,000. However, only USD 7,546,000 in co-financing have been supported with evidence.</w:t>
            </w:r>
          </w:p>
          <w:p>
            <w:pPr/>
            <w:r>
              <w:rPr/>
              <w:t xml:space="preserve"/>
            </w:r>
          </w:p>
          <w:p>
            <w:pPr/>
            <w:r>
              <w:rPr/>
              <w:t xml:space="preserve">Recommendations:</w:t>
            </w:r>
          </w:p>
          <w:p>
            <w:pPr/>
            <w:r>
              <w:rPr/>
              <w:t xml:space="preserve">•	The project team should develop an acceleration plan to make the most out of the remaining second half of the project.</w:t>
            </w:r>
          </w:p>
          <w:p>
            <w:pPr/>
            <w:r>
              <w:rPr/>
              <w:t xml:space="preserve">•	Adaptive management should be undertaken immediately. It is recommended that the Independent Advisory Assessment, budgeted in the ProDoc, is conducted as soon as possible to help revise End of Project targets and that a management response in light of the project context is developed accordingly.</w:t>
            </w:r>
          </w:p>
          <w:p>
            <w:pPr/>
            <w:r>
              <w:rPr/>
              <w:t xml:space="preserve">•	The project is also encouraged to proactively record co-financing and share evidence during the independent assessment and next PIR</w:t>
            </w:r>
          </w:p>
          <w:p>
            <w:pPr/>
            <w:r>
              <w:rPr/>
              <w:t xml:space="preserve">•	The political risk linked with PNMS legal framework should be closely monitored.</w:t>
            </w:r>
          </w:p>
          <w:p>
            <w:pPr/>
            <w:r>
              <w:rPr/>
              <w:t xml:space="preserve">•	Special attention should be dedicated to the monitoring of project results, including the collection pf gender disaggregated data given the importance of women in the fisheries sector in the Pacific (gleaning, subsistence fishing and post-harvest activities).</w:t>
            </w:r>
          </w:p>
        </w:tc>
      </w:tr>
      <w:tr>
        <w:trPr/>
        <w:tc>
          <w:tcPr>
            <w:tcW w:w="5000" w:type="dxa"/>
            <w:gridSpan w:val="1"/>
          </w:tcPr>
          <w:p>
            <w:pPr/>
            <w:r>
              <w:rPr>
                <w:b w:val="1"/>
                <w:bCs w:val="1"/>
              </w:rPr>
              <w:t xml:space="preserve">UNDP Country Office Programme Officer</w:t>
            </w:r>
          </w:p>
        </w:tc>
        <w:tc>
          <w:tcPr>
            <w:tcW w:w="10000" w:type="dxa"/>
            <w:gridSpan w:val="1"/>
          </w:tcPr>
          <w:p>
            <w:pPr/>
            <w:r>
              <w:rPr/>
              <w:t xml:space="preserve">This will be the 2nd PIR since the start of the project in June 2021. The project was designed to strengthen and implement  a strategic plan for the sustainable management of the Palau National Marine Sanctuary (PNMS) and Domestic Fishing Zone (DFZ) in Palau through 4 key outcomes. Progress towards meeting the development objective within this reporting period has been rated as moderately unsatisfactory as it noted that objective outcome and subsequent outcomes 1 – 3 are off track in these reporting period due to a recent high-level consideration to repeal the PNMS legal framework which has delayed progress on some project outputs namely the PNMS Strategic Plan development of a monitoring programme and progressing collaborative framework across management authorities (outputs 1.1 and 1.2). It is also important to note that the COVID19 pandemic with travel restrictions and closures contributed  to project implementation delay for this project in Palau as was the case with all Pacific Islands in the past year. While delayed the project team continue to progress the PNMS Strategic Plan with the expectation to complete this by the end of 2023 as well as the continuation of the marine spatial planning and socio-economic assessments that will inform the PNMS legislation, governance structure - management/coordination, including the monitoring and evaluation aspects and sustainable financing mechanisms. Outcome 4 is generally on track with the establishment of a consistent programme to support PNMS efforts. The project is currently a program unit within PICRC. The communications and awareness components is progressing and incorporated in supporting the outreach and education efforts for PICRC.</w:t>
            </w:r>
          </w:p>
          <w:p>
            <w:pPr/>
            <w:r>
              <w:rPr/>
              <w:t xml:space="preserve"/>
            </w:r>
          </w:p>
          <w:p>
            <w:pPr/>
            <w:r>
              <w:rPr/>
              <w:t xml:space="preserve">In addition to current challenges of the project, the project results framework was reviewed at the inception phase of the project with several changes proposed to the project indicators and targets however these changes have yet to be finalised or incorporated into project implementation. This is a medium-sized project a mid-term review in not mandatory, but the project document does recommend that a mid-term review would be beneficial for the project. At this stage in project implementation, a mid-term review or similar type of exercise would be beneficial to the project to finalise the review of project results framework in coordination with the RTA, stocktake project progress and challenges and propose adaptive measure to ensure that project continues to progress towards meeting its end of project targets.</w:t>
            </w:r>
          </w:p>
          <w:p>
            <w:pPr/>
            <w:r>
              <w:rPr/>
              <w:t xml:space="preserve"/>
            </w:r>
          </w:p>
          <w:p>
            <w:pPr/>
            <w:r>
              <w:rPr/>
              <w:t xml:space="preserve">The implementation progress rating is moderately unsatisfactory as the cumulative delivery rate for the project is USD526,357 at the 30 June 2023 which is 28.82% of the expected cumulative delivery in its 2nd year of implementation. It is also important to note that the COVID19 attributed to project implementation delay.</w:t>
            </w:r>
          </w:p>
          <w:p>
            <w:pPr/>
            <w:r>
              <w:rPr/>
              <w:t xml:space="preserve"/>
            </w:r>
          </w:p>
        </w:tc>
      </w:tr>
      <w:tr>
        <w:trPr/>
        <w:tc>
          <w:tcPr>
            <w:tcW w:w="5000" w:type="dxa"/>
            <w:gridSpan w:val="1"/>
          </w:tcPr>
          <w:p>
            <w:pPr/>
            <w:r>
              <w:rPr>
                <w:b w:val="1"/>
                <w:bCs w:val="1"/>
              </w:rPr>
              <w:t xml:space="preserve">Project Manager/Coordinator</w:t>
            </w:r>
          </w:p>
        </w:tc>
        <w:tc>
          <w:tcPr>
            <w:tcW w:w="10000" w:type="dxa"/>
            <w:gridSpan w:val="1"/>
          </w:tcPr>
          <w:p>
            <w:pPr/>
            <w:r>
              <w:rPr/>
              <w:t xml:space="preserve">Significant progress has been made with key deliverables completed including the PNMS Science &amp; Monitoring Strategy and a PNMS song contest – an event that had one of the highest turnouts and was broadcast live on the local TV network and the Center’s social media platforms, taking place at the regularly held Palauan Night Market.  Similar to the status of the project last year, the push to repeal the PNMS legislation and COVID19 have had lasting impacts, causing delays in project implementation and difficulty in organizing consultations and meetings with sufficient participation and attendance with partners, policy makers and key stakeholders.</w:t>
            </w:r>
          </w:p>
          <w:p>
            <w:pPr/>
            <w:r>
              <w:rPr/>
              <w:t xml:space="preserve"/>
            </w:r>
          </w:p>
          <w:p>
            <w:pPr/>
            <w:r>
              <w:rPr/>
              <w:t xml:space="preserve">A result of the push to repeal the PNMS legal framework was a compromise through national legislation, mandating the Ministry of Agriculture, Fisheries &amp; Environment to lead efforts to conduct a marine spatial planning exercise to inform the future of the PNMS.  Recommendations from this exercise are to be submitted to the national congress by September of 2024.  There seems to be a level of replication based on these efforts while also presenting opportunities for the project to collaborate and align relevant activities but the coordination and management of the marine spatial planning exercise is separate from the project which makes alignment challenging.</w:t>
            </w:r>
          </w:p>
          <w:p>
            <w:pPr/>
            <w:r>
              <w:rPr/>
              <w:t xml:space="preserve"/>
            </w:r>
          </w:p>
          <w:p>
            <w:pPr/>
            <w:r>
              <w:rPr/>
              <w:t xml:space="preserve">On this basis, project management has taken a more adaptive approach to implementation of activities.  It is important to note that the outcomes of the marine spatial planning exercise may have implications on the project that will need to be taken into consideration as they become known.  Project management also notes ongoing efforts with UNDP to finalize targets/indicators and/or determine a common understanding and expectations on project outcomes and how they are measurably tracked over time.  UNDP guidance and project support is appreciated and has been valuable in ensuring project requirements are adhered to.</w:t>
            </w:r>
          </w:p>
          <w:p>
            <w:pPr/>
            <w:r>
              <w:rPr/>
              <w:t xml:space="preserve"/>
            </w:r>
          </w:p>
          <w:p>
            <w:pPr/>
            <w:r>
              <w:rPr/>
              <w:t xml:space="preserve">The project management unit continues to work closely with the Ministry of Justice and Ministry of Agriculture, Fisheries &amp; Environment to address capacity building and training needs and improving collaborative efforts.  It is anticipated that the PNMS Strategic Plan would be completed within Q3 of this year and will further guide collaboration across the three PNMS mandated agencies.</w:t>
            </w:r>
          </w:p>
          <w:p>
            <w:pPr/>
            <w:r>
              <w:rPr/>
              <w:t xml:space="preserve"/>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10" w:name="_Toc10"/>
      <w:r>
        <w:t>Minor Amendments</w:t>
      </w:r>
      <w:bookmarkEnd w:id="10"/>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Results Framework</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the 'Results framework'</w:t>
            </w:r>
          </w:p>
        </w:tc>
      </w:tr>
      <w:tr>
        <w:trPr/>
        <w:tc>
          <w:tcPr>
            <w:tcW w:w="10000" w:type="dxa"/>
            <w:gridSpan w:val="1"/>
          </w:tcPr>
          <w:p>
            <w:pPr/>
            <w:r>
              <w:rPr/>
              <w:t xml:space="preserve">During the inception phase meetings of the project, changes were proposed by stakeholders to the targets and indicators. These proposed changes are being reviewed which will be a session that will be done separately in consultation with UNDP and RTA prior to approval.</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 Components and cost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'Components and cost'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 Institutional and implementation arrangements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'Institutional and implementation arrangements'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 Financial management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'Financial Management'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E) Implementation schedule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'Implementation schedule'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 Executing Entity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G) Executing Entity Category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 Category'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H) Minor project objective change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'minor project objective change'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 Safeguards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'Safeguards'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J) Risk Analysis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'Risk Analysis'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K) Increase of GEF project financing up to 5%</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 to GEF project financing up to 5%</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L) Co-financing</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'Co-financing'</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M) Location of project activity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project location activity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Other</w:t>
            </w:r>
          </w:p>
        </w:tc>
      </w:tr>
      <w:tr>
        <w:trPr/>
        <w:tc>
          <w:tcPr>
            <w:tcW w:w="10000" w:type="dxa"/>
            <w:gridSpan w:val="1"/>
          </w:tcPr>
          <w:p>
            <w:pPr/>
            <w:r>
              <w:rPr/>
              <w:t xml:space="preserve">No</w:t>
            </w:r>
          </w:p>
        </w:tc>
      </w:tr>
      <w:tr>
        <w:trPr/>
        <w:tc>
          <w:tcPr>
            <w:tcW w:w="10000" w:type="dxa"/>
            <w:shd w:val="clear" w:fill="#D9D9D9"/>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Upload any supporting documentation related to responses in this section.</w:t>
            </w:r>
          </w:p>
        </w:tc>
      </w:tr>
      <w:tr>
        <w:trPr/>
        <w:tc>
          <w:tcPr>
            <w:tcW w:w="10000" w:type="dxa"/>
          </w:tcPr>
          <w:p>
            <w:pPr>
              <w:spacing w:before="0" w:after="0"/>
            </w:pPr>
            <w:r>
              <w:rPr/>
              <w:t xml:space="preserve">Revised PNMS Inception Workshop Report_19Jul2023.docx</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1" w:name="_Toc11"/>
      <w:r>
        <w:t>Gender</w:t>
      </w:r>
      <w:bookmarkEnd w:id="11"/>
    </w:p>
    <w:p>
      <w:pPr>
        <w:pStyle w:val="Heading2"/>
      </w:pPr>
      <w:bookmarkStart w:id="12" w:name="_Toc12"/>
      <w:r>
        <w:t>Progress in Advancing Gender Equality and Women's Empowerment</w:t>
      </w:r>
      <w:bookmarkEnd w:id="12"/>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Quantum Gender Marker Rating</w:t>
            </w:r>
          </w:p>
        </w:tc>
      </w:tr>
      <w:tr>
        <w:trPr/>
        <w:tc>
          <w:tcPr>
            <w:tcW w:w="10000" w:type="dxa"/>
          </w:tcPr>
          <w:p>
            <w:pPr/>
            <w:r>
              <w:rPr>
                <w:b w:val="1"/>
                <w:bCs w:val="1"/>
              </w:rPr>
              <w:t xml:space="preserve">GEN2: </w:t>
            </w:r>
            <w:r>
              <w:rPr/>
              <w:t xml:space="preserve">gender equality as significant objective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No</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No</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The Vice President/Minister of Justice is a woman who serves as chair of the PSC.  The Planning &amp; Development Officer, the Director of the Bureau of Fisheries, the Director of Research and the Director of Administration at PICRC are some of the women who play important roles in project support.</w:t>
            </w:r>
          </w:p>
          <w:p>
            <w:pPr/>
            <w:r>
              <w:rPr/>
              <w:t xml:space="preserve">Women are well represented in the PNMS Advisory Committee with a woman serving as co-chair.  Gender is well documented in attendance sheets in meetings pertaining to the project and the PNMS and women are proactively engaged at levels in project implementation and more importantly strong voice and a role in decision‐making processes from the community to national government.</w:t>
            </w:r>
          </w:p>
          <w:p>
            <w:pPr/>
            <w:r>
              <w:rPr/>
              <w:t xml:space="preserve">Project interventions under the project would provide more opportunities for women in STEM, and marine production system such fisheries and ecotourism pertaining to the benefit steaming from a strengthened legal and institutional framework for thePalau National Marine Sanctuary and Domestic Fishing Zone</w:t>
            </w:r>
          </w:p>
        </w:tc>
      </w:tr>
    </w:tbl>
    <w:p>
      <w:pPr>
        <w:sectPr>
          <w:pgSz w:orient="portrait" w:w="11905.511811023622" w:h="16837.79527559055"/>
          <w:pgMar w:top="1440" w:right="1440" w:bottom="1440" w:left="1440" w:header="720" w:footer="720" w:gutter="0"/>
          <w:cols w:num="1" w:space="720"/>
        </w:sectPr>
      </w:pPr>
    </w:p>
    <w:p>
      <w:pPr>
        <w:pStyle w:val="Heading1"/>
      </w:pPr>
      <w:bookmarkStart w:id="13" w:name="_Toc13"/>
      <w:r>
        <w:t>Risk Management</w:t>
      </w:r>
      <w:bookmarkEnd w:id="13"/>
    </w:p>
    <w:p>
      <w:pPr>
        <w:pStyle w:val="Heading2"/>
      </w:pPr>
      <w:bookmarkStart w:id="14" w:name="_Toc14"/>
      <w:r>
        <w:t>A) Review of Risks outlined in Risk Register and PIMS+ risk tab</w:t>
      </w:r>
      <w:bookmarkEnd w:id="14"/>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Has the Atlas/Quantum Risk Register been updated during this reporting period?</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w:t>
            </w:r>
          </w:p>
          <w:p>
            <w:pPr/>
            <w:r>
              <w:rPr/>
              <w:t xml:space="preserve">Please provide an assessment of project risk management (including risks reported in  Risk Register and risks included in the project’s risk tab in  PIMS+ ) undertaken in the reporting period  and summarize the key risk management measures to be taken in the coming year. This text will be pulled into the risk management action plan in this project’s risk tab in PIMS+.</w:t>
            </w:r>
          </w:p>
        </w:tc>
      </w:tr>
      <w:tr>
        <w:trPr/>
        <w:tc>
          <w:tcPr>
            <w:tcW w:w="10000" w:type="dxa"/>
            <w:gridSpan w:val="1"/>
          </w:tcPr>
          <w:p>
            <w:pPr/>
            <w:r>
              <w:rPr/>
              <w:t xml:space="preserve">Risk Register: There are only 2 risks in Quantum which are valid to Dec 2023. One operational risk (3.7, related to COVID) is not reported in the risk register. This risk should be active and monitored. Enhanced risk management is recommended. It is also recommended to closely monitor the political risk related to PNMS legal framework.</w:t>
            </w:r>
          </w:p>
          <w:p>
            <w:pPr/>
            <w:r>
              <w:rPr/>
              <w:t xml:space="preserve"/>
            </w:r>
          </w:p>
          <w:p>
            <w:pPr/>
            <w:r>
              <w:rPr/>
              <w:t xml:space="preserve">Risk Tab: the project risk category in the risk tab is reported as moderate where the project delivery rate is less than 35% against the ProDoc budget which should be considered a substantial portfolio-level risk.</w:t>
            </w:r>
          </w:p>
          <w:p>
            <w:pPr/>
            <w:r>
              <w:rPr/>
              <w:t xml:space="preserve"/>
            </w:r>
          </w:p>
          <w:p>
            <w:pPr/>
            <w:r>
              <w:rPr/>
              <w:t xml:space="preserve">SESP: The answer provided to question 1 on SESP below should probably apply to the risk register.</w:t>
            </w:r>
          </w:p>
        </w:tc>
      </w:tr>
    </w:tbl>
    <w:p>
      <w:pPr>
        <w:pStyle w:val="Heading2"/>
      </w:pPr>
      <w:bookmarkStart w:id="15" w:name="_Toc15"/>
      <w:r>
        <w:t>B) Social and Environmental Standards (Safeguards) Risks</w:t>
      </w:r>
      <w:bookmarkEnd w:id="15"/>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For reference, please find below the project's safeguards screening (Social and Environmental Screening Procedure (SESP) or the old ESSP tool); management plans (if any); and its SESP categorization above.  Please note that the SESP categorization might have been corrected during a centralized review (GEF-6 projects only).</w:t>
            </w:r>
          </w:p>
          <w:p>
            <w:pPr/>
            <w:r>
              <w:rPr/>
              <w:t xml:space="preserve">If the project has updated its SESP during implementation, then please upload that file below. Note that any change to the project's SESP categorization should be confirmed by the Project Board and by the NCEW PTA (and NCEW safeguards team).</w:t>
            </w:r>
          </w:p>
        </w:tc>
      </w:tr>
      <w:tr>
        <w:trPr/>
        <w:tc>
          <w:tcPr>
            <w:tcW w:w="10000" w:type="dxa"/>
          </w:tcPr>
          <w:p>
            <w:pPr>
              <w:spacing w:before="0" w:after="0"/>
            </w:pPr>
            <w:r>
              <w:rPr/>
              <w:t xml:space="preserve">1. PNMS Strategic Management Plan - Volume 1.pdf</w:t>
            </w:r>
          </w:p>
          <w:p>
            <w:pPr>
              <w:spacing w:before="0" w:after="0"/>
            </w:pPr>
            <w:r>
              <w:rPr/>
              <w:t xml:space="preserve">2. PNMS Strategic Management Plan - Volume 2.pdf</w:t>
            </w:r>
          </w:p>
          <w:p>
            <w:pPr>
              <w:spacing w:before="0" w:after="0"/>
            </w:pPr>
            <w:r>
              <w:rPr/>
              <w:t xml:space="preserve">3. PNMS Advisory Committee - Partnership Agreement.pdf</w:t>
            </w:r>
          </w:p>
          <w:p>
            <w:pPr>
              <w:spacing w:before="0" w:after="0"/>
            </w:pPr>
            <w:r>
              <w:rPr/>
              <w:t xml:space="preserve">4. PNMS Advisory Committee - Operational Guidelines.pdf</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Knowledge Management &amp; Communications</w:t>
      </w:r>
      <w:bookmarkEnd w:id="16"/>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There is no KM approach/strategy.  However, established partnerships with managers, organizations and institutes doing work with large scale marine protected areas has provided opportunities to collaborate regularly for KM.  Such partners include the Blue Nature Alliance, Stanford University’s Center for Ocean Solutions, Ocean Exploration Trust, Big Ocean and others.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1. Organization Website: www.picrc.org</w:t>
            </w:r>
          </w:p>
          <w:p>
            <w:pPr/>
            <w:r>
              <w:rPr/>
              <w:t xml:space="preserve">2. PNMS Report: https://oceansolutions.stanford.edu/key-initiatives/sustainable-ocean-economies/palau-national-marine-sanctuary</w:t>
            </w:r>
          </w:p>
          <w:p>
            <w:pPr/>
            <w:r>
              <w:rPr/>
              <w:t xml:space="preserve">3. Facebook: https://www.facebook.com/Palauinternationalcoralreefcenter</w:t>
            </w:r>
          </w:p>
          <w:p>
            <w:pPr/>
            <w:r>
              <w:rPr/>
              <w:t xml:space="preserve">4. Facebook: https://www.facebook.com/PalauNationalMarineSanctuary</w:t>
            </w:r>
          </w:p>
          <w:p>
            <w:pPr/>
            <w:r>
              <w:rPr/>
              <w:t xml:space="preserve">5. Media Coverage: https://islandtimes.org/picrc-releases-pnms-science-and-monitoring-strategy/</w:t>
            </w:r>
          </w:p>
          <w:p>
            <w:pPr/>
            <w:r>
              <w:rPr/>
              <w:t xml:space="preserve">6. YouTube: https://www.youtube.com/watch?v=kO854SSsnaM</w:t>
            </w:r>
          </w:p>
          <w:p>
            <w:pPr/>
            <w:r>
              <w:rPr/>
              <w:t xml:space="preserve">7. YouTube: https://www.youtube.com/watch?v=K6rA54oGj_E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tcPr>
          <w:p>
            <w:pPr>
              <w:spacing w:before="0" w:after="0"/>
            </w:pPr>
            <w:r>
              <w:rPr/>
              <w:t xml:space="preserve">Supporting Files Hyperlinks for Question 3.pdf</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7" w:name="_Toc17"/>
      <w:r>
        <w:t>Stakeholder Engagement</w:t>
      </w:r>
      <w:bookmarkEnd w:id="17"/>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Provide an update on progress, challenges and outcomes related to stakeholder engagement based on the description in the Stakeholder Engagement Plan or equivalent documentation submitted at CEO Endorsement/Approval.</w:t>
            </w:r>
          </w:p>
          <w:p>
            <w:pPr/>
            <w:r>
              <w:rPr>
                <w:b w:val="1"/>
                <w:bCs w:val="1"/>
              </w:rPr>
              <w:t xml:space="preserve"/>
            </w:r>
          </w:p>
          <w:p>
            <w:pPr/>
            <w:r>
              <w:rPr>
                <w:b w:val="1"/>
                <w:bCs w:val="1"/>
              </w:rPr>
              <w:t xml:space="preserve">(B) Upload all available documentation of the project's stakeholder engagement, including surveys, FPIC reports and others using the FILE LIBRARY button in the upper right corner of the PIR.</w:t>
            </w:r>
          </w:p>
          <w:p>
            <w:pPr/>
            <w:r>
              <w:rPr>
                <w:b w:val="1"/>
                <w:bCs w:val="1"/>
              </w:rPr>
              <w:t xml:space="preserve"/>
            </w:r>
          </w:p>
          <w:p>
            <w:pPr/>
            <w:r>
              <w:rPr>
                <w:b w:val="1"/>
                <w:bCs w:val="1"/>
              </w:rPr>
              <w:t xml:space="preserve">(C) If the project's Stakeholder Engagement Plan has been updated during the reporting period, please upload that file using the FILE LIBRARY button above.</w:t>
            </w:r>
          </w:p>
        </w:tc>
      </w:tr>
      <w:tr>
        <w:trPr/>
        <w:tc>
          <w:tcPr>
            <w:tcW w:w="10000" w:type="dxa"/>
            <w:gridSpan w:val="1"/>
          </w:tcPr>
          <w:p>
            <w:pPr/>
            <w:r>
              <w:rPr/>
              <w:t xml:space="preserve">The two key platforms for the project to conduct stakeholder engagements are the PNMS advisory committee and the conservation consortium.  The PNMS advisory committee is a public-private partnership established through a signed agreement by all members.  The committee meets regularly but the push to repeal the PNMS act has reduced the frequency of these engagements.</w:t>
            </w:r>
          </w:p>
          <w:p>
            <w:pPr/>
            <w:r>
              <w:rPr/>
              <w:t xml:space="preserve"/>
            </w:r>
          </w:p>
          <w:p>
            <w:pPr/>
            <w:r>
              <w:rPr/>
              <w:t xml:space="preserve">The second platform of the conservation consortium consists of an informal gathering of people who have an interest in conservation and do not represent their agencies or organizations but participate as individuals.  The consortium provides partners, for example, the opportunity to solicit feedback for project development, strategic action planning and other relevant consultations.</w:t>
            </w:r>
          </w:p>
          <w:p>
            <w:pPr/>
            <w:r>
              <w:rPr/>
              <w:t xml:space="preserve">Documentation of both platforms for stakeholder engagements have been uploaded.</w:t>
            </w:r>
          </w:p>
          <w:p>
            <w:pPr/>
            <w:r>
              <w:rPr/>
              <w:t xml:space="preserve"/>
            </w:r>
          </w:p>
          <w:p>
            <w:pPr/>
            <w:r>
              <w:rPr/>
              <w:t xml:space="preserve">The PNMS PNMS communication strategies and Action Plan final draft is uploaded in evidence folder for PIR under Outcome 4.</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18" w:name="_Toc18"/>
      <w:r>
        <w:t>Annex - Ratings Definitions</w:t>
      </w:r>
      <w:bookmarkEnd w:id="18"/>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2023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2B382"/>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customXml" Target="../customXml/item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theme" Target="theme/theme1.xml"/><Relationship Id="rId9" Type="http://schemas.openxmlformats.org/officeDocument/2006/relationships/image" Target="media/section_image3.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B0423 - Palau - Cty Pgmm</OfficeCountry>
    <DocumentStatus xmlns="d9cf0e28-81d2-4dc7-8b10-820d80ed680d">Final</DocumentStatus>
    <DocCoverageEndDate xmlns="d9cf0e28-81d2-4dc7-8b10-820d80ed680d">2023-06-30T04:00:00+00:00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Project Implementation Report</FileNameDescription>
    <ProjectNumber xmlns="d9cf0e28-81d2-4dc7-8b10-820d80ed680d">00119066</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UNDP-FJI</OperatingUnit>
    <lcf76f155ced4ddcb4097134ff3c332f xmlns="d9cf0e28-81d2-4dc7-8b10-820d80ed680d">
      <Terms xmlns="http://schemas.microsoft.com/office/infopath/2007/PartnerControls"/>
    </lcf76f155ced4ddcb4097134ff3c332f>
    <FocusArea xmlns="d9cf0e28-81d2-4dc7-8b10-820d80ed680d">Projects</FocusArea>
    <DocCoverageStartDate xmlns="d9cf0e28-81d2-4dc7-8b10-820d80ed680d">2022-07-01T04:00:00+00:00</DocCoverageStartDate>
    <FileClassificationMode xmlns="d9cf0e28-81d2-4dc7-8b10-820d80ed680d">Public</FileClassificationMode>
    <OutputNumber xmlns="d9cf0e28-81d2-4dc7-8b10-820d80ed680d">00115622</OutputNumber>
  </documentManagement>
</p:properties>
</file>

<file path=customXml/itemProps1.xml><?xml version="1.0" encoding="utf-8"?>
<ds:datastoreItem xmlns:ds="http://schemas.openxmlformats.org/officeDocument/2006/customXml" ds:itemID="{5777E4C0-F254-4508-9B8D-155F8BBEBE3A}"/>
</file>

<file path=customXml/itemProps2.xml><?xml version="1.0" encoding="utf-8"?>
<ds:datastoreItem xmlns:ds="http://schemas.openxmlformats.org/officeDocument/2006/customXml" ds:itemID="{7BC96832-6FBE-40B9-B360-62341353E8D4}"/>
</file>

<file path=customXml/itemProps3.xml><?xml version="1.0" encoding="utf-8"?>
<ds:datastoreItem xmlns:ds="http://schemas.openxmlformats.org/officeDocument/2006/customXml" ds:itemID="{B5BCDF21-4655-453B-8ED0-5A5F40B879A1}"/>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Implementation Report</dc:title>
  <dc:subject/>
  <dc:creator/>
  <cp:keywords/>
  <dc:description/>
  <cp:lastModifiedBy/>
  <dcterms:created xsi:type="dcterms:W3CDTF">2023-09-10T12:26:35Z</dcterms:created>
  <dcterms:modified xsi:type="dcterms:W3CDTF">2023-09-10T12:26:35Z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