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2024</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Palau PNMS</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5" w:history="1">
        <w:r>
          <w:t>Implementation Progress</w:t>
        </w:r>
        <w:r>
          <w:tab/>
        </w:r>
        <w:r>
          <w:fldChar w:fldCharType="begin"/>
        </w:r>
        <w:r>
          <w:instrText xml:space="preserve">PAGEREF _Toc5 \h</w:instrText>
        </w:r>
        <w:r>
          <w:fldChar w:fldCharType="end"/>
        </w:r>
      </w:hyperlink>
    </w:p>
    <w:p>
      <w:pPr>
        <w:tabs>
          <w:tab w:val="right" w:leader="dot" w:pos="9062"/>
        </w:tabs>
      </w:pPr>
      <w:hyperlink w:anchor="_Toc8" w:history="1">
        <w:r>
          <w:t>Project Governance</w:t>
        </w:r>
        <w:r>
          <w:tab/>
        </w:r>
        <w:r>
          <w:fldChar w:fldCharType="begin"/>
        </w:r>
        <w:r>
          <w:instrText xml:space="preserve">PAGEREF _Toc8 \h</w:instrText>
        </w:r>
        <w:r>
          <w:fldChar w:fldCharType="end"/>
        </w:r>
      </w:hyperlink>
    </w:p>
    <w:p>
      <w:pPr>
        <w:tabs>
          <w:tab w:val="right" w:leader="dot" w:pos="9062"/>
        </w:tabs>
      </w:pPr>
      <w:hyperlink w:anchor="_Toc9" w:history="1">
        <w:r>
          <w:t>Ratings and Overall Assessments</w:t>
        </w:r>
        <w:r>
          <w:tab/>
        </w:r>
        <w:r>
          <w:fldChar w:fldCharType="begin"/>
        </w:r>
        <w:r>
          <w:instrText xml:space="preserve">PAGEREF _Toc9 \h</w:instrText>
        </w:r>
        <w:r>
          <w:fldChar w:fldCharType="end"/>
        </w:r>
      </w:hyperlink>
    </w:p>
    <w:p>
      <w:pPr>
        <w:tabs>
          <w:tab w:val="right" w:leader="dot" w:pos="9062"/>
        </w:tabs>
      </w:pPr>
      <w:hyperlink w:anchor="_Toc10" w:history="1">
        <w:r>
          <w:t>Minor Amendments</w:t>
        </w:r>
        <w:r>
          <w:tab/>
        </w:r>
        <w:r>
          <w:fldChar w:fldCharType="begin"/>
        </w:r>
        <w:r>
          <w:instrText xml:space="preserve">PAGEREF _Toc10 \h</w:instrText>
        </w:r>
        <w:r>
          <w:fldChar w:fldCharType="end"/>
        </w:r>
      </w:hyperlink>
    </w:p>
    <w:p>
      <w:pPr>
        <w:tabs>
          <w:tab w:val="right" w:leader="dot" w:pos="9062"/>
        </w:tabs>
      </w:pPr>
      <w:hyperlink w:anchor="_Toc11" w:history="1">
        <w:r>
          <w:t>Gender</w:t>
        </w:r>
        <w:r>
          <w:tab/>
        </w:r>
        <w:r>
          <w:fldChar w:fldCharType="begin"/>
        </w:r>
        <w:r>
          <w:instrText xml:space="preserve">PAGEREF _Toc11 \h</w:instrText>
        </w:r>
        <w:r>
          <w:fldChar w:fldCharType="end"/>
        </w:r>
      </w:hyperlink>
    </w:p>
    <w:p>
      <w:pPr>
        <w:tabs>
          <w:tab w:val="right" w:leader="dot" w:pos="9062"/>
        </w:tabs>
      </w:pPr>
      <w:hyperlink w:anchor="_Toc13" w:history="1">
        <w:r>
          <w:t>Risk Management</w:t>
        </w:r>
        <w:r>
          <w:tab/>
        </w:r>
        <w:r>
          <w:fldChar w:fldCharType="begin"/>
        </w:r>
        <w:r>
          <w:instrText xml:space="preserve">PAGEREF _Toc13 \h</w:instrText>
        </w:r>
        <w:r>
          <w:fldChar w:fldCharType="end"/>
        </w:r>
      </w:hyperlink>
    </w:p>
    <w:p>
      <w:pPr>
        <w:tabs>
          <w:tab w:val="right" w:leader="dot" w:pos="9062"/>
        </w:tabs>
      </w:pPr>
      <w:hyperlink w:anchor="_Toc16" w:history="1">
        <w:r>
          <w:t>Knowledge Management &amp; Communications</w:t>
        </w:r>
        <w:r>
          <w:tab/>
        </w:r>
        <w:r>
          <w:fldChar w:fldCharType="begin"/>
        </w:r>
        <w:r>
          <w:instrText xml:space="preserve">PAGEREF _Toc16 \h</w:instrText>
        </w:r>
        <w:r>
          <w:fldChar w:fldCharType="end"/>
        </w:r>
      </w:hyperlink>
    </w:p>
    <w:p>
      <w:pPr>
        <w:tabs>
          <w:tab w:val="right" w:leader="dot" w:pos="9062"/>
        </w:tabs>
      </w:pPr>
      <w:hyperlink w:anchor="_Toc17" w:history="1">
        <w:r>
          <w:t>Annex - Ratings Definitions</w:t>
        </w:r>
        <w:r>
          <w:tab/>
        </w:r>
        <w:r>
          <w:fldChar w:fldCharType="begin"/>
        </w:r>
        <w:r>
          <w:instrText xml:space="preserve">PAGEREF _Toc17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6418</w:t>
            </w:r>
          </w:p>
        </w:tc>
      </w:tr>
      <w:tr>
        <w:trPr/>
        <w:tc>
          <w:tcPr>
            <w:tcW w:w="5000" w:type="dxa"/>
            <w:gridSpan w:val="1"/>
          </w:tcPr>
          <w:p>
            <w:pPr/>
            <w:r>
              <w:rPr/>
              <w:t xml:space="preserve">GEF ID</w:t>
            </w:r>
          </w:p>
        </w:tc>
        <w:tc>
          <w:tcPr>
            <w:tcW w:w="5000" w:type="dxa"/>
            <w:gridSpan w:val="1"/>
          </w:tcPr>
          <w:p>
            <w:pPr/>
            <w:r>
              <w:rPr/>
              <w:t xml:space="preserve">10611</w:t>
            </w:r>
          </w:p>
        </w:tc>
      </w:tr>
      <w:tr>
        <w:trPr/>
        <w:tc>
          <w:tcPr>
            <w:tcW w:w="5000" w:type="dxa"/>
            <w:gridSpan w:val="1"/>
          </w:tcPr>
          <w:p>
            <w:pPr/>
            <w:r>
              <w:rPr/>
              <w:t xml:space="preserve">Title</w:t>
            </w:r>
          </w:p>
        </w:tc>
        <w:tc>
          <w:tcPr>
            <w:tcW w:w="5000" w:type="dxa"/>
            <w:gridSpan w:val="1"/>
          </w:tcPr>
          <w:p>
            <w:pPr/>
            <w:r>
              <w:rPr/>
              <w:t xml:space="preserve">Strengthening the Palau National Marine Sanctuary for the Conservation and Management of Global Marine Biodiversity and Sustainable Fisheries</w:t>
            </w:r>
          </w:p>
        </w:tc>
      </w:tr>
      <w:tr>
        <w:trPr/>
        <w:tc>
          <w:tcPr>
            <w:tcW w:w="5000" w:type="dxa"/>
            <w:gridSpan w:val="1"/>
          </w:tcPr>
          <w:p>
            <w:pPr/>
            <w:r>
              <w:rPr/>
              <w:t xml:space="preserve">Country(ies)</w:t>
            </w:r>
          </w:p>
        </w:tc>
        <w:tc>
          <w:tcPr>
            <w:tcW w:w="5000" w:type="dxa"/>
            <w:gridSpan w:val="1"/>
          </w:tcPr>
          <w:p>
            <w:pPr/>
            <w:r>
              <w:rPr/>
              <w:t xml:space="preserve">Palau, Palau</w:t>
            </w:r>
          </w:p>
        </w:tc>
      </w:tr>
      <w:tr>
        <w:trPr/>
        <w:tc>
          <w:tcPr>
            <w:tcW w:w="5000" w:type="dxa"/>
            <w:gridSpan w:val="1"/>
          </w:tcPr>
          <w:p>
            <w:pPr/>
            <w:r>
              <w:rPr/>
              <w:t xml:space="preserve">UNDP Technical Team</w:t>
            </w:r>
          </w:p>
        </w:tc>
        <w:tc>
          <w:tcPr>
            <w:tcW w:w="5000" w:type="dxa"/>
            <w:gridSpan w:val="1"/>
          </w:tcPr>
          <w:p>
            <w:pPr/>
            <w:r>
              <w:rPr/>
              <w:t xml:space="preserve">Water and Oceans</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Palau International Coral Reef Center</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Medium Size - 1 step</w:t>
            </w:r>
          </w:p>
        </w:tc>
      </w:tr>
      <w:tr>
        <w:trPr/>
        <w:tc>
          <w:tcPr>
            <w:tcW w:w="5000" w:type="dxa"/>
            <w:gridSpan w:val="1"/>
          </w:tcPr>
          <w:p>
            <w:pPr/>
            <w:r>
              <w:rPr/>
              <w:t xml:space="preserve">Implementation Status</w:t>
            </w:r>
          </w:p>
        </w:tc>
        <w:tc>
          <w:tcPr>
            <w:tcW w:w="5000" w:type="dxa"/>
            <w:gridSpan w:val="1"/>
          </w:tcPr>
          <w:p>
            <w:pPr/>
            <w:r>
              <w:rPr/>
              <w:t xml:space="preserve">4th PIR</w:t>
            </w:r>
          </w:p>
        </w:tc>
      </w:tr>
      <w:tr>
        <w:trPr/>
        <w:tc>
          <w:tcPr>
            <w:tcW w:w="5000" w:type="dxa"/>
            <w:gridSpan w:val="1"/>
          </w:tcPr>
          <w:p>
            <w:pPr/>
            <w:r>
              <w:rPr/>
              <w:t xml:space="preserve">GEF Fiscal Year</w:t>
            </w:r>
          </w:p>
        </w:tc>
        <w:tc>
          <w:tcPr>
            <w:tcW w:w="5000" w:type="dxa"/>
            <w:gridSpan w:val="1"/>
          </w:tcPr>
          <w:p>
            <w:pPr/>
            <w:r>
              <w:rPr/>
              <w:t xml:space="preserve">FY24</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In 2015, Palau signed into law a National Marine Sanctuary (PNMS) and a Domestic Fishing Zone (DFZ). The PNMS aims to protect renewable and sustainable living marine resources which provide direct value and revenue to Palau. The DFZ will provide long-term food security within Palau and protect important goods and services, increasing livelihoods and reducing pressure on reef fisheries.   Furthermore, the presence of a 500,000 sq. km. sanctuary provides a replenishment zone for pelagic fish stocks that are important to the entire region. Since its declaration, a number of constraints and challenges hinder the full implementation of the PNMS and DFZ including institutional constraints, financial and economic challenges and some general governance and legal issues. The objective of the Project would be to strengthen and implement a Strategic Plan for sustainable management of the PNMS and DFZ. The project will build on the existing efforts of Palau to conserve its renewable natural resources while adding significantly to the global MPA estate and providing a protected migratory route for globally important fish stocks as well as other non-commercial species and bycatch (e.g. cetaceans, turtles, sharks, seabirds, etc.). Globally, the PNMS will make a valuable contribution to the SDG 14 targets.</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 BPPS Technical Advisor</w:t>
            </w:r>
          </w:p>
        </w:tc>
        <w:tc>
          <w:tcPr>
            <w:tcW w:w="5000" w:type="dxa"/>
            <w:gridSpan w:val="1"/>
          </w:tcPr>
          <w:p>
            <w:pPr/>
            <w:r>
              <w:rPr/>
              <w:t xml:space="preserve">Mr. Sofiane Mahjoub (sofiane.mahjoub@undp.org)</w:t>
            </w:r>
          </w:p>
        </w:tc>
      </w:tr>
      <w:tr>
        <w:trPr/>
        <w:tc>
          <w:tcPr>
            <w:tcW w:w="5000" w:type="dxa"/>
            <w:gridSpan w:val="1"/>
          </w:tcPr>
          <w:p>
            <w:pPr/>
            <w:r>
              <w:rPr/>
              <w:t xml:space="preserve">UNDP BPPS Programme Associate</w:t>
            </w:r>
          </w:p>
        </w:tc>
        <w:tc>
          <w:tcPr>
            <w:tcW w:w="5000" w:type="dxa"/>
            <w:gridSpan w:val="1"/>
          </w:tcPr>
          <w:p>
            <w:pPr/>
            <w:r>
              <w:rPr/>
              <w:t xml:space="preserve">Ms. Pinyavi Chaiwongsrisuk (pinyavi.chaiwongsrisuk@undp.org)</w:t>
            </w:r>
          </w:p>
        </w:tc>
      </w:tr>
      <w:tr>
        <w:trPr/>
        <w:tc>
          <w:tcPr>
            <w:tcW w:w="5000" w:type="dxa"/>
            <w:gridSpan w:val="1"/>
          </w:tcPr>
          <w:p>
            <w:pPr/>
            <w:r>
              <w:rPr/>
              <w:t xml:space="preserve">Project Manager/Coordinator</w:t>
            </w:r>
          </w:p>
        </w:tc>
        <w:tc>
          <w:tcPr>
            <w:tcW w:w="5000" w:type="dxa"/>
            <w:gridSpan w:val="1"/>
          </w:tcPr>
          <w:p>
            <w:pPr/>
            <w:r>
              <w:rPr/>
              <w:t xml:space="preserve">King Sam (ksam.picrc@gmail.com)</w:t>
            </w:r>
          </w:p>
        </w:tc>
      </w:tr>
      <w:tr>
        <w:trPr/>
        <w:tc>
          <w:tcPr>
            <w:tcW w:w="5000" w:type="dxa"/>
            <w:gridSpan w:val="1"/>
          </w:tcPr>
          <w:p>
            <w:pPr/>
            <w:r>
              <w:rPr/>
              <w:t xml:space="preserve">UNDP Country Office Programme Officer</w:t>
            </w:r>
          </w:p>
        </w:tc>
        <w:tc>
          <w:tcPr>
            <w:tcW w:w="5000" w:type="dxa"/>
            <w:gridSpan w:val="1"/>
          </w:tcPr>
          <w:p>
            <w:pPr/>
            <w:r>
              <w:rPr/>
              <w:t xml:space="preserve">Aquila Van keuk (aquila.vankeuk@undp.org)</w:t>
            </w:r>
          </w:p>
        </w:tc>
      </w:tr>
      <w:tr>
        <w:trPr/>
        <w:tc>
          <w:tcPr>
            <w:tcW w:w="5000" w:type="dxa"/>
            <w:gridSpan w:val="1"/>
          </w:tcPr>
          <w:p>
            <w:pPr/>
            <w:r>
              <w:rPr/>
              <w:t xml:space="preserve">UNDP Country Office Deputy Resident Representative</w:t>
            </w:r>
          </w:p>
        </w:tc>
        <w:tc>
          <w:tcPr>
            <w:tcW w:w="5000" w:type="dxa"/>
            <w:gridSpan w:val="1"/>
          </w:tcPr>
          <w:p>
            <w:pPr/>
            <w:r>
              <w:rPr/>
              <w:t xml:space="preserve">Mr. Kevin Joseph PETRINI (kevin.petrini@undp.org)</w:t>
            </w:r>
          </w:p>
        </w:tc>
      </w:tr>
      <w:tr>
        <w:trPr/>
        <w:tc>
          <w:tcPr>
            <w:tcW w:w="5000" w:type="dxa"/>
            <w:gridSpan w:val="1"/>
          </w:tcPr>
          <w:p>
            <w:pPr/>
            <w:r>
              <w:rPr/>
              <w:t xml:space="preserve">UNDP Regional Bureau Desk Officer</w:t>
            </w:r>
          </w:p>
        </w:tc>
        <w:tc>
          <w:tcPr>
            <w:tcW w:w="5000" w:type="dxa"/>
            <w:gridSpan w:val="1"/>
          </w:tcPr>
          <w:p>
            <w:pPr/>
            <w:r>
              <w:rPr/>
              <w:t xml:space="preserve">Ms. Rany Pen (rany.pen@undp.org)</w:t>
            </w:r>
          </w:p>
        </w:tc>
      </w:tr>
      <w:tr>
        <w:trPr/>
        <w:tc>
          <w:tcPr>
            <w:tcW w:w="5000" w:type="dxa"/>
            <w:gridSpan w:val="1"/>
          </w:tcPr>
          <w:p>
            <w:pPr/>
            <w:r>
              <w:rPr/>
              <w:t xml:space="preserve">GEF Operational Focal Point</w:t>
            </w:r>
          </w:p>
        </w:tc>
        <w:tc>
          <w:tcPr>
            <w:tcW w:w="5000" w:type="dxa"/>
            <w:gridSpan w:val="1"/>
          </w:tcPr>
          <w:p>
            <w:pPr/>
            <w:r>
              <w:rPr/>
              <w:t xml:space="preserve">Ms. Charlene Mersai (charmersai@gmail.com)</w:t>
            </w:r>
          </w:p>
        </w:tc>
      </w:tr>
      <w:tr>
        <w:trPr/>
        <w:tc>
          <w:tcPr>
            <w:tcW w:w="5000" w:type="dxa"/>
            <w:gridSpan w:val="1"/>
          </w:tcPr>
          <w:p>
            <w:pPr/>
            <w:r>
              <w:rPr/>
              <w:t xml:space="preserve">Project Implementing Partner</w:t>
            </w:r>
          </w:p>
        </w:tc>
        <w:tc>
          <w:tcPr>
            <w:tcW w:w="5000" w:type="dxa"/>
            <w:gridSpan w:val="1"/>
          </w:tcPr>
          <w:p>
            <w:pPr/>
            <w:r>
              <w:rPr/>
              <w:t xml:space="preserve">Ms. Elilai Ngirmang (elilai.ngirmang@gmail.com)</w:t>
            </w:r>
          </w:p>
          <w:p>
            <w:pPr/>
            <w:r>
              <w:rPr/>
              <w:t xml:space="preserve">Ms. Persis Omelau (omelaupersis@gmail.com)</w:t>
            </w:r>
          </w:p>
          <w:p>
            <w:pPr/>
            <w:r>
              <w:rPr/>
              <w:t xml:space="preserve">Mr. Reevah Tichi Sakuma (sakumatichi@gmail.com)</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Unsatisfactory</w:t>
            </w:r>
          </w:p>
        </w:tc>
      </w:tr>
      <w:tr>
        <w:trPr/>
        <w:tc>
          <w:tcPr>
            <w:tcW w:w="8000" w:type="dxa"/>
            <w:gridSpan w:val="1"/>
          </w:tcPr>
          <w:p>
            <w:pPr/>
            <w:r>
              <w:rPr/>
              <w:t xml:space="preserve">Overall IP Rating</w:t>
            </w:r>
          </w:p>
        </w:tc>
        <w:tc>
          <w:tcPr>
            <w:tcW w:w="8000" w:type="dxa"/>
            <w:gridSpan w:val="1"/>
          </w:tcPr>
          <w:p>
            <w:pPr/>
            <w:r>
              <w:rPr/>
              <w:t xml:space="preserve">Moderately Unsatisfactory</w:t>
            </w:r>
          </w:p>
        </w:tc>
      </w:tr>
      <w:tr>
        <w:trPr/>
        <w:tc>
          <w:tcPr>
            <w:tcW w:w="8000" w:type="dxa"/>
            <w:gridSpan w:val="1"/>
          </w:tcPr>
          <w:p>
            <w:pPr/>
            <w:r>
              <w:rPr/>
              <w:t xml:space="preserve">Overall Risk Rating</w:t>
            </w:r>
          </w:p>
        </w:tc>
        <w:tc>
          <w:tcPr>
            <w:tcW w:w="8000" w:type="dxa"/>
            <w:gridSpan w:val="1"/>
          </w:tcPr>
          <w:p>
            <w:pPr/>
            <w:r>
              <w:rPr/>
              <w:t xml:space="preserve">moderate</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Institutional and Governance Structure and Implement a Strategic Plan for the Sustainable Management of the Palau National Marine Sanctuary and Domestic Fishing Zone and provide a healthy and productive ecosystem  for the benefit of all people of Palau</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INDICATOR 1</w:t>
            </w:r>
          </w:p>
          <w:p>
            <w:pPr/>
            <w:r>
              <w:rPr/>
              <w:t xml:space="preserve">Mandatory Indicator 1: Direct Project beneficiaries</w:t>
            </w:r>
          </w:p>
          <w:p>
            <w:pPr/>
            <w:r>
              <w:rPr/>
              <w:t xml:space="preserve"/>
            </w:r>
          </w:p>
          <w:p>
            <w:pPr/>
            <w:r>
              <w:rPr/>
              <w:t xml:space="preserve"/>
            </w:r>
          </w:p>
        </w:tc>
        <w:tc>
          <w:tcPr>
            <w:tcW w:w="2000" w:type="dxa"/>
            <w:gridSpan w:val="1"/>
          </w:tcPr>
          <w:p>
            <w:pPr/>
            <w:r>
              <w:rPr/>
              <w:t xml:space="preserve">Less than 1%. Population of Palau is not yet realising the benefits of the MPA/PNMS or the DFZ as a result of lack of knowledge and awareness and inadequate human resources</w:t>
            </w:r>
          </w:p>
        </w:tc>
        <w:tc>
          <w:tcPr>
            <w:tcW w:w="2000" w:type="dxa"/>
            <w:gridSpan w:val="1"/>
          </w:tcPr>
          <w:p>
            <w:pPr/>
            <w:r>
              <w:rPr/>
              <w:t xml:space="preserve">Demographics survey showing strong improvement in understanding and benefit (livelihoods and food security) particularly for women and poorer communities. Indicator 1 and 2 improved by 20%</w:t>
            </w:r>
          </w:p>
          <w:p>
            <w:pPr/>
            <w:r>
              <w:rPr/>
              <w:t xml:space="preserve"/>
            </w:r>
          </w:p>
          <w:p>
            <w:pPr/>
            <w:r>
              <w:rPr/>
              <w:t xml:space="preserve"/>
            </w:r>
          </w:p>
        </w:tc>
        <w:tc>
          <w:tcPr>
            <w:tcW w:w="2000" w:type="dxa"/>
            <w:gridSpan w:val="1"/>
          </w:tcPr>
          <w:p>
            <w:pPr/>
            <w:r>
              <w:rPr/>
              <w:t xml:space="preserve">Approx 2,000 persons (600 women) from tourism sector, fisheries sector,</w:t>
            </w:r>
          </w:p>
        </w:tc>
        <w:tc>
          <w:tcPr>
            <w:tcW w:w="4000" w:type="dxa"/>
            <w:gridSpan w:val="1"/>
          </w:tcPr>
          <w:p>
            <w:pPr/>
            <w:r>
              <w:rPr/>
              <w:t xml:space="preserve">Approximately 105 individuals (based the Airai study)</w:t>
            </w:r>
          </w:p>
          <w:p>
            <w:pPr/>
            <w:r>
              <w:rPr/>
              <w:t xml:space="preserve"/>
            </w:r>
          </w:p>
          <w:p>
            <w:pPr/>
            <w:r>
              <w:rPr/>
              <w:t xml:space="preserve">An island-wide socioeconomic assessment is currently underway and is expected to be completed by the end of 2023.  This is a scaling up of the study that was conducted in the state of Airai. Data analysis will begin after the completion of data collection and therefore, no preliminary results are available to share.  As such, we are unable to provide any numbers at this point.  The Airai study surveyed 266 individuals (53% female, 47% male). The majority of respondents (39.8%) indicated high support for the PNMS and the closure of 80% of Palau’s EEZ. The main finding of the Airai study showed, (1)Preference for pelagic fish consumption may potentially increase with an increase in consistent availability of affordable pelagic fish and (2) There is a strong need for outreach/awareness and education to all levels of the community focused on addressing misperceptions</w:t>
            </w:r>
          </w:p>
          <w:p>
            <w:pPr/>
            <w:r>
              <w:rPr/>
              <w:t xml:space="preserve"/>
            </w:r>
          </w:p>
          <w:p>
            <w:pPr/>
            <w:r>
              <w:rPr/>
              <w:t xml:space="preserve">The methods for household survey administration and selection and use of enumerators have been uploaded for reference.</w:t>
            </w:r>
          </w:p>
          <w:p>
            <w:pPr/>
            <w:r>
              <w:rPr/>
              <w:t xml:space="preserve"/>
            </w:r>
          </w:p>
          <w:p>
            <w:pPr/>
            <w:r>
              <w:rPr/>
              <w:t xml:space="preserve">Reference in uploaded evidence:</w:t>
            </w:r>
          </w:p>
          <w:p>
            <w:pPr/>
            <w:r>
              <w:rPr/>
              <w:t xml:space="preserve">1. PNMS SE Report_FINAL_28 March 202].pdf (Airai survey)</w:t>
            </w:r>
          </w:p>
          <w:p>
            <w:pPr/>
            <w:r>
              <w:rPr/>
              <w:t xml:space="preserve">2. Methods_Household Survey</w:t>
            </w:r>
          </w:p>
          <w:p>
            <w:pPr/>
            <w:r>
              <w:rPr/>
              <w:t xml:space="preserve">3. Enumerator SE survey</w:t>
            </w:r>
          </w:p>
          <w:p>
            <w:pPr/>
            <w:r>
              <w:rPr/>
              <w:t xml:space="preserve"/>
            </w:r>
          </w:p>
        </w:tc>
        <w:tc>
          <w:tcPr>
            <w:tcW w:w="4000" w:type="dxa"/>
            <w:gridSpan w:val="1"/>
          </w:tcPr>
          <w:p>
            <w:pPr/>
            <w:r>
              <w:rPr/>
              <w:t xml:space="preserve">65%.</w:t>
            </w:r>
          </w:p>
          <w:p>
            <w:pPr/>
            <w:r>
              <w:rPr/>
              <w:t xml:space="preserve"/>
            </w:r>
          </w:p>
          <w:p>
            <w:pPr/>
            <w:r>
              <w:rPr/>
              <w:t xml:space="preserve">The PMU has faced considerable delays in the completion of the island-wide socioeconomic assessment which is expected to assess the community’s understanding of what type of benefits they attribute to the PNMS and if they are benefiting from it. It was anticipated that the study would contribute to the ongoing marine spatial planning process but the delays in which the survey questionnaire has been distributed has been due to limited staff capacity and inability of trained enumerators to consistently administer the survey across households. The recruitment of a social science researcher is expected to improve PICRC’s institutional capacity to conduct socioeconomic assessments to complement its biological monitoring program.</w:t>
            </w:r>
          </w:p>
          <w:p>
            <w:pPr/>
            <w:r>
              <w:rPr/>
              <w:t xml:space="preserve"/>
            </w:r>
          </w:p>
        </w:tc>
      </w:tr>
      <w:tr>
        <w:trPr/>
        <w:tc>
          <w:tcPr>
            <w:tcW w:w="4000" w:type="dxa"/>
            <w:gridSpan w:val="1"/>
          </w:tcPr>
          <w:p>
            <w:pPr/>
            <w:r>
              <w:rPr/>
              <w:t xml:space="preserve">INDICATOR 2: Mandatory Indicator 2: Indirect Project beneficiaries</w:t>
            </w:r>
          </w:p>
          <w:p>
            <w:pPr/>
            <w:r>
              <w:rPr/>
              <w:t xml:space="preserve"/>
            </w:r>
          </w:p>
        </w:tc>
        <w:tc>
          <w:tcPr>
            <w:tcW w:w="2000" w:type="dxa"/>
            <w:gridSpan w:val="1"/>
          </w:tcPr>
          <w:p>
            <w:pPr/>
            <w:r>
              <w:rPr/>
              <w:t xml:space="preserve">Less than 1%</w:t>
            </w:r>
          </w:p>
          <w:p>
            <w:pPr/>
            <w:r>
              <w:rPr/>
              <w:t xml:space="preserve">As above</w:t>
            </w:r>
          </w:p>
          <w:p>
            <w:pPr/>
            <w:r>
              <w:rPr/>
              <w:t xml:space="preserve"/>
            </w:r>
          </w:p>
        </w:tc>
        <w:tc>
          <w:tcPr>
            <w:tcW w:w="2000" w:type="dxa"/>
            <w:gridSpan w:val="1"/>
          </w:tcPr>
          <w:p>
            <w:pPr/>
            <w:r>
              <w:rPr/>
              <w:t xml:space="preserve">na</w:t>
            </w:r>
          </w:p>
        </w:tc>
        <w:tc>
          <w:tcPr>
            <w:tcW w:w="2000" w:type="dxa"/>
            <w:gridSpan w:val="1"/>
          </w:tcPr>
          <w:p>
            <w:pPr/>
            <w:r>
              <w:rPr/>
              <w:t xml:space="preserve">100% - Confirmation of overall beneficiaries from the GEF investment in this Project = 20,135 (overall population) with 45% women (9,014)</w:t>
            </w:r>
          </w:p>
        </w:tc>
        <w:tc>
          <w:tcPr>
            <w:tcW w:w="4000" w:type="dxa"/>
            <w:gridSpan w:val="1"/>
          </w:tcPr>
          <w:p>
            <w:pPr/>
            <w:r>
              <w:rPr/>
              <w:t xml:space="preserve">105 individuals based on the Airai study</w:t>
            </w:r>
          </w:p>
          <w:p>
            <w:pPr/>
            <w:r>
              <w:rPr/>
              <w:t xml:space="preserve"/>
            </w:r>
          </w:p>
          <w:p>
            <w:pPr/>
            <w:r>
              <w:rPr/>
              <w:t xml:space="preserve">The above-mentioned socioeconomic study will inform on the status of this indicator and will be reported in the 2024 reporting period.  Data analysis will begin after the completion of data collection and therefore, no preliminary results are available to share.  As stated above, we are unable to provide any numbers at this point.</w:t>
            </w:r>
          </w:p>
          <w:p>
            <w:pPr/>
            <w:r>
              <w:rPr/>
              <w:t xml:space="preserve"/>
            </w:r>
          </w:p>
          <w:p>
            <w:pPr/>
            <w:r>
              <w:rPr/>
              <w:t xml:space="preserve">Reference in uploaded evidence:</w:t>
            </w:r>
          </w:p>
          <w:p>
            <w:pPr/>
            <w:r>
              <w:rPr/>
              <w:t xml:space="preserve">1. PNMS SE Report_FINAL_28 March 202].pdf (Airai survey)</w:t>
            </w:r>
          </w:p>
          <w:p>
            <w:pPr/>
            <w:r>
              <w:rPr/>
              <w:t xml:space="preserve">2. Methods_Household Survey</w:t>
            </w:r>
          </w:p>
          <w:p>
            <w:pPr/>
            <w:r>
              <w:rPr/>
              <w:t xml:space="preserve">3. Enumerator SE survey</w:t>
            </w:r>
          </w:p>
        </w:tc>
        <w:tc>
          <w:tcPr>
            <w:tcW w:w="4000" w:type="dxa"/>
            <w:gridSpan w:val="1"/>
          </w:tcPr>
          <w:p>
            <w:pPr/>
            <w:r>
              <w:rPr/>
              <w:t xml:space="preserve">65%.</w:t>
            </w:r>
          </w:p>
          <w:p>
            <w:pPr/>
            <w:r>
              <w:rPr/>
              <w:t xml:space="preserve"/>
            </w:r>
          </w:p>
          <w:p>
            <w:pPr/>
            <w:r>
              <w:rPr/>
              <w:t xml:space="preserve">The PMU has faced considerable delays in the completion of the island-wide socioeconomic assessment which is expected to assess the community’s understanding of what type of benefits they attribute to the PNMS and if they are benefiting from it.  It was anticipated that the study would contribute to the ongoing marine spatial planning process but the delays in which the survey questionnaire has been distributed has been due to limited staff capacity and inability of trained enumerators to consistently administer the survey across households. The recruitment of a social science researcher is expected to improve PICRC’s institutional capacity to conduct socioeconomic assessments to complement its biological monitoring program.</w:t>
            </w:r>
          </w:p>
          <w:p>
            <w:pPr/>
            <w:r>
              <w:rPr/>
              <w:t xml:space="preserve"/>
            </w:r>
          </w:p>
        </w:tc>
      </w:tr>
      <w:tr>
        <w:trPr/>
        <w:tc>
          <w:tcPr>
            <w:tcW w:w="4000" w:type="dxa"/>
            <w:gridSpan w:val="1"/>
          </w:tcPr>
          <w:p>
            <w:pPr/>
            <w:r>
              <w:rPr/>
              <w:t xml:space="preserve">INDICATOR 3</w:t>
            </w:r>
          </w:p>
          <w:p>
            <w:pPr/>
            <w:r>
              <w:rPr/>
              <w:t xml:space="preserve">Core Indicator 2:</w:t>
            </w:r>
          </w:p>
          <w:p>
            <w:pPr/>
            <w:r>
              <w:rPr/>
              <w:t xml:space="preserve">Marine protected areas created or under improved management for conservation and sustainable use</w:t>
            </w:r>
          </w:p>
          <w:p>
            <w:pPr/>
            <w:r>
              <w:rPr/>
              <w:t xml:space="preserve"/>
            </w:r>
          </w:p>
        </w:tc>
        <w:tc>
          <w:tcPr>
            <w:tcW w:w="2000" w:type="dxa"/>
            <w:gridSpan w:val="1"/>
          </w:tcPr>
          <w:p>
            <w:pPr/>
            <w:r>
              <w:rPr/>
              <w:t xml:space="preserve">Less than 2% (950,000 Ha) of area effectively managed. MPA currently having limited to zero effect on improving management and conservation for sustainable use.</w:t>
            </w:r>
          </w:p>
        </w:tc>
        <w:tc>
          <w:tcPr>
            <w:tcW w:w="2000" w:type="dxa"/>
            <w:gridSpan w:val="1"/>
          </w:tcPr>
          <w:p>
            <w:pPr/>
            <w:r>
              <w:rPr/>
              <w:t xml:space="preserve">80% under improved management. PNMS management and administrative processes fully functional within PICRC (Palau International Coral Reef Center)</w:t>
            </w:r>
          </w:p>
        </w:tc>
        <w:tc>
          <w:tcPr>
            <w:tcW w:w="2000" w:type="dxa"/>
            <w:gridSpan w:val="1"/>
          </w:tcPr>
          <w:p>
            <w:pPr/>
            <w:r>
              <w:rPr/>
              <w:t xml:space="preserve">80% (47.5 million Hectares) of EEZ under fully effective management as a marine sanctuary and no-take zone</w:t>
            </w:r>
          </w:p>
        </w:tc>
        <w:tc>
          <w:tcPr>
            <w:tcW w:w="4000" w:type="dxa"/>
            <w:gridSpan w:val="1"/>
          </w:tcPr>
          <w:p>
            <w:pPr/>
            <w:r>
              <w:rPr/>
              <w:t xml:space="preserve">50%</w:t>
            </w:r>
          </w:p>
          <w:p>
            <w:pPr/>
            <w:r>
              <w:rPr/>
              <w:t xml:space="preserve">The development of the PNMS strategic plan has been underway since the beginning of 2022 and is expected to be completed by the end of 2023. Drafts of the strategies (volume 1 &amp; 2) have been uploaded (for your understanding only and not to be widely distributed in its current form).</w:t>
            </w:r>
          </w:p>
          <w:p>
            <w:pPr/>
            <w:r>
              <w:rPr/>
              <w:t xml:space="preserve">Effective management of the 80% will require formal and regular collaboration of the management authorities (fisheries, enforcement &amp; surveillance and research &amp; education/outreach).  The PNMS strategic plan is expected to enable a framework for such collaboration.  Focus is not on the creation of MPAs but rather on the improvement of management.</w:t>
            </w:r>
          </w:p>
          <w:p>
            <w:pPr/>
            <w:r>
              <w:rPr/>
              <w:t xml:space="preserve"/>
            </w:r>
          </w:p>
          <w:p>
            <w:pPr/>
            <w:r>
              <w:rPr/>
              <w:t xml:space="preserve">Reference in uploaded evidence:</w:t>
            </w:r>
          </w:p>
          <w:p>
            <w:pPr/>
            <w:r>
              <w:rPr/>
              <w:t xml:space="preserve">1. PNMS Strategy Plan Vol. 1</w:t>
            </w:r>
          </w:p>
          <w:p>
            <w:pPr/>
            <w:r>
              <w:rPr/>
              <w:t xml:space="preserve">2. PNMS Strategy Plan Vol. 2</w:t>
            </w:r>
          </w:p>
        </w:tc>
        <w:tc>
          <w:tcPr>
            <w:tcW w:w="4000" w:type="dxa"/>
            <w:gridSpan w:val="1"/>
          </w:tcPr>
          <w:p>
            <w:pPr/>
            <w:r>
              <w:rPr/>
              <w:t xml:space="preserve">50%</w:t>
            </w:r>
          </w:p>
          <w:p>
            <w:pPr/>
            <w:r>
              <w:rPr/>
              <w:t xml:space="preserve"/>
            </w:r>
          </w:p>
          <w:p>
            <w:pPr/>
            <w:r>
              <w:rPr/>
              <w:t xml:space="preserve">There is a potential reduction in the size of the PNMS from its current 80% no-take area to 50%. The PNMS legal framework is currently being assessed through a marine spatial planning process led by the Ministry of Agriculture, Fisheries &amp; Environment.  This is due to a compromised mandate to maintain the current size of the PNMS until the marine spatial planning exercise provides formal recommendations to the leadership to restructure the PNMS by no later than September 30, 2024.</w:t>
            </w:r>
          </w:p>
          <w:p>
            <w:pPr/>
            <w:r>
              <w:rPr/>
              <w:t xml:space="preserve">Evidence was previously provided:</w:t>
            </w:r>
          </w:p>
          <w:p>
            <w:pPr/>
            <w:r>
              <w:rPr/>
              <w:t xml:space="preserve">1.	Legislation requiring the marine spatial planning process</w:t>
            </w:r>
          </w:p>
          <w:p>
            <w:pPr/>
            <w:r>
              <w:rPr/>
              <w:t xml:space="preserve">2.	Presidential executive order creating committees to undertake the marine spatial planning work</w:t>
            </w:r>
          </w:p>
          <w:p>
            <w:pPr/>
            <w:r>
              <w:rPr/>
              <w:t xml:space="preserve"/>
            </w:r>
          </w:p>
        </w:tc>
      </w:tr>
      <w:tr>
        <w:trPr/>
        <w:tc>
          <w:tcPr>
            <w:tcW w:w="4000" w:type="dxa"/>
            <w:gridSpan w:val="1"/>
          </w:tcPr>
          <w:p>
            <w:pPr/>
            <w:r>
              <w:rPr/>
              <w:t xml:space="preserve">INDICATOR 4</w:t>
            </w:r>
          </w:p>
          <w:p>
            <w:pPr/>
            <w:r>
              <w:rPr/>
              <w:t xml:space="preserve">Core Indicator 5:</w:t>
            </w:r>
          </w:p>
          <w:p>
            <w:pPr/>
            <w:r>
              <w:rPr/>
              <w:t xml:space="preserve">Area of marine habitat under improved practices to benefit biodiversity</w:t>
            </w:r>
          </w:p>
          <w:p>
            <w:pPr/>
            <w:r>
              <w:rPr/>
              <w:t xml:space="preserve"/>
            </w:r>
          </w:p>
        </w:tc>
        <w:tc>
          <w:tcPr>
            <w:tcW w:w="2000" w:type="dxa"/>
            <w:gridSpan w:val="1"/>
          </w:tcPr>
          <w:p>
            <w:pPr/>
            <w:r>
              <w:rPr/>
              <w:t xml:space="preserve">Zero % of Domestic Fishing Zone – no management as yet.</w:t>
            </w:r>
          </w:p>
        </w:tc>
        <w:tc>
          <w:tcPr>
            <w:tcW w:w="2000" w:type="dxa"/>
            <w:gridSpan w:val="1"/>
          </w:tcPr>
          <w:p>
            <w:pPr/>
            <w:r>
              <w:rPr/>
              <w:t xml:space="preserve">20% of Domestic Fishing Zone under formal management</w:t>
            </w:r>
          </w:p>
        </w:tc>
        <w:tc>
          <w:tcPr>
            <w:tcW w:w="2000" w:type="dxa"/>
            <w:gridSpan w:val="1"/>
          </w:tcPr>
          <w:p>
            <w:pPr/>
            <w:r>
              <w:rPr/>
              <w:t xml:space="preserve">20% (11.8 Million Hectares) of EEZ and territorial waters under strict management as a domestic fishery with limited and controlled commercial fishing and exportation</w:t>
            </w:r>
          </w:p>
        </w:tc>
        <w:tc>
          <w:tcPr>
            <w:tcW w:w="4000" w:type="dxa"/>
            <w:gridSpan w:val="1"/>
          </w:tcPr>
          <w:p>
            <w:pPr/>
            <w:r>
              <w:rPr/>
              <w:t xml:space="preserve">Progress of this target is 2.</w:t>
            </w:r>
          </w:p>
          <w:p>
            <w:pPr/>
            <w:r>
              <w:rPr/>
              <w:t xml:space="preserve">Establishing a monitoring program and standard measurements cannot be determined at this stage given a lack of understanding of local and regional level data management systems and analysis for tracking.</w:t>
            </w:r>
          </w:p>
          <w:p>
            <w:pPr/>
            <w:r>
              <w:rPr/>
              <w:t xml:space="preserve"/>
            </w:r>
          </w:p>
          <w:p>
            <w:pPr/>
            <w:r>
              <w:rPr/>
              <w:t xml:space="preserve">A new locally established longline fishing company has started fishing within the DFZ.  The company is called the Palau Commercial Fishing Company (PCFC).  Through the project, have established partnership agreements with both PCFC and BOFI which have been uploaded for reference.  It is important to note that the domestic fishery (20% of the EEZ) is already under management with only two locally based fishing companies operating in this space along with a fleet from Okinawa.  The agreements indicated here with the two local fishing companies allow us to begin collecting catch data to eventually inform appropriate management measures.  The 20% fishing zone is established by law and is being deliberated through the ongoing marine spatial planning exercise.  This is a nationally mandated process that is led by the Ministry of Agriculture, Fisheries &amp; Environment, not the PMU.</w:t>
            </w:r>
          </w:p>
          <w:p>
            <w:pPr/>
            <w:r>
              <w:rPr/>
              <w:t xml:space="preserve"/>
            </w:r>
          </w:p>
          <w:p>
            <w:pPr/>
            <w:r>
              <w:rPr/>
              <w:t xml:space="preserve">Reference for uploaded evidence:</w:t>
            </w:r>
          </w:p>
          <w:p>
            <w:pPr/>
            <w:r>
              <w:rPr/>
              <w:t xml:space="preserve">1. MOU_BOFI_PICRC_Fishing Day_3.8.22</w:t>
            </w:r>
          </w:p>
          <w:p>
            <w:pPr/>
            <w:r>
              <w:rPr/>
              <w:t xml:space="preserve">2. MOU_PCFC_3.31.23</w:t>
            </w:r>
          </w:p>
          <w:p>
            <w:pPr/>
            <w:r>
              <w:rPr/>
              <w:t xml:space="preserve">3. PNMS Science_Monitoring Strategy</w:t>
            </w:r>
          </w:p>
        </w:tc>
        <w:tc>
          <w:tcPr>
            <w:tcW w:w="4000" w:type="dxa"/>
            <w:gridSpan w:val="1"/>
          </w:tcPr>
          <w:p>
            <w:pPr/>
            <w:r>
              <w:rPr/>
              <w:t xml:space="preserve">80%.</w:t>
            </w:r>
          </w:p>
          <w:p>
            <w:pPr/>
            <w:r>
              <w:rPr/>
              <w:t xml:space="preserve"/>
            </w:r>
          </w:p>
          <w:p>
            <w:pPr/>
            <w:r>
              <w:rPr/>
              <w:t xml:space="preserve">The existing 20% Domestic Fishing Zone is currently being accessed by commercial long-line fishing vessels although export is not occurring.  Fishing activities are controlled and regulated through licensing conditions and the allocation of fishing days. There is a likelihood that the Domestic Fishing Zone will be increased to 50% of Palau’s EEZ as a result of the marine spatial planning process.</w:t>
            </w:r>
          </w:p>
        </w:tc>
      </w:tr>
      <w:tr>
        <w:trPr/>
        <w:tc>
          <w:tcPr>
            <w:tcW w:w="4000" w:type="dxa"/>
            <w:gridSpan w:val="1"/>
          </w:tcPr>
          <w:p>
            <w:pPr/>
            <w:r>
              <w:rPr/>
              <w:t xml:space="preserve">INDICATOR 5</w:t>
            </w:r>
          </w:p>
          <w:p>
            <w:pPr/>
            <w:r>
              <w:rPr/>
              <w:t xml:space="preserve">Core Indicator 8: Globally over-exploited marine fisheries moved to more sustainable levels</w:t>
            </w:r>
          </w:p>
          <w:p>
            <w:pPr/>
            <w:r>
              <w:rPr/>
              <w:t xml:space="preserve"/>
            </w:r>
          </w:p>
        </w:tc>
        <w:tc>
          <w:tcPr>
            <w:tcW w:w="2000" w:type="dxa"/>
            <w:gridSpan w:val="1"/>
          </w:tcPr>
          <w:p>
            <w:pPr/>
            <w:r>
              <w:rPr/>
              <w:t xml:space="preserve">Approx 2% as above equivalent to 225 tonnes sustainable</w:t>
            </w:r>
          </w:p>
        </w:tc>
        <w:tc>
          <w:tcPr>
            <w:tcW w:w="2000" w:type="dxa"/>
            <w:gridSpan w:val="1"/>
          </w:tcPr>
          <w:p>
            <w:pPr/>
            <w:r>
              <w:rPr/>
              <w:t xml:space="preserve">Improved by 50% (10,625 tonnes)</w:t>
            </w:r>
          </w:p>
        </w:tc>
        <w:tc>
          <w:tcPr>
            <w:tcW w:w="2000" w:type="dxa"/>
            <w:gridSpan w:val="1"/>
          </w:tcPr>
          <w:p>
            <w:pPr/>
            <w:r>
              <w:rPr/>
              <w:t xml:space="preserve">21,250 metric tonnes per annum of fishery moved to more sustainable levels</w:t>
            </w:r>
          </w:p>
        </w:tc>
        <w:tc>
          <w:tcPr>
            <w:tcW w:w="4000" w:type="dxa"/>
            <w:gridSpan w:val="1"/>
          </w:tcPr>
          <w:p>
            <w:pPr/>
            <w:r>
              <w:rPr/>
              <w:t xml:space="preserve">Progress of this target is Zero as this is yet to be  determined. The determination of appropriate levels of efforts for sustainable fishing is determined at the regional level and will require long-term engagements with regional fisheries management organizations and multilateral negotiations to effectively address.  At the national level, efforts are ongoing to develop a viable science &amp; monitoring program for the PNMS.  We have recently completed the first PNMS Science &amp; Monitoring Strategy which will enable actions toward this indicator.  The strategy has been uploaded for your understanding.  Planning is underway for rolling out the strategy.  In terms of measuring the amount of fish to serve as an indicator of progress, it should be noted that the numbers indicated are historical data prior to a scaling down of fishing efforts beginning in 2015 and leading to the full implementation of the Palau National Marine Sanctuary in 2020 - where 80% of the EEZ was closed and 20% was designated as the fishing zone.  This effectively means there is no baseline of catch data and therefore any attempts to provide estimates would be arbitrary.  A quick review of 2021 data which has not been formally analyzed show a rough estimate of 9.49 tons of tuna caught by BOFI.  It should be noted that this is a very rough estimate that should merely indicate the beginnings of efforts to manage such data.  PCFC is relatively new and therefore we have yet to collect sufficient data to include here.  The Okinawan fleet also operates within the domestic fishing zone and efforts are ongoing to access this portion of catch data.</w:t>
            </w:r>
          </w:p>
          <w:p>
            <w:pPr/>
            <w:r>
              <w:rPr/>
              <w:t xml:space="preserve"/>
            </w:r>
          </w:p>
          <w:p>
            <w:pPr/>
            <w:r>
              <w:rPr/>
              <w:t xml:space="preserve">Reference for uploaded evidence:</w:t>
            </w:r>
          </w:p>
          <w:p>
            <w:pPr/>
            <w:r>
              <w:rPr/>
              <w:t xml:space="preserve">1. PNMS Science Monitoring Strategy</w:t>
            </w:r>
          </w:p>
          <w:p>
            <w:pPr/>
            <w:r>
              <w:rPr/>
              <w:t xml:space="preserve">2. MSP_Executive Order</w:t>
            </w:r>
          </w:p>
          <w:p>
            <w:pPr/>
            <w:r>
              <w:rPr/>
              <w:t xml:space="preserve">3. PNMS Science_Monitoring Strategy</w:t>
            </w:r>
          </w:p>
          <w:p>
            <w:pPr/>
            <w:r>
              <w:rPr/>
              <w:t xml:space="preserve"/>
            </w:r>
          </w:p>
        </w:tc>
        <w:tc>
          <w:tcPr>
            <w:tcW w:w="4000" w:type="dxa"/>
            <w:gridSpan w:val="1"/>
          </w:tcPr>
          <w:p>
            <w:pPr/>
            <w:r>
              <w:rPr/>
              <w:t xml:space="preserve">As a medium size project, the PMU is unable to effectively engage at a level that could influence this indicator, as elaborated in the previous year’s report. Therefore, it is not feasible for this project to directly influence this particular indicator.</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Off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Institutional and Governance Realignment for Effective Monitoring and Adaptive Management within the PNMS and adjacent Domestic Fishing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1.1</w:t>
            </w:r>
          </w:p>
          <w:p>
            <w:pPr/>
            <w:r>
              <w:rPr/>
              <w:t xml:space="preserve"/>
            </w:r>
          </w:p>
          <w:p>
            <w:pPr/>
            <w:r>
              <w:rPr/>
              <w:t xml:space="preserve">PNMS Institutional, Management and Regulatory Framework and mechanisms strengthened and under Implementation through enhanced national, regional and global support</w:t>
            </w:r>
          </w:p>
          <w:p>
            <w:pPr/>
            <w:r>
              <w:rPr/>
              <w:t xml:space="preserve"/>
            </w:r>
          </w:p>
        </w:tc>
        <w:tc>
          <w:tcPr>
            <w:tcW w:w="2000" w:type="dxa"/>
            <w:gridSpan w:val="1"/>
          </w:tcPr>
          <w:p>
            <w:pPr/>
            <w:r>
              <w:rPr/>
              <w:t xml:space="preserve">Limited control over illegal activities. Only 5-6 interdictions per annum</w:t>
            </w:r>
          </w:p>
          <w:p>
            <w:pPr/>
            <w:r>
              <w:rPr/>
              <w:t xml:space="preserve"/>
            </w:r>
          </w:p>
          <w:p>
            <w:pPr/>
            <w:r>
              <w:rPr/>
              <w:t xml:space="preserve">Lack of a current formal institutional base, inadequately defined mandates and responsibilities, and absence of a formally-agreed strategy and work-plan for effective management of the PNMS.</w:t>
            </w:r>
          </w:p>
          <w:p>
            <w:pPr/>
            <w:r>
              <w:rPr/>
              <w:t xml:space="preserve"/>
            </w:r>
          </w:p>
          <w:p>
            <w:pPr/>
            <w:r>
              <w:rPr/>
              <w:t xml:space="preserve">Inability to currently fully and effectively control harmful or illegal activities within the PNMS with limited control over illegal activities. Only 5-6 interdictions per annum</w:t>
            </w:r>
          </w:p>
          <w:p>
            <w:pPr/>
            <w:r>
              <w:rPr/>
              <w:t xml:space="preserve"/>
            </w:r>
          </w:p>
          <w:p>
            <w:pPr/>
            <w:r>
              <w:rPr/>
              <w:t xml:space="preserve">Baseline Score: 1</w:t>
            </w:r>
          </w:p>
          <w:p>
            <w:pPr/>
            <w:r>
              <w:rPr/>
              <w:t xml:space="preserve"/>
            </w:r>
          </w:p>
          <w:p>
            <w:pPr/>
            <w:r>
              <w:rPr/>
              <w:t xml:space="preserve"/>
            </w:r>
          </w:p>
          <w:p>
            <w:pPr/>
            <w:r>
              <w:rPr/>
              <w:t xml:space="preserve">New regulations that now apply to the Domestic Fishing Zone need enforcement and effective monitoring for compliance</w:t>
            </w:r>
          </w:p>
          <w:p>
            <w:pPr/>
            <w:r>
              <w:rPr/>
              <w:t xml:space="preserve"/>
            </w:r>
          </w:p>
          <w:p>
            <w:pPr/>
            <w:r>
              <w:rPr/>
              <w:t xml:space="preserve">No current harvesting strategies within DFZ</w:t>
            </w:r>
          </w:p>
          <w:p>
            <w:pPr/>
            <w:r>
              <w:rPr/>
              <w:t xml:space="preserve"/>
            </w:r>
          </w:p>
          <w:p>
            <w:pPr/>
            <w:r>
              <w:rPr/>
              <w:t xml:space="preserve">Baseline Score: 1</w:t>
            </w:r>
          </w:p>
          <w:p>
            <w:pPr/>
            <w:r>
              <w:rPr/>
              <w:t xml:space="preserve"/>
            </w:r>
          </w:p>
        </w:tc>
        <w:tc>
          <w:tcPr>
            <w:tcW w:w="2000" w:type="dxa"/>
            <w:gridSpan w:val="1"/>
          </w:tcPr>
          <w:p>
            <w:pPr/>
            <w:r>
              <w:rPr/>
              <w:t xml:space="preserve">PNMS Institutional /Administrative base/headquarters established and functional</w:t>
            </w:r>
          </w:p>
          <w:p>
            <w:pPr/>
            <w:r>
              <w:rPr/>
              <w:t xml:space="preserve"/>
            </w:r>
          </w:p>
          <w:p>
            <w:pPr/>
            <w:r>
              <w:rPr/>
              <w:t xml:space="preserve">Mandates and responsibilities of various government bodies clearly defined in adopted Strategic Plan</w:t>
            </w:r>
          </w:p>
          <w:p>
            <w:pPr/>
            <w:r>
              <w:rPr/>
              <w:t xml:space="preserve"/>
            </w:r>
          </w:p>
          <w:p>
            <w:pPr/>
            <w:r>
              <w:rPr/>
              <w:t xml:space="preserve">A Strategic Plan finalised and adopted along with an Operations Manual and Terms of Reference</w:t>
            </w:r>
          </w:p>
          <w:p>
            <w:pPr/>
            <w:r>
              <w:rPr/>
              <w:t xml:space="preserve"/>
            </w:r>
          </w:p>
          <w:p>
            <w:pPr/>
            <w:r>
              <w:rPr/>
              <w:t xml:space="preserve">indicator 6: Long-term Partnerships identified and formally adopted through a ‘Partnership Platform’ to provide support for scientific monitoring and MCS (including innovative technologies as per below)</w:t>
            </w:r>
          </w:p>
          <w:p>
            <w:pPr/>
            <w:r>
              <w:rPr/>
              <w:t xml:space="preserve"/>
            </w:r>
          </w:p>
          <w:p>
            <w:pPr/>
            <w:r>
              <w:rPr/>
              <w:t xml:space="preserve">MCS Action Plan reviewed and draft revision distributed for stakeholder input (including with regional partners)</w:t>
            </w:r>
          </w:p>
          <w:p>
            <w:pPr/>
            <w:r>
              <w:rPr/>
              <w:t xml:space="preserve"/>
            </w:r>
          </w:p>
          <w:p>
            <w:pPr/>
            <w:r>
              <w:rPr/>
              <w:t xml:space="preserve">New fisheries management strategies and regulations are under implementation and actively enforced</w:t>
            </w:r>
          </w:p>
          <w:p>
            <w:pPr/>
            <w:r>
              <w:rPr/>
              <w:t xml:space="preserve"/>
            </w:r>
          </w:p>
          <w:p>
            <w:pPr/>
            <w:r>
              <w:rPr/>
              <w:t xml:space="preserve">Mid Term Score Target: 2</w:t>
            </w:r>
          </w:p>
          <w:p>
            <w:pPr/>
            <w:r>
              <w:rPr/>
              <w:t xml:space="preserve"/>
            </w:r>
          </w:p>
          <w:p>
            <w:pPr/>
            <w:r>
              <w:rPr/>
              <w:t xml:space="preserve">Indicator 7: New fisheries management strategies and regulations adopted for the DFZ, under implementation and actively enforced. These management plans will clearly define the purpose of the DFZ as a domestic fishery for the benefit of Palauans with due consideration given to subsistence fisheries versus commercial foreign licensed fisheries and strict control and regulation of the latter</w:t>
            </w:r>
          </w:p>
          <w:p>
            <w:pPr/>
            <w:r>
              <w:rPr/>
              <w:t xml:space="preserve"/>
            </w:r>
          </w:p>
          <w:p>
            <w:pPr/>
            <w:r>
              <w:rPr/>
              <w:t xml:space="preserve">A food security assessment made relating to the long-term management of the DFZ with an emphasis on state benefits as well as national community benefits</w:t>
            </w:r>
          </w:p>
          <w:p>
            <w:pPr/>
            <w:r>
              <w:rPr/>
              <w:t xml:space="preserve"/>
            </w:r>
          </w:p>
          <w:p>
            <w:pPr/>
            <w:r>
              <w:rPr/>
              <w:t xml:space="preserve">Mid-Term Target Score: 2</w:t>
            </w:r>
          </w:p>
          <w:p>
            <w:pPr/>
            <w:r>
              <w:rPr/>
              <w:t xml:space="preserve"/>
            </w:r>
          </w:p>
          <w:p>
            <w:pPr/>
            <w:r>
              <w:rPr/>
              <w:t xml:space="preserve"/>
            </w:r>
          </w:p>
        </w:tc>
        <w:tc>
          <w:tcPr>
            <w:tcW w:w="2000" w:type="dxa"/>
            <w:gridSpan w:val="1"/>
          </w:tcPr>
          <w:p>
            <w:pPr/>
            <w:r>
              <w:rPr/>
              <w:t xml:space="preserve">Strategic Plan adopted and record of illegal activities within PNMS shows significant reduction by at least 50%</w:t>
            </w:r>
          </w:p>
          <w:p>
            <w:pPr/>
            <w:r>
              <w:rPr/>
              <w:t xml:space="preserve"/>
            </w:r>
          </w:p>
          <w:p>
            <w:pPr/>
            <w:r>
              <w:rPr/>
              <w:t xml:space="preserve">TE identifies an effective Partnership Platform supporting ecosystem monitoring as well as enforcement and compliance procedures</w:t>
            </w:r>
          </w:p>
          <w:p>
            <w:pPr/>
            <w:r>
              <w:rPr/>
              <w:t xml:space="preserve"/>
            </w:r>
          </w:p>
          <w:p>
            <w:pPr/>
            <w:r>
              <w:rPr/>
              <w:t xml:space="preserve">MCS Action Plan updated, adopted and fully implemented</w:t>
            </w:r>
          </w:p>
          <w:p>
            <w:pPr/>
            <w:r>
              <w:rPr/>
              <w:t xml:space="preserve"/>
            </w:r>
          </w:p>
          <w:p>
            <w:pPr/>
            <w:r>
              <w:rPr/>
              <w:t xml:space="preserve">Record of illegal activities within PNMS shows significant reduction by at least 50%</w:t>
            </w:r>
          </w:p>
          <w:p>
            <w:pPr/>
            <w:r>
              <w:rPr/>
              <w:t xml:space="preserve"/>
            </w:r>
          </w:p>
          <w:p>
            <w:pPr/>
            <w:r>
              <w:rPr/>
              <w:t xml:space="preserve">Ecosystem-based harvest strategies for at least 3 major commercial species are adopted and implemented within the DFZ and being assessed and acted on as part of an adaptive management approach</w:t>
            </w:r>
          </w:p>
          <w:p>
            <w:pPr/>
            <w:r>
              <w:rPr/>
              <w:t xml:space="preserve"/>
            </w:r>
          </w:p>
          <w:p>
            <w:pPr/>
            <w:r>
              <w:rPr/>
              <w:t xml:space="preserve">End of Project Target Score: 3</w:t>
            </w:r>
          </w:p>
          <w:p>
            <w:pPr/>
            <w:r>
              <w:rPr/>
              <w:t xml:space="preserve"/>
            </w:r>
          </w:p>
          <w:p>
            <w:pPr/>
            <w:r>
              <w:rPr/>
              <w:t xml:space="preserve">Ecosystem-based harvest strategies for at least 3 major commercial species are adopted and implemented within the DFZ and being assessed and acted on as part of an adaptive management and food security approach</w:t>
            </w:r>
          </w:p>
          <w:p>
            <w:pPr/>
            <w:r>
              <w:rPr/>
              <w:t xml:space="preserve"/>
            </w:r>
          </w:p>
          <w:p>
            <w:pPr/>
            <w:r>
              <w:rPr/>
              <w:t xml:space="preserve">Enforcement partnerships between state level and national level (MoJ, MNRET) established and implemented</w:t>
            </w:r>
          </w:p>
          <w:p>
            <w:pPr/>
            <w:r>
              <w:rPr/>
              <w:t xml:space="preserve"/>
            </w:r>
          </w:p>
          <w:p>
            <w:pPr/>
            <w:r>
              <w:rPr/>
              <w:t xml:space="preserve">End of Project Target Score: 3</w:t>
            </w:r>
          </w:p>
          <w:p>
            <w:pPr/>
            <w:r>
              <w:rPr/>
              <w:t xml:space="preserve"/>
            </w:r>
          </w:p>
          <w:p>
            <w:pPr/>
            <w:r>
              <w:rPr/>
              <w:t xml:space="preserve"/>
            </w:r>
          </w:p>
          <w:p>
            <w:pPr/>
            <w:r>
              <w:rPr/>
              <w:t xml:space="preserve"/>
            </w:r>
          </w:p>
        </w:tc>
        <w:tc>
          <w:tcPr>
            <w:tcW w:w="4000" w:type="dxa"/>
            <w:gridSpan w:val="1"/>
          </w:tcPr>
          <w:p>
            <w:pPr/>
            <w:r>
              <w:rPr/>
              <w:t xml:space="preserve">In response to outcome 1.1 targets under indicator 6, score is at 2-3; 50% improvement on the PNMS institutional, management and regulatory framework</w:t>
            </w:r>
          </w:p>
          <w:p>
            <w:pPr/>
            <w:r>
              <w:rPr/>
              <w:t xml:space="preserve"/>
            </w:r>
          </w:p>
          <w:p>
            <w:pPr/>
            <w:r>
              <w:rPr/>
              <w:t xml:space="preserve">Progress of indicator 7 is also 2 - 50% enforcement and monitoring for compliance</w:t>
            </w:r>
          </w:p>
          <w:p>
            <w:pPr/>
            <w:r>
              <w:rPr/>
              <w:t xml:space="preserve"/>
            </w:r>
          </w:p>
          <w:p>
            <w:pPr/>
            <w:r>
              <w:rPr/>
              <w:t xml:space="preserve">The above-mentioned draft PNMS strategic plan identifies this as the key objective to address.  Parallel to this is a marine spatial planning exercise currently underway that was initiated via national legislation and presidential executive order.  The marine spatial planning exercise is expected to provided recommendations informing policies regarding the designated (80% no take and 20% domestic fishing) PNMS zones and the governance structure and procedures for management to operate.  It should be noted that mandates and responsibilities of the government bodies cannot be clearly defined ahead of the marine spatial planning exercise.  The key challenge which has been reiterated across this report is essentially the marine spatial planning process.  Simply put, key project deliverables cannot supersede the outcomes of the marine spatial planning process.</w:t>
            </w:r>
          </w:p>
          <w:p>
            <w:pPr/>
            <w:r>
              <w:rPr/>
              <w:t xml:space="preserve"/>
            </w:r>
          </w:p>
          <w:p>
            <w:pPr/>
            <w:r>
              <w:rPr/>
              <w:t xml:space="preserve">The marine spatial planning executive committee and working groups have initiated this work.  The presidential executive order has been uploaded.</w:t>
            </w:r>
          </w:p>
          <w:p>
            <w:pPr/>
            <w:r>
              <w:rPr/>
              <w:t xml:space="preserve"/>
            </w:r>
          </w:p>
          <w:p>
            <w:pPr/>
            <w:r>
              <w:rPr/>
              <w:t xml:space="preserve">Reference in uploaded evidence:</w:t>
            </w:r>
          </w:p>
          <w:p>
            <w:pPr/>
            <w:r>
              <w:rPr/>
              <w:t xml:space="preserve">1. PNMS Strategy Plan Vol. 1</w:t>
            </w:r>
          </w:p>
          <w:p>
            <w:pPr/>
            <w:r>
              <w:rPr/>
              <w:t xml:space="preserve">2. PNMS Strategy Plan Vol. 2</w:t>
            </w:r>
          </w:p>
          <w:p>
            <w:pPr/>
            <w:r>
              <w:rPr/>
              <w:t xml:space="preserve"/>
            </w:r>
          </w:p>
        </w:tc>
        <w:tc>
          <w:tcPr>
            <w:tcW w:w="4000" w:type="dxa"/>
            <w:gridSpan w:val="1"/>
          </w:tcPr>
          <w:p>
            <w:pPr/>
            <w:r>
              <w:rPr/>
              <w:t xml:space="preserve">70%.</w:t>
            </w:r>
          </w:p>
          <w:p>
            <w:pPr/>
            <w:r>
              <w:rPr/>
              <w:t xml:space="preserve"/>
            </w:r>
          </w:p>
          <w:p>
            <w:pPr/>
            <w:r>
              <w:rPr/>
              <w:t xml:space="preserve">The project has taken an adaptive management approach, noting the outcomes of the marine spatial planning process to be submitted to the national congress and leadership by no later than September 30, 2024. One such approach is the removal of a set percentage to the size of the PNMS in the ongoing development of the strategic management plan. The same approach was taken for the recently completed PNMS Science &amp; Monitoring Strategy, recognizing the need to conduct research in the offshore environment regardless of the future designation of the PNMS.</w:t>
            </w:r>
          </w:p>
          <w:p>
            <w:pPr/>
            <w:r>
              <w:rPr/>
              <w:t xml:space="preserve">It should be further noted that fishing activities and all other vessel movements within the PNMS have always been closely monitored through the Division of Maritime Security and Fish &amp; Wildlife Protection.  The project has provided additional support through trainings and equipment, including a drone, to enhance their operational capabilities.</w:t>
            </w:r>
          </w:p>
          <w:p>
            <w:pPr/>
            <w:r>
              <w:rPr/>
              <w:t xml:space="preserve">Formal procedures enabling improved coordination and collaboration across the PNMS management authorities (MOJ, MAFE, PICRC) have been pursued through the project but ultimately depend on the outcomes of the marine spatial planning efforts.</w:t>
            </w:r>
          </w:p>
          <w:p>
            <w:pPr/>
            <w:r>
              <w:rPr/>
              <w:t xml:space="preserve"/>
            </w:r>
          </w:p>
        </w:tc>
      </w:tr>
      <w:tr>
        <w:trPr/>
        <w:tc>
          <w:tcPr>
            <w:tcW w:w="4000" w:type="dxa"/>
            <w:gridSpan w:val="1"/>
          </w:tcPr>
          <w:p>
            <w:pPr/>
            <w:r>
              <w:rPr/>
              <w:t xml:space="preserve">Outcome 1.2: Improved and effective management and governance of PNMS/DFZ through strengthened capacity, skills and knowledge  (including at the State, National, regional level as well as NGOs)</w:t>
            </w:r>
          </w:p>
          <w:p>
            <w:pPr/>
            <w:r>
              <w:rPr/>
              <w:t xml:space="preserve"/>
            </w:r>
          </w:p>
          <w:p>
            <w:pPr/>
            <w:r>
              <w:rPr/>
              <w:t xml:space="preserve">INDICATOR 8:</w:t>
            </w:r>
          </w:p>
          <w:p>
            <w:pPr/>
            <w:r>
              <w:rPr/>
              <w:t xml:space="preserve">Number of staff (disaggregated by males and females) that have undergone training and built capacity on PNMS governance and management</w:t>
            </w:r>
          </w:p>
          <w:p>
            <w:pPr/>
            <w:r>
              <w:rPr/>
              <w:t xml:space="preserve">INDICATOR 9:</w:t>
            </w:r>
          </w:p>
          <w:p>
            <w:pPr/>
            <w:r>
              <w:rPr/>
              <w:t xml:space="preserve">Extent of capacity building programme established in country on PNMS management &amp; monitoring</w:t>
            </w:r>
          </w:p>
          <w:p>
            <w:pPr/>
            <w:r>
              <w:rPr/>
              <w:t xml:space="preserve">Scores:</w:t>
            </w:r>
          </w:p>
          <w:p>
            <w:pPr/>
            <w:r>
              <w:rPr/>
              <w:t xml:space="preserve">1. No capacity building programme established in country on PNMS management &amp; monitoring</w:t>
            </w:r>
          </w:p>
          <w:p>
            <w:pPr/>
            <w:r>
              <w:rPr/>
              <w:t xml:space="preserve">2. 50% capacity building programme implemented in country on PNMS management and monitoring</w:t>
            </w:r>
          </w:p>
          <w:p>
            <w:pPr/>
            <w:r>
              <w:rPr/>
              <w:t xml:space="preserve">3.  Capacity building programme under full implementation  in country on PNMS management &amp; monitoring</w:t>
            </w:r>
          </w:p>
          <w:p>
            <w:pPr/>
            <w:r>
              <w:rPr/>
              <w:t xml:space="preserve"/>
            </w:r>
          </w:p>
        </w:tc>
        <w:tc>
          <w:tcPr>
            <w:tcW w:w="2000" w:type="dxa"/>
            <w:gridSpan w:val="1"/>
          </w:tcPr>
          <w:p>
            <w:pPr/>
            <w:r>
              <w:rPr/>
              <w:t xml:space="preserve">Only 2 technical staff in PNMS with any offshore skills. General shortage of trained and skilled technical and managerial staff to manage the PNMS  (no  specific programme within the PNMS for capacity building and training)</w:t>
            </w:r>
          </w:p>
          <w:p>
            <w:pPr/>
            <w:r>
              <w:rPr/>
              <w:t xml:space="preserve"/>
            </w:r>
          </w:p>
          <w:p>
            <w:pPr/>
            <w:r>
              <w:rPr/>
              <w:t xml:space="preserve">Baseline: 2</w:t>
            </w:r>
          </w:p>
          <w:p>
            <w:pPr/>
            <w:r>
              <w:rPr/>
              <w:t xml:space="preserve">No current in-country focused modular training courses supporting capacity-building,  training</w:t>
            </w:r>
          </w:p>
          <w:p>
            <w:pPr/>
            <w:r>
              <w:rPr/>
              <w:t xml:space="preserve"/>
            </w:r>
          </w:p>
          <w:p>
            <w:pPr/>
            <w:r>
              <w:rPr/>
              <w:t xml:space="preserve">Baseline Score: 1</w:t>
            </w:r>
          </w:p>
          <w:p>
            <w:pPr/>
            <w:r>
              <w:rPr/>
              <w:t xml:space="preserve"/>
            </w:r>
          </w:p>
        </w:tc>
        <w:tc>
          <w:tcPr>
            <w:tcW w:w="2000" w:type="dxa"/>
            <w:gridSpan w:val="1"/>
          </w:tcPr>
          <w:p>
            <w:pPr/>
            <w:r>
              <w:rPr/>
              <w:t xml:space="preserve">At least two Partnership Agreements in place with associated training and capacity building components</w:t>
            </w:r>
          </w:p>
          <w:p>
            <w:pPr/>
            <w:r>
              <w:rPr/>
              <w:t xml:space="preserve"/>
            </w:r>
          </w:p>
          <w:p>
            <w:pPr/>
            <w:r>
              <w:rPr/>
              <w:t xml:space="preserve">Mid-term Target: 6 male; 4 female</w:t>
            </w:r>
          </w:p>
          <w:p>
            <w:pPr/>
            <w:r>
              <w:rPr/>
              <w:t xml:space="preserve">Best Lessons and Practices captured through modular training courses and offered to in-country technical and managerial personnel and candidates</w:t>
            </w:r>
          </w:p>
          <w:p>
            <w:pPr/>
            <w:r>
              <w:rPr/>
              <w:t xml:space="preserve"/>
            </w:r>
          </w:p>
          <w:p>
            <w:pPr/>
            <w:r>
              <w:rPr/>
              <w:t xml:space="preserve">Mid-Term Target Score: 2</w:t>
            </w:r>
          </w:p>
          <w:p>
            <w:pPr/>
            <w:r>
              <w:rPr/>
              <w:t xml:space="preserve"/>
            </w:r>
          </w:p>
        </w:tc>
        <w:tc>
          <w:tcPr>
            <w:tcW w:w="2000" w:type="dxa"/>
            <w:gridSpan w:val="1"/>
          </w:tcPr>
          <w:p>
            <w:pPr/>
            <w:r>
              <w:rPr/>
              <w:t xml:space="preserve">At least two Partnership Agreements in place with associated training and capacity building components</w:t>
            </w:r>
          </w:p>
          <w:p>
            <w:pPr/>
            <w:r>
              <w:rPr/>
              <w:t xml:space="preserve"/>
            </w:r>
          </w:p>
          <w:p>
            <w:pPr/>
            <w:r>
              <w:rPr/>
              <w:t xml:space="preserve">Mid-term Target: 6 male; 4 female	Minimum of 20 additional trained staff and government/state/community representatives  (40% female) and 4 international mentors identified and directly involved in training and long-term support to PNMS and staff</w:t>
            </w:r>
          </w:p>
          <w:p>
            <w:pPr/>
            <w:r>
              <w:rPr/>
              <w:t xml:space="preserve"/>
            </w:r>
          </w:p>
          <w:p>
            <w:pPr/>
            <w:r>
              <w:rPr/>
              <w:t xml:space="preserve">End of Project Target: 14 Male; 10 Female</w:t>
            </w:r>
          </w:p>
          <w:p>
            <w:pPr/>
            <w:r>
              <w:rPr/>
              <w:t xml:space="preserve">Best Lessons and Practices captured through modular training courses and offered to in-country technical and managerial personnel and candidates</w:t>
            </w:r>
          </w:p>
          <w:p>
            <w:pPr/>
            <w:r>
              <w:rPr/>
              <w:t xml:space="preserve"/>
            </w:r>
          </w:p>
          <w:p>
            <w:pPr/>
            <w:r>
              <w:rPr/>
              <w:t xml:space="preserve">Mid-Term Target Score: 2	At least 4 focused training courses/modules on various elements of PNMS management and monitoring (governance, management and/or technical aspects). These delivered at state as well as national government level</w:t>
            </w:r>
          </w:p>
          <w:p>
            <w:pPr/>
            <w:r>
              <w:rPr/>
              <w:t xml:space="preserve"/>
            </w:r>
          </w:p>
          <w:p>
            <w:pPr/>
            <w:r>
              <w:rPr/>
              <w:t xml:space="preserve">End of Project Target Score:3</w:t>
            </w:r>
          </w:p>
          <w:p>
            <w:pPr/>
            <w:r>
              <w:rPr/>
              <w:t xml:space="preserve"/>
            </w:r>
          </w:p>
        </w:tc>
        <w:tc>
          <w:tcPr>
            <w:tcW w:w="4000" w:type="dxa"/>
            <w:gridSpan w:val="1"/>
          </w:tcPr>
          <w:p>
            <w:pPr/>
            <w:r>
              <w:rPr/>
              <w:t xml:space="preserve">Progress of Indicator 8 is 2 - Key aspects of enforcement &amp; surveillance conduct regular trainings but a more systematic program still needs to be developed to incorporate fisheries management and monitoring.</w:t>
            </w:r>
          </w:p>
          <w:p>
            <w:pPr/>
            <w:r>
              <w:rPr/>
              <w:t xml:space="preserve"/>
            </w:r>
          </w:p>
          <w:p>
            <w:pPr/>
            <w:r>
              <w:rPr/>
              <w:t xml:space="preserve">Progress of indicator 9 is 2 - 50% capacity building programme implemented in country on PNMS management and monitoring</w:t>
            </w:r>
          </w:p>
          <w:p>
            <w:pPr/>
            <w:r>
              <w:rPr/>
              <w:t xml:space="preserve"/>
            </w:r>
          </w:p>
          <w:p>
            <w:pPr/>
            <w:r>
              <w:rPr/>
              <w:t xml:space="preserve">Ongoing development of the PNMS strategic plan and collaboration with the respective PNMS management authorities along with project implementation have led to a recent awarding of a contract to a consultant (through a request for proposals) to establish Capacity Building and Training (CB&amp;T) agreements that enable the development of a sustainable CB&amp;T program.</w:t>
            </w:r>
          </w:p>
          <w:p>
            <w:pPr/>
            <w:r>
              <w:rPr/>
              <w:t xml:space="preserve"/>
            </w:r>
          </w:p>
          <w:p>
            <w:pPr/>
            <w:r>
              <w:rPr/>
              <w:t xml:space="preserve">The announcement to solicit proposals has been uploaded.</w:t>
            </w:r>
          </w:p>
          <w:p>
            <w:pPr/>
            <w:r>
              <w:rPr/>
              <w:t xml:space="preserve"/>
            </w:r>
          </w:p>
          <w:p>
            <w:pPr/>
            <w:r>
              <w:rPr/>
              <w:t xml:space="preserve">Reference in uploaded evidence:</w:t>
            </w:r>
          </w:p>
          <w:p>
            <w:pPr/>
            <w:r>
              <w:rPr/>
              <w:t xml:space="preserve">1. RFP_CB_T_GEF7PNMS</w:t>
            </w:r>
          </w:p>
          <w:p>
            <w:pPr/>
            <w:r>
              <w:rPr/>
              <w:t xml:space="preserve"/>
            </w:r>
          </w:p>
        </w:tc>
        <w:tc>
          <w:tcPr>
            <w:tcW w:w="4000" w:type="dxa"/>
            <w:gridSpan w:val="1"/>
          </w:tcPr>
          <w:p>
            <w:pPr/>
            <w:r>
              <w:rPr/>
              <w:t xml:space="preserve">100% (Completed).</w:t>
            </w:r>
          </w:p>
          <w:p>
            <w:pPr/>
            <w:r>
              <w:rPr/>
              <w:t xml:space="preserve"/>
            </w:r>
          </w:p>
          <w:p>
            <w:pPr/>
            <w:r>
              <w:rPr/>
              <w:t xml:space="preserve">Draft capacity building and training agreements have been developed in consultation with the PNMS management authorities to include training modules.  These agreements are intended to provide a means for a more comprehensive capacity building and training program that supports all aspects of management (fisheries, research, surveillance &amp; enforcement and outreach). The project has been able to support some capacity building and training activities in an opportunistic sense. Establishing the training agreements with different resource organizations and agencies will enable progress towards establishing a sustained program.</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Enhanced Management through improved Monitoring, Control and Surveillance of Activities within the Established PNMS and DFZ  Boundaries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2.1 All regulations and laws pertaining to PNMS and DFZ enforced effectively and sustainably In further close collaboration with WCPFC, FFA and PNA</w:t>
            </w:r>
          </w:p>
          <w:p>
            <w:pPr/>
            <w:r>
              <w:rPr/>
              <w:t xml:space="preserve">INDICATOR 10:</w:t>
            </w:r>
          </w:p>
          <w:p>
            <w:pPr/>
            <w:r>
              <w:rPr/>
              <w:t xml:space="preserve">Extent at which Palau’s Operations Centre for Monitoring, Control and Surveillance is  manned, equipped and coordinating active MCS patrols, interdiction and prosecution</w:t>
            </w:r>
          </w:p>
          <w:p>
            <w:pPr/>
            <w:r>
              <w:rPr/>
              <w:t xml:space="preserve">1. Non-functional Palau operational centre</w:t>
            </w:r>
          </w:p>
          <w:p>
            <w:pPr/>
            <w:r>
              <w:rPr/>
              <w:t xml:space="preserve">2. Partial functional Palau operational centre</w:t>
            </w:r>
          </w:p>
          <w:p>
            <w:pPr/>
            <w:r>
              <w:rPr/>
              <w:t xml:space="preserve">3. Full functional Palau operational centre</w:t>
            </w:r>
          </w:p>
          <w:p>
            <w:pPr/>
            <w:r>
              <w:rPr/>
              <w:t xml:space="preserve">4. Full functional Palau operational centre supporting 100% increase in offshore patrol and enforcement</w:t>
            </w:r>
          </w:p>
          <w:p>
            <w:pPr/>
            <w:r>
              <w:rPr/>
              <w:t xml:space="preserve">INDICATOR 11:</w:t>
            </w:r>
          </w:p>
          <w:p>
            <w:pPr/>
            <w:r>
              <w:rPr/>
              <w:t xml:space="preserve">Extent of effective human electronic monitoring, reporting within the DFZ</w:t>
            </w:r>
          </w:p>
          <w:p>
            <w:pPr/>
            <w:r>
              <w:rPr/>
              <w:t xml:space="preserve">Scores:</w:t>
            </w:r>
          </w:p>
          <w:p>
            <w:pPr/>
            <w:r>
              <w:rPr/>
              <w:t xml:space="preserve">1. No electronic monitoring and reporting</w:t>
            </w:r>
          </w:p>
          <w:p>
            <w:pPr/>
            <w:r>
              <w:rPr/>
              <w:t xml:space="preserve">2. 30% of vessels have human and electronic monitoring and are reporting on findings</w:t>
            </w:r>
          </w:p>
          <w:p>
            <w:pPr/>
            <w:r>
              <w:rPr/>
              <w:t xml:space="preserve">3. 50% of vessels have human and electronic monitoring and are reporting on findings</w:t>
            </w:r>
          </w:p>
        </w:tc>
        <w:tc>
          <w:tcPr>
            <w:tcW w:w="2000" w:type="dxa"/>
            <w:gridSpan w:val="1"/>
          </w:tcPr>
          <w:p>
            <w:pPr/>
            <w:r>
              <w:rPr/>
              <w:t xml:space="preserve">Operations Room and associated equipment and satellite linkages currently not fully functional nor manned on a regular and 24-hour basis.</w:t>
            </w:r>
          </w:p>
          <w:p>
            <w:pPr/>
            <w:r>
              <w:rPr/>
              <w:t xml:space="preserve"/>
            </w:r>
          </w:p>
          <w:p>
            <w:pPr/>
            <w:r>
              <w:rPr/>
              <w:t xml:space="preserve">No permanent staff currently available to provide 24-hour manning of Operations Centre or support for patrol vessels</w:t>
            </w:r>
          </w:p>
          <w:p>
            <w:pPr/>
            <w:r>
              <w:rPr/>
              <w:t xml:space="preserve"/>
            </w:r>
          </w:p>
          <w:p>
            <w:pPr/>
            <w:r>
              <w:rPr/>
              <w:t xml:space="preserve">Baseline Score: 2</w:t>
            </w:r>
          </w:p>
          <w:p>
            <w:pPr/>
            <w:r>
              <w:rPr/>
              <w:t xml:space="preserve">No electronic monitoring or reporting requirements. Inadequate current understanding and usage of modern technologies to assist with MCS despite their regional availability</w:t>
            </w:r>
          </w:p>
          <w:p>
            <w:pPr/>
            <w:r>
              <w:rPr/>
              <w:t xml:space="preserve"/>
            </w:r>
          </w:p>
          <w:p>
            <w:pPr/>
            <w:r>
              <w:rPr/>
              <w:t xml:space="preserve">Baseline Score: 1</w:t>
            </w:r>
          </w:p>
          <w:p>
            <w:pPr/>
            <w:r>
              <w:rPr/>
              <w:t xml:space="preserve"/>
            </w:r>
          </w:p>
        </w:tc>
        <w:tc>
          <w:tcPr>
            <w:tcW w:w="2000" w:type="dxa"/>
            <w:gridSpan w:val="1"/>
          </w:tcPr>
          <w:p>
            <w:pPr/>
            <w:r>
              <w:rPr/>
              <w:t xml:space="preserve">A fully-functional Operations Centre linked into WCPFC/FFA Surveillance Centre in Honiara as well as the Vulcan Operation Center in Seattle which is providing real time information on potential IUU in the PNMS and DFZ</w:t>
            </w:r>
          </w:p>
          <w:p>
            <w:pPr/>
            <w:r>
              <w:rPr/>
              <w:t xml:space="preserve"/>
            </w:r>
          </w:p>
          <w:p>
            <w:pPr/>
            <w:r>
              <w:rPr/>
              <w:t xml:space="preserve">Mid-Term Target Score: 3</w:t>
            </w:r>
          </w:p>
          <w:p>
            <w:pPr/>
            <w:r>
              <w:rPr/>
              <w:t xml:space="preserve">E-Reporting and E-Monitoring introduced as a requirement on commercial fishing vessels in DFZ  as well as FAD monitoring and tracking  technologies</w:t>
            </w:r>
          </w:p>
          <w:p>
            <w:pPr/>
            <w:r>
              <w:rPr/>
              <w:t xml:space="preserve"/>
            </w:r>
          </w:p>
          <w:p>
            <w:pPr/>
            <w:r>
              <w:rPr/>
              <w:t xml:space="preserve">Mid-Term Target Score: 2</w:t>
            </w:r>
          </w:p>
          <w:p>
            <w:pPr/>
            <w:r>
              <w:rPr/>
              <w:t xml:space="preserve"/>
            </w:r>
          </w:p>
        </w:tc>
        <w:tc>
          <w:tcPr>
            <w:tcW w:w="2000" w:type="dxa"/>
            <w:gridSpan w:val="1"/>
          </w:tcPr>
          <w:p>
            <w:pPr/>
            <w:r>
              <w:rPr/>
              <w:t xml:space="preserve">Six permanent staff associated with the running of the Operations Room supporting 100% increase in offshore patrols (airborne and sea-going)</w:t>
            </w:r>
          </w:p>
          <w:p>
            <w:pPr/>
            <w:r>
              <w:rPr/>
              <w:t xml:space="preserve"/>
            </w:r>
          </w:p>
          <w:p>
            <w:pPr/>
            <w:r>
              <w:rPr/>
              <w:t xml:space="preserve">FFA Review of Palau Operational Centre as a demonstration of national-regional MCS interaction and IUU interdiction</w:t>
            </w:r>
          </w:p>
          <w:p>
            <w:pPr/>
            <w:r>
              <w:rPr/>
              <w:t xml:space="preserve"/>
            </w:r>
          </w:p>
          <w:p>
            <w:pPr/>
            <w:r>
              <w:rPr/>
              <w:t xml:space="preserve">End-of-Project Target Score: 4</w:t>
            </w:r>
          </w:p>
          <w:p>
            <w:pPr/>
            <w:r>
              <w:rPr/>
              <w:t xml:space="preserve">E-reporting and E-monitoring as permanent fixtures on at least 75% of vessels operating in the DFZ</w:t>
            </w:r>
          </w:p>
          <w:p>
            <w:pPr/>
            <w:r>
              <w:rPr/>
              <w:t xml:space="preserve"/>
            </w:r>
          </w:p>
          <w:p>
            <w:pPr/>
            <w:r>
              <w:rPr/>
              <w:t xml:space="preserve">100% of FADs in DFZ with tracking devices</w:t>
            </w:r>
          </w:p>
          <w:p>
            <w:pPr/>
            <w:r>
              <w:rPr/>
              <w:t xml:space="preserve"/>
            </w:r>
          </w:p>
          <w:p>
            <w:pPr/>
            <w:r>
              <w:rPr/>
              <w:t xml:space="preserve">End of Project Target Score: 3</w:t>
            </w:r>
          </w:p>
          <w:p>
            <w:pPr/>
            <w:r>
              <w:rPr/>
              <w:t xml:space="preserve"/>
            </w:r>
          </w:p>
        </w:tc>
        <w:tc>
          <w:tcPr>
            <w:tcW w:w="4000" w:type="dxa"/>
            <w:gridSpan w:val="1"/>
          </w:tcPr>
          <w:p>
            <w:pPr/>
            <w:r>
              <w:rPr/>
              <w:t xml:space="preserve">Progress of indicator 10 is at 2 - Partial functional Palau operational centre.</w:t>
            </w:r>
          </w:p>
          <w:p>
            <w:pPr/>
            <w:r>
              <w:rPr/>
              <w:t xml:space="preserve"/>
            </w:r>
          </w:p>
          <w:p>
            <w:pPr/>
            <w:r>
              <w:rPr/>
              <w:t xml:space="preserve">Progress of indicator 11 is at 2 - 30% of vessels have human and electronic monitoring and are reporting on findings</w:t>
            </w:r>
          </w:p>
          <w:p>
            <w:pPr/>
            <w:r>
              <w:rPr/>
              <w:t xml:space="preserve"/>
            </w:r>
          </w:p>
          <w:p>
            <w:pPr/>
            <w:r>
              <w:rPr/>
              <w:t xml:space="preserve">The Operations Center which is housed at the Division of Maritime Security and Fish &amp; Wildlife Protection (Ministry of Justice) has continued to develop its capabilities through the project.  Uploaded for your understanding are maritime surveillance patrol reports accumulated from January through June 2023.  It should be noted that e-monitoring/reporting are not standard requirements for licensing fishing vessels and therefore cannot be viable targets to track given the multilateral negotiations that are required to formally incorporate e-monitoring/reporting into the current monitoring programs.</w:t>
            </w:r>
          </w:p>
          <w:p>
            <w:pPr/>
            <w:r>
              <w:rPr/>
              <w:t xml:space="preserve"/>
            </w:r>
          </w:p>
          <w:p>
            <w:pPr/>
            <w:r>
              <w:rPr/>
              <w:t xml:space="preserve">Reference in uploaded evidence:</w:t>
            </w:r>
          </w:p>
          <w:p>
            <w:pPr/>
            <w:r>
              <w:rPr/>
              <w:t xml:space="preserve">1. MLE Cumulated Maritime Surveillance Patrol Report JAN_JUN 2023</w:t>
            </w:r>
          </w:p>
        </w:tc>
        <w:tc>
          <w:tcPr>
            <w:tcW w:w="4000" w:type="dxa"/>
            <w:gridSpan w:val="1"/>
          </w:tcPr>
          <w:p>
            <w:pPr/>
            <w:r>
              <w:rPr/>
              <w:t xml:space="preserve">80%.</w:t>
            </w:r>
          </w:p>
          <w:p>
            <w:pPr/>
            <w:r>
              <w:rPr/>
              <w:t xml:space="preserve"/>
            </w:r>
          </w:p>
          <w:p>
            <w:pPr/>
            <w:r>
              <w:rPr/>
              <w:t xml:space="preserve">Draft capacity building and training agreements have been developed in consultation with the PNMS management authorities to include training modules.  These agreements are intended to provide a means for a more comprehensive capacity building and training program that supports all aspects of management (fisheries, research, surveillance &amp; enforcement and outreach). The project has been able to support some capacity building and training activities in an opportunistic sense. Establishing the training agreements with different resource organizations and agencies will enable progress towards establishing a sustained program.</w:t>
            </w:r>
          </w:p>
          <w:p>
            <w:pPr/>
            <w:r>
              <w:rPr/>
              <w:t xml:space="preserve"/>
            </w:r>
          </w:p>
          <w:p>
            <w:pPr/>
            <w:r>
              <w:rPr/>
              <w:t xml:space="preserve">The project supports the Surveillance &amp; Enforcement Coordinator who manages the Operations Center as well as the Planning &amp; Development Officer.  While these are key positions toward this outcome, MOJ still needs to explore ways to increase staffing levels to support the Operations Center.</w:t>
            </w:r>
          </w:p>
          <w:p>
            <w:pPr/>
            <w:r>
              <w:rPr/>
              <w:t xml:space="preserve"/>
            </w:r>
          </w:p>
          <w:p>
            <w:pPr/>
            <w:r>
              <w:rPr/>
              <w:t xml:space="preserve">At a regional level (and also beyond the scope of the project), negotiations are likely to result in the re-establishment of human observers for every fishing vessel operating within Palau’s Exclusive Economic Zone.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Ecosystem Assessment and Financial Planning for a Long-term Sustainability Strategy for the PNMS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3.1 Long-term mechanisms to support financial  sustainability and security PNMS  and its associated administrative and management arrangements are negotiated and identified</w:t>
            </w:r>
          </w:p>
          <w:p>
            <w:pPr/>
            <w:r>
              <w:rPr/>
              <w:t xml:space="preserve">INDICATOR 12:</w:t>
            </w:r>
          </w:p>
          <w:p>
            <w:pPr/>
            <w:r>
              <w:rPr/>
              <w:t xml:space="preserve">Extent of 10 years sustainable funding roadmap for PNMS and DFZ formally adopted integrating ecotourism and livelihoods</w:t>
            </w:r>
          </w:p>
          <w:p>
            <w:pPr/>
            <w:r>
              <w:rPr/>
              <w:t xml:space="preserve">1. No adoption by Government on the 10 years sustainable funding roadmap for PNMS and DFZ</w:t>
            </w:r>
          </w:p>
          <w:p>
            <w:pPr/>
            <w:r>
              <w:rPr/>
              <w:t xml:space="preserve">2. Draft 10 years sustainable funding roadmap for PNMS and DFZ developed integrating ecotourism and livelihood</w:t>
            </w:r>
          </w:p>
          <w:p>
            <w:pPr/>
            <w:r>
              <w:rPr/>
              <w:t xml:space="preserve">3. Finalized and adopted 10 years sustainable funding roadmap for PNMS and DFZ established</w:t>
            </w:r>
          </w:p>
          <w:p>
            <w:pPr/>
            <w:r>
              <w:rPr/>
              <w:t xml:space="preserve">INDICATOR 13:</w:t>
            </w:r>
          </w:p>
          <w:p>
            <w:pPr/>
            <w:r>
              <w:rPr/>
              <w:t xml:space="preserve">Extent of PNA vessel day scheme and sustainable funding programme established</w:t>
            </w:r>
          </w:p>
          <w:p>
            <w:pPr/>
            <w:r>
              <w:rPr/>
              <w:t xml:space="preserve">Scores:</w:t>
            </w:r>
          </w:p>
          <w:p>
            <w:pPr/>
            <w:r>
              <w:rPr/>
              <w:t xml:space="preserve">1. No PNA vessels day scheme and sustainable funding programme established</w:t>
            </w:r>
          </w:p>
          <w:p>
            <w:pPr/>
            <w:r>
              <w:rPr/>
              <w:t xml:space="preserve">2. Negotiations and drafting of PNA vessel day scheme and sustainable funding programme reviewed and adopted</w:t>
            </w:r>
          </w:p>
          <w:p>
            <w:pPr/>
            <w:r>
              <w:rPr/>
              <w:t xml:space="preserve">3. Specific revenue allocations from benefits of PNMS and DFZ (including VDS) at the state and community level &amp; maintenance of at least 75% of the previous VDS income to Palau</w:t>
            </w:r>
          </w:p>
          <w:p>
            <w:pPr/>
            <w:r>
              <w:rPr/>
              <w:t xml:space="preserve"/>
            </w:r>
          </w:p>
        </w:tc>
        <w:tc>
          <w:tcPr>
            <w:tcW w:w="2000" w:type="dxa"/>
            <w:gridSpan w:val="1"/>
          </w:tcPr>
          <w:p>
            <w:pPr/>
            <w:r>
              <w:rPr/>
              <w:t xml:space="preserve">Overall lack of awareness of importance of marine ecosystem goods and services to ecotourism and the need to address the carrying capacity for environmentally-sustainable tourism</w:t>
            </w:r>
          </w:p>
          <w:p>
            <w:pPr/>
            <w:r>
              <w:rPr/>
              <w:t xml:space="preserve"/>
            </w:r>
          </w:p>
          <w:p>
            <w:pPr/>
            <w:r>
              <w:rPr/>
              <w:t xml:space="preserve">Baseline Score: 1</w:t>
            </w:r>
          </w:p>
          <w:p>
            <w:pPr/>
            <w:r>
              <w:rPr/>
              <w:t xml:space="preserve">Uncertainty of income/revenues and therefore lack of sustainability of  revenue sources to support PNMS</w:t>
            </w:r>
          </w:p>
          <w:p>
            <w:pPr/>
            <w:r>
              <w:rPr/>
              <w:t xml:space="preserve"/>
            </w:r>
          </w:p>
          <w:p>
            <w:pPr/>
            <w:r>
              <w:rPr/>
              <w:t xml:space="preserve">Baseline Score: 1</w:t>
            </w:r>
          </w:p>
          <w:p>
            <w:pPr/>
            <w:r>
              <w:rPr/>
              <w:t xml:space="preserve"/>
            </w:r>
          </w:p>
        </w:tc>
        <w:tc>
          <w:tcPr>
            <w:tcW w:w="2000" w:type="dxa"/>
            <w:gridSpan w:val="1"/>
          </w:tcPr>
          <w:p>
            <w:pPr/>
            <w:r>
              <w:rPr/>
              <w:t xml:space="preserve">Formal Economic Assessment and Ecotourism Cost-Benefit Analysis completed and used to define national tourism policy and planning as well as enhancing awareness and ownership by all stakeholders. Careful consideration of the COVID 19 pandemic constraints and predictions to be a major focus of this assessment and analysis.</w:t>
            </w:r>
          </w:p>
          <w:p>
            <w:pPr/>
            <w:r>
              <w:rPr/>
              <w:t xml:space="preserve"/>
            </w:r>
          </w:p>
          <w:p>
            <w:pPr/>
            <w:r>
              <w:rPr/>
              <w:t xml:space="preserve">Mid-Term Target Score: 2</w:t>
            </w:r>
          </w:p>
          <w:p>
            <w:pPr/>
            <w:r>
              <w:rPr/>
              <w:t xml:space="preserve">Clear definition of benefits for communities and state-level stakeholders from the overall cost-benefit analysis and tourism policy</w:t>
            </w:r>
          </w:p>
          <w:p>
            <w:pPr/>
            <w:r>
              <w:rPr/>
              <w:t xml:space="preserve"/>
            </w:r>
          </w:p>
          <w:p>
            <w:pPr/>
            <w:r>
              <w:rPr/>
              <w:t xml:space="preserve">Negotiations progressing with PNA over the Vessel Day Scheme allocations for Palau</w:t>
            </w:r>
          </w:p>
          <w:p>
            <w:pPr/>
            <w:r>
              <w:rPr/>
              <w:t xml:space="preserve"/>
            </w:r>
          </w:p>
          <w:p>
            <w:pPr/>
            <w:r>
              <w:rPr/>
              <w:t xml:space="preserve">Stakeholder driven Sustainable Funding Programme drafted  for formal review and adoption</w:t>
            </w:r>
          </w:p>
          <w:p>
            <w:pPr/>
            <w:r>
              <w:rPr/>
              <w:t xml:space="preserve"/>
            </w:r>
          </w:p>
          <w:p>
            <w:pPr/>
            <w:r>
              <w:rPr/>
              <w:t xml:space="preserve">Mid-Term Target Score: 2</w:t>
            </w:r>
          </w:p>
          <w:p>
            <w:pPr/>
            <w:r>
              <w:rPr/>
              <w:t xml:space="preserve"/>
            </w:r>
          </w:p>
        </w:tc>
        <w:tc>
          <w:tcPr>
            <w:tcW w:w="2000" w:type="dxa"/>
            <w:gridSpan w:val="1"/>
          </w:tcPr>
          <w:p>
            <w:pPr/>
            <w:r>
              <w:rPr/>
              <w:t xml:space="preserve">A 10-year sustainable funding road-map for PNMS and DFZ identified by government which prioritises ecotourism and associated livelihoods enrichment and improvement. Where necessary this will need to address the expected impacts from the COVID-19 pandemic and its predicted impacts on sustainable funding sources and reliability while noting that it is expected that tourism would re-open sometime in 2021 when the Project would be expected to be in its first 6-12 months.</w:t>
            </w:r>
          </w:p>
          <w:p>
            <w:pPr/>
            <w:r>
              <w:rPr/>
              <w:t xml:space="preserve"/>
            </w:r>
          </w:p>
          <w:p>
            <w:pPr/>
            <w:r>
              <w:rPr/>
              <w:t xml:space="preserve">End of Project Target Score: 3</w:t>
            </w:r>
          </w:p>
          <w:p>
            <w:pPr/>
            <w:r>
              <w:rPr/>
              <w:t xml:space="preserve">Specific revenue allocations from benefits of PNMS and DFZ (including VDS) at the state and community level</w:t>
            </w:r>
          </w:p>
          <w:p>
            <w:pPr/>
            <w:r>
              <w:rPr/>
              <w:t xml:space="preserve"/>
            </w:r>
          </w:p>
          <w:p>
            <w:pPr/>
            <w:r>
              <w:rPr/>
              <w:t xml:space="preserve">Negotiations completed with PNA regarding the Vessel Day Scheme (VDS) to ensure maintenance of at least 75% of the previous VDS income to Palau</w:t>
            </w:r>
          </w:p>
          <w:p>
            <w:pPr/>
            <w:r>
              <w:rPr/>
              <w:t xml:space="preserve"/>
            </w:r>
          </w:p>
          <w:p>
            <w:pPr/>
            <w:r>
              <w:rPr/>
              <w:t xml:space="preserve">End-Of Project Target Score: 3</w:t>
            </w:r>
          </w:p>
          <w:p>
            <w:pPr/>
            <w:r>
              <w:rPr/>
              <w:t xml:space="preserve"/>
            </w:r>
          </w:p>
          <w:p>
            <w:pPr/>
            <w:r>
              <w:rPr/>
              <w:t xml:space="preserve"/>
            </w:r>
          </w:p>
          <w:p>
            <w:pPr/>
            <w:r>
              <w:rPr/>
              <w:t xml:space="preserve"/>
            </w:r>
          </w:p>
        </w:tc>
        <w:tc>
          <w:tcPr>
            <w:tcW w:w="4000" w:type="dxa"/>
            <w:gridSpan w:val="1"/>
          </w:tcPr>
          <w:p>
            <w:pPr/>
            <w:r>
              <w:rPr/>
              <w:t xml:space="preserve">Progress of indicator 12 is at 2 - Draft 10 years sustainable funding roadmap for PNMS and DFZ developed integrating ecotourism and livelihood.</w:t>
            </w:r>
          </w:p>
          <w:p>
            <w:pPr/>
            <w:r>
              <w:rPr/>
              <w:t xml:space="preserve"/>
            </w:r>
          </w:p>
          <w:p>
            <w:pPr/>
            <w:r>
              <w:rPr/>
              <w:t xml:space="preserve">While key recommendations were provided in the sustainable financing consultations as reflected in the 2022 PIR, the next steps of collaborating with Ministry of Finance as the appropriate lead was unclear given the recent enactment of a Palau Goods and Services Tax in January 2023, coupled with increased inflation rates and ongoing economic recovery due to the COVID19 pandemic.</w:t>
            </w:r>
          </w:p>
          <w:p>
            <w:pPr/>
            <w:r>
              <w:rPr/>
              <w:t xml:space="preserve"/>
            </w:r>
          </w:p>
          <w:p>
            <w:pPr/>
            <w:r>
              <w:rPr/>
              <w:t xml:space="preserve">Due to these factors, it was determined in consultation with Ministry of Finance that it simply was not the right time to propose additional tax-related policies and costs pertaining to the PNMS.</w:t>
            </w:r>
          </w:p>
          <w:p>
            <w:pPr/>
            <w:r>
              <w:rPr/>
              <w:t xml:space="preserve"/>
            </w:r>
          </w:p>
          <w:p>
            <w:pPr/>
            <w:r>
              <w:rPr/>
              <w:t xml:space="preserve">An alternative that is underway are efforts to develop ocean accounts which is also in collaboration with the Ministry of Finance.  The scope of the ocean accounts initiative has been uploaded.</w:t>
            </w:r>
          </w:p>
          <w:p>
            <w:pPr/>
            <w:r>
              <w:rPr/>
              <w:t xml:space="preserve"/>
            </w:r>
          </w:p>
          <w:p>
            <w:pPr/>
            <w:r>
              <w:rPr/>
              <w:t xml:space="preserve">Additionally, a way forward in terms of sustainable financing would be clarified as the marine spatial planning exercise progresses.</w:t>
            </w:r>
          </w:p>
          <w:p>
            <w:pPr/>
            <w:r>
              <w:rPr/>
              <w:t xml:space="preserve"/>
            </w:r>
          </w:p>
          <w:p>
            <w:pPr/>
            <w:r>
              <w:rPr/>
              <w:t xml:space="preserve"/>
            </w:r>
          </w:p>
        </w:tc>
        <w:tc>
          <w:tcPr>
            <w:tcW w:w="4000" w:type="dxa"/>
            <w:gridSpan w:val="1"/>
          </w:tcPr>
          <w:p>
            <w:pPr/>
            <w:r>
              <w:rPr/>
              <w:t xml:space="preserve">50%.</w:t>
            </w:r>
          </w:p>
          <w:p>
            <w:pPr/>
            <w:r>
              <w:rPr/>
              <w:t xml:space="preserve"/>
            </w:r>
          </w:p>
          <w:p>
            <w:pPr/>
            <w:r>
              <w:rPr/>
              <w:t xml:space="preserve">Based on the ongoing marine spatial planning exercise, no significant progress has been made by the project.  The potential scaling down of the PNMS toward the end of the year poses questions surrounding economic implications that cannot be understood at this point.</w:t>
            </w:r>
          </w:p>
          <w:p>
            <w:pPr/>
            <w:r>
              <w:rPr/>
              <w:t xml:space="preserve">While potential pathways towards sustainable financing have been identified through the project, taking actionable steps to formalize these recommendations will not be feasible while the marine spatial planning process is underway.</w:t>
            </w:r>
          </w:p>
          <w:p>
            <w:pPr/>
            <w:r>
              <w:rPr/>
              <w:t xml:space="preserve"/>
            </w:r>
          </w:p>
          <w:p>
            <w:pPr/>
            <w:r>
              <w:rPr/>
              <w:t xml:space="preserve">Achieving this objective is highly dependent on the outcomes of the marine spatial planning process.</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Off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Improvement of Knowledge Management, communication and awareness outreach coupled with effective Project Monitoring and Evaluation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Outcome 4.1</w:t>
            </w:r>
          </w:p>
          <w:p>
            <w:pPr/>
            <w:r>
              <w:rPr/>
              <w:t xml:space="preserve"/>
            </w:r>
          </w:p>
          <w:p>
            <w:pPr/>
            <w:r>
              <w:rPr/>
              <w:t xml:space="preserve">Strong stakeholder support for the PNMS  and DFZ and associated benefits and fees at the broad stakeholder level including the state, national, and international community</w:t>
            </w:r>
          </w:p>
          <w:p>
            <w:pPr/>
            <w:r>
              <w:rPr/>
              <w:t xml:space="preserve">INDICATOR 14:</w:t>
            </w:r>
          </w:p>
          <w:p>
            <w:pPr/>
            <w:r>
              <w:rPr/>
              <w:t xml:space="preserve">Appropriate Lessons and Best Practices (L&amp;BP) ( from other similar GEF projects and other relevant initiatives captured and incorporated into this project as appropriate</w:t>
            </w:r>
          </w:p>
          <w:p>
            <w:pPr/>
            <w:r>
              <w:rPr/>
              <w:t xml:space="preserve">INDICATOR 15:</w:t>
            </w:r>
          </w:p>
          <w:p>
            <w:pPr/>
            <w:r>
              <w:rPr/>
              <w:t xml:space="preserve">Lessons and Best Practices from the project identified and documented and distributed to support a) an effective long-term Communications and Awareness strategy , and b) replication of the project results and achievements in other SIDS/PICTs</w:t>
            </w:r>
          </w:p>
          <w:p>
            <w:pPr/>
            <w:r>
              <w:rPr/>
              <w:t xml:space="preserve"/>
            </w:r>
          </w:p>
          <w:p>
            <w:pPr/>
            <w:r>
              <w:rPr/>
              <w:t xml:space="preserve"/>
            </w:r>
          </w:p>
        </w:tc>
        <w:tc>
          <w:tcPr>
            <w:tcW w:w="2000" w:type="dxa"/>
            <w:gridSpan w:val="1"/>
          </w:tcPr>
          <w:p>
            <w:pPr/>
            <w:r>
              <w:rPr/>
              <w:t xml:space="preserve">Absence of experience nationally with managing such a large ‘no-take’ protected area or domestic fisheries management zone and no information on L&amp;BP to fall back on</w:t>
            </w:r>
          </w:p>
          <w:p>
            <w:pPr/>
            <w:r>
              <w:rPr/>
              <w:t xml:space="preserve"/>
            </w:r>
          </w:p>
          <w:p>
            <w:pPr/>
            <w:r>
              <w:rPr/>
              <w:t xml:space="preserve"/>
            </w:r>
          </w:p>
          <w:p>
            <w:pPr/>
            <w:r>
              <w:rPr/>
              <w:t xml:space="preserve">Few examples for other Pacific or global SIDS  to follow or learn from in the context of managing similar areas within their vast EEZs</w:t>
            </w:r>
          </w:p>
          <w:p>
            <w:pPr/>
            <w:r>
              <w:rPr/>
              <w:t xml:space="preserve"/>
            </w:r>
          </w:p>
        </w:tc>
        <w:tc>
          <w:tcPr>
            <w:tcW w:w="2000" w:type="dxa"/>
            <w:gridSpan w:val="1"/>
          </w:tcPr>
          <w:p>
            <w:pPr/>
            <w:r>
              <w:rPr/>
              <w:t xml:space="preserve">Report to PNMS Management on lessons and best practices from other initiatives, SIDS and regions (e.g. LMEs) and appropriate BL&amp;P captured through project activities</w:t>
            </w:r>
          </w:p>
          <w:p>
            <w:pPr/>
            <w:r>
              <w:rPr/>
              <w:t xml:space="preserve">Best lessons and practices captured at Mid Term for consideration in MTR</w:t>
            </w:r>
          </w:p>
          <w:p>
            <w:pPr/>
            <w:r>
              <w:rPr/>
              <w:t xml:space="preserve"/>
            </w:r>
          </w:p>
          <w:p>
            <w:pPr/>
            <w:r>
              <w:rPr/>
              <w:t xml:space="preserve">A Communications and Awareness Outreach Programme under delivery from early stages of Project Implementation with clear assessment and reporting on its effectiveness</w:t>
            </w:r>
          </w:p>
          <w:p>
            <w:pPr/>
            <w:r>
              <w:rPr/>
              <w:t xml:space="preserve"/>
            </w:r>
          </w:p>
        </w:tc>
        <w:tc>
          <w:tcPr>
            <w:tcW w:w="2000" w:type="dxa"/>
            <w:gridSpan w:val="1"/>
          </w:tcPr>
          <w:p>
            <w:pPr/>
            <w:r>
              <w:rPr/>
              <w:t xml:space="preserve">L&amp;BP captured in  ‘Operational Guidelines’ for PNMS and for DFZ (two documents). TE can clearly identify use of L&amp;BP where appropriate, from other examples within the PNMS project</w:t>
            </w:r>
          </w:p>
          <w:p>
            <w:pPr/>
            <w:r>
              <w:rPr/>
              <w:t xml:space="preserve">Final best lessons and practices captured in Experience Notes (at least 3) for IW:LEARN and other appropriate bodies (IUCN, WWF, etc.) for distribution</w:t>
            </w:r>
          </w:p>
          <w:p>
            <w:pPr/>
            <w:r>
              <w:rPr/>
              <w:t xml:space="preserve"/>
            </w:r>
          </w:p>
          <w:p>
            <w:pPr/>
            <w:r>
              <w:rPr/>
              <w:t xml:space="preserve">Two or more twinning exercises / BL&amp;P workshops within the South Pacific region/SIDS</w:t>
            </w:r>
          </w:p>
          <w:p>
            <w:pPr/>
            <w:r>
              <w:rPr/>
              <w:t xml:space="preserve"/>
            </w:r>
          </w:p>
          <w:p>
            <w:pPr/>
            <w:r>
              <w:rPr/>
              <w:t xml:space="preserve">At least one global twinning exercise (possibly virtual)</w:t>
            </w:r>
          </w:p>
          <w:p>
            <w:pPr/>
            <w:r>
              <w:rPr/>
              <w:t xml:space="preserve"/>
            </w:r>
          </w:p>
        </w:tc>
        <w:tc>
          <w:tcPr>
            <w:tcW w:w="4000" w:type="dxa"/>
            <w:gridSpan w:val="1"/>
          </w:tcPr>
          <w:p>
            <w:pPr/>
            <w:r>
              <w:rPr/>
              <w:t xml:space="preserve">The establishment of a sister sanctuary agreement with the National Marine Sanctuaries of American Samoa has led to valuable exchanges.  Joint outreach products have been developed due to the learning exchanges and efforts are underway to incorporate an American Samoa exhibit in the aquarium at the Palau International Coral Reef Center.</w:t>
            </w:r>
          </w:p>
          <w:p>
            <w:pPr/>
            <w:r>
              <w:rPr/>
              <w:t xml:space="preserve"/>
            </w:r>
          </w:p>
          <w:p>
            <w:pPr/>
            <w:r>
              <w:rPr/>
              <w:t xml:space="preserve">A partnership with the Ocean Foundation has also benefitted the project in providing opportunities to network with managers of other large scale marine protected areas.</w:t>
            </w:r>
          </w:p>
          <w:p>
            <w:pPr/>
            <w:r>
              <w:rPr/>
              <w:t xml:space="preserve"/>
            </w:r>
          </w:p>
          <w:p>
            <w:pPr/>
            <w:r>
              <w:rPr/>
              <w:t xml:space="preserve">Uploaded to demonstrate these efforts are a press release from a recent visit of the PNMS outreach team to American Samoa and a link to a video that was produced during a managers’ exchange in Hawaii:</w:t>
            </w:r>
          </w:p>
          <w:p>
            <w:pPr/>
            <w:r>
              <w:rPr/>
              <w:t xml:space="preserve"/>
            </w:r>
          </w:p>
          <w:p>
            <w:pPr/>
            <w:r>
              <w:rPr/>
              <w:t xml:space="preserve">Reference in uploaded evidence::</w:t>
            </w:r>
          </w:p>
          <w:p>
            <w:pPr/>
            <w:r>
              <w:rPr/>
              <w:t xml:space="preserve">1. Our Big Ocean video on YouTube https://www.youtube.com/watch?v=lIa0_Q-NzNQ</w:t>
            </w:r>
          </w:p>
          <w:p>
            <w:pPr/>
            <w:r>
              <w:rPr/>
              <w:t xml:space="preserve">2. PR_NMSAS Exchange</w:t>
            </w:r>
          </w:p>
          <w:p>
            <w:pPr/>
            <w:r>
              <w:rPr/>
              <w:t xml:space="preserve">3. PNMS communication strategies and Action Plan final draft</w:t>
            </w:r>
          </w:p>
          <w:p>
            <w:pPr/>
            <w:r>
              <w:rPr/>
              <w:t xml:space="preserve"/>
            </w:r>
          </w:p>
        </w:tc>
        <w:tc>
          <w:tcPr>
            <w:tcW w:w="4000" w:type="dxa"/>
            <w:gridSpan w:val="1"/>
          </w:tcPr>
          <w:p>
            <w:pPr/>
            <w:r>
              <w:rPr/>
              <w:t xml:space="preserve">85%.</w:t>
            </w:r>
          </w:p>
          <w:p>
            <w:pPr/>
            <w:r>
              <w:rPr/>
              <w:t xml:space="preserve"/>
            </w:r>
          </w:p>
          <w:p>
            <w:pPr/>
            <w:r>
              <w:rPr/>
              <w:t xml:space="preserve">Partnerships with key organizations and expertise have continued to add value toward this outcome.  Through a partnership with the Ocean Exploration Trust, a scientific expedition is scheduled for October 2024 to map the PNMS.  The research vessel, E/V Nautilus, provides a unique platform that connects students and any audience with an internet connection to the scientists and educators as the surveys are underway.  An expedition team consisting of 12 Palau-based scientists and educators will be participating in this expedition.</w:t>
            </w:r>
          </w:p>
          <w:p>
            <w:pPr/>
            <w:r>
              <w:rPr/>
              <w:t xml:space="preserve">Reference in uploaded evidence:</w:t>
            </w:r>
          </w:p>
          <w:p>
            <w:pPr/>
            <w:r>
              <w:rPr/>
              <w:t xml:space="preserve">1.	https://nautiluslive.org/cruise/na167</w:t>
            </w:r>
          </w:p>
          <w:p>
            <w:pPr/>
            <w:r>
              <w:rPr/>
              <w:t xml:space="preserve">The research vessel will be coming to Palau from completing another expedition with the PNMS’ sister sanctuary, the National Marine Sanctuaries of American Samoa.</w:t>
            </w:r>
          </w:p>
          <w:p>
            <w:pPr/>
            <w:r>
              <w:rPr/>
              <w:t xml:space="preserve">2.	Sister sanctuary highlights</w:t>
            </w:r>
          </w:p>
          <w:p>
            <w:pPr/>
            <w:r>
              <w:rPr/>
              <w:t xml:space="preserve">The PMU’s outreach &amp; education program continues to roll-out a series of knowledge products through various media platforms and its website.</w:t>
            </w:r>
          </w:p>
          <w:p>
            <w:pPr/>
            <w:r>
              <w:rPr/>
              <w:t xml:space="preserve">Reference in uploaded evidence:</w:t>
            </w:r>
          </w:p>
          <w:p>
            <w:pPr/>
            <w:r>
              <w:rPr/>
              <w:t xml:space="preserve">3.	https://picrc.org/work/palau-national-marine-sanctuary/</w:t>
            </w:r>
          </w:p>
          <w:p>
            <w:pPr/>
            <w:r>
              <w:rPr/>
              <w:t xml:space="preserve">4.	https://www.facebook.com/share/bb5np6TWNeAm5r3C/?mibextid=kFxxJD</w:t>
            </w:r>
          </w:p>
          <w:p>
            <w:pPr/>
            <w:r>
              <w:rPr/>
              <w:t xml:space="preserve"/>
            </w:r>
          </w:p>
          <w:p>
            <w:pPr/>
            <w:r>
              <w:rPr/>
              <w:t xml:space="preserve">Further to this, PMU staffing is well embedded within PICRC ensuring sustained management efforts beyond the duration of the project.</w:t>
            </w:r>
          </w:p>
        </w:tc>
      </w:tr>
      <w:tr>
        <w:trPr/>
        <w:tc>
          <w:tcPr>
            <w:tcW w:w="4000" w:type="dxa"/>
            <w:gridSpan w:val="1"/>
          </w:tcPr>
          <w:p>
            <w:pPr/>
            <w:r>
              <w:rPr/>
              <w:t xml:space="preserve">Outcome 4.2 Effective Project Management, Monitoring and Evaluation</w:t>
            </w:r>
          </w:p>
          <w:p>
            <w:pPr/>
            <w:r>
              <w:rPr/>
              <w:t xml:space="preserve">INDICATOR 16:</w:t>
            </w:r>
          </w:p>
          <w:p>
            <w:pPr/>
            <w:r>
              <w:rPr/>
              <w:t xml:space="preserve">Project Coordination Unit and Project Management supported by the host organisation(s) with appropriate staffing levels and Monitoring and Evaluation as defined in the Project Document</w:t>
            </w:r>
          </w:p>
          <w:p>
            <w:pPr/>
            <w:r>
              <w:rPr/>
              <w:t xml:space="preserve">INDICATOR 17:</w:t>
            </w:r>
          </w:p>
          <w:p>
            <w:pPr/>
            <w:r>
              <w:rPr/>
              <w:t xml:space="preserve">Stakeholder and Partner Engagement Plan functional within the project</w:t>
            </w:r>
          </w:p>
          <w:p>
            <w:pPr/>
            <w:r>
              <w:rPr/>
              <w:t xml:space="preserve"/>
            </w:r>
          </w:p>
        </w:tc>
        <w:tc>
          <w:tcPr>
            <w:tcW w:w="2000" w:type="dxa"/>
            <w:gridSpan w:val="1"/>
          </w:tcPr>
          <w:p>
            <w:pPr/>
            <w:r>
              <w:rPr/>
              <w:t xml:space="preserve">No current project management base or staffing in support of PNMS institutionalisation</w:t>
            </w:r>
          </w:p>
          <w:p>
            <w:pPr/>
            <w:r>
              <w:rPr/>
              <w:t xml:space="preserve"/>
            </w:r>
          </w:p>
          <w:p>
            <w:pPr/>
            <w:r>
              <w:rPr/>
              <w:t xml:space="preserve">No associated M&amp;E Plan</w:t>
            </w:r>
          </w:p>
          <w:p>
            <w:pPr/>
            <w:r>
              <w:rPr/>
              <w:t xml:space="preserve">No stakeholder engagement strategy or process for supporting PNMS</w:t>
            </w:r>
          </w:p>
          <w:p>
            <w:pPr/>
            <w:r>
              <w:rPr/>
              <w:t xml:space="preserve"/>
            </w:r>
          </w:p>
        </w:tc>
        <w:tc>
          <w:tcPr>
            <w:tcW w:w="2000" w:type="dxa"/>
            <w:gridSpan w:val="1"/>
          </w:tcPr>
          <w:p>
            <w:pPr/>
            <w:r>
              <w:rPr/>
              <w:t xml:space="preserve">Quarterly and annual (PIR) reporting support effective management and capturing improvements in METT targets</w:t>
            </w:r>
          </w:p>
          <w:p>
            <w:pPr/>
            <w:r>
              <w:rPr/>
              <w:t xml:space="preserve">Stakeholder Engagement Plan and Road-Map (with budget) finalised as a document and under implementation</w:t>
            </w:r>
          </w:p>
          <w:p>
            <w:pPr/>
            <w:r>
              <w:rPr/>
              <w:t xml:space="preserve"/>
            </w:r>
          </w:p>
          <w:p>
            <w:pPr/>
            <w:r>
              <w:rPr/>
              <w:t xml:space="preserve">Partnership Platform engaging directly with Stakeholders</w:t>
            </w:r>
          </w:p>
          <w:p>
            <w:pPr/>
            <w:r>
              <w:rPr/>
              <w:t xml:space="preserve"/>
            </w:r>
          </w:p>
        </w:tc>
        <w:tc>
          <w:tcPr>
            <w:tcW w:w="2000" w:type="dxa"/>
            <w:gridSpan w:val="1"/>
          </w:tcPr>
          <w:p>
            <w:pPr/>
            <w:r>
              <w:rPr/>
              <w:t xml:space="preserve">Overall Project Management receives minimum ‘Satisfactory’ at TE</w:t>
            </w:r>
          </w:p>
          <w:p>
            <w:pPr/>
            <w:r>
              <w:rPr/>
              <w:t xml:space="preserve"/>
            </w:r>
          </w:p>
          <w:p>
            <w:pPr/>
            <w:r>
              <w:rPr/>
              <w:t xml:space="preserve">PCU physical structure and staff rolled over into permanent PNMS establishment by end of project</w:t>
            </w:r>
          </w:p>
          <w:p>
            <w:pPr/>
            <w:r>
              <w:rPr/>
              <w:t xml:space="preserve">Stakeholder Engagement receives minimum ‘Satisfactory’ at TE</w:t>
            </w:r>
          </w:p>
          <w:p>
            <w:pPr/>
            <w:r>
              <w:rPr/>
              <w:t xml:space="preserve">Partnership Platform includes linkage to Stakeholders as a long-term formal agreement</w:t>
            </w:r>
          </w:p>
          <w:p>
            <w:pPr/>
            <w:r>
              <w:rPr/>
              <w:t xml:space="preserve"/>
            </w:r>
          </w:p>
        </w:tc>
        <w:tc>
          <w:tcPr>
            <w:tcW w:w="4000" w:type="dxa"/>
            <w:gridSpan w:val="1"/>
          </w:tcPr>
          <w:p>
            <w:pPr/>
            <w:r>
              <w:rPr/>
              <w:t xml:space="preserve">The ideal governance structure and project management support is still being explored.  The PNMS Department under the Palau International Coral Reef Center (PICRC) has been changed into a program while discussions are underway with UNDP to recruit a technical advisor to serve the role of a secretariat.  The marine spatial planning exercise will likely inform the structure of the PNMS management/coordination, including the monitoring and evaluation aspects.</w:t>
            </w:r>
          </w:p>
          <w:p>
            <w:pPr/>
            <w:r>
              <w:rPr/>
              <w:t xml:space="preserve"/>
            </w:r>
          </w:p>
          <w:p>
            <w:pPr/>
            <w:r>
              <w:rPr/>
              <w:t xml:space="preserve">Uploaded for your information are the updated PICRC organizational chart and draft TOR for the technical advisor.</w:t>
            </w:r>
          </w:p>
          <w:p>
            <w:pPr/>
            <w:r>
              <w:rPr/>
              <w:t xml:space="preserve"/>
            </w:r>
          </w:p>
          <w:p>
            <w:pPr/>
            <w:r>
              <w:rPr/>
              <w:t xml:space="preserve">Reference in uploaded evidence:</w:t>
            </w:r>
          </w:p>
          <w:p>
            <w:pPr/>
            <w:r>
              <w:rPr/>
              <w:t xml:space="preserve">1. TOR_TA_PNMS_5.31.23</w:t>
            </w:r>
          </w:p>
        </w:tc>
        <w:tc>
          <w:tcPr>
            <w:tcW w:w="4000" w:type="dxa"/>
            <w:gridSpan w:val="1"/>
          </w:tcPr>
          <w:p>
            <w:pPr/>
            <w:r>
              <w:rPr/>
              <w:t xml:space="preserve">60%.</w:t>
            </w:r>
          </w:p>
          <w:p>
            <w:pPr/>
            <w:r>
              <w:rPr/>
              <w:t xml:space="preserve"/>
            </w:r>
          </w:p>
          <w:p>
            <w:pPr/>
            <w:r>
              <w:rPr/>
              <w:t xml:space="preserve">A mid-term evaluation has just been conducted with the pending results likely to provide a more comprehensive approach to addressing this outcome.  The key issue that has been raised by the project during inception are several of the indicators which will not be accurately tracked/measured due to the ongoing marine spatial planning process and earlier efforts to repeal the PNMS.</w:t>
            </w:r>
          </w:p>
          <w:p>
            <w:pPr/>
            <w:r>
              <w:rPr/>
              <w:t xml:space="preserve"/>
            </w:r>
          </w:p>
          <w:p>
            <w:pPr/>
            <w:r>
              <w:rPr/>
              <w:t xml:space="preserve">Additionally, the potential reduction of the PNMS has delayed the development of the PNMS management strategy and negatively impacted the level of stakeholder engagements appropriate to effectively implement the project.</w:t>
            </w:r>
          </w:p>
          <w:p>
            <w:pPr/>
            <w:r>
              <w:rPr/>
              <w:t xml:space="preserve"/>
            </w:r>
          </w:p>
          <w:p>
            <w:pPr/>
            <w:r>
              <w:rPr/>
              <w:t xml:space="preserve">The M&amp;E component of the project has been a challenge to implement given the earlier push to repeal the PNMS and eventual legislation to conduct a marine spatial planning exercise to determine the outcome of the PNMS.</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pStyle w:val="Heading2"/>
      </w:pPr>
      <w:bookmarkStart w:id="4" w:name="_Toc4"/>
      <w:r>
        <w:t>Action plan</w:t>
      </w:r>
      <w:bookmarkEnd w:id="4"/>
    </w:p>
    <w:tbl>
      <w:tblGrid>
        <w:gridCol w:w="3000" w:type="dxa"/>
        <w:gridCol w:w="5000" w:type="dxa"/>
        <w:gridCol w:w="5000" w:type="dxa"/>
        <w:gridCol w:w="3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3000" w:type="dxa"/>
            <w:gridSpan w:val="1"/>
          </w:tcPr>
          <w:p>
            <w:pPr/>
            <w:r>
              <w:rPr>
                <w:b w:val="1"/>
                <w:bCs w:val="1"/>
              </w:rPr>
              <w:t xml:space="preserve">Off-track objective/outcome</w:t>
            </w:r>
          </w:p>
        </w:tc>
        <w:tc>
          <w:tcPr>
            <w:tcW w:w="5000" w:type="dxa"/>
            <w:gridSpan w:val="1"/>
          </w:tcPr>
          <w:p>
            <w:pPr/>
            <w:r>
              <w:rPr>
                <w:b w:val="1"/>
                <w:bCs w:val="1"/>
              </w:rPr>
              <w:t xml:space="preserve">Action(s) to be taken</w:t>
            </w:r>
          </w:p>
        </w:tc>
        <w:tc>
          <w:tcPr>
            <w:tcW w:w="5000" w:type="dxa"/>
            <w:gridSpan w:val="1"/>
          </w:tcPr>
          <w:p>
            <w:pPr/>
            <w:r>
              <w:rPr>
                <w:b w:val="1"/>
                <w:bCs w:val="1"/>
              </w:rPr>
              <w:t xml:space="preserve">Responsible party/ies</w:t>
            </w:r>
          </w:p>
        </w:tc>
        <w:tc>
          <w:tcPr>
            <w:tcW w:w="3000" w:type="dxa"/>
            <w:gridSpan w:val="1"/>
          </w:tcPr>
          <w:p>
            <w:pPr/>
            <w:r>
              <w:rPr>
                <w:b w:val="1"/>
                <w:bCs w:val="1"/>
              </w:rPr>
              <w:t xml:space="preserve">Due Date</w:t>
            </w:r>
          </w:p>
        </w:tc>
      </w:tr>
      <w:tr>
        <w:trPr/>
        <w:tc>
          <w:tcPr>
            <w:tcW w:w="3000" w:type="dxa"/>
            <w:gridSpan w:val="1"/>
          </w:tcPr>
          <w:p>
            <w:pPr/>
            <w:r>
              <w:rPr/>
              <w:t xml:space="preserve">Objective</w:t>
            </w:r>
          </w:p>
        </w:tc>
        <w:tc>
          <w:tcPr>
            <w:tcW w:w="5000" w:type="dxa"/>
            <w:gridSpan w:val="1"/>
          </w:tcPr>
          <w:p>
            <w:pPr/>
            <w:r>
              <w:rPr/>
              <w:t xml:space="preserve">Results of the socio-economic survey are expected to be available in November 2024. These will help inform project activities/outreach in 2025, tailored to specific needs of beneficiaries regarding benefits provided by the PNMS, including perceived benefits, noting that benefits attributed to the PNMS are not clearly defined.</w:t>
            </w:r>
          </w:p>
        </w:tc>
        <w:tc>
          <w:tcPr>
            <w:tcW w:w="5000" w:type="dxa"/>
            <w:gridSpan w:val="1"/>
          </w:tcPr>
          <w:p>
            <w:pPr/>
            <w:r>
              <w:rPr/>
              <w:t xml:space="preserve">PICRC</w:t>
            </w:r>
          </w:p>
        </w:tc>
        <w:tc>
          <w:tcPr>
            <w:tcW w:w="3000" w:type="dxa"/>
            <w:gridSpan w:val="1"/>
          </w:tcPr>
          <w:p>
            <w:pPr/>
            <w:r>
              <w:rPr/>
              <w:t xml:space="preserve">Nov 30, 2024</w:t>
            </w:r>
          </w:p>
        </w:tc>
      </w:tr>
      <w:tr>
        <w:trPr/>
        <w:tc>
          <w:tcPr>
            <w:tcW w:w="3000" w:type="dxa"/>
            <w:gridSpan w:val="1"/>
          </w:tcPr>
          <w:p>
            <w:pPr/>
            <w:r>
              <w:rPr/>
              <w:t xml:space="preserve">Outcome 3</w:t>
            </w:r>
          </w:p>
        </w:tc>
        <w:tc>
          <w:tcPr>
            <w:tcW w:w="5000" w:type="dxa"/>
            <w:gridSpan w:val="1"/>
          </w:tcPr>
          <w:p>
            <w:pPr/>
            <w:r>
              <w:rPr/>
              <w:t xml:space="preserve">The long-term financial sustainability of the PNMS is highly dependent on the results of the MSP process (due September 2024). The decisions of the leadership will determine how project management can continue efforts to explore financial sustainability. A draft financial sustainability pathway has been developed however it has not been finalised due to uncertainties around the future of the PNMS.</w:t>
            </w:r>
          </w:p>
        </w:tc>
        <w:tc>
          <w:tcPr>
            <w:tcW w:w="5000" w:type="dxa"/>
            <w:gridSpan w:val="1"/>
          </w:tcPr>
          <w:p>
            <w:pPr/>
            <w:r>
              <w:rPr/>
              <w:t xml:space="preserve">PICRC</w:t>
            </w:r>
          </w:p>
        </w:tc>
        <w:tc>
          <w:tcPr>
            <w:tcW w:w="3000" w:type="dxa"/>
            <w:gridSpan w:val="1"/>
          </w:tcPr>
          <w:p>
            <w:pPr/>
            <w:r>
              <w:rPr/>
              <w:t xml:space="preserve">Oct 31, 2024</w:t>
            </w:r>
          </w:p>
        </w:tc>
      </w:tr>
    </w:tbl>
    <w:p>
      <w:pPr>
        <w:sectPr>
          <w:pgSz w:orient="landscape" w:w="16837.79527559055" w:h="11905.511811023622"/>
          <w:pgMar w:top="500" w:right="500" w:bottom="500" w:left="500" w:header="720" w:footer="720" w:gutter="0"/>
          <w:cols w:num="1" w:space="720"/>
        </w:sectPr>
      </w:pPr>
    </w:p>
    <w:p>
      <w:pPr>
        <w:pStyle w:val="Heading1"/>
      </w:pPr>
      <w:bookmarkStart w:id="5" w:name="_Toc5"/>
      <w:r>
        <w:t>Implementation Progress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67.37%</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67.37%</w:t>
            </w:r>
          </w:p>
        </w:tc>
      </w:tr>
      <w:tr>
        <w:trPr/>
        <w:tc>
          <w:tcPr>
            <w:tcW w:w="5000" w:type="dxa"/>
            <w:gridSpan w:val="1"/>
          </w:tcPr>
          <w:p>
            <w:pPr/>
            <w:r>
              <w:rPr/>
              <w:t xml:space="preserve">Cumulative disbursement as of Jul 31, 2024:</w:t>
            </w:r>
          </w:p>
        </w:tc>
        <w:tc>
          <w:tcPr>
            <w:tcW w:w="5000" w:type="dxa"/>
            <w:vAlign w:val="center"/>
            <w:gridSpan w:val="1"/>
          </w:tcPr>
          <w:p>
            <w:pPr>
              <w:jc w:val="right"/>
            </w:pPr>
            <w:r>
              <w:rPr/>
              <w:t xml:space="preserve">1,230,558</w:t>
            </w:r>
          </w:p>
        </w:tc>
      </w:tr>
    </w:tbl>
    <w:p>
      <w:pPr>
        <w:pStyle w:val="Heading2"/>
      </w:pPr>
      <w:bookmarkStart w:id="6" w:name="_Toc6"/>
      <w:r>
        <w:t>Key Financing Amounts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GEF Grant Amount</w:t>
            </w:r>
          </w:p>
        </w:tc>
        <w:tc>
          <w:tcPr>
            <w:tcW w:w="5000" w:type="dxa"/>
            <w:vAlign w:val="center"/>
            <w:gridSpan w:val="1"/>
          </w:tcPr>
          <w:p>
            <w:pPr>
              <w:jc w:val="right"/>
            </w:pPr>
            <w:r>
              <w:rPr/>
              <w:t xml:space="preserve">1,826,484</w:t>
            </w:r>
          </w:p>
        </w:tc>
      </w:tr>
      <w:tr>
        <w:trPr/>
        <w:tc>
          <w:tcPr>
            <w:tcW w:w="5000" w:type="dxa"/>
            <w:gridSpan w:val="1"/>
          </w:tcPr>
          <w:p>
            <w:pPr/>
            <w:r>
              <w:rPr/>
              <w:t xml:space="preserve">Co-financing</w:t>
            </w:r>
          </w:p>
        </w:tc>
        <w:tc>
          <w:tcPr>
            <w:tcW w:w="5000" w:type="dxa"/>
            <w:vAlign w:val="center"/>
            <w:gridSpan w:val="1"/>
          </w:tcPr>
          <w:p>
            <w:pPr>
              <w:jc w:val="right"/>
            </w:pPr>
            <w:r>
              <w:rPr/>
              <w:t xml:space="preserve">17,250,000</w:t>
            </w:r>
          </w:p>
        </w:tc>
      </w:tr>
    </w:tbl>
    <w:p>
      <w:pPr>
        <w:pStyle w:val="Heading2"/>
      </w:pPr>
      <w:bookmarkStart w:id="7" w:name="_Toc7"/>
      <w:r>
        <w:t>Key Project Dates</w:t>
      </w:r>
      <w:bookmarkEnd w:id="7"/>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48 months</w:t>
            </w:r>
          </w:p>
        </w:tc>
      </w:tr>
      <w:tr>
        <w:trPr/>
        <w:tc>
          <w:tcPr>
            <w:tcW w:w="5000" w:type="dxa"/>
            <w:gridSpan w:val="1"/>
          </w:tcPr>
          <w:p>
            <w:pPr/>
            <w:r>
              <w:rPr/>
              <w:t xml:space="preserve">PIF Approval Date</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CEO Endorsement Date</w:t>
            </w:r>
          </w:p>
        </w:tc>
        <w:tc>
          <w:tcPr>
            <w:tcW w:w="5000" w:type="dxa"/>
            <w:vAlign w:val="center"/>
            <w:gridSpan w:val="1"/>
          </w:tcPr>
          <w:p>
            <w:pPr>
              <w:jc w:val="right"/>
            </w:pPr>
            <w:r>
              <w:rPr/>
              <w:t xml:space="preserve">Mar 18, 2021</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Jun 10, 2021</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Jun 10, 2021</w:t>
            </w:r>
          </w:p>
        </w:tc>
      </w:tr>
      <w:tr>
        <w:trPr/>
        <w:tc>
          <w:tcPr>
            <w:tcW w:w="5000" w:type="dxa"/>
            <w:gridSpan w:val="1"/>
          </w:tcPr>
          <w:p>
            <w:pPr/>
            <w:r>
              <w:rPr/>
              <w:t xml:space="preserve">First Disbursement Date</w:t>
            </w:r>
          </w:p>
        </w:tc>
        <w:tc>
          <w:tcPr>
            <w:tcW w:w="5000" w:type="dxa"/>
            <w:vAlign w:val="center"/>
            <w:gridSpan w:val="1"/>
          </w:tcPr>
          <w:p>
            <w:pPr>
              <w:jc w:val="right"/>
            </w:pPr>
            <w:r>
              <w:rPr/>
              <w:t xml:space="preserve">Aug 26, 2021</w:t>
            </w:r>
          </w:p>
        </w:tc>
      </w:tr>
      <w:tr>
        <w:trPr/>
        <w:tc>
          <w:tcPr>
            <w:tcW w:w="5000" w:type="dxa"/>
            <w:gridSpan w:val="1"/>
          </w:tcPr>
          <w:p>
            <w:pPr/>
            <w:r>
              <w:rPr/>
              <w:t xml:space="preserve">Expected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Actual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Mar 10, 2025</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Jun 10, 2025</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2023 to 1 July 2024)</w:t>
            </w:r>
          </w:p>
        </w:tc>
      </w:tr>
      <w:tr>
        <w:trPr/>
        <w:tc>
          <w:tcPr>
            <w:tcW w:w="10000" w:type="dxa"/>
            <w:gridSpan w:val="1"/>
          </w:tcPr>
          <w:p>
            <w:pPr/>
            <w:r>
              <w:rPr/>
              <w:t xml:space="preserve">2024-01-29</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As indicated in the 2023 PIR and throughout this report, the marine spatial planning process continues to be the project’s main challenge.  Results of this process are to be formally submitted to the national congress and the president by no later than September 30, 2024 with the likely result of a reduced Sanctuary from 80% of Palau’s EEZ to 50% in addition to a recommendation to construct a domestic fishing port in the state of Ngatpang.</w:t>
            </w:r>
          </w:p>
          <w:p>
            <w:pPr/>
            <w:r>
              <w:rPr/>
              <w:t xml:space="preserve"/>
            </w:r>
          </w:p>
          <w:p>
            <w:pPr/>
            <w:r>
              <w:rPr/>
              <w:t xml:space="preserve">Another challenge to the project is the upcoming national election in November 2024.</w:t>
            </w:r>
          </w:p>
          <w:p>
            <w:pPr/>
            <w:r>
              <w:rPr/>
              <w:t xml:space="preserve"/>
            </w:r>
          </w:p>
          <w:p>
            <w:pPr/>
            <w:r>
              <w:rPr/>
              <w:t xml:space="preserve">These efforts have delayed some key project outcomes to include the development and completion of the PNMS strategic management plan, sustainable financing, effective stakeholder engagements and the M&amp;E targets.</w:t>
            </w:r>
          </w:p>
          <w:p>
            <w:pPr/>
            <w:r>
              <w:rPr/>
              <w:t xml:space="preserve"/>
            </w:r>
          </w:p>
          <w:p>
            <w:pPr/>
            <w:r>
              <w:rPr/>
              <w:t xml:space="preserve">It is also important to note that the ongoing issue with clearing the ASL and timely disbursement of funds has also delayed implementation of key activities with timelines that were set in the AWP already exceeded.  These delays raise further concerns regarding the development of the project’s 2025 AWP and the PMU appreciates guidance from UNDP moving forward.</w:t>
            </w:r>
          </w:p>
          <w:p>
            <w:pPr/>
            <w:r>
              <w:rPr/>
              <w:t xml:space="preserve"/>
            </w:r>
          </w:p>
          <w:p>
            <w:pPr/>
            <w:r>
              <w:rPr/>
              <w:t xml:space="preserve">As stated in previous sections, the project is currently experiencing significant delays in the disbursement of funds which limits the PMU’s ability to effectively implement activities.  An expedited clearance of the ASL and advancement of funds would be an important step towards ensuring that further issues in the timing and coordination of project activities can be resolved within this final full year of the project and while MAFE and MOJ are still fully supported by the project to advance any pertinent project outcomes needing their support and collaboration.</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The CO has worked closely with the PMU to obtain requested documentation and take necessary actions to receive full ASL. For example, the movements of funds between budget lines (within threshold) to allow sufficient budget for 2024 and 2025, revisions to the procurement plan to align with the AWP and providing justification for new budget lines. The CO and PMU have had working sessions (ie clinics) to address some of these issues. Partial ASL has been received ($260k) and the project is waiting to receive full ASL. The PMU has provided assurance that the project will be able to implement the remaining activities (2024 and 2025) within total project budget.</w:t>
            </w:r>
          </w:p>
          <w:p>
            <w:pPr/>
            <w:r>
              <w:rPr/>
              <w:t xml:space="preserve"/>
            </w:r>
          </w:p>
          <w:p>
            <w:pPr/>
            <w:r>
              <w:rPr/>
              <w:t xml:space="preserve">However, some of the project deliverables (outputs), in line with the stated indicators, will not be achievable based on issues which are beyond the influence of the project. For example, the ongoing marine spatial planning process which will recommend the structure/size of the PNMS at the end of September 2024, and the regional negotiations that determine the fishing days allocation and revenue to member countries and the conservations measures. This will affect attainment of outcome indicator 6, 11, 12, 13. The inception report presented the issues with some of the indicators being beyond project scope – indicators were not agreed during inception workshop and no follow-up session was held, so original indicators were used.</w:t>
            </w:r>
          </w:p>
          <w:p>
            <w:pPr/>
            <w:r>
              <w:rPr/>
              <w:t xml:space="preserve"/>
            </w:r>
          </w:p>
          <w:p>
            <w:pPr/>
            <w:r>
              <w:rPr/>
              <w:t xml:space="preserve">While outside of the PIR reporting period, in July 2024 the CO Programme Officer visited Palau and met with PMU and other project stakeholders to better understand the project including implementation issues. This was helpful as the CO Programme Officer is new to the project and still getting up to speed.</w:t>
            </w:r>
          </w:p>
          <w:p>
            <w:pPr/>
            <w:r>
              <w:rPr/>
              <w:t xml:space="preserve"/>
            </w:r>
          </w:p>
          <w:p>
            <w:pPr/>
            <w:r>
              <w:rPr/>
              <w:t xml:space="preserve">The CO has set up weekly management meetings with the PMU to ensure regular discussion of key challenges, risks and opportunities for the project.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include specific measures to manage the project's implementation performance.</w:t>
            </w:r>
          </w:p>
        </w:tc>
      </w:tr>
      <w:tr>
        <w:trPr/>
        <w:tc>
          <w:tcPr>
            <w:tcW w:w="10000" w:type="dxa"/>
            <w:gridSpan w:val="1"/>
          </w:tcPr>
          <w:p>
            <w:pPr/>
            <w:r>
              <w:rPr/>
              <w:t xml:space="preserve">The success of this project is highly dependent on the results of the National Marine Spatial Planning process. The RTA suggests that the project used the opportunity of the MTR and the results of the MSP to reflect on potential adaptive management and /or revisions of the results frameworks. These should be reflected in the management response to the MTR and discussed with the RTA.</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Project Governance</w:t>
      </w:r>
      <w:bookmarkEnd w:id="8"/>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enter the dates of Project Board meetings during the reporting period (1 July 2023 to 30 June 2024)</w:t>
            </w:r>
          </w:p>
        </w:tc>
      </w:tr>
      <w:tr>
        <w:trPr/>
        <w:tc>
          <w:tcPr>
            <w:tcW w:w="10000" w:type="dxa"/>
            <w:gridSpan w:val="1"/>
          </w:tcPr>
          <w:p>
            <w:pPr/>
            <w:r>
              <w:rPr/>
              <w:t xml:space="preserve">2024-01-29</w:t>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Ratings and Overall Assessments</w:t>
      </w:r>
      <w:bookmarkEnd w:id="9"/>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2024 Development Objective Progress Rating</w:t>
            </w:r>
          </w:p>
        </w:tc>
        <w:tc>
          <w:tcPr>
            <w:tcW w:w="5000" w:type="dxa"/>
            <w:gridSpan w:val="1"/>
          </w:tcPr>
          <w:p>
            <w:pPr/>
            <w:r>
              <w:rPr>
                <w:b w:val="1"/>
                <w:bCs w:val="1"/>
              </w:rPr>
              <w:t xml:space="preserve">2024 Implementation Progress Rating</w:t>
            </w:r>
          </w:p>
        </w:tc>
      </w:tr>
      <w:tr>
        <w:trPr/>
        <w:tc>
          <w:tcPr>
            <w:tcW w:w="5000" w:type="dxa"/>
            <w:gridSpan w:val="1"/>
          </w:tcPr>
          <w:p>
            <w:pPr/>
            <w:r>
              <w:rPr>
                <w:b w:val="1"/>
                <w:bCs w:val="1"/>
              </w:rPr>
              <w:t xml:space="preserve">UNDP BPPS Technical Advisor</w:t>
            </w:r>
          </w:p>
        </w:tc>
        <w:tc>
          <w:tcPr>
            <w:tcW w:w="5000" w:type="dxa"/>
            <w:gridSpan w:val="1"/>
          </w:tcPr>
          <w:p>
            <w:pPr/>
            <w:r>
              <w:rPr/>
              <w:t xml:space="preserve">Moderately Unsatisfactory</w:t>
            </w:r>
          </w:p>
        </w:tc>
        <w:tc>
          <w:tcPr>
            <w:tcW w:w="5000" w:type="dxa"/>
            <w:gridSpan w:val="1"/>
          </w:tcPr>
          <w:p>
            <w:pPr/>
            <w:r>
              <w:rPr/>
              <w:t xml:space="preserve">Moderately Unsatisfactory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Unsatisfactory</w:t>
            </w:r>
          </w:p>
        </w:tc>
        <w:tc>
          <w:tcPr>
            <w:tcW w:w="5000" w:type="dxa"/>
            <w:gridSpan w:val="1"/>
          </w:tcPr>
          <w:p>
            <w:pPr/>
            <w:r>
              <w:rPr/>
              <w:t xml:space="preserve">Moderately Unsatisfactory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2024 Overall Assessment</w:t>
            </w:r>
          </w:p>
        </w:tc>
      </w:tr>
      <w:tr>
        <w:trPr/>
        <w:tc>
          <w:tcPr>
            <w:tcW w:w="5000" w:type="dxa"/>
            <w:gridSpan w:val="1"/>
          </w:tcPr>
          <w:p>
            <w:pPr/>
            <w:r>
              <w:rPr>
                <w:b w:val="1"/>
                <w:bCs w:val="1"/>
              </w:rPr>
              <w:t xml:space="preserve">UNDP BPPS Technical Advisor</w:t>
            </w:r>
          </w:p>
        </w:tc>
        <w:tc>
          <w:tcPr>
            <w:tcW w:w="10000" w:type="dxa"/>
            <w:gridSpan w:val="1"/>
          </w:tcPr>
          <w:p>
            <w:pPr/>
            <w:r>
              <w:rPr/>
              <w:t xml:space="preserve">This is the third PIR of the Medium Sized Project “Strengthening the Palau National Marine Sanctuary for the Conservation and Management of Global Marine Biodiversity and Sustainable Fisheries”. This project aims to protect renewable and sustainable living marine resources which provide direct value and revenue to Palau while representing important global biodiversity by strengthening and implementing a Strategic Plan for sustainable management of the Palau National Marine Sanctuary (PNMS) and Domestic Fishing Zone (DFZ) signed on 2015. This initiative builds on Palau’s conservation efforts to contribute to the global Marine Protected Area (MPA) estate and providing a safe migratory route for important fish stocks and other species like cetaceans, turtles, sharks, and seabirds. The existing law aims to have 80% of Palau’s Exclusive Economic Zone (EEZ) designated as the PNMS, where fishing is prohibited, and the remaining 20% allocated to the DFZ, where fishing permits are issued to domestic and foreign vessels.</w:t>
            </w:r>
          </w:p>
          <w:p>
            <w:pPr/>
            <w:r>
              <w:rPr/>
              <w:t xml:space="preserve"/>
            </w:r>
          </w:p>
          <w:p>
            <w:pPr/>
            <w:r>
              <w:rPr/>
              <w:t xml:space="preserve">The project is designed around 4 components: (1) Institutional and Governance Realignment for Effective Monitoring and Adaptive Management within the PNMS and adjacent Domestic Fishing Zone, (2) Enhanced Management through improved Monitoring, Control and Surveillance of Activities within the Established PNMS and DFZ  Boundaries, (3) Ecosystem Assessment and Financial Planning for a Long-term Sustainability Strategy for the PNMS, and (4) Improvement in Knowledge Management, communication and awareness outreach coupled with effective Project Monitoring and Evaluation. The PNMS Project is implemented through the CO Support to National Implementation Modality through the Palau International Coral Reef Center (PICRC). This project has started in June 2021 and is expected to close in June 2025. Though not compulsory for MSPs, the project is currently undergoing a Mid-Term Review as budgeted in the ProDoc.</w:t>
            </w:r>
          </w:p>
          <w:p>
            <w:pPr/>
            <w:r>
              <w:rPr/>
              <w:t xml:space="preserve"/>
            </w:r>
          </w:p>
          <w:p>
            <w:pPr/>
            <w:r>
              <w:rPr/>
              <w:t xml:space="preserve">As reported during the previous PIR, the project has suffered from external factors that have seriously delayed progress. While COVID has played a negative impact, political considerations to repeal the PNMS legal framework was also a hampering the steady progress towards the project indicators. In fact, since 2021, and “to better balance the needs of the people, the environment, and constitutional requirements”, the Government of the Republic of Palau (GRoP) has been seeking sought to amend the PNMS Law and changes were proposed to allow the Ministry of Agriculture, Fisheries, and Environment (MAFE) to consider expanding the DFZ to an area of no more than 70% of the EEZ, and thus reducing the PNMS to no less than 30% of the total EEZ. The potential increase of the DFZ beyond its current 20% allocation will be guided by an ongoing marine spatial planning (MSP) process.</w:t>
            </w:r>
          </w:p>
          <w:p>
            <w:pPr/>
            <w:r>
              <w:rPr/>
              <w:t xml:space="preserve"/>
            </w:r>
          </w:p>
          <w:p>
            <w:pPr/>
            <w:r>
              <w:rPr/>
              <w:t xml:space="preserve">DO RATING: Moderately Unsatisfactory (MU)</w:t>
            </w:r>
          </w:p>
          <w:p>
            <w:pPr/>
            <w:r>
              <w:rPr/>
              <w:t xml:space="preserve">The DO progress is assessed as Moderately Unsatisfactory (MU) in line the CO assessment and last year’s assessment. The rating is based on the below observations made for both Objective and Outcome indicators respectively:</w:t>
            </w:r>
          </w:p>
          <w:p>
            <w:pPr/>
            <w:r>
              <w:rPr/>
              <w:t xml:space="preserve"/>
            </w:r>
          </w:p>
          <w:p>
            <w:pPr/>
            <w:r>
              <w:rPr/>
              <w:t xml:space="preserve">OBJECTIVE INDICATORS</w:t>
            </w:r>
          </w:p>
          <w:p>
            <w:pPr/>
            <w:r>
              <w:rPr/>
              <w:t xml:space="preserve">Progress towards the objective is tracked by 5 indicators. Progress has been very limited and very littles progress has been reported since last PIR. Objective indicators progress towards EoP has been rated offtrack by the project manager as only indicator 4 (Core Indicator: 5 on Area of marine habitat under improved practices to benefit biodiversity) has been reported as achieved since last year.</w:t>
            </w:r>
          </w:p>
          <w:p>
            <w:pPr/>
            <w:r>
              <w:rPr/>
              <w:t xml:space="preserve"/>
            </w:r>
          </w:p>
          <w:p>
            <w:pPr/>
            <w:r>
              <w:rPr/>
              <w:t xml:space="preserve">On indicators 1 and 2 tracking direct and indirect beneficiaries, the project has reported 65% progress towards the EoP. However, no evidence has been uploaded to support the progress. It is therefore not possible for the RTA to confirm this progress. Indicator 3 (Core Indicator 2: Marine protected areas created or under improved management for conservation and sustainable use), and for the political decisions discussed above, did not show any progress as the PNMS area is being reconsidered. Nevertheless, Finally, and on Indicator 5 (Core Indicator 8: Globally over-exploited marine fisheries moved to more sustainable levels), the project has reported that the size of the project does not allow the PMU to effectively engage at a level that could influence this indicator and has concluded that it is not feasible for this project to directly influence this indicator. The RTA takes this opportunity to remind that any change to the core indicators should be discussed with the RTA. In case of major amendements, this should also be escalated to the GEF for guidance.</w:t>
            </w:r>
          </w:p>
          <w:p>
            <w:pPr/>
            <w:r>
              <w:rPr/>
              <w:t xml:space="preserve"/>
            </w:r>
          </w:p>
          <w:p>
            <w:pPr/>
            <w:r>
              <w:rPr/>
              <w:t xml:space="preserve">OUTCOME INDICATORS</w:t>
            </w:r>
          </w:p>
          <w:p>
            <w:pPr/>
            <w:r>
              <w:rPr/>
              <w:t xml:space="preserve">Component 1:  INSTITUTIONAL AND GOVERNANCE REALIGNMENT FOR EFFECTIVE MONITORING AND ADAPTIVE MANAGEMENT WITHIN THE PNMS AND ADJACENT DOMESTIC FISHING ZONE. This consists in two outcomes to be tracked through two indicators each.</w:t>
            </w:r>
          </w:p>
          <w:p>
            <w:pPr/>
            <w:r>
              <w:rPr/>
              <w:t xml:space="preserve">OUTCOME 1.1. PNMS Institutional, Management and Regulatory Framework and mechanisms strengthened and under Implementation through enhanced national, regional and global support. The ongoing marine spatial planning (MSP) efforts are anticipated to inform any polices or institutional changes. Work under this outcome could clearly not proceed and is offtrack as there have been no major achievements in term of institutional, management and regulatory frameworks.</w:t>
            </w:r>
          </w:p>
          <w:p>
            <w:pPr/>
            <w:r>
              <w:rPr/>
              <w:t xml:space="preserve"/>
            </w:r>
          </w:p>
          <w:p>
            <w:pPr/>
            <w:r>
              <w:rPr/>
              <w:t xml:space="preserve">OUTCOME 1.2. Improved and effective management and governance of PNMS/DFZ through strengthened capacity, skills and knowledge  (including at the State, National, regional level as well as NGOs). The EoP indicators under this Outcome are the following: (1) At least two Partnership Agreements in place with associated training and capacity building components; (2) 24 staff (10 Female) trained and 4 international mentors identified and directly involved in training and long-term support to PNMS and staff; and  (3) a Capacity building programme under full implementation in country on PNMS management &amp; monitoring. The project manager has reported that draft capacity building and training agreements have been developed and that the project has been able to support some capacity building and training activities in an opportunistic sense. A draft “Competency Modules &amp; Partnership Agreements” template has been uploaded as justification. The project manager concluded that the EoP targets have been fully achieved under this Outcome. The RTA has a different opinion, and believes this Outcome is unlikely to reach its EoP targets as no progress has been reported for some indicators and because no solid evidence has been provided where progress has been reported.</w:t>
            </w:r>
          </w:p>
          <w:p>
            <w:pPr/>
            <w:r>
              <w:rPr/>
              <w:t xml:space="preserve"/>
            </w:r>
          </w:p>
          <w:p>
            <w:pPr/>
            <w:r>
              <w:rPr/>
              <w:t xml:space="preserve">Component 2. Enhanced Management through improved Monitoring, Control and Surveillance of Activities within the Established PNMS and DFZ Boundaries. This component aims at achieving one single outcome tracked through two indicators.</w:t>
            </w:r>
          </w:p>
          <w:p>
            <w:pPr/>
            <w:r>
              <w:rPr/>
              <w:t xml:space="preserve">OUTCOME 2.1. All regulations and laws pertaining to PNMS and DFZ enforced effectively and sustainably in further close collaboration with WCPFC, FFA and PNA. This outcome is measured by INDICATOR 10 (Extent at which Palau’s Operations Centre for Monitoring, Control and Surveillance is manned, equipped and coordinating active MCS patrols, interdiction and prosecution) and INDICATOR 11 (Extent of effective human electronic monitoring, reporting within the DFZ). Under this outcome, and while the project continues to support the Operations Center through a Surveillance and Enforcement Coordinator as well as a Planning and Development Officer, the project has failed to provide updated evidence and properly report on progress under indicator 11. Given this absence of evidence, the RTA cannot verify the progress, and rates the outcome 2.1 offtrack. However, it has been rate as ontrack by the project team and no action plan has been presented.</w:t>
            </w:r>
          </w:p>
          <w:p>
            <w:pPr/>
            <w:r>
              <w:rPr/>
              <w:t xml:space="preserve"/>
            </w:r>
          </w:p>
          <w:p>
            <w:pPr/>
            <w:r>
              <w:rPr/>
              <w:t xml:space="preserve">Component 3: Ecosystem Assessment and Financial Planning for a Long-term Sustainability Strategy for the PNMS, consists of one Outcome and is being tracked through two indicators.</w:t>
            </w:r>
          </w:p>
          <w:p>
            <w:pPr/>
            <w:r>
              <w:rPr/>
              <w:t xml:space="preserve">OUTCOME 3.1. Long-term mechanisms to support financial sustainability and security PNMS and its associated administrative and management arrangements are negotiated and identified.</w:t>
            </w:r>
          </w:p>
          <w:p>
            <w:pPr/>
            <w:r>
              <w:rPr/>
              <w:t xml:space="preserve">Due to the ongoing political process - guided by the MSP – and likely to reduce the coverage of the PNMS, no progress has been reported on INDICATOR 12: Extent of 10 years sustainable funding roadmap for PNMS and DFZ formally adopted integrating ecotourism and livelihoods. For indicator 13: Extent of PNA vessel day scheme and sustainable funding programme established, no progress has been reported by the project either. This outcome is also offtrack. An action plan was presented by the CO and the PMU. This plan candidly recognizes that the long-term financial sustainability of the PNMS is highly dependent on the results of the MSP process (due September 2024). The RTA suggested that further to the results of MSP process and based on the ongoing MTR process, possible revisions might need to be introduced. These should be reflected in the management response to the MTR and discussed with the RTA.</w:t>
            </w:r>
          </w:p>
          <w:p>
            <w:pPr/>
            <w:r>
              <w:rPr/>
              <w:t xml:space="preserve"/>
            </w:r>
          </w:p>
          <w:p>
            <w:pPr/>
            <w:r>
              <w:rPr/>
              <w:t xml:space="preserve">Component 4:  Improvement of Knowledge Management, communication and awareness outreach coupled with effective Project Monitoring and Evaluation consists in two outcomes tracked through four indicators.</w:t>
            </w:r>
          </w:p>
          <w:p>
            <w:pPr/>
            <w:r>
              <w:rPr/>
              <w:t xml:space="preserve">OUTCOME 4.1. Strong stakeholder support for the PNMS  and DFZ and associated benefits and fees at the broad stakeholder level including the state, national, and international community. While some activities have been reported, these do not contribute towards its EoP targets.</w:t>
            </w:r>
          </w:p>
          <w:p>
            <w:pPr/>
            <w:r>
              <w:rPr/>
              <w:t xml:space="preserve"/>
            </w:r>
          </w:p>
          <w:p>
            <w:pPr/>
            <w:r>
              <w:rPr/>
              <w:t xml:space="preserve">OUTCOME 4.2. Effective Project Management, Monitoring and Evaluation. As for the previous outcome, the progress presented is limited and do not contribute towards the targets set for the indicators 16 and 17 designed to track progress of this Outcome. In addition, no evidence has been uploaded for this section and it is hard for the RTA to confirm to ontrack rating made by the project under outcomes 4.1 and 4.2.</w:t>
            </w:r>
          </w:p>
          <w:p>
            <w:pPr/>
            <w:r>
              <w:rPr/>
              <w:t xml:space="preserve"/>
            </w:r>
          </w:p>
          <w:p>
            <w:pPr/>
            <w:r>
              <w:rPr/>
              <w:t xml:space="preserve">EVIDENCE</w:t>
            </w:r>
          </w:p>
          <w:p>
            <w:pPr/>
            <w:r>
              <w:rPr/>
              <w:t xml:space="preserve">The RTA confirms that he has reviewed all the evidence provided. There were only 5 pieces of evidence provided, one of which is not relevant to the reporting period. In addition, the project has also provided 4 weblinks to websites as evidence for progress under outcome 4.1. Unfortunately, these were not relevant to the indicators. Overall, the evidence of this PIR was insufficient to support any substantive progress.</w:t>
            </w:r>
          </w:p>
          <w:p>
            <w:pPr/>
            <w:r>
              <w:rPr/>
              <w:t xml:space="preserve"/>
            </w:r>
          </w:p>
          <w:p>
            <w:pPr/>
            <w:r>
              <w:rPr/>
              <w:t xml:space="preserve">IMPLEMENTATION PROGRESS</w:t>
            </w:r>
          </w:p>
          <w:p>
            <w:pPr/>
            <w:r>
              <w:rPr/>
              <w:t xml:space="preserve">The IP is rated Moderately Unsatisfactory (MU) in alignment with the CO rating.</w:t>
            </w:r>
          </w:p>
          <w:p>
            <w:pPr/>
            <w:r>
              <w:rPr/>
              <w:t xml:space="preserve"/>
            </w:r>
          </w:p>
          <w:p>
            <w:pPr/>
            <w:r>
              <w:rPr/>
              <w:t xml:space="preserve">The cumulative disbursement as of Jun 31, 2024 reached USD 1,229,451 representing 67.31%,  out of a total project budget of USD 1,826,484. Expenditures for this calendar year (January-June 2024, reached USD 252,944 representing a project delivery rate of 32.75% which is considered as a substantial portfolio-level risk.</w:t>
            </w:r>
          </w:p>
          <w:p>
            <w:pPr/>
            <w:r>
              <w:rPr/>
              <w:t xml:space="preserve"/>
            </w:r>
          </w:p>
          <w:p>
            <w:pPr/>
            <w:r>
              <w:rPr/>
              <w:t xml:space="preserve">Among the challenges raised by the project manager for the low Implementation progress are the uncertainty around the PNMS extent, the upcoming elections, and the delays in clearing the Authorized Spending Limits and timely disbursement of funds. While the RTA fully acknowledges the first two challenges, he would like to emphasize that ASL can only be authorized when proper justifications are provided for overspendings, new budget lines, and budget modifications.</w:t>
            </w:r>
          </w:p>
          <w:p>
            <w:pPr/>
            <w:r>
              <w:rPr/>
              <w:t xml:space="preserve"/>
            </w:r>
          </w:p>
          <w:p>
            <w:pPr/>
            <w:r>
              <w:rPr/>
              <w:t xml:space="preserve">On co-financing, out of USD 17,250,000 in commitments at the project design phase, only a total of  USD 8,161,000 (47.31%) have been delivered as of June 2024. This doesn’t reflect the anticipated commitment from the project partners. During the remaining implementation period, the project team is encouraged to explore whether there are any bottlenecks to the materialization of the co-financing.</w:t>
            </w:r>
          </w:p>
          <w:p>
            <w:pPr/>
            <w:r>
              <w:rPr/>
              <w:t xml:space="preserve"/>
            </w:r>
          </w:p>
          <w:p>
            <w:pPr/>
            <w:r>
              <w:rPr/>
              <w:t xml:space="preserve">PROJECT GOVERNANCE</w:t>
            </w:r>
          </w:p>
          <w:p>
            <w:pPr/>
            <w:r>
              <w:rPr/>
              <w:t xml:space="preserve">The project has been meeting on a yearly basis through it needed closer oversight and guidance as recommended during previous PIR. The last Project Steering Committee meeting took place on January 29 and minutes of the meeting were attached as evidence.  The minutes do not mention any governance challenges.</w:t>
            </w:r>
          </w:p>
          <w:p>
            <w:pPr/>
            <w:r>
              <w:rPr/>
              <w:t xml:space="preserve"/>
            </w:r>
          </w:p>
          <w:p>
            <w:pPr/>
            <w:r>
              <w:rPr/>
              <w:t xml:space="preserve">As indicated in the draft MTR, the MSP exercise that could lead to potential reduction in the PNMS extent is being led being by MAFE. PICRC’s role could therefore be somewhat diminished. It is recommended to wait for the outcome of the MSP process (Q3/4 2024) and responding accordingly through a consultative manner.</w:t>
            </w:r>
          </w:p>
          <w:p>
            <w:pPr/>
            <w:r>
              <w:rPr/>
              <w:t xml:space="preserve"/>
            </w:r>
          </w:p>
          <w:p>
            <w:pPr/>
            <w:r>
              <w:rPr/>
              <w:t xml:space="preserve">RISK MANAGEMENT</w:t>
            </w:r>
          </w:p>
          <w:p>
            <w:pPr/>
            <w:r>
              <w:rPr/>
              <w:t xml:space="preserve">The Risk register submitted for the PIR is different from the one uploaded to Quantum. It only includes two risks versus 9 identified in the ProDoc. The RTA and the SES Technical Advisor have provided detailed feedback in section C of the Risk Management part of the PIR.</w:t>
            </w:r>
          </w:p>
          <w:p>
            <w:pPr/>
            <w:r>
              <w:rPr/>
              <w:t xml:space="preserve"/>
            </w:r>
          </w:p>
          <w:p>
            <w:pPr/>
            <w:r>
              <w:rPr/>
              <w:t xml:space="preserve">GENDER</w:t>
            </w:r>
          </w:p>
          <w:p>
            <w:pPr/>
            <w:r>
              <w:rPr/>
              <w:t xml:space="preserve">The Gender Analysis and Gender Mainstreaming Plan guides this project’s gender mainstreaming efforts. However, while the project highlights that gender is well documented in attendance sheets in meetings pertaining to the project and the PNMS, the RTA notes the absence of gender disaggregated data in many indicators of this PIR.</w:t>
            </w:r>
          </w:p>
          <w:p>
            <w:pPr/>
            <w:r>
              <w:rPr/>
              <w:t xml:space="preserve"/>
            </w:r>
          </w:p>
          <w:p>
            <w:pPr/>
            <w:r>
              <w:rPr/>
              <w:t xml:space="preserve">The project justifies that women's empowerment in this project is limited because of the location of the project site, which is primarily a commercial fishing area, has males as the primary resource users (fishermen). While recognizing this reality of the ground, the RTA would like to invite the project team to consider indirect effects. For example, and in many Pacific islands, women play an important role in post-harvesting activities in the fisheries sector (while men tend focus on harvesting). If relevant to the context in Palau, this could be an additional entry point for gender mainstreaming.</w:t>
            </w:r>
          </w:p>
          <w:p>
            <w:pPr/>
            <w:r>
              <w:rPr/>
              <w:t xml:space="preserve"/>
            </w:r>
          </w:p>
          <w:p>
            <w:pPr/>
            <w:r>
              <w:rPr/>
              <w:t xml:space="preserve">KM &amp; COMMUNICATION</w:t>
            </w:r>
          </w:p>
          <w:p>
            <w:pPr/>
            <w:r>
              <w:rPr/>
              <w:t xml:space="preserve">The project has no KM strategy and limited progress has been achieved in terms of communication although Outcome 4 has a strong focus on Knowledge Management, communication and awareness outreach.</w:t>
            </w:r>
          </w:p>
          <w:p>
            <w:pPr/>
            <w:r>
              <w:rPr/>
              <w:t xml:space="preserve"/>
            </w:r>
          </w:p>
          <w:p>
            <w:pPr/>
            <w:r>
              <w:rPr/>
              <w:t xml:space="preserve">RECOMMENDATIONS</w:t>
            </w:r>
          </w:p>
          <w:p>
            <w:pPr/>
            <w:r>
              <w:rPr/>
              <w:t xml:space="preserve">- Given the challenges that the project is facing with regards to the status of the PNMS, it is recommended that the project keeps going with its activities until a final decision is taken on the exact extent of both the PNMS and DFZ (Q3/4 2024). Once the exact extent is known, an Ad Hoc Project Steering Committee should be called to discuss potential changes to the results framework.</w:t>
            </w:r>
          </w:p>
          <w:p>
            <w:pPr/>
            <w:r>
              <w:rPr/>
              <w:t xml:space="preserve">- It is important to consult and determine how to create a project GRM that meets UNDP's requirements within the existing national structure.</w:t>
            </w:r>
          </w:p>
          <w:p>
            <w:pPr/>
            <w:r>
              <w:rPr/>
              <w:t xml:space="preserve">- It is also recommended to give an opportunity to the GEF OFPs of the participating countries to provide comments during the next (last) PIR of the project.</w:t>
            </w:r>
          </w:p>
        </w:tc>
      </w:tr>
      <w:tr>
        <w:trPr/>
        <w:tc>
          <w:tcPr>
            <w:tcW w:w="5000" w:type="dxa"/>
            <w:gridSpan w:val="1"/>
          </w:tcPr>
          <w:p>
            <w:pPr/>
            <w:r>
              <w:rPr>
                <w:b w:val="1"/>
                <w:bCs w:val="1"/>
              </w:rPr>
              <w:t xml:space="preserve">UNDP Country Office Programme Officer</w:t>
            </w:r>
          </w:p>
        </w:tc>
        <w:tc>
          <w:tcPr>
            <w:tcW w:w="10000" w:type="dxa"/>
            <w:gridSpan w:val="1"/>
          </w:tcPr>
          <w:p>
            <w:pPr/>
            <w:r>
              <w:rPr/>
              <w:t xml:space="preserve">UNDP Country Office Programme Officer assessment:</w:t>
            </w:r>
          </w:p>
          <w:p>
            <w:pPr/>
            <w:r>
              <w:rPr/>
              <w:t xml:space="preserve"/>
            </w:r>
          </w:p>
          <w:p>
            <w:pPr/>
            <w:r>
              <w:rPr/>
              <w:t xml:space="preserve">The objective of the project is to strengthen the institutional and governance structure and implement a strategic plan for the sustainable management of the Palau national marine sanctuary and domestic fishing zone and provide a healthy and productive ecosystem for the benefit of all people of Palau.</w:t>
            </w:r>
          </w:p>
          <w:p>
            <w:pPr/>
            <w:r>
              <w:rPr/>
              <w:t xml:space="preserve"/>
            </w:r>
          </w:p>
          <w:p>
            <w:pPr/>
            <w:r>
              <w:rPr/>
              <w:t xml:space="preserve">On 20 July 2022, the President of Palau declared that expansion of the DFZ beyond the 20% would need to be informed by a comprehensive marine spatial planning (MSP) process that is also informed by scientific information from the Oceanic Fisheries Programme of the Secretariat of the Pacific Community (SPC). This report will inform future legislation through its recommendations for amendments to the PNMS Law. Mandates and responsibilities of the government bodies cannot be clearly defined ahead of the MSP exercise. The deadline for the report is September 2024.  The amended proportion of PNMS and DFZ will be subject to the findings of the comprehensive marine spatial planning process and is not known at this time. Repealing the size of the PNMS will impact on the projects ability to meet several of its targets, however it is envisioned this issue will be picked up in the terminal evaluation.</w:t>
            </w:r>
          </w:p>
          <w:p>
            <w:pPr/>
            <w:r>
              <w:rPr/>
              <w:t xml:space="preserve"/>
            </w:r>
          </w:p>
          <w:p>
            <w:pPr/>
            <w:r>
              <w:rPr/>
              <w:t xml:space="preserve">A significant issue in 2024 has been delays to ASL issuance and therefor disbursement of funds to the IP. Due to a range of issues, including legacy accounting issues, inconsistencies between the AWP and other related documents (e.g. procurement plan), and turn-over of UNDP staff, the IP is still waiting for disbursement of funds for 2024. While the IP was able to use a small amount of their own funds (to be reimbursed by UNDP) for staff salaries) the lack of funds means 2024 project activities are delayed.</w:t>
            </w:r>
          </w:p>
          <w:p>
            <w:pPr/>
            <w:r>
              <w:rPr/>
              <w:t xml:space="preserve"/>
            </w:r>
          </w:p>
          <w:p>
            <w:pPr/>
            <w:r>
              <w:rPr/>
              <w:t xml:space="preserve">Regarding co-financing, the up-to-date utilization data related to co-financing partners couldn’t be ascertained. The PMU is supposed to monitor these co-financing (grants), however, the PMU faced challenges in obtaining this information from partners who were largely unresponsive. As such, co-financing evidence has largely not been included in the 2024 PIR and figures reported are the same as last year's PIR.</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As stated in previous sections, the project is currently experiencing significant delays in the disbursement of funds which limits the PMU’s ability to effectively implement activities. An expedited clearance of the ASL and advancement of funds would be an important step towards ensuring that further issues in the timing and coordination of project activities can be resolved within this final full year of the project and while MAFE and MOJ are still fully supported by the project to advance any pertinent project outcomes needing their support and collaboration.</w:t>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10" w:name="_Toc10"/>
      <w:r>
        <w:t>Minor Amendments</w:t>
      </w:r>
      <w:bookmarkEnd w:id="10"/>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check the box for each category for which a minor amendment occurred during this reporting period (1 July 2023- 30 June 2024). </w:t>
      </w:r>
    </w:p>
    <w:p>
      <w:pPr/>
      <w:r>
        <w:rPr/>
        <w:t xml:space="preserve">For each category that is checked off, a text box will appear  Please provide a brief description of the change that occurred in the associated text box. You may attach supporting documentation, as appropriate, via the upload feature at the bottom of this section.</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p>
            <w:pPr/>
            <w:r>
              <w:rPr>
                <w:i w:val="1"/>
                <w:iCs w:val="1"/>
              </w:rPr>
              <w:t xml:space="preserve">(Uploaded files will be kept internal and not submitted to the GEF.)</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1" w:name="_Toc11"/>
      <w:r>
        <w:t>Gender</w:t>
      </w:r>
      <w:bookmarkEnd w:id="11"/>
    </w:p>
    <w:p>
      <w:pPr>
        <w:pStyle w:val="Heading2"/>
      </w:pPr>
      <w:bookmarkStart w:id="12" w:name="_Toc12"/>
      <w:r>
        <w:t>Progress in Advancing Gender Equality and Women's Empowerment</w:t>
      </w:r>
      <w:bookmarkEnd w:id="12"/>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Quantum Gender Marker Rating</w:t>
            </w:r>
          </w:p>
        </w:tc>
      </w:tr>
      <w:tr>
        <w:trPr/>
        <w:tc>
          <w:tcPr>
            <w:tcW w:w="10000" w:type="dxa"/>
          </w:tcPr>
          <w:p>
            <w:pPr/>
            <w:r>
              <w:rPr>
                <w:b w:val="1"/>
                <w:bCs w:val="1"/>
              </w:rPr>
              <w:t xml:space="preserve">GEN1: </w:t>
            </w:r>
            <w:r>
              <w:rPr/>
              <w:t xml:space="preserve">some contribution to gender equality</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No</w:t>
            </w:r>
          </w:p>
        </w:tc>
      </w:tr>
      <w:tr>
        <w:trPr/>
        <w:tc>
          <w:tcPr>
            <w:tcW w:w="10000" w:type="dxa"/>
            <w:gridSpan w:val="1"/>
          </w:tcPr>
          <w:p>
            <w:pPr/>
            <w:r>
              <w:rPr/>
              <w:t xml:space="preserve">Improving the participation and decision-making of women in natural resource governance: No</w:t>
            </w:r>
          </w:p>
        </w:tc>
      </w:tr>
      <w:tr>
        <w:trPr/>
        <w:tc>
          <w:tcPr>
            <w:tcW w:w="10000" w:type="dxa"/>
            <w:gridSpan w:val="1"/>
          </w:tcPr>
          <w:p>
            <w:pPr/>
            <w:r>
              <w:rPr/>
              <w:t xml:space="preserve">Targeting socio-economic benefits and services for women: No</w:t>
            </w:r>
          </w:p>
        </w:tc>
      </w:tr>
      <w:tr>
        <w:trPr/>
        <w:tc>
          <w:tcPr>
            <w:tcW w:w="10000" w:type="dxa"/>
            <w:gridSpan w:val="1"/>
          </w:tcPr>
          <w:p>
            <w:pPr/>
            <w:r>
              <w:rPr/>
              <w:t xml:space="preserve">Not applicable: 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The PMU's ability to influence gender equality and women's empowerment is limited because of the location of the project site (off-shore) which is primarily a commercial fishing area. The primary resource users are (male) fishermen. Beyond the DFZ, there are regular meetings with agencies and partners where gender representation is documented in attendance sheets and meeting minutes.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The Vice President/Minister of Justice is a woman who serves as chair of the PSC. The Planning &amp; Development Officer, the Director of the Bureau of Fisheries, the Director of Research and the Director of Administration at PICRC are some of the women who play important roles in project support.</w:t>
            </w:r>
          </w:p>
          <w:p>
            <w:pPr/>
            <w:r>
              <w:rPr/>
              <w:t xml:space="preserve"/>
            </w:r>
          </w:p>
          <w:p>
            <w:pPr/>
            <w:r>
              <w:rPr/>
              <w:t xml:space="preserve">Women are well represented in the PNMS Advisory Committee with a woman serving as co-chair.  Gender is well documented in attendance sheets in meetings pertaining to the project and the PNMS and women are proactively engaged at levels in project implementation and more importantly strong voice and a role in decision‐making processes from the community to national government.</w:t>
            </w:r>
          </w:p>
          <w:p>
            <w:pPr/>
            <w:r>
              <w:rPr/>
              <w:t xml:space="preserve"/>
            </w:r>
          </w:p>
          <w:p>
            <w:pPr/>
            <w:r>
              <w:rPr/>
              <w:t xml:space="preserve">Project interventions under the project would provide more opportunities for women in STEM, and marine production system such fisheries and ecotourism pertaining to the benefit steaming from a strengthened legal and institutional framework for the Palau National Marine Sanctuary and Domestic Fishing Zone.</w:t>
            </w:r>
          </w:p>
          <w:p>
            <w:pPr/>
            <w:r>
              <w:rPr/>
              <w:t xml:space="preserve"/>
            </w:r>
          </w:p>
          <w:p>
            <w:pPr/>
            <w:r>
              <w:rPr/>
              <w:t xml:space="preserve">Please note, Palau is a matrilineal society. In meetings and consultations, women have consistently been the majority of attendees.  For ecosystem monitoring aspects of the project, a majority of the researchers/PICRC staff are females and the same applies to the staff who lead communication and awareness efforts.</w:t>
            </w:r>
          </w:p>
          <w:p>
            <w:pPr/>
            <w:r>
              <w:rPr/>
              <w:t xml:space="preserve"/>
            </w:r>
          </w:p>
          <w:p>
            <w:pPr/>
            <w:r>
              <w:rPr/>
              <w:t xml:space="preserve">In terms of the MCS Action Plan, the patrol vessel has limited cabin space that has accommodated a crew primarily made up of males - while the positions are open to applicants of any gender, males have consistently filled these roles and the PMU finds it impractical to encourage more women to serve as crew members/enforcement officers onboard.</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3" w:name="_Toc13"/>
      <w:r>
        <w:t>Risk Management</w:t>
      </w:r>
      <w:bookmarkEnd w:id="13"/>
    </w:p>
    <w:p>
      <w:pPr>
        <w:pStyle w:val="Heading2"/>
      </w:pPr>
      <w:bookmarkStart w:id="14" w:name="_Toc14"/>
      <w:r>
        <w:t>A) Overall Risk Management</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tcPr>
          <w:p>
            <w:pPr/>
            <w:r>
              <w:rPr/>
              <w:t xml:space="preserve">The risk register under quantum only has two risks versus nine risks identified during CEO ER. The register should be urgently updated. In addition, the Risk register submitted offline for the PIR is different from the one uploaded to Quantum. The first draft of the ongoing MTR process has also highlighted few potential risks to the sustainability of the project. Once the MTR finalized, the team is encouraged to promptly update the risk register and follow up with management responses.</w:t>
            </w:r>
          </w:p>
          <w:p>
            <w:pPr/>
            <w:r>
              <w:rPr/>
              <w:t xml:space="preserve"/>
            </w:r>
          </w:p>
          <w:p>
            <w:pPr/>
            <w:r>
              <w:rPr/>
              <w:t xml:space="preserve">The risks reported in the register relate to (1) the ongoing work that might result in the revision of the extent of the PNMS and (2) the upcoming elections to determine the new leadership from the president to members of congress (November 2024).</w:t>
            </w:r>
          </w:p>
          <w:p>
            <w:pPr/>
            <w:r>
              <w:rPr/>
              <w:t xml:space="preserve"/>
            </w:r>
          </w:p>
          <w:p>
            <w:pPr/>
            <w:r>
              <w:rPr/>
              <w:t xml:space="preserve">On the Social and Environmental Safeguards, the RTA and the SES advisor have unsuccessfully tried to get updates on the status of SES implementation status during the last reporting period. While the situation is now clear, the CO is encouraged to keep the RTA and SES Technical Advisor updated so they can support as needed.</w:t>
            </w:r>
          </w:p>
          <w:p>
            <w:pPr/>
            <w:r>
              <w:rPr/>
              <w:t xml:space="preserve"/>
            </w:r>
          </w:p>
          <w:p>
            <w:pPr/>
            <w:r>
              <w:rPr/>
              <w:t xml:space="preserve">The SES TA has provided detailed feedback in section C of the Risk Management section. As it stands, the project has no GRM in place and no viable strategies for stakeholder engagement.</w:t>
            </w:r>
          </w:p>
        </w:tc>
      </w:tr>
    </w:tbl>
    <w:p>
      <w:pPr>
        <w:pStyle w:val="Heading2"/>
      </w:pPr>
      <w:bookmarkStart w:id="15" w:name="_Toc15"/>
      <w:r>
        <w:t>B) SES Implementation</w:t>
      </w:r>
      <w:bookmarkEnd w:id="15"/>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tcPr>
          <w:p>
            <w:pPr/>
            <w:r>
              <w:rPr/>
              <w:t xml:space="preserve">The recurring challenge are the potential outcomes from the marine spatial planning process. This high-level initiative is being undertaken beyond the scope and influence of the project and has ultimately led to the reduction of turnout in the project’s efforts to organize effective stakeholder engagements and the PMU’s abilities to develop enabling mechanisms to improve management coordination and collaboration. This has been reported in news outlets nationally and internationally and as recently as January, a news article by Bloomberg reported on this issue, providing additional insights into the significance that such a controversial topic can have in a small community.</w:t>
            </w:r>
          </w:p>
          <w:p>
            <w:pPr/>
            <w:r>
              <w:rPr/>
              <w:t xml:space="preserve"/>
            </w:r>
          </w:p>
          <w:p>
            <w:pPr/>
            <w:r>
              <w:rPr/>
              <w:t xml:space="preserve">One such example is the reduced frequency of project board meetings which began with members agreeing to meet on a monthly basis and where MOJ, MAFE and PICRC were to provide regular updates on project implementation.  The attendance of members and the respective agencies became a challenge and the project board meetings were reduced to focus primarily on reviewing and approving the AWPs.</w:t>
            </w:r>
          </w:p>
          <w:p>
            <w:pPr/>
            <w:r>
              <w:rPr/>
              <w:t xml:space="preserve"/>
            </w:r>
          </w:p>
          <w:p>
            <w:pPr/>
            <w:r>
              <w:rPr/>
              <w:t xml:space="preserve">The same challenge also applied to the number of meetings the PMU was able to organize with the PNMS Advisory Committee as turnout was significantly reduced.  This can be attributed to an emerging push to repeal the PNMS which went against the stated objectives and efforts of the committee.</w:t>
            </w:r>
          </w:p>
          <w:p>
            <w:pPr/>
            <w:r>
              <w:rPr/>
              <w:t xml:space="preserve"/>
            </w:r>
          </w:p>
          <w:p>
            <w:pPr/>
            <w:r>
              <w:rPr/>
              <w:t xml:space="preserve">While there is no stand-alone stakeholder engagement plan, there is an existing PNMS communication strategy and efforts to finalize the PNMS management strategy are ongoing with the latter facing the same challenges which has delayed its completion.  Simply put, these challenges have limited the PMU’s ability to engage with stakeholders at the onset and thus provides no room to develop viable strategies for effective engagement, given project outcomes that do not align with the marine spatial planning efforts.</w:t>
            </w:r>
          </w:p>
          <w:p>
            <w:pPr/>
            <w:r>
              <w:rPr/>
              <w:t xml:space="preserve"/>
            </w:r>
          </w:p>
          <w:p>
            <w:pPr/>
            <w:r>
              <w:rPr/>
              <w:t xml:space="preserve">There is no stakeholder engagement plan because the role of the PMU and the mandate placed upon PICRC was put into question in 2021 with the proposed legislation to repeal the PNMS.  This made it difficult to envision what a stakeholder engagement plan would look like and limited the project's ability to establish a network of stakeholders to effectively engage with.  Not fully understanding what the functions and roles of PICRC were going to be and how it would be involved in the management of the PNMS was a key issue that prevented the PMU from developing a stakeholder engagement plan.</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Knowledge Management &amp; Communications</w:t>
      </w:r>
      <w:bookmarkEnd w:id="16"/>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There is no KM approach/strategy.  However, established partnerships with managers, organizations and institutes doing work with large scale marine protected areas has provided opportunities to collaborate regularly for KM.  Such partners include the Blue Nature Alliance, Stanford University’s Center for Ocean Solutions, Ocean Exploration Trust, Big Ocean and others.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1. Organization Website: www.picrc.org</w:t>
            </w:r>
          </w:p>
          <w:p>
            <w:pPr/>
            <w:r>
              <w:rPr/>
              <w:t xml:space="preserve">2. PNMS Report: https://oceansolutions.stanford.edu/key-initiatives/sustainable-ocean-economies/palau-national-marine-sanctuary</w:t>
            </w:r>
          </w:p>
          <w:p>
            <w:pPr/>
            <w:r>
              <w:rPr/>
              <w:t xml:space="preserve">3. Facebook: https://www.facebook.com/Palauinternationalcoralreefcenter</w:t>
            </w:r>
          </w:p>
          <w:p>
            <w:pPr/>
            <w:r>
              <w:rPr/>
              <w:t xml:space="preserve">4. Facebook: https://www.facebook.com/PalauNationalMarineSanctuary</w:t>
            </w:r>
          </w:p>
          <w:p>
            <w:pPr/>
            <w:r>
              <w:rPr/>
              <w:t xml:space="preserve">5. Media Coverage: https://islandtimes.org/picrc-releases-pnms-science-and-monitoring-strategy/</w:t>
            </w:r>
          </w:p>
          <w:p>
            <w:pPr/>
            <w:r>
              <w:rPr/>
              <w:t xml:space="preserve">6. YouTube: https://www.youtube.com/watch?v=kO854SSsnaM</w:t>
            </w:r>
          </w:p>
          <w:p>
            <w:pPr/>
            <w:r>
              <w:rPr/>
              <w:t xml:space="preserve">7. YouTube: https://www.youtube.com/watch?v=K6rA54oGj_E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r>
              <w:rPr/>
              <w:t xml:space="preserve">PICRC educaitonal outreach.jpg</w:t>
            </w:r>
          </w:p>
          <w:p>
            <w:pPr>
              <w:spacing w:before="0" w:after="0"/>
            </w:pPr>
            <w:r>
              <w:rPr/>
              <w:t xml:space="preserve">PICRC education movie night.jpg</w:t>
            </w:r>
          </w:p>
          <w:p>
            <w:pPr>
              <w:spacing w:before="0" w:after="0"/>
            </w:pPr>
            <w:r>
              <w:rPr/>
              <w:t xml:space="preserve">PICRC education outreach 2.jpg</w:t>
            </w:r>
          </w:p>
          <w:p>
            <w:pPr>
              <w:spacing w:before="0" w:after="0"/>
            </w:pPr>
            <w:r>
              <w:rPr/>
              <w:t xml:space="preserve">PICRC PNMS aqaurium exhibit.jpg</w:t>
            </w:r>
          </w:p>
          <w:p>
            <w:pPr>
              <w:spacing w:before="0" w:after="0"/>
            </w:pPr>
            <w:r>
              <w:rPr/>
              <w:t xml:space="preserve">PICRC student education program.jpg</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Annex - Ratings Definitions</w:t>
      </w:r>
      <w:bookmarkEnd w:id="17"/>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2024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672D7"/>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B0423 - Palau - Cty Pgmm</OfficeCountry>
    <DocumentStatus xmlns="d9cf0e28-81d2-4dc7-8b10-820d80ed680d">Final</DocumentStatus>
    <DocCoverageEndDate xmlns="d9cf0e28-81d2-4dc7-8b10-820d80ed680d">2024-06-30T04:00:00+00:00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Implementation Report</FileNameDescription>
    <ProjectNumber xmlns="d9cf0e28-81d2-4dc7-8b10-820d80ed680d">00119066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UNDP-FJI</OperatingUnit>
    <lcf76f155ced4ddcb4097134ff3c332f xmlns="d9cf0e28-81d2-4dc7-8b10-820d80ed680d">
      <Terms xmlns="http://schemas.microsoft.com/office/infopath/2007/PartnerControls"/>
    </lcf76f155ced4ddcb4097134ff3c332f>
    <FocusArea xmlns="d9cf0e28-81d2-4dc7-8b10-820d80ed680d">Projects</FocusArea>
    <DocCoverageStartDate xmlns="d9cf0e28-81d2-4dc7-8b10-820d80ed680d">2023-07-01T04:00:00+00:00</DocCoverageStartDate>
    <FileClassificationMode xmlns="d9cf0e28-81d2-4dc7-8b10-820d80ed680d">Public</FileClassificationMode>
    <OutputNumber xmlns="d9cf0e28-81d2-4dc7-8b10-820d80ed680d">00115622</OutputNumber>
  </documentManagement>
</p:properties>
</file>

<file path=customXml/itemProps1.xml><?xml version="1.0" encoding="utf-8"?>
<ds:datastoreItem xmlns:ds="http://schemas.openxmlformats.org/officeDocument/2006/customXml" ds:itemID="{F792E0A0-9A2C-4718-A0F5-30524F92F09C}"/>
</file>

<file path=customXml/itemProps2.xml><?xml version="1.0" encoding="utf-8"?>
<ds:datastoreItem xmlns:ds="http://schemas.openxmlformats.org/officeDocument/2006/customXml" ds:itemID="{E433A934-60F4-4906-80DD-27717A9C471A}"/>
</file>

<file path=customXml/itemProps3.xml><?xml version="1.0" encoding="utf-8"?>
<ds:datastoreItem xmlns:ds="http://schemas.openxmlformats.org/officeDocument/2006/customXml" ds:itemID="{8DB7A177-F001-4B8F-94F1-D69C71D8156F}"/>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Implementation Report</dc:title>
  <dc:subject/>
  <dc:creator/>
  <cp:keywords/>
  <dc:description/>
  <cp:lastModifiedBy/>
  <dcterms:created xsi:type="dcterms:W3CDTF">2024-09-12T16:53:32Z</dcterms:created>
  <dcterms:modified xsi:type="dcterms:W3CDTF">2024-09-12T16:53:32Z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