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2F6AD" w14:textId="2B004A0D" w:rsidR="00966EF0" w:rsidRPr="00966EF0" w:rsidRDefault="00966EF0" w:rsidP="00966EF0">
      <w:pPr>
        <w:rPr>
          <w:rFonts w:ascii="Calibri" w:eastAsia="SimSun" w:hAnsi="Calibri" w:cs="Calibri"/>
          <w:sz w:val="20"/>
          <w:szCs w:val="20"/>
        </w:rPr>
      </w:pPr>
      <w:bookmarkStart w:id="0" w:name="Annex1"/>
    </w:p>
    <w:p w14:paraId="7E5CFA2C" w14:textId="427137AD" w:rsidR="004B4566" w:rsidRPr="00705581" w:rsidRDefault="00966EF0" w:rsidP="00705581">
      <w:pPr>
        <w:spacing w:after="120"/>
        <w:rPr>
          <w:rFonts w:ascii="Calibri" w:eastAsia="SimSun" w:hAnsi="Calibri"/>
          <w:b/>
        </w:rPr>
      </w:pPr>
      <w:r>
        <w:rPr>
          <w:rFonts w:ascii="Calibri" w:hAnsi="Calibri"/>
          <w:noProof/>
          <w:sz w:val="20"/>
          <w:lang w:eastAsia="es-419"/>
        </w:rPr>
        <w:drawing>
          <wp:anchor distT="0" distB="0" distL="114300" distR="114300" simplePos="0" relativeHeight="251659264" behindDoc="0" locked="0" layoutInCell="1" allowOverlap="1" wp14:anchorId="6FC4C4F6" wp14:editId="6AC5056E">
            <wp:simplePos x="0" y="0"/>
            <wp:positionH relativeFrom="column">
              <wp:posOffset>5422900</wp:posOffset>
            </wp:positionH>
            <wp:positionV relativeFrom="paragraph">
              <wp:posOffset>-247650</wp:posOffset>
            </wp:positionV>
            <wp:extent cx="958215" cy="1459865"/>
            <wp:effectExtent l="0" t="0" r="0" b="0"/>
            <wp:wrapNone/>
            <wp:docPr id="1799871529"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Pr>
          <w:rFonts w:ascii="Calibri" w:hAnsi="Calibri"/>
          <w:noProof/>
          <w:sz w:val="20"/>
          <w:lang w:eastAsia="es-419"/>
        </w:rPr>
        <w:drawing>
          <wp:inline distT="0" distB="0" distL="0" distR="0" wp14:anchorId="236E34BD" wp14:editId="55EA002A">
            <wp:extent cx="709930" cy="818515"/>
            <wp:effectExtent l="0" t="0" r="0" b="0"/>
            <wp:docPr id="1672344024"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r>
        <w:rPr>
          <w:rFonts w:ascii="Calibri" w:hAnsi="Calibri"/>
          <w:sz w:val="20"/>
        </w:rPr>
        <w:t xml:space="preserve">                                                                                                                                                     </w:t>
      </w:r>
      <w:bookmarkEnd w:id="0"/>
    </w:p>
    <w:p w14:paraId="6C20C9A7" w14:textId="665C4F59" w:rsidR="00966EF0" w:rsidRPr="006A315B" w:rsidRDefault="00966EF0" w:rsidP="004B4566">
      <w:pPr>
        <w:spacing w:after="240"/>
        <w:jc w:val="center"/>
        <w:rPr>
          <w:rFonts w:ascii="Calibri" w:eastAsia="SimSun" w:hAnsi="Calibri" w:cs="Arial"/>
          <w:b/>
          <w:sz w:val="20"/>
        </w:rPr>
      </w:pPr>
      <w:r>
        <w:rPr>
          <w:rFonts w:ascii="Calibri" w:hAnsi="Calibri"/>
          <w:b/>
          <w:sz w:val="20"/>
        </w:rPr>
        <w:t>Programa de las Naciones Unidas para el Desarrollo</w:t>
      </w:r>
    </w:p>
    <w:p w14:paraId="0A94D964" w14:textId="77777777" w:rsidR="009B5E12" w:rsidRDefault="00966EF0" w:rsidP="009B5E12">
      <w:pPr>
        <w:jc w:val="center"/>
        <w:rPr>
          <w:rFonts w:ascii="Calibri" w:hAnsi="Calibri"/>
          <w:b/>
          <w:sz w:val="20"/>
        </w:rPr>
      </w:pPr>
      <w:r>
        <w:rPr>
          <w:rFonts w:ascii="Calibri" w:hAnsi="Calibri"/>
          <w:b/>
          <w:sz w:val="20"/>
        </w:rPr>
        <w:t xml:space="preserve">Plantilla de </w:t>
      </w:r>
      <w:r w:rsidR="00BA3DD6">
        <w:rPr>
          <w:rFonts w:ascii="Calibri" w:hAnsi="Calibri"/>
          <w:b/>
          <w:sz w:val="20"/>
        </w:rPr>
        <w:t>d</w:t>
      </w:r>
      <w:r>
        <w:rPr>
          <w:rFonts w:ascii="Calibri" w:hAnsi="Calibri"/>
          <w:b/>
          <w:sz w:val="20"/>
        </w:rPr>
        <w:t xml:space="preserve">ocumento de </w:t>
      </w:r>
      <w:r w:rsidR="00BA3DD6">
        <w:rPr>
          <w:rFonts w:ascii="Calibri" w:hAnsi="Calibri"/>
          <w:b/>
          <w:sz w:val="20"/>
        </w:rPr>
        <w:t>p</w:t>
      </w:r>
      <w:r>
        <w:rPr>
          <w:rFonts w:ascii="Calibri" w:hAnsi="Calibri"/>
          <w:b/>
          <w:sz w:val="20"/>
        </w:rPr>
        <w:t>royecto para</w:t>
      </w:r>
    </w:p>
    <w:p w14:paraId="2BCC155E" w14:textId="480FAAD0" w:rsidR="00966EF0" w:rsidRPr="006A315B" w:rsidRDefault="009B5E12" w:rsidP="009B5E12">
      <w:pPr>
        <w:ind w:left="1440"/>
        <w:rPr>
          <w:rFonts w:ascii="Calibri" w:eastAsia="SimSun" w:hAnsi="Calibri" w:cs="Arial"/>
          <w:b/>
          <w:sz w:val="20"/>
        </w:rPr>
      </w:pPr>
      <w:r>
        <w:rPr>
          <w:rFonts w:ascii="Calibri" w:hAnsi="Calibri"/>
          <w:b/>
          <w:sz w:val="20"/>
        </w:rPr>
        <w:t xml:space="preserve">      p</w:t>
      </w:r>
      <w:r w:rsidR="00966EF0">
        <w:rPr>
          <w:rFonts w:ascii="Calibri" w:hAnsi="Calibri"/>
          <w:b/>
          <w:sz w:val="20"/>
        </w:rPr>
        <w:t>royectos</w:t>
      </w:r>
      <w:r>
        <w:rPr>
          <w:rFonts w:ascii="Calibri" w:hAnsi="Calibri"/>
          <w:b/>
          <w:sz w:val="20"/>
        </w:rPr>
        <w:t xml:space="preserve"> </w:t>
      </w:r>
      <w:r w:rsidR="00966EF0">
        <w:rPr>
          <w:rFonts w:ascii="Calibri" w:hAnsi="Calibri"/>
          <w:b/>
          <w:sz w:val="20"/>
        </w:rPr>
        <w:t xml:space="preserve">financiados por los distintos </w:t>
      </w:r>
      <w:r w:rsidR="00BD3CCB">
        <w:rPr>
          <w:rFonts w:ascii="Calibri" w:hAnsi="Calibri"/>
          <w:b/>
          <w:sz w:val="20"/>
        </w:rPr>
        <w:t>F</w:t>
      </w:r>
      <w:r w:rsidR="00966EF0">
        <w:rPr>
          <w:rFonts w:ascii="Calibri" w:hAnsi="Calibri"/>
          <w:b/>
          <w:sz w:val="20"/>
        </w:rPr>
        <w:t xml:space="preserve">ondos </w:t>
      </w:r>
      <w:r w:rsidR="00BD3CCB">
        <w:rPr>
          <w:rFonts w:ascii="Calibri" w:hAnsi="Calibri"/>
          <w:b/>
          <w:sz w:val="20"/>
        </w:rPr>
        <w:t>F</w:t>
      </w:r>
      <w:r w:rsidR="00966EF0">
        <w:rPr>
          <w:rFonts w:ascii="Calibri" w:hAnsi="Calibri"/>
          <w:b/>
          <w:sz w:val="20"/>
        </w:rPr>
        <w:t>iduciarios del FMAM</w:t>
      </w:r>
    </w:p>
    <w:p w14:paraId="4F5C7B7C" w14:textId="67F960F9" w:rsidR="00966EF0" w:rsidRPr="002152FE" w:rsidRDefault="00966EF0" w:rsidP="00966EF0">
      <w:pPr>
        <w:rPr>
          <w:rFonts w:ascii="Calibri" w:eastAsia="SimSun" w:hAnsi="Calibri" w:cs="Arial"/>
          <w:b/>
          <w:i/>
          <w:sz w:val="20"/>
          <w:szCs w:val="20"/>
          <w:lang w:val="es-EC"/>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356"/>
        <w:gridCol w:w="720"/>
        <w:gridCol w:w="1170"/>
        <w:gridCol w:w="177"/>
        <w:gridCol w:w="3423"/>
      </w:tblGrid>
      <w:tr w:rsidR="00966EF0" w:rsidRPr="001971F9" w14:paraId="795F75E5" w14:textId="77777777" w:rsidTr="00BA3DD6">
        <w:trPr>
          <w:trHeight w:val="548"/>
        </w:trPr>
        <w:tc>
          <w:tcPr>
            <w:tcW w:w="9355" w:type="dxa"/>
            <w:gridSpan w:val="6"/>
            <w:shd w:val="clear" w:color="auto" w:fill="auto"/>
          </w:tcPr>
          <w:p w14:paraId="29FA10B3" w14:textId="3B529C22" w:rsidR="00966EF0" w:rsidRPr="006A315B" w:rsidRDefault="00966EF0" w:rsidP="00966EF0">
            <w:pPr>
              <w:spacing w:after="240"/>
              <w:rPr>
                <w:rFonts w:ascii="Calibri" w:eastAsia="SimSun" w:hAnsi="Calibri" w:cs="Arial"/>
                <w:b/>
                <w:sz w:val="20"/>
                <w:szCs w:val="20"/>
              </w:rPr>
            </w:pPr>
            <w:r>
              <w:rPr>
                <w:rFonts w:ascii="Calibri" w:hAnsi="Calibri"/>
                <w:b/>
                <w:sz w:val="20"/>
              </w:rPr>
              <w:t xml:space="preserve">Título del proyecto:  </w:t>
            </w:r>
            <w:r>
              <w:rPr>
                <w:rFonts w:ascii="Calibri" w:hAnsi="Calibri"/>
                <w:sz w:val="20"/>
              </w:rPr>
              <w:t>Financiación de la Reducción y Gestión de los Agroquímicos (FARM) en Ecuador</w:t>
            </w:r>
            <w:r w:rsidR="00BA3DD6">
              <w:rPr>
                <w:rFonts w:ascii="Calibri" w:hAnsi="Calibri"/>
                <w:sz w:val="20"/>
              </w:rPr>
              <w:t>.</w:t>
            </w:r>
          </w:p>
        </w:tc>
      </w:tr>
      <w:tr w:rsidR="006D39DF" w:rsidRPr="001971F9" w14:paraId="1F345597" w14:textId="77777777" w:rsidTr="00BA3DD6">
        <w:trPr>
          <w:trHeight w:val="1007"/>
        </w:trPr>
        <w:tc>
          <w:tcPr>
            <w:tcW w:w="2509" w:type="dxa"/>
            <w:shd w:val="clear" w:color="auto" w:fill="auto"/>
          </w:tcPr>
          <w:p w14:paraId="5E3ACE59" w14:textId="25B7067A" w:rsidR="006D39DF" w:rsidRPr="00B67C85" w:rsidRDefault="006D39DF" w:rsidP="006D39DF">
            <w:pPr>
              <w:spacing w:after="240"/>
              <w:rPr>
                <w:rFonts w:ascii="Calibri" w:eastAsia="SimSun" w:hAnsi="Calibri" w:cs="Arial"/>
                <w:bCs/>
                <w:sz w:val="20"/>
                <w:szCs w:val="20"/>
              </w:rPr>
            </w:pPr>
            <w:r>
              <w:rPr>
                <w:rFonts w:ascii="Calibri" w:hAnsi="Calibri"/>
                <w:b/>
                <w:sz w:val="20"/>
              </w:rPr>
              <w:t xml:space="preserve">País(es):  </w:t>
            </w:r>
            <w:r>
              <w:rPr>
                <w:rFonts w:ascii="Calibri" w:hAnsi="Calibri"/>
                <w:sz w:val="20"/>
              </w:rPr>
              <w:t>Ecuador</w:t>
            </w:r>
          </w:p>
        </w:tc>
        <w:tc>
          <w:tcPr>
            <w:tcW w:w="3423" w:type="dxa"/>
            <w:gridSpan w:val="4"/>
            <w:shd w:val="clear" w:color="auto" w:fill="auto"/>
          </w:tcPr>
          <w:p w14:paraId="47010BE0" w14:textId="121607BA" w:rsidR="006D39DF" w:rsidRPr="00393780" w:rsidRDefault="006D39DF" w:rsidP="006D39DF">
            <w:pPr>
              <w:rPr>
                <w:rFonts w:asciiTheme="minorHAnsi" w:eastAsia="SimSun" w:hAnsiTheme="minorHAnsi" w:cstheme="minorHAnsi"/>
                <w:b/>
                <w:sz w:val="20"/>
                <w:szCs w:val="20"/>
              </w:rPr>
            </w:pPr>
            <w:r>
              <w:rPr>
                <w:rFonts w:asciiTheme="minorHAnsi" w:hAnsiTheme="minorHAnsi"/>
                <w:b/>
                <w:sz w:val="20"/>
              </w:rPr>
              <w:t xml:space="preserve">Socio en la Implementación (Entidad ejecutora del FMAM):  </w:t>
            </w:r>
          </w:p>
          <w:p w14:paraId="110B056D" w14:textId="0F109155" w:rsidR="006D39DF" w:rsidRPr="006A315B" w:rsidRDefault="006D39DF" w:rsidP="006D39DF">
            <w:pPr>
              <w:rPr>
                <w:rFonts w:ascii="Calibri" w:eastAsia="SimSun" w:hAnsi="Calibri" w:cs="Arial"/>
                <w:i/>
                <w:color w:val="0000FF"/>
                <w:sz w:val="20"/>
                <w:szCs w:val="20"/>
                <w:highlight w:val="yellow"/>
                <w:u w:val="single"/>
              </w:rPr>
            </w:pPr>
            <w:r>
              <w:rPr>
                <w:rFonts w:asciiTheme="minorHAnsi" w:hAnsiTheme="minorHAnsi"/>
                <w:sz w:val="20"/>
              </w:rPr>
              <w:t>Ministerio de Medio Ambiente, Agua y Transición Ecológica (MAATE)</w:t>
            </w:r>
            <w:r w:rsidR="00BA3DD6">
              <w:rPr>
                <w:rFonts w:asciiTheme="minorHAnsi" w:hAnsiTheme="minorHAnsi"/>
                <w:sz w:val="20"/>
              </w:rPr>
              <w:t>.</w:t>
            </w:r>
          </w:p>
        </w:tc>
        <w:tc>
          <w:tcPr>
            <w:tcW w:w="3423" w:type="dxa"/>
            <w:shd w:val="clear" w:color="auto" w:fill="auto"/>
          </w:tcPr>
          <w:p w14:paraId="2AD28176" w14:textId="77777777" w:rsidR="006D39DF" w:rsidRPr="00393780" w:rsidRDefault="006D39DF" w:rsidP="006D39DF">
            <w:pPr>
              <w:jc w:val="both"/>
              <w:rPr>
                <w:rFonts w:asciiTheme="minorHAnsi" w:eastAsia="Meiryo" w:hAnsiTheme="minorHAnsi" w:cstheme="minorHAnsi"/>
                <w:i/>
                <w:sz w:val="20"/>
                <w:szCs w:val="20"/>
              </w:rPr>
            </w:pPr>
            <w:r>
              <w:rPr>
                <w:rFonts w:asciiTheme="minorHAnsi" w:hAnsiTheme="minorHAnsi"/>
                <w:b/>
                <w:sz w:val="20"/>
              </w:rPr>
              <w:t>Modalidad de implementación</w:t>
            </w:r>
            <w:r>
              <w:rPr>
                <w:rFonts w:asciiTheme="minorHAnsi" w:hAnsiTheme="minorHAnsi"/>
                <w:i/>
                <w:sz w:val="20"/>
              </w:rPr>
              <w:t xml:space="preserve">: </w:t>
            </w:r>
          </w:p>
          <w:p w14:paraId="47B5A97F" w14:textId="5EAA5293" w:rsidR="006D39DF" w:rsidRPr="00E0095A" w:rsidRDefault="006D39DF" w:rsidP="006D39DF">
            <w:pPr>
              <w:spacing w:after="120"/>
              <w:rPr>
                <w:rFonts w:ascii="Calibri" w:eastAsia="Meiryo" w:hAnsi="Calibri" w:cs="Calibri"/>
                <w:i/>
                <w:sz w:val="20"/>
                <w:szCs w:val="20"/>
                <w:highlight w:val="yellow"/>
              </w:rPr>
            </w:pPr>
            <w:r>
              <w:rPr>
                <w:rFonts w:asciiTheme="minorHAnsi" w:hAnsiTheme="minorHAnsi"/>
                <w:sz w:val="20"/>
              </w:rPr>
              <w:t>Apoyo total de la Oficina Nacional a la Modalidad de Implementación Nacional (NIM)</w:t>
            </w:r>
            <w:r w:rsidR="00BA3DD6">
              <w:rPr>
                <w:rFonts w:asciiTheme="minorHAnsi" w:hAnsiTheme="minorHAnsi"/>
                <w:sz w:val="20"/>
              </w:rPr>
              <w:t>.</w:t>
            </w:r>
          </w:p>
        </w:tc>
      </w:tr>
      <w:tr w:rsidR="00966EF0" w:rsidRPr="001971F9" w14:paraId="446F81D8" w14:textId="77777777" w:rsidTr="00BA3DD6">
        <w:tc>
          <w:tcPr>
            <w:tcW w:w="9355" w:type="dxa"/>
            <w:gridSpan w:val="6"/>
            <w:shd w:val="clear" w:color="auto" w:fill="auto"/>
          </w:tcPr>
          <w:p w14:paraId="35C43D46" w14:textId="1BCDABC2" w:rsidR="00966EF0" w:rsidRPr="00BA110B" w:rsidRDefault="00966EF0" w:rsidP="00705581">
            <w:pPr>
              <w:spacing w:after="40"/>
              <w:jc w:val="both"/>
              <w:rPr>
                <w:rFonts w:ascii="Calibri" w:eastAsia="SimSun" w:hAnsi="Calibri" w:cs="Arial"/>
                <w:b/>
                <w:sz w:val="20"/>
                <w:szCs w:val="20"/>
              </w:rPr>
            </w:pPr>
            <w:r>
              <w:rPr>
                <w:rFonts w:ascii="Calibri" w:hAnsi="Calibri"/>
                <w:b/>
                <w:sz w:val="20"/>
              </w:rPr>
              <w:t>Resultado contribuyente (</w:t>
            </w:r>
            <w:r w:rsidR="006B685B">
              <w:rPr>
                <w:rFonts w:ascii="Calibri" w:hAnsi="Calibri"/>
                <w:b/>
                <w:sz w:val="20"/>
              </w:rPr>
              <w:t>UNDAF</w:t>
            </w:r>
            <w:r>
              <w:rPr>
                <w:rFonts w:ascii="Calibri" w:hAnsi="Calibri"/>
                <w:b/>
                <w:sz w:val="20"/>
              </w:rPr>
              <w:t>/CPD, RPD, GPD)</w:t>
            </w:r>
            <w:r>
              <w:rPr>
                <w:rFonts w:ascii="Calibri" w:hAnsi="Calibri"/>
                <w:i/>
                <w:sz w:val="20"/>
              </w:rPr>
              <w:t xml:space="preserve">: </w:t>
            </w:r>
            <w:r>
              <w:rPr>
                <w:rFonts w:ascii="Calibri" w:hAnsi="Calibri"/>
                <w:sz w:val="20"/>
              </w:rPr>
              <w:t>UNSDCF 2022-2026 Efecto 2: En 2026, el Estado y la sociedad avanzan hacia la transición ecológica y hacia una economía sostenible e inclusiva, descarbonizada y resiliente a los efectos del cambio climático, conservando la biodiversidad, evitando la degradación del suelo y la contaminación de los ecosistemas, con un enfoque de género, inclusión y diversidad. / CPD Resultado 2.1: Se aplican instrumentos y mecanismos a nivel nacional o subnacional para gestionar los recursos naturales de forma sostenible para integrar la adaptación al cambio climático, su mitigación y sus efectos, y para la transición hacia un sistema productivo más sostenible; Resultado 2.2 CPD: Realización de actividades de conservación y gestión forestal sostenible, así como de buenas prácticas en la cadena de suministro sostenible.</w:t>
            </w:r>
          </w:p>
        </w:tc>
      </w:tr>
      <w:tr w:rsidR="00966EF0" w:rsidRPr="00906076" w14:paraId="0A4974DB" w14:textId="77777777" w:rsidTr="00BA3DD6">
        <w:trPr>
          <w:trHeight w:val="1610"/>
        </w:trPr>
        <w:tc>
          <w:tcPr>
            <w:tcW w:w="4585" w:type="dxa"/>
            <w:gridSpan w:val="3"/>
            <w:shd w:val="clear" w:color="auto" w:fill="auto"/>
          </w:tcPr>
          <w:p w14:paraId="7B54E3C0" w14:textId="712441C6" w:rsidR="00966EF0" w:rsidRPr="006A315B" w:rsidRDefault="00966EF0" w:rsidP="00102C16">
            <w:pPr>
              <w:spacing w:after="240"/>
              <w:rPr>
                <w:rFonts w:ascii="Calibri" w:eastAsia="SimSun" w:hAnsi="Calibri" w:cs="Arial"/>
                <w:i/>
                <w:sz w:val="20"/>
                <w:szCs w:val="20"/>
              </w:rPr>
            </w:pPr>
            <w:r>
              <w:rPr>
                <w:rFonts w:ascii="Calibri" w:hAnsi="Calibri"/>
                <w:b/>
                <w:sz w:val="20"/>
              </w:rPr>
              <w:t xml:space="preserve">Categoría de evaluación </w:t>
            </w:r>
            <w:r w:rsidR="00B76D07">
              <w:rPr>
                <w:rFonts w:ascii="Calibri" w:hAnsi="Calibri"/>
                <w:b/>
                <w:sz w:val="20"/>
              </w:rPr>
              <w:t>s</w:t>
            </w:r>
            <w:r>
              <w:rPr>
                <w:rFonts w:ascii="Calibri" w:hAnsi="Calibri"/>
                <w:b/>
                <w:sz w:val="20"/>
              </w:rPr>
              <w:t xml:space="preserve">ocial y </w:t>
            </w:r>
            <w:r w:rsidR="00B76D07">
              <w:rPr>
                <w:rFonts w:ascii="Calibri" w:hAnsi="Calibri"/>
                <w:b/>
                <w:sz w:val="20"/>
              </w:rPr>
              <w:t>a</w:t>
            </w:r>
            <w:r>
              <w:rPr>
                <w:rFonts w:ascii="Calibri" w:hAnsi="Calibri"/>
                <w:b/>
                <w:sz w:val="20"/>
              </w:rPr>
              <w:t>mbiental</w:t>
            </w:r>
            <w:r w:rsidR="00BB09D8">
              <w:rPr>
                <w:rFonts w:ascii="Calibri" w:hAnsi="Calibri"/>
                <w:b/>
                <w:sz w:val="20"/>
              </w:rPr>
              <w:t xml:space="preserve"> </w:t>
            </w:r>
            <w:r>
              <w:rPr>
                <w:rFonts w:ascii="Calibri" w:hAnsi="Calibri"/>
                <w:b/>
                <w:sz w:val="20"/>
              </w:rPr>
              <w:t xml:space="preserve">del PNUD:  </w:t>
            </w:r>
            <w:r>
              <w:rPr>
                <w:rFonts w:ascii="Calibri" w:hAnsi="Calibri"/>
                <w:i/>
                <w:sz w:val="20"/>
              </w:rPr>
              <w:t>Sustancial</w:t>
            </w:r>
          </w:p>
        </w:tc>
        <w:tc>
          <w:tcPr>
            <w:tcW w:w="4770" w:type="dxa"/>
            <w:gridSpan w:val="3"/>
            <w:shd w:val="clear" w:color="auto" w:fill="auto"/>
          </w:tcPr>
          <w:p w14:paraId="02B23936" w14:textId="014354EA" w:rsidR="00966EF0" w:rsidRPr="006A315B" w:rsidRDefault="00966EF0" w:rsidP="00966EF0">
            <w:pPr>
              <w:spacing w:after="240"/>
              <w:rPr>
                <w:rFonts w:ascii="Calibri" w:eastAsia="SimSun" w:hAnsi="Calibri"/>
                <w:i/>
                <w:sz w:val="20"/>
              </w:rPr>
            </w:pPr>
            <w:r>
              <w:rPr>
                <w:rFonts w:ascii="Calibri" w:hAnsi="Calibri"/>
                <w:b/>
                <w:sz w:val="20"/>
              </w:rPr>
              <w:t xml:space="preserve">Marcador de género del PNUD: </w:t>
            </w:r>
            <w:r>
              <w:rPr>
                <w:rFonts w:ascii="Calibri" w:hAnsi="Calibri"/>
                <w:i/>
                <w:sz w:val="20"/>
              </w:rPr>
              <w:t>2</w:t>
            </w:r>
          </w:p>
        </w:tc>
      </w:tr>
      <w:tr w:rsidR="00966EF0" w:rsidRPr="00887AC2" w14:paraId="3E3299F0" w14:textId="77777777" w:rsidTr="00BA3DD6">
        <w:tc>
          <w:tcPr>
            <w:tcW w:w="4585" w:type="dxa"/>
            <w:gridSpan w:val="3"/>
            <w:shd w:val="clear" w:color="auto" w:fill="auto"/>
          </w:tcPr>
          <w:p w14:paraId="3F14BDCB" w14:textId="48010338" w:rsidR="00966EF0" w:rsidRPr="006A315B" w:rsidRDefault="00966EF0" w:rsidP="00966EF0">
            <w:pPr>
              <w:spacing w:after="240"/>
              <w:rPr>
                <w:rFonts w:ascii="Calibri" w:eastAsia="SimSun" w:hAnsi="Calibri" w:cs="Arial"/>
                <w:sz w:val="20"/>
                <w:szCs w:val="20"/>
              </w:rPr>
            </w:pPr>
            <w:r>
              <w:rPr>
                <w:rFonts w:ascii="Calibri" w:hAnsi="Calibri"/>
                <w:b/>
                <w:sz w:val="20"/>
              </w:rPr>
              <w:t xml:space="preserve">ID de adjudicación Atlas: </w:t>
            </w:r>
            <w:r>
              <w:rPr>
                <w:rFonts w:ascii="Calibri" w:hAnsi="Calibri"/>
                <w:sz w:val="20"/>
              </w:rPr>
              <w:t>00131123</w:t>
            </w:r>
          </w:p>
        </w:tc>
        <w:tc>
          <w:tcPr>
            <w:tcW w:w="4770" w:type="dxa"/>
            <w:gridSpan w:val="3"/>
            <w:shd w:val="clear" w:color="auto" w:fill="auto"/>
          </w:tcPr>
          <w:p w14:paraId="19C1E31D" w14:textId="68A21CCD" w:rsidR="00966EF0" w:rsidRPr="006A315B" w:rsidRDefault="00966EF0" w:rsidP="00966EF0">
            <w:pPr>
              <w:rPr>
                <w:rFonts w:ascii="Calibri" w:eastAsia="SimSun" w:hAnsi="Calibri" w:cs="Arial"/>
                <w:b/>
                <w:sz w:val="20"/>
                <w:szCs w:val="20"/>
              </w:rPr>
            </w:pPr>
            <w:r>
              <w:rPr>
                <w:rFonts w:ascii="Calibri" w:hAnsi="Calibri"/>
                <w:b/>
                <w:sz w:val="20"/>
              </w:rPr>
              <w:t xml:space="preserve">Proyecto Atlas/ID de Resultado:  </w:t>
            </w:r>
            <w:r>
              <w:rPr>
                <w:rFonts w:ascii="Calibri" w:hAnsi="Calibri"/>
                <w:sz w:val="20"/>
              </w:rPr>
              <w:t xml:space="preserve">000124255 </w:t>
            </w:r>
          </w:p>
        </w:tc>
      </w:tr>
      <w:tr w:rsidR="00966EF0" w:rsidRPr="00891B21" w14:paraId="143500B5" w14:textId="77777777" w:rsidTr="00BA3DD6">
        <w:tc>
          <w:tcPr>
            <w:tcW w:w="4585" w:type="dxa"/>
            <w:gridSpan w:val="3"/>
            <w:shd w:val="clear" w:color="auto" w:fill="auto"/>
          </w:tcPr>
          <w:p w14:paraId="36487430" w14:textId="0F29AD88" w:rsidR="00966EF0" w:rsidRPr="006A315B" w:rsidRDefault="00966EF0" w:rsidP="00966EF0">
            <w:pPr>
              <w:spacing w:after="240"/>
              <w:rPr>
                <w:rFonts w:ascii="Calibri" w:eastAsia="SimSun" w:hAnsi="Calibri" w:cs="Arial"/>
                <w:b/>
                <w:sz w:val="20"/>
                <w:szCs w:val="20"/>
              </w:rPr>
            </w:pPr>
            <w:r>
              <w:rPr>
                <w:rFonts w:ascii="Calibri" w:hAnsi="Calibri"/>
                <w:b/>
                <w:sz w:val="20"/>
              </w:rPr>
              <w:t xml:space="preserve">Número de ID PNUD-FMAM PIMS:  </w:t>
            </w:r>
            <w:r>
              <w:rPr>
                <w:rFonts w:ascii="Calibri" w:hAnsi="Calibri"/>
                <w:sz w:val="20"/>
              </w:rPr>
              <w:t>6681</w:t>
            </w:r>
          </w:p>
        </w:tc>
        <w:tc>
          <w:tcPr>
            <w:tcW w:w="4770" w:type="dxa"/>
            <w:gridSpan w:val="3"/>
            <w:shd w:val="clear" w:color="auto" w:fill="auto"/>
          </w:tcPr>
          <w:p w14:paraId="149E33C6" w14:textId="606F64E3" w:rsidR="00966EF0" w:rsidRPr="006A315B" w:rsidRDefault="00966EF0" w:rsidP="00966EF0">
            <w:pPr>
              <w:spacing w:after="240"/>
              <w:rPr>
                <w:rFonts w:ascii="Calibri" w:eastAsia="SimSun" w:hAnsi="Calibri" w:cs="Arial"/>
                <w:b/>
                <w:sz w:val="20"/>
                <w:szCs w:val="20"/>
              </w:rPr>
            </w:pPr>
            <w:r>
              <w:rPr>
                <w:rFonts w:ascii="Calibri" w:hAnsi="Calibri"/>
                <w:b/>
                <w:sz w:val="20"/>
              </w:rPr>
              <w:t xml:space="preserve">Número de ID de proyecto FMAM: </w:t>
            </w:r>
            <w:r>
              <w:rPr>
                <w:rFonts w:ascii="Calibri" w:hAnsi="Calibri"/>
                <w:sz w:val="20"/>
              </w:rPr>
              <w:t>10901</w:t>
            </w:r>
          </w:p>
        </w:tc>
      </w:tr>
      <w:tr w:rsidR="00966EF0" w:rsidRPr="001971F9" w14:paraId="639B6C27" w14:textId="77777777" w:rsidTr="00BA3DD6">
        <w:trPr>
          <w:trHeight w:val="350"/>
        </w:trPr>
        <w:tc>
          <w:tcPr>
            <w:tcW w:w="9355" w:type="dxa"/>
            <w:gridSpan w:val="6"/>
            <w:shd w:val="clear" w:color="auto" w:fill="auto"/>
          </w:tcPr>
          <w:p w14:paraId="5068E80F" w14:textId="190E4905" w:rsidR="00966EF0" w:rsidRPr="006A315B" w:rsidRDefault="00966EF0" w:rsidP="00966EF0">
            <w:pPr>
              <w:spacing w:after="240"/>
              <w:rPr>
                <w:rFonts w:ascii="Calibri" w:eastAsia="SimSun" w:hAnsi="Calibri" w:cs="Arial"/>
                <w:b/>
                <w:sz w:val="20"/>
                <w:szCs w:val="20"/>
              </w:rPr>
            </w:pPr>
            <w:r>
              <w:rPr>
                <w:rFonts w:ascii="Calibri" w:hAnsi="Calibri"/>
                <w:b/>
                <w:sz w:val="20"/>
              </w:rPr>
              <w:t xml:space="preserve">Fecha de la reunión del Comité Local de Evaluación de Proyectos (LPAC): </w:t>
            </w:r>
            <w:r>
              <w:rPr>
                <w:rFonts w:ascii="Calibri" w:hAnsi="Calibri"/>
                <w:i/>
                <w:color w:val="000000" w:themeColor="text1"/>
                <w:sz w:val="20"/>
              </w:rPr>
              <w:t>por definir (antes de la fecha de aprobación de el/la Director(a) General)</w:t>
            </w:r>
          </w:p>
        </w:tc>
      </w:tr>
      <w:tr w:rsidR="00966EF0" w:rsidRPr="001971F9" w14:paraId="3FBF8C1F" w14:textId="77777777" w:rsidTr="00E1499B">
        <w:trPr>
          <w:trHeight w:val="80"/>
        </w:trPr>
        <w:tc>
          <w:tcPr>
            <w:tcW w:w="9355" w:type="dxa"/>
            <w:gridSpan w:val="6"/>
            <w:shd w:val="clear" w:color="auto" w:fill="auto"/>
          </w:tcPr>
          <w:p w14:paraId="5C90F2CD" w14:textId="16FC33EE" w:rsidR="00966EF0" w:rsidRPr="00A562E4" w:rsidRDefault="00966EF0" w:rsidP="00BB09D8">
            <w:pPr>
              <w:spacing w:after="240"/>
              <w:rPr>
                <w:rFonts w:ascii="Calibri" w:eastAsia="SimSun" w:hAnsi="Calibri" w:cs="Arial"/>
                <w:b/>
                <w:sz w:val="20"/>
                <w:szCs w:val="20"/>
              </w:rPr>
            </w:pPr>
            <w:r>
              <w:rPr>
                <w:rFonts w:ascii="Calibri" w:hAnsi="Calibri"/>
                <w:b/>
                <w:sz w:val="20"/>
              </w:rPr>
              <w:t xml:space="preserve">Última fecha posible </w:t>
            </w:r>
            <w:r w:rsidR="00BB09D8">
              <w:rPr>
                <w:rFonts w:ascii="Calibri" w:hAnsi="Calibri"/>
                <w:b/>
                <w:sz w:val="20"/>
              </w:rPr>
              <w:t xml:space="preserve">para presentar </w:t>
            </w:r>
            <w:r>
              <w:rPr>
                <w:rFonts w:ascii="Calibri" w:hAnsi="Calibri"/>
                <w:b/>
                <w:sz w:val="20"/>
              </w:rPr>
              <w:t xml:space="preserve">al FMAM: </w:t>
            </w:r>
            <w:r>
              <w:rPr>
                <w:rFonts w:ascii="Calibri" w:hAnsi="Calibri"/>
                <w:sz w:val="20"/>
              </w:rPr>
              <w:t>10 de diciembre de 2022</w:t>
            </w:r>
            <w:r>
              <w:rPr>
                <w:rFonts w:ascii="Calibri" w:hAnsi="Calibri"/>
                <w:i/>
                <w:sz w:val="20"/>
              </w:rPr>
              <w:t xml:space="preserve"> </w:t>
            </w:r>
          </w:p>
        </w:tc>
      </w:tr>
      <w:tr w:rsidR="00966EF0" w:rsidRPr="001971F9" w14:paraId="75AD7E9D" w14:textId="77777777" w:rsidTr="00E1499B">
        <w:trPr>
          <w:trHeight w:val="224"/>
        </w:trPr>
        <w:tc>
          <w:tcPr>
            <w:tcW w:w="9355" w:type="dxa"/>
            <w:gridSpan w:val="6"/>
            <w:shd w:val="clear" w:color="auto" w:fill="auto"/>
          </w:tcPr>
          <w:p w14:paraId="326F5F73" w14:textId="7B7B33F6" w:rsidR="00966EF0" w:rsidRPr="00A562E4" w:rsidRDefault="00966EF0" w:rsidP="00966EF0">
            <w:pPr>
              <w:spacing w:after="240"/>
              <w:rPr>
                <w:rFonts w:ascii="Calibri" w:eastAsia="SimSun" w:hAnsi="Calibri" w:cs="Arial"/>
                <w:b/>
                <w:sz w:val="20"/>
                <w:szCs w:val="20"/>
              </w:rPr>
            </w:pPr>
            <w:r>
              <w:rPr>
                <w:rFonts w:ascii="Calibri" w:hAnsi="Calibri"/>
                <w:b/>
                <w:sz w:val="20"/>
              </w:rPr>
              <w:t xml:space="preserve">Última fecha posible de aprobación de el/la Director(a) General: </w:t>
            </w:r>
            <w:r>
              <w:rPr>
                <w:rFonts w:ascii="Calibri" w:hAnsi="Calibri"/>
                <w:sz w:val="20"/>
              </w:rPr>
              <w:t>10 de junio de 2023</w:t>
            </w:r>
            <w:r>
              <w:rPr>
                <w:rFonts w:ascii="Calibri" w:hAnsi="Calibri"/>
                <w:i/>
                <w:sz w:val="20"/>
              </w:rPr>
              <w:t xml:space="preserve"> </w:t>
            </w:r>
          </w:p>
        </w:tc>
      </w:tr>
      <w:tr w:rsidR="00966EF0" w:rsidRPr="00966EF0" w14:paraId="5F3E7EF1" w14:textId="77777777" w:rsidTr="00BA3DD6">
        <w:trPr>
          <w:trHeight w:val="350"/>
        </w:trPr>
        <w:tc>
          <w:tcPr>
            <w:tcW w:w="9355" w:type="dxa"/>
            <w:gridSpan w:val="6"/>
            <w:shd w:val="clear" w:color="auto" w:fill="auto"/>
          </w:tcPr>
          <w:p w14:paraId="1BDF43F3" w14:textId="27437EE5" w:rsidR="00966EF0" w:rsidRPr="00966EF0" w:rsidRDefault="00966EF0" w:rsidP="00966EF0">
            <w:pPr>
              <w:spacing w:after="240"/>
              <w:rPr>
                <w:rFonts w:ascii="Calibri" w:eastAsia="SimSun" w:hAnsi="Calibri" w:cs="Arial"/>
                <w:b/>
                <w:sz w:val="20"/>
                <w:szCs w:val="20"/>
              </w:rPr>
            </w:pPr>
            <w:r>
              <w:rPr>
                <w:rFonts w:ascii="Calibri" w:hAnsi="Calibri"/>
                <w:b/>
                <w:sz w:val="20"/>
              </w:rPr>
              <w:t xml:space="preserve">Duración del proyecto en meses: </w:t>
            </w:r>
            <w:r>
              <w:rPr>
                <w:rFonts w:ascii="Calibri" w:hAnsi="Calibri"/>
                <w:sz w:val="20"/>
              </w:rPr>
              <w:t>60</w:t>
            </w:r>
          </w:p>
        </w:tc>
      </w:tr>
      <w:tr w:rsidR="00E1499B" w:rsidRPr="00966EF0" w14:paraId="0539E706" w14:textId="77777777" w:rsidTr="00BA3DD6">
        <w:trPr>
          <w:trHeight w:val="710"/>
        </w:trPr>
        <w:tc>
          <w:tcPr>
            <w:tcW w:w="4585" w:type="dxa"/>
            <w:gridSpan w:val="3"/>
            <w:shd w:val="clear" w:color="auto" w:fill="auto"/>
          </w:tcPr>
          <w:p w14:paraId="7B98D032" w14:textId="463A4A77" w:rsidR="00E1499B" w:rsidRPr="002903E3" w:rsidRDefault="00E1499B" w:rsidP="00E1499B">
            <w:pPr>
              <w:spacing w:after="240"/>
              <w:rPr>
                <w:rFonts w:ascii="Calibri" w:eastAsia="SimSun" w:hAnsi="Calibri" w:cs="Arial"/>
                <w:b/>
                <w:sz w:val="20"/>
                <w:szCs w:val="20"/>
              </w:rPr>
            </w:pPr>
            <w:r w:rsidRPr="002903E3">
              <w:rPr>
                <w:rFonts w:asciiTheme="minorHAnsi" w:hAnsiTheme="minorHAnsi"/>
                <w:b/>
                <w:sz w:val="20"/>
              </w:rPr>
              <w:t xml:space="preserve">Fecha de inicio prevista: </w:t>
            </w:r>
            <w:r w:rsidRPr="002903E3">
              <w:rPr>
                <w:rFonts w:asciiTheme="minorHAnsi" w:hAnsiTheme="minorHAnsi"/>
                <w:sz w:val="20"/>
              </w:rPr>
              <w:t xml:space="preserve">10 de </w:t>
            </w:r>
            <w:r w:rsidR="002903E3" w:rsidRPr="002903E3">
              <w:rPr>
                <w:rFonts w:asciiTheme="minorHAnsi" w:hAnsiTheme="minorHAnsi"/>
                <w:sz w:val="20"/>
              </w:rPr>
              <w:t>diciembre</w:t>
            </w:r>
            <w:r w:rsidRPr="002903E3">
              <w:rPr>
                <w:rFonts w:asciiTheme="minorHAnsi" w:hAnsiTheme="minorHAnsi"/>
                <w:sz w:val="20"/>
              </w:rPr>
              <w:t xml:space="preserve"> de 2023</w:t>
            </w:r>
          </w:p>
        </w:tc>
        <w:tc>
          <w:tcPr>
            <w:tcW w:w="4770" w:type="dxa"/>
            <w:gridSpan w:val="3"/>
            <w:shd w:val="clear" w:color="auto" w:fill="auto"/>
          </w:tcPr>
          <w:p w14:paraId="3077F68A" w14:textId="6B87A2CD" w:rsidR="00E1499B" w:rsidRPr="002903E3" w:rsidRDefault="00E1499B" w:rsidP="00E1499B">
            <w:pPr>
              <w:spacing w:after="240"/>
              <w:rPr>
                <w:rFonts w:asciiTheme="minorHAnsi" w:eastAsia="SimSun" w:hAnsiTheme="minorHAnsi" w:cstheme="minorHAnsi"/>
                <w:i/>
                <w:sz w:val="20"/>
                <w:szCs w:val="20"/>
              </w:rPr>
            </w:pPr>
            <w:r w:rsidRPr="002903E3">
              <w:rPr>
                <w:rFonts w:asciiTheme="minorHAnsi" w:hAnsiTheme="minorHAnsi"/>
                <w:b/>
                <w:sz w:val="20"/>
              </w:rPr>
              <w:t xml:space="preserve">Fecha de finalización prevista: </w:t>
            </w:r>
            <w:r w:rsidRPr="002903E3">
              <w:rPr>
                <w:rFonts w:asciiTheme="minorHAnsi" w:hAnsiTheme="minorHAnsi"/>
                <w:sz w:val="20"/>
              </w:rPr>
              <w:t>10 de</w:t>
            </w:r>
            <w:r w:rsidR="002903E3" w:rsidRPr="002903E3">
              <w:rPr>
                <w:rFonts w:asciiTheme="minorHAnsi" w:hAnsiTheme="minorHAnsi"/>
                <w:sz w:val="20"/>
              </w:rPr>
              <w:t xml:space="preserve"> diciembre</w:t>
            </w:r>
            <w:r w:rsidRPr="002903E3">
              <w:rPr>
                <w:rFonts w:asciiTheme="minorHAnsi" w:hAnsiTheme="minorHAnsi"/>
                <w:sz w:val="20"/>
              </w:rPr>
              <w:t xml:space="preserve"> de 2028</w:t>
            </w:r>
          </w:p>
        </w:tc>
      </w:tr>
      <w:tr w:rsidR="00966EF0" w:rsidRPr="001971F9" w14:paraId="1260A44E" w14:textId="77777777" w:rsidTr="00BA3DD6">
        <w:tc>
          <w:tcPr>
            <w:tcW w:w="4585" w:type="dxa"/>
            <w:gridSpan w:val="3"/>
            <w:shd w:val="clear" w:color="auto" w:fill="auto"/>
          </w:tcPr>
          <w:p w14:paraId="19609152" w14:textId="6793AC7B" w:rsidR="00966EF0" w:rsidRPr="006A315B" w:rsidRDefault="00966EF0" w:rsidP="00966EF0">
            <w:pPr>
              <w:spacing w:after="240"/>
              <w:rPr>
                <w:rFonts w:ascii="Calibri" w:eastAsia="SimSun" w:hAnsi="Calibri" w:cs="Arial"/>
                <w:i/>
                <w:sz w:val="20"/>
                <w:szCs w:val="20"/>
              </w:rPr>
            </w:pPr>
            <w:r>
              <w:rPr>
                <w:rFonts w:ascii="Calibri" w:hAnsi="Calibri"/>
                <w:b/>
                <w:sz w:val="20"/>
              </w:rPr>
              <w:lastRenderedPageBreak/>
              <w:t>Fecha prevista para la revisión intermedia</w:t>
            </w:r>
            <w:r>
              <w:rPr>
                <w:rFonts w:asciiTheme="minorHAnsi" w:hAnsiTheme="minorHAnsi"/>
                <w:b/>
                <w:sz w:val="20"/>
              </w:rPr>
              <w:t xml:space="preserve">: </w:t>
            </w:r>
            <w:r>
              <w:rPr>
                <w:rFonts w:asciiTheme="minorHAnsi" w:hAnsiTheme="minorHAnsi"/>
                <w:sz w:val="20"/>
              </w:rPr>
              <w:t>32 meses</w:t>
            </w:r>
            <w:r>
              <w:rPr>
                <w:rFonts w:asciiTheme="minorHAnsi" w:hAnsiTheme="minorHAnsi"/>
                <w:b/>
                <w:sz w:val="20"/>
              </w:rPr>
              <w:t xml:space="preserve"> </w:t>
            </w:r>
            <w:r>
              <w:rPr>
                <w:rFonts w:asciiTheme="minorHAnsi" w:hAnsiTheme="minorHAnsi"/>
                <w:sz w:val="20"/>
              </w:rPr>
              <w:t>de la aprobación de el/la Director(a) General (entre el 2º y el 3º Informe de Ejecución del Proyecto - PIR).</w:t>
            </w:r>
          </w:p>
        </w:tc>
        <w:tc>
          <w:tcPr>
            <w:tcW w:w="4770" w:type="dxa"/>
            <w:gridSpan w:val="3"/>
            <w:shd w:val="clear" w:color="auto" w:fill="auto"/>
          </w:tcPr>
          <w:p w14:paraId="28B3BCD9" w14:textId="1BE68FE2" w:rsidR="00966EF0" w:rsidRPr="00AE44F4" w:rsidRDefault="00966EF0" w:rsidP="00706CA2">
            <w:pPr>
              <w:spacing w:after="240"/>
              <w:rPr>
                <w:rFonts w:asciiTheme="minorHAnsi" w:eastAsia="SimSun" w:hAnsiTheme="minorHAnsi" w:cstheme="minorHAnsi"/>
                <w:b/>
                <w:sz w:val="20"/>
                <w:szCs w:val="20"/>
              </w:rPr>
            </w:pPr>
            <w:r>
              <w:rPr>
                <w:rFonts w:asciiTheme="minorHAnsi" w:hAnsiTheme="minorHAnsi"/>
                <w:b/>
                <w:sz w:val="20"/>
              </w:rPr>
              <w:t xml:space="preserve">Fecha prevista para la </w:t>
            </w:r>
            <w:r w:rsidR="00706CA2">
              <w:rPr>
                <w:rFonts w:asciiTheme="minorHAnsi" w:hAnsiTheme="minorHAnsi"/>
                <w:b/>
                <w:sz w:val="20"/>
              </w:rPr>
              <w:t>E</w:t>
            </w:r>
            <w:r>
              <w:rPr>
                <w:rFonts w:asciiTheme="minorHAnsi" w:hAnsiTheme="minorHAnsi"/>
                <w:b/>
                <w:sz w:val="20"/>
              </w:rPr>
              <w:t xml:space="preserve">valuación </w:t>
            </w:r>
            <w:r w:rsidR="00706CA2">
              <w:rPr>
                <w:rFonts w:asciiTheme="minorHAnsi" w:hAnsiTheme="minorHAnsi"/>
                <w:b/>
                <w:sz w:val="20"/>
              </w:rPr>
              <w:t>F</w:t>
            </w:r>
            <w:r>
              <w:rPr>
                <w:rFonts w:asciiTheme="minorHAnsi" w:hAnsiTheme="minorHAnsi"/>
                <w:b/>
                <w:sz w:val="20"/>
              </w:rPr>
              <w:t xml:space="preserve">inal: </w:t>
            </w:r>
            <w:r w:rsidR="00706CA2">
              <w:rPr>
                <w:rFonts w:asciiTheme="minorHAnsi" w:hAnsiTheme="minorHAnsi"/>
                <w:color w:val="000000"/>
                <w:sz w:val="20"/>
              </w:rPr>
              <w:t>a</w:t>
            </w:r>
            <w:r>
              <w:rPr>
                <w:rFonts w:asciiTheme="minorHAnsi" w:hAnsiTheme="minorHAnsi"/>
                <w:color w:val="000000"/>
                <w:sz w:val="20"/>
              </w:rPr>
              <w:t>l menos tres meses antes del cierre operativo.</w:t>
            </w:r>
          </w:p>
        </w:tc>
      </w:tr>
      <w:tr w:rsidR="00966EF0" w:rsidRPr="001971F9" w14:paraId="1E0356C2" w14:textId="77777777" w:rsidTr="00BA3DD6">
        <w:tc>
          <w:tcPr>
            <w:tcW w:w="9355" w:type="dxa"/>
            <w:gridSpan w:val="6"/>
            <w:shd w:val="clear" w:color="auto" w:fill="auto"/>
          </w:tcPr>
          <w:p w14:paraId="032840DA" w14:textId="772A9C1A" w:rsidR="00DB056F" w:rsidRPr="00DB056F" w:rsidRDefault="00966EF0" w:rsidP="00705581">
            <w:pPr>
              <w:tabs>
                <w:tab w:val="left" w:pos="0"/>
              </w:tabs>
              <w:spacing w:before="60" w:after="40"/>
              <w:jc w:val="both"/>
              <w:rPr>
                <w:rFonts w:asciiTheme="minorHAnsi" w:hAnsiTheme="minorHAnsi" w:cstheme="minorHAnsi"/>
                <w:bCs/>
                <w:iCs/>
                <w:color w:val="000000"/>
                <w:sz w:val="20"/>
                <w:szCs w:val="20"/>
              </w:rPr>
            </w:pPr>
            <w:r>
              <w:rPr>
                <w:rFonts w:ascii="Calibri" w:hAnsi="Calibri"/>
                <w:b/>
                <w:sz w:val="20"/>
              </w:rPr>
              <w:t xml:space="preserve">Breve descripción del proyecto: </w:t>
            </w:r>
            <w:r w:rsidR="00706CA2">
              <w:rPr>
                <w:rFonts w:asciiTheme="minorHAnsi" w:hAnsiTheme="minorHAnsi"/>
                <w:sz w:val="20"/>
              </w:rPr>
              <w:t>e</w:t>
            </w:r>
            <w:r>
              <w:rPr>
                <w:rFonts w:asciiTheme="minorHAnsi" w:hAnsiTheme="minorHAnsi"/>
                <w:sz w:val="20"/>
              </w:rPr>
              <w:t xml:space="preserve">l </w:t>
            </w:r>
            <w:r>
              <w:rPr>
                <w:rFonts w:asciiTheme="minorHAnsi" w:hAnsiTheme="minorHAnsi"/>
                <w:color w:val="000000" w:themeColor="text1"/>
                <w:sz w:val="20"/>
              </w:rPr>
              <w:t xml:space="preserve">proyecto </w:t>
            </w:r>
            <w:r>
              <w:rPr>
                <w:rFonts w:asciiTheme="minorHAnsi" w:hAnsiTheme="minorHAnsi"/>
                <w:sz w:val="20"/>
              </w:rPr>
              <w:t xml:space="preserve">financiado por el FMAM </w:t>
            </w:r>
            <w:r>
              <w:rPr>
                <w:rFonts w:asciiTheme="minorHAnsi" w:hAnsiTheme="minorHAnsi"/>
                <w:color w:val="000000" w:themeColor="text1"/>
                <w:sz w:val="20"/>
              </w:rPr>
              <w:t>(Subvención: 4.000.000 USD; Cofinanciación: USD</w:t>
            </w:r>
            <w:r>
              <w:rPr>
                <w:rFonts w:asciiTheme="minorHAnsi" w:hAnsiTheme="minorHAnsi"/>
                <w:color w:val="FF0000"/>
                <w:sz w:val="20"/>
              </w:rPr>
              <w:t xml:space="preserve"> </w:t>
            </w:r>
            <w:r>
              <w:rPr>
                <w:rFonts w:asciiTheme="minorHAnsi" w:hAnsiTheme="minorHAnsi"/>
                <w:color w:val="000000" w:themeColor="text1"/>
                <w:sz w:val="20"/>
              </w:rPr>
              <w:t xml:space="preserve">26.878.386), ejecutado por el Ministerio de Ambiente, Agua y Transición Ecológica (MAATE), con el apoyo del Programa de las Naciones Unidas para el Desarrollo (PNUD), tiene como objetivo reducir el uso global de agroquímicos nocivos apoyando </w:t>
            </w:r>
            <w:r>
              <w:rPr>
                <w:rFonts w:asciiTheme="minorHAnsi" w:hAnsiTheme="minorHAnsi"/>
                <w:sz w:val="20"/>
              </w:rPr>
              <w:t xml:space="preserve">a los agricultores para que accedan a financiación, a prácticas de producción innovadoras y sostenibles, y accedan de forma competitiva a los mercados de consumo en Ecuador. </w:t>
            </w:r>
            <w:r>
              <w:rPr>
                <w:rFonts w:asciiTheme="minorHAnsi" w:hAnsiTheme="minorHAnsi"/>
                <w:color w:val="000000"/>
                <w:sz w:val="20"/>
              </w:rPr>
              <w:t>El proyecto se estructura en cuatro componentes y en los siguientes resultados principales:</w:t>
            </w:r>
          </w:p>
          <w:p w14:paraId="10EC2BC4" w14:textId="73F9F655" w:rsidR="008E14CE" w:rsidRPr="008E14CE" w:rsidRDefault="008E14CE">
            <w:pPr>
              <w:pStyle w:val="NormalWeb"/>
              <w:numPr>
                <w:ilvl w:val="0"/>
                <w:numId w:val="26"/>
              </w:numPr>
              <w:spacing w:before="0" w:beforeAutospacing="0" w:after="40" w:afterAutospacing="0"/>
              <w:rPr>
                <w:rFonts w:asciiTheme="minorHAnsi" w:hAnsiTheme="minorHAnsi" w:cstheme="minorHAnsi"/>
                <w:kern w:val="24"/>
                <w:sz w:val="20"/>
                <w:szCs w:val="20"/>
              </w:rPr>
            </w:pPr>
            <w:r>
              <w:rPr>
                <w:rFonts w:asciiTheme="minorHAnsi" w:hAnsiTheme="minorHAnsi"/>
                <w:sz w:val="20"/>
              </w:rPr>
              <w:t>Los marcos políticos y de inversión incentivan la reducción del uso de productos agroquímicos nocivos; y los marcos normativos potencian la gestión adecuada de los productos químicos agrícolas.</w:t>
            </w:r>
          </w:p>
          <w:p w14:paraId="6874204D" w14:textId="38B38AD4" w:rsidR="008E14CE" w:rsidRPr="008E14CE" w:rsidRDefault="008E14CE">
            <w:pPr>
              <w:pStyle w:val="NormalWeb"/>
              <w:numPr>
                <w:ilvl w:val="0"/>
                <w:numId w:val="26"/>
              </w:numPr>
              <w:spacing w:after="40" w:afterAutospacing="0"/>
              <w:rPr>
                <w:rFonts w:asciiTheme="minorHAnsi" w:hAnsiTheme="minorHAnsi" w:cstheme="minorHAnsi"/>
                <w:kern w:val="24"/>
                <w:sz w:val="20"/>
                <w:szCs w:val="20"/>
              </w:rPr>
            </w:pPr>
            <w:r>
              <w:rPr>
                <w:rFonts w:asciiTheme="minorHAnsi" w:hAnsiTheme="minorHAnsi"/>
                <w:sz w:val="20"/>
              </w:rPr>
              <w:t>La adopción generalizada de alternativas innovadoras más seguras y de prácticas agrícolas sostenibles reduce la demanda de productos agroquímicos y los sustituye eficazmente</w:t>
            </w:r>
            <w:r w:rsidR="005104FD">
              <w:rPr>
                <w:rFonts w:asciiTheme="minorHAnsi" w:hAnsiTheme="minorHAnsi"/>
                <w:sz w:val="20"/>
              </w:rPr>
              <w:t>.</w:t>
            </w:r>
            <w:r>
              <w:rPr>
                <w:rFonts w:asciiTheme="minorHAnsi" w:hAnsiTheme="minorHAnsi"/>
                <w:sz w:val="20"/>
              </w:rPr>
              <w:t xml:space="preserve"> </w:t>
            </w:r>
            <w:r w:rsidR="005104FD">
              <w:rPr>
                <w:rFonts w:asciiTheme="minorHAnsi" w:hAnsiTheme="minorHAnsi"/>
                <w:sz w:val="20"/>
              </w:rPr>
              <w:t xml:space="preserve">La </w:t>
            </w:r>
            <w:r>
              <w:rPr>
                <w:rFonts w:asciiTheme="minorHAnsi" w:hAnsiTheme="minorHAnsi"/>
                <w:sz w:val="20"/>
              </w:rPr>
              <w:t>identificación y gestión de residuos agroquímicos de forma sostenible mediante sistemas reforzados de reducción o reciclaje de residuos.</w:t>
            </w:r>
          </w:p>
          <w:p w14:paraId="2B8B6356" w14:textId="632A4164" w:rsidR="008E14CE" w:rsidRPr="008E14CE" w:rsidRDefault="008E14CE">
            <w:pPr>
              <w:pStyle w:val="NormalWeb"/>
              <w:numPr>
                <w:ilvl w:val="0"/>
                <w:numId w:val="26"/>
              </w:numPr>
              <w:spacing w:after="40" w:afterAutospacing="0"/>
              <w:rPr>
                <w:rFonts w:asciiTheme="minorHAnsi" w:hAnsiTheme="minorHAnsi" w:cstheme="minorHAnsi"/>
                <w:kern w:val="24"/>
                <w:sz w:val="20"/>
                <w:szCs w:val="20"/>
              </w:rPr>
            </w:pPr>
            <w:r>
              <w:rPr>
                <w:rFonts w:asciiTheme="minorHAnsi" w:hAnsiTheme="minorHAnsi"/>
                <w:sz w:val="20"/>
              </w:rPr>
              <w:t xml:space="preserve">Las plataformas de </w:t>
            </w:r>
            <w:r w:rsidR="00706CA2">
              <w:rPr>
                <w:rFonts w:asciiTheme="minorHAnsi" w:hAnsiTheme="minorHAnsi"/>
                <w:sz w:val="20"/>
              </w:rPr>
              <w:t>G</w:t>
            </w:r>
            <w:r>
              <w:rPr>
                <w:rFonts w:asciiTheme="minorHAnsi" w:hAnsiTheme="minorHAnsi"/>
                <w:sz w:val="20"/>
              </w:rPr>
              <w:t xml:space="preserve">estión de la </w:t>
            </w:r>
            <w:r w:rsidR="00706CA2">
              <w:rPr>
                <w:rFonts w:asciiTheme="minorHAnsi" w:hAnsiTheme="minorHAnsi"/>
                <w:sz w:val="20"/>
              </w:rPr>
              <w:t>I</w:t>
            </w:r>
            <w:r>
              <w:rPr>
                <w:rFonts w:asciiTheme="minorHAnsi" w:hAnsiTheme="minorHAnsi"/>
                <w:sz w:val="20"/>
              </w:rPr>
              <w:t xml:space="preserve">nformación y el </w:t>
            </w:r>
            <w:r w:rsidR="00706CA2">
              <w:rPr>
                <w:rFonts w:asciiTheme="minorHAnsi" w:hAnsiTheme="minorHAnsi"/>
                <w:sz w:val="20"/>
              </w:rPr>
              <w:t>C</w:t>
            </w:r>
            <w:r>
              <w:rPr>
                <w:rFonts w:asciiTheme="minorHAnsi" w:hAnsiTheme="minorHAnsi"/>
                <w:sz w:val="20"/>
              </w:rPr>
              <w:t>onocimiento (GC) catalizan la toma de decisiones y las inversiones basadas en pruebas, y potencian la ampliación, la reproducción y el impacto de FARM.</w:t>
            </w:r>
            <w:r>
              <w:rPr>
                <w:rFonts w:ascii="Calibri" w:hAnsi="Calibri"/>
                <w:sz w:val="20"/>
              </w:rPr>
              <w:t xml:space="preserve"> </w:t>
            </w:r>
          </w:p>
          <w:p w14:paraId="6CA3D80D" w14:textId="4F267E16" w:rsidR="008E14CE" w:rsidRPr="008E14CE" w:rsidRDefault="008E14CE">
            <w:pPr>
              <w:pStyle w:val="NormalWeb"/>
              <w:numPr>
                <w:ilvl w:val="0"/>
                <w:numId w:val="26"/>
              </w:numPr>
              <w:spacing w:after="40" w:afterAutospacing="0"/>
              <w:rPr>
                <w:rFonts w:asciiTheme="minorHAnsi" w:hAnsiTheme="minorHAnsi" w:cstheme="minorHAnsi"/>
                <w:kern w:val="24"/>
                <w:sz w:val="20"/>
                <w:szCs w:val="20"/>
              </w:rPr>
            </w:pPr>
            <w:r>
              <w:rPr>
                <w:rFonts w:asciiTheme="minorHAnsi" w:hAnsiTheme="minorHAnsi"/>
                <w:color w:val="000000"/>
                <w:sz w:val="20"/>
              </w:rPr>
              <w:t>Actividades de seguimiento y evaluación, manejo, ejecución y gestión adaptativa.</w:t>
            </w:r>
          </w:p>
          <w:p w14:paraId="5AD44FB9" w14:textId="7B5BC82D" w:rsidR="00966EF0" w:rsidRPr="00DB056F" w:rsidRDefault="00DB056F" w:rsidP="00705581">
            <w:pPr>
              <w:spacing w:after="40"/>
              <w:jc w:val="both"/>
              <w:rPr>
                <w:rFonts w:asciiTheme="minorHAnsi" w:eastAsia="SimSun" w:hAnsiTheme="minorHAnsi" w:cstheme="minorHAnsi"/>
                <w:i/>
                <w:sz w:val="20"/>
                <w:szCs w:val="20"/>
              </w:rPr>
            </w:pPr>
            <w:r>
              <w:rPr>
                <w:rFonts w:asciiTheme="minorHAnsi" w:hAnsiTheme="minorHAnsi"/>
                <w:color w:val="000000"/>
                <w:sz w:val="20"/>
              </w:rPr>
              <w:t xml:space="preserve">El proyecto </w:t>
            </w:r>
            <w:r>
              <w:rPr>
                <w:rFonts w:asciiTheme="minorHAnsi" w:hAnsiTheme="minorHAnsi"/>
                <w:color w:val="000000" w:themeColor="text1"/>
                <w:sz w:val="20"/>
              </w:rPr>
              <w:t>proporcionará Beneficios Ambientales Globales</w:t>
            </w:r>
            <w:r w:rsidR="00136309" w:rsidRPr="002A50C7">
              <w:rPr>
                <w:rStyle w:val="Refdenotaalpie"/>
                <w:rFonts w:cstheme="minorHAnsi"/>
                <w:bCs/>
                <w:color w:val="000000" w:themeColor="text1"/>
                <w:szCs w:val="20"/>
                <w:lang w:val="en-US"/>
              </w:rPr>
              <w:footnoteReference w:id="1"/>
            </w:r>
            <w:r>
              <w:rPr>
                <w:rFonts w:asciiTheme="minorHAnsi" w:hAnsiTheme="minorHAnsi"/>
                <w:color w:val="000000" w:themeColor="text1"/>
                <w:sz w:val="20"/>
              </w:rPr>
              <w:t xml:space="preserve"> en términos de reducción de 783 Tm de pesticidas </w:t>
            </w:r>
            <w:r w:rsidRPr="002903E3">
              <w:rPr>
                <w:rFonts w:asciiTheme="minorHAnsi" w:hAnsiTheme="minorHAnsi"/>
                <w:color w:val="000000" w:themeColor="text1"/>
                <w:sz w:val="20"/>
              </w:rPr>
              <w:t>COP/candidatos COP y</w:t>
            </w:r>
            <w:r>
              <w:rPr>
                <w:rFonts w:asciiTheme="minorHAnsi" w:hAnsiTheme="minorHAnsi"/>
                <w:color w:val="000000" w:themeColor="text1"/>
                <w:sz w:val="20"/>
              </w:rPr>
              <w:t xml:space="preserve"> 1.917 Tm de PAP; 1.128 Tm de GEI y 19,7 gTEq </w:t>
            </w:r>
            <w:r>
              <w:rPr>
                <w:rFonts w:asciiTheme="minorHAnsi" w:hAnsiTheme="minorHAnsi"/>
                <w:color w:val="000000"/>
                <w:sz w:val="20"/>
              </w:rPr>
              <w:t>de emisiones procedentes de la actividad agrícola, beneficiando a los habitantes del país.</w:t>
            </w:r>
          </w:p>
        </w:tc>
      </w:tr>
      <w:tr w:rsidR="00966EF0" w:rsidRPr="007B20A0" w14:paraId="5F67A5E9" w14:textId="77777777" w:rsidTr="00966EF0">
        <w:trPr>
          <w:trHeight w:val="377"/>
        </w:trPr>
        <w:tc>
          <w:tcPr>
            <w:tcW w:w="9355" w:type="dxa"/>
            <w:gridSpan w:val="6"/>
            <w:shd w:val="clear" w:color="auto" w:fill="D9D9D9"/>
          </w:tcPr>
          <w:p w14:paraId="01240F32" w14:textId="4AC24DC0" w:rsidR="00966EF0" w:rsidRPr="006A315B" w:rsidRDefault="00966EF0" w:rsidP="00966EF0">
            <w:pPr>
              <w:spacing w:after="60"/>
              <w:jc w:val="both"/>
              <w:rPr>
                <w:rFonts w:ascii="Calibri" w:eastAsia="SimSun" w:hAnsi="Calibri" w:cs="Arial"/>
                <w:b/>
                <w:smallCaps/>
                <w:sz w:val="20"/>
                <w:szCs w:val="20"/>
              </w:rPr>
            </w:pPr>
            <w:r>
              <w:rPr>
                <w:rFonts w:ascii="Calibri" w:hAnsi="Calibri"/>
                <w:b/>
                <w:smallCaps/>
                <w:sz w:val="20"/>
              </w:rPr>
              <w:t xml:space="preserve">Plan de financiamiento </w:t>
            </w:r>
          </w:p>
        </w:tc>
      </w:tr>
      <w:tr w:rsidR="00966EF0" w:rsidRPr="00966EF0" w14:paraId="48C8B277" w14:textId="77777777" w:rsidTr="00BA3DD6">
        <w:tc>
          <w:tcPr>
            <w:tcW w:w="4585" w:type="dxa"/>
            <w:gridSpan w:val="3"/>
            <w:shd w:val="clear" w:color="auto" w:fill="auto"/>
          </w:tcPr>
          <w:p w14:paraId="2654D70E" w14:textId="69166915" w:rsidR="00966EF0" w:rsidRPr="006A315B" w:rsidRDefault="00966EF0" w:rsidP="00966EF0">
            <w:pPr>
              <w:spacing w:after="240"/>
              <w:rPr>
                <w:rFonts w:ascii="Calibri" w:eastAsia="SimSun" w:hAnsi="Calibri" w:cs="Arial"/>
                <w:sz w:val="20"/>
                <w:szCs w:val="20"/>
              </w:rPr>
            </w:pPr>
            <w:r>
              <w:rPr>
                <w:rFonts w:ascii="Calibri" w:hAnsi="Calibri"/>
                <w:sz w:val="20"/>
              </w:rPr>
              <w:t>Subvención del Fondo Fiduciario del FMAM</w:t>
            </w:r>
          </w:p>
        </w:tc>
        <w:tc>
          <w:tcPr>
            <w:tcW w:w="4770" w:type="dxa"/>
            <w:gridSpan w:val="3"/>
            <w:shd w:val="clear" w:color="auto" w:fill="auto"/>
          </w:tcPr>
          <w:p w14:paraId="1FCAF93F" w14:textId="721F1295" w:rsidR="00966EF0" w:rsidRPr="00966EF0" w:rsidRDefault="00966EF0" w:rsidP="00966EF0">
            <w:pPr>
              <w:spacing w:after="240"/>
              <w:rPr>
                <w:rFonts w:ascii="Calibri" w:eastAsia="SimSun" w:hAnsi="Calibri" w:cs="Arial"/>
                <w:sz w:val="20"/>
                <w:szCs w:val="20"/>
              </w:rPr>
            </w:pPr>
            <w:r>
              <w:rPr>
                <w:rFonts w:ascii="Calibri" w:hAnsi="Calibri"/>
                <w:sz w:val="20"/>
              </w:rPr>
              <w:t>4.000.000 USD</w:t>
            </w:r>
          </w:p>
        </w:tc>
      </w:tr>
      <w:tr w:rsidR="00966EF0" w:rsidRPr="00966EF0" w14:paraId="34B2EBDE" w14:textId="77777777" w:rsidTr="00BA3DD6">
        <w:tc>
          <w:tcPr>
            <w:tcW w:w="4585" w:type="dxa"/>
            <w:gridSpan w:val="3"/>
            <w:shd w:val="clear" w:color="auto" w:fill="auto"/>
          </w:tcPr>
          <w:p w14:paraId="7023190B" w14:textId="77777777" w:rsidR="00966EF0" w:rsidRPr="006A315B" w:rsidRDefault="00966EF0">
            <w:pPr>
              <w:numPr>
                <w:ilvl w:val="0"/>
                <w:numId w:val="5"/>
              </w:numPr>
              <w:spacing w:after="240"/>
              <w:jc w:val="right"/>
              <w:rPr>
                <w:rFonts w:ascii="Calibri" w:eastAsia="SimSun" w:hAnsi="Calibri" w:cs="Arial"/>
                <w:b/>
                <w:sz w:val="20"/>
                <w:szCs w:val="20"/>
              </w:rPr>
            </w:pPr>
            <w:r>
              <w:rPr>
                <w:rFonts w:ascii="Calibri" w:hAnsi="Calibri"/>
                <w:b/>
                <w:sz w:val="20"/>
              </w:rPr>
              <w:t xml:space="preserve">Presupuesto total administrado por el PNUD </w:t>
            </w:r>
          </w:p>
        </w:tc>
        <w:tc>
          <w:tcPr>
            <w:tcW w:w="4770" w:type="dxa"/>
            <w:gridSpan w:val="3"/>
            <w:shd w:val="clear" w:color="auto" w:fill="auto"/>
          </w:tcPr>
          <w:p w14:paraId="0D84A4CC" w14:textId="5A9A5465" w:rsidR="00966EF0" w:rsidRPr="00966EF0" w:rsidRDefault="00966EF0" w:rsidP="00966EF0">
            <w:pPr>
              <w:spacing w:after="240"/>
              <w:rPr>
                <w:rFonts w:ascii="Calibri" w:eastAsia="SimSun" w:hAnsi="Calibri" w:cs="Arial"/>
                <w:b/>
                <w:sz w:val="20"/>
                <w:szCs w:val="20"/>
              </w:rPr>
            </w:pPr>
            <w:r>
              <w:rPr>
                <w:rFonts w:ascii="Calibri" w:hAnsi="Calibri"/>
                <w:b/>
                <w:sz w:val="20"/>
              </w:rPr>
              <w:t>4.000.000 USD</w:t>
            </w:r>
          </w:p>
        </w:tc>
      </w:tr>
      <w:tr w:rsidR="00966EF0" w:rsidRPr="00966EF0" w14:paraId="20EC0EF9" w14:textId="77777777" w:rsidTr="00966EF0">
        <w:tc>
          <w:tcPr>
            <w:tcW w:w="9355" w:type="dxa"/>
            <w:gridSpan w:val="6"/>
            <w:shd w:val="clear" w:color="auto" w:fill="D9D9D9"/>
          </w:tcPr>
          <w:p w14:paraId="4F0F819C" w14:textId="77777777" w:rsidR="00966EF0" w:rsidRPr="00966EF0" w:rsidRDefault="00966EF0" w:rsidP="00966EF0">
            <w:pPr>
              <w:spacing w:after="60"/>
              <w:jc w:val="both"/>
              <w:rPr>
                <w:rFonts w:ascii="Calibri" w:eastAsia="SimSun" w:hAnsi="Calibri" w:cs="Arial"/>
                <w:b/>
                <w:bCs/>
                <w:sz w:val="20"/>
              </w:rPr>
            </w:pPr>
          </w:p>
        </w:tc>
      </w:tr>
      <w:tr w:rsidR="00966EF0" w:rsidRPr="00966EF0" w14:paraId="7A25520A" w14:textId="77777777" w:rsidTr="00BA3DD6">
        <w:tc>
          <w:tcPr>
            <w:tcW w:w="4585" w:type="dxa"/>
            <w:gridSpan w:val="3"/>
            <w:shd w:val="clear" w:color="auto" w:fill="auto"/>
          </w:tcPr>
          <w:p w14:paraId="1B071D02" w14:textId="6DA49BBA" w:rsidR="00966EF0" w:rsidRPr="003C0B2A" w:rsidRDefault="00966EF0">
            <w:pPr>
              <w:numPr>
                <w:ilvl w:val="0"/>
                <w:numId w:val="5"/>
              </w:numPr>
              <w:spacing w:after="240"/>
              <w:jc w:val="right"/>
              <w:rPr>
                <w:rFonts w:ascii="Calibri" w:eastAsia="SimSun" w:hAnsi="Calibri" w:cs="Arial"/>
                <w:b/>
                <w:bCs/>
                <w:sz w:val="20"/>
                <w:szCs w:val="20"/>
              </w:rPr>
            </w:pPr>
            <w:r>
              <w:rPr>
                <w:rFonts w:ascii="Calibri" w:hAnsi="Calibri"/>
                <w:b/>
                <w:sz w:val="20"/>
              </w:rPr>
              <w:t xml:space="preserve">Cofinanciación total confirmada para este proyecto no administrada por el PNUD </w:t>
            </w:r>
          </w:p>
        </w:tc>
        <w:tc>
          <w:tcPr>
            <w:tcW w:w="4770" w:type="dxa"/>
            <w:gridSpan w:val="3"/>
            <w:shd w:val="clear" w:color="auto" w:fill="auto"/>
          </w:tcPr>
          <w:p w14:paraId="7AF09231" w14:textId="0C5574B1" w:rsidR="00966EF0" w:rsidRPr="00966EF0" w:rsidRDefault="00966EF0" w:rsidP="00966EF0">
            <w:pPr>
              <w:spacing w:after="240"/>
              <w:rPr>
                <w:rFonts w:ascii="Calibri" w:eastAsia="SimSun" w:hAnsi="Calibri" w:cs="Calibri"/>
                <w:b/>
                <w:sz w:val="20"/>
                <w:szCs w:val="20"/>
              </w:rPr>
            </w:pPr>
            <w:r>
              <w:rPr>
                <w:rFonts w:ascii="Calibri" w:hAnsi="Calibri"/>
                <w:b/>
                <w:sz w:val="20"/>
              </w:rPr>
              <w:t xml:space="preserve"> </w:t>
            </w:r>
            <w:r>
              <w:rPr>
                <w:rFonts w:ascii="Calibri" w:hAnsi="Calibri"/>
                <w:b/>
                <w:color w:val="000000" w:themeColor="text1"/>
                <w:sz w:val="20"/>
              </w:rPr>
              <w:t xml:space="preserve">26.878.386 </w:t>
            </w:r>
            <w:r w:rsidR="0012038F">
              <w:rPr>
                <w:rFonts w:ascii="Calibri" w:hAnsi="Calibri"/>
                <w:b/>
                <w:sz w:val="20"/>
              </w:rPr>
              <w:t>USD</w:t>
            </w:r>
          </w:p>
        </w:tc>
      </w:tr>
      <w:tr w:rsidR="00966EF0" w:rsidRPr="00966EF0" w14:paraId="5E5CE615" w14:textId="77777777" w:rsidTr="00BA3DD6">
        <w:tc>
          <w:tcPr>
            <w:tcW w:w="4585" w:type="dxa"/>
            <w:gridSpan w:val="3"/>
            <w:shd w:val="clear" w:color="auto" w:fill="auto"/>
          </w:tcPr>
          <w:p w14:paraId="04C94DBC" w14:textId="77777777" w:rsidR="00966EF0" w:rsidRPr="00966EF0" w:rsidRDefault="00966EF0">
            <w:pPr>
              <w:numPr>
                <w:ilvl w:val="0"/>
                <w:numId w:val="5"/>
              </w:numPr>
              <w:spacing w:after="240"/>
              <w:jc w:val="right"/>
              <w:rPr>
                <w:rFonts w:ascii="Calibri" w:eastAsia="SimSun" w:hAnsi="Calibri" w:cs="Arial"/>
                <w:b/>
                <w:sz w:val="20"/>
                <w:szCs w:val="20"/>
              </w:rPr>
            </w:pPr>
            <w:r>
              <w:rPr>
                <w:rFonts w:ascii="Calibri" w:hAnsi="Calibri"/>
                <w:b/>
                <w:sz w:val="20"/>
              </w:rPr>
              <w:t>Subvención-Financiación total del proyecto (1)+(2)</w:t>
            </w:r>
          </w:p>
        </w:tc>
        <w:tc>
          <w:tcPr>
            <w:tcW w:w="4770" w:type="dxa"/>
            <w:gridSpan w:val="3"/>
            <w:shd w:val="clear" w:color="auto" w:fill="auto"/>
          </w:tcPr>
          <w:p w14:paraId="39B7E1C4" w14:textId="366108A7" w:rsidR="00966EF0" w:rsidRPr="00966EF0" w:rsidRDefault="00966EF0" w:rsidP="00966EF0">
            <w:pPr>
              <w:spacing w:after="240"/>
              <w:rPr>
                <w:rFonts w:ascii="Calibri" w:eastAsia="SimSun" w:hAnsi="Calibri" w:cs="Arial"/>
                <w:b/>
                <w:sz w:val="20"/>
                <w:szCs w:val="20"/>
              </w:rPr>
            </w:pPr>
            <w:r>
              <w:rPr>
                <w:rFonts w:ascii="Calibri" w:hAnsi="Calibri"/>
                <w:b/>
                <w:color w:val="000000" w:themeColor="text1"/>
                <w:sz w:val="20"/>
              </w:rPr>
              <w:t xml:space="preserve">30.878.386 </w:t>
            </w:r>
            <w:r w:rsidR="0021487B">
              <w:rPr>
                <w:rFonts w:ascii="Calibri" w:hAnsi="Calibri"/>
                <w:b/>
                <w:color w:val="000000" w:themeColor="text1"/>
                <w:sz w:val="20"/>
              </w:rPr>
              <w:t>USD</w:t>
            </w:r>
          </w:p>
        </w:tc>
      </w:tr>
      <w:tr w:rsidR="00966EF0" w:rsidRPr="007B20A0" w14:paraId="5EC8E6A0" w14:textId="77777777" w:rsidTr="00966EF0">
        <w:tc>
          <w:tcPr>
            <w:tcW w:w="9355" w:type="dxa"/>
            <w:gridSpan w:val="6"/>
            <w:shd w:val="clear" w:color="auto" w:fill="BFBFBF"/>
          </w:tcPr>
          <w:p w14:paraId="1716BFCD" w14:textId="29A79454" w:rsidR="00966EF0" w:rsidRPr="001B0465" w:rsidRDefault="00966EF0" w:rsidP="00966EF0">
            <w:pPr>
              <w:spacing w:after="240"/>
              <w:rPr>
                <w:rFonts w:ascii="Calibri" w:eastAsia="SimSun" w:hAnsi="Calibri" w:cs="Arial"/>
                <w:b/>
                <w:smallCaps/>
                <w:sz w:val="20"/>
                <w:szCs w:val="20"/>
              </w:rPr>
            </w:pPr>
            <w:r>
              <w:rPr>
                <w:rFonts w:ascii="Calibri" w:hAnsi="Calibri"/>
                <w:b/>
                <w:smallCaps/>
                <w:sz w:val="20"/>
              </w:rPr>
              <w:t xml:space="preserve">Firmas: </w:t>
            </w:r>
          </w:p>
        </w:tc>
      </w:tr>
      <w:tr w:rsidR="00966EF0" w:rsidRPr="008540E9" w14:paraId="7D06A1F8" w14:textId="77777777" w:rsidTr="00EE3FD4">
        <w:tc>
          <w:tcPr>
            <w:tcW w:w="3865" w:type="dxa"/>
            <w:gridSpan w:val="2"/>
            <w:shd w:val="clear" w:color="auto" w:fill="auto"/>
          </w:tcPr>
          <w:p w14:paraId="241F980B" w14:textId="77777777" w:rsidR="00966EF0" w:rsidRPr="00966EF0" w:rsidRDefault="00966EF0" w:rsidP="00966EF0">
            <w:pPr>
              <w:spacing w:after="240"/>
              <w:rPr>
                <w:rFonts w:ascii="Calibri" w:eastAsia="SimSun" w:hAnsi="Calibri" w:cs="Arial"/>
                <w:sz w:val="20"/>
                <w:szCs w:val="20"/>
              </w:rPr>
            </w:pPr>
            <w:r>
              <w:rPr>
                <w:rFonts w:ascii="Calibri" w:hAnsi="Calibri"/>
                <w:b/>
                <w:sz w:val="20"/>
              </w:rPr>
              <w:t xml:space="preserve">Firma:  </w:t>
            </w:r>
            <w:r>
              <w:rPr>
                <w:rFonts w:ascii="Calibri" w:hAnsi="Calibri"/>
                <w:sz w:val="20"/>
              </w:rPr>
              <w:t>escriba su nombre en letra de imprenta</w:t>
            </w:r>
          </w:p>
          <w:p w14:paraId="6B189B5C" w14:textId="77777777" w:rsidR="00966EF0" w:rsidRPr="00966EF0" w:rsidRDefault="00966EF0" w:rsidP="00966EF0">
            <w:pPr>
              <w:spacing w:after="240"/>
              <w:rPr>
                <w:rFonts w:ascii="Calibri" w:eastAsia="SimSun" w:hAnsi="Calibri" w:cs="Arial"/>
                <w:b/>
                <w:sz w:val="20"/>
                <w:szCs w:val="20"/>
              </w:rPr>
            </w:pPr>
          </w:p>
        </w:tc>
        <w:tc>
          <w:tcPr>
            <w:tcW w:w="1890" w:type="dxa"/>
            <w:gridSpan w:val="2"/>
            <w:shd w:val="clear" w:color="auto" w:fill="auto"/>
          </w:tcPr>
          <w:p w14:paraId="2A0D0F8F" w14:textId="4EF98539" w:rsidR="00966EF0" w:rsidRPr="00966EF0" w:rsidRDefault="00966EF0" w:rsidP="00966EF0">
            <w:pPr>
              <w:spacing w:after="240"/>
              <w:rPr>
                <w:rFonts w:ascii="Calibri" w:eastAsia="SimSun" w:hAnsi="Calibri" w:cs="Arial"/>
                <w:b/>
                <w:sz w:val="20"/>
                <w:szCs w:val="20"/>
              </w:rPr>
            </w:pPr>
            <w:r>
              <w:rPr>
                <w:rFonts w:ascii="Calibri" w:hAnsi="Calibri"/>
                <w:b/>
                <w:sz w:val="20"/>
              </w:rPr>
              <w:t>Acordado por el Socio en la Implementación</w:t>
            </w:r>
            <w:r w:rsidRPr="00966EF0">
              <w:rPr>
                <w:rFonts w:ascii="Arial" w:eastAsia="SimSun" w:hAnsi="Arial"/>
                <w:b/>
                <w:sz w:val="18"/>
                <w:szCs w:val="20"/>
                <w:vertAlign w:val="superscript"/>
              </w:rPr>
              <w:footnoteReference w:id="2"/>
            </w:r>
          </w:p>
        </w:tc>
        <w:tc>
          <w:tcPr>
            <w:tcW w:w="3600" w:type="dxa"/>
            <w:gridSpan w:val="2"/>
            <w:shd w:val="clear" w:color="auto" w:fill="auto"/>
          </w:tcPr>
          <w:p w14:paraId="521AB398" w14:textId="77777777" w:rsidR="00966EF0" w:rsidRPr="00A562E4" w:rsidRDefault="00966EF0" w:rsidP="00966EF0">
            <w:pPr>
              <w:spacing w:after="240"/>
              <w:rPr>
                <w:rFonts w:ascii="Calibri" w:eastAsia="SimSun" w:hAnsi="Calibri" w:cs="Arial"/>
                <w:b/>
                <w:i/>
                <w:sz w:val="20"/>
                <w:szCs w:val="20"/>
              </w:rPr>
            </w:pPr>
            <w:r>
              <w:rPr>
                <w:rFonts w:ascii="Calibri" w:hAnsi="Calibri"/>
                <w:b/>
                <w:sz w:val="20"/>
              </w:rPr>
              <w:t>Fecha/Mes/Año:</w:t>
            </w:r>
            <w:r>
              <w:rPr>
                <w:rFonts w:ascii="Calibri" w:hAnsi="Calibri"/>
                <w:sz w:val="20"/>
              </w:rPr>
              <w:t xml:space="preserve"> </w:t>
            </w:r>
            <w:r>
              <w:rPr>
                <w:rFonts w:ascii="Calibri" w:hAnsi="Calibri"/>
                <w:i/>
                <w:sz w:val="20"/>
              </w:rPr>
              <w:t>en los 6 meses siguientes a la aprobación de el/la Director(a) General del FMAM</w:t>
            </w:r>
          </w:p>
          <w:p w14:paraId="6568B578" w14:textId="77777777" w:rsidR="00966EF0" w:rsidRPr="002152FE" w:rsidRDefault="00966EF0" w:rsidP="00966EF0">
            <w:pPr>
              <w:spacing w:after="240"/>
              <w:rPr>
                <w:rFonts w:ascii="Calibri" w:eastAsia="SimSun" w:hAnsi="Calibri" w:cs="Arial"/>
                <w:b/>
                <w:sz w:val="20"/>
                <w:szCs w:val="20"/>
                <w:lang w:val="es-EC"/>
              </w:rPr>
            </w:pPr>
          </w:p>
        </w:tc>
      </w:tr>
      <w:tr w:rsidR="00966EF0" w:rsidRPr="008540E9" w14:paraId="435D6E26" w14:textId="77777777" w:rsidTr="00EE3FD4">
        <w:tc>
          <w:tcPr>
            <w:tcW w:w="3865" w:type="dxa"/>
            <w:gridSpan w:val="2"/>
            <w:shd w:val="clear" w:color="auto" w:fill="auto"/>
          </w:tcPr>
          <w:p w14:paraId="02809E15" w14:textId="77777777" w:rsidR="00966EF0" w:rsidRPr="00966EF0" w:rsidRDefault="00966EF0" w:rsidP="00966EF0">
            <w:pPr>
              <w:spacing w:after="240"/>
              <w:rPr>
                <w:rFonts w:ascii="Calibri" w:eastAsia="SimSun" w:hAnsi="Calibri" w:cs="Arial"/>
                <w:sz w:val="20"/>
                <w:szCs w:val="20"/>
              </w:rPr>
            </w:pPr>
            <w:r>
              <w:rPr>
                <w:rFonts w:ascii="Calibri" w:hAnsi="Calibri"/>
                <w:b/>
                <w:sz w:val="20"/>
              </w:rPr>
              <w:lastRenderedPageBreak/>
              <w:t xml:space="preserve">Firma:  </w:t>
            </w:r>
            <w:r>
              <w:rPr>
                <w:rFonts w:ascii="Calibri" w:hAnsi="Calibri"/>
                <w:sz w:val="20"/>
              </w:rPr>
              <w:t>escriba su nombre en letra de imprenta</w:t>
            </w:r>
          </w:p>
        </w:tc>
        <w:tc>
          <w:tcPr>
            <w:tcW w:w="1890" w:type="dxa"/>
            <w:gridSpan w:val="2"/>
            <w:shd w:val="clear" w:color="auto" w:fill="auto"/>
          </w:tcPr>
          <w:p w14:paraId="1B3D5031" w14:textId="77777777" w:rsidR="00966EF0" w:rsidRPr="00966EF0" w:rsidRDefault="00966EF0" w:rsidP="00966EF0">
            <w:pPr>
              <w:spacing w:after="240"/>
              <w:rPr>
                <w:rFonts w:ascii="Calibri" w:eastAsia="SimSun" w:hAnsi="Calibri" w:cs="Arial"/>
                <w:b/>
                <w:sz w:val="20"/>
                <w:szCs w:val="20"/>
              </w:rPr>
            </w:pPr>
            <w:r>
              <w:rPr>
                <w:rFonts w:ascii="Calibri" w:hAnsi="Calibri"/>
                <w:b/>
                <w:sz w:val="20"/>
              </w:rPr>
              <w:t>Acordado por el PNUD</w:t>
            </w:r>
            <w:r w:rsidRPr="00966EF0">
              <w:rPr>
                <w:rFonts w:ascii="Arial" w:eastAsia="SimSun" w:hAnsi="Arial"/>
                <w:b/>
                <w:sz w:val="18"/>
                <w:szCs w:val="20"/>
                <w:vertAlign w:val="superscript"/>
              </w:rPr>
              <w:footnoteReference w:id="3"/>
            </w:r>
          </w:p>
        </w:tc>
        <w:tc>
          <w:tcPr>
            <w:tcW w:w="3600" w:type="dxa"/>
            <w:gridSpan w:val="2"/>
            <w:shd w:val="clear" w:color="auto" w:fill="auto"/>
          </w:tcPr>
          <w:p w14:paraId="1A3A2300" w14:textId="77777777" w:rsidR="00966EF0" w:rsidRPr="00A562E4" w:rsidRDefault="00966EF0" w:rsidP="00966EF0">
            <w:pPr>
              <w:spacing w:after="240"/>
              <w:rPr>
                <w:rFonts w:ascii="Calibri" w:eastAsia="SimSun" w:hAnsi="Calibri" w:cs="Arial"/>
                <w:b/>
                <w:sz w:val="20"/>
                <w:szCs w:val="20"/>
              </w:rPr>
            </w:pPr>
            <w:r>
              <w:rPr>
                <w:rFonts w:ascii="Calibri" w:hAnsi="Calibri"/>
                <w:b/>
                <w:sz w:val="20"/>
              </w:rPr>
              <w:t>Fecha/Mes/Año:</w:t>
            </w:r>
            <w:r>
              <w:rPr>
                <w:rFonts w:ascii="Calibri" w:hAnsi="Calibri"/>
                <w:sz w:val="20"/>
              </w:rPr>
              <w:t xml:space="preserve"> </w:t>
            </w:r>
            <w:r>
              <w:rPr>
                <w:rFonts w:ascii="Calibri" w:hAnsi="Calibri"/>
                <w:i/>
                <w:sz w:val="20"/>
              </w:rPr>
              <w:t>en los 6 meses siguientes a la aprobación de el/la Director(a) General del FMAM</w:t>
            </w:r>
          </w:p>
        </w:tc>
      </w:tr>
    </w:tbl>
    <w:p w14:paraId="6614C225" w14:textId="5B063C43" w:rsidR="00966EF0" w:rsidRPr="002152FE" w:rsidRDefault="00966EF0" w:rsidP="00966EF0">
      <w:pPr>
        <w:rPr>
          <w:rFonts w:ascii="Calibri" w:eastAsia="SimSun" w:hAnsi="Calibri" w:cs="Arial"/>
          <w:sz w:val="20"/>
          <w:szCs w:val="20"/>
          <w:lang w:val="es-EC"/>
        </w:rPr>
      </w:pPr>
    </w:p>
    <w:p w14:paraId="1D93DB18" w14:textId="07E95478" w:rsidR="00C358E4" w:rsidRPr="00DF10CD" w:rsidRDefault="003D4BF1" w:rsidP="00DF10CD">
      <w:pPr>
        <w:keepNext/>
        <w:pBdr>
          <w:top w:val="single" w:sz="4" w:space="1" w:color="auto"/>
        </w:pBdr>
        <w:tabs>
          <w:tab w:val="num" w:pos="720"/>
        </w:tabs>
        <w:suppressAutoHyphens/>
        <w:spacing w:before="104" w:after="226"/>
        <w:ind w:left="720" w:hanging="720"/>
        <w:jc w:val="both"/>
        <w:outlineLvl w:val="0"/>
        <w:rPr>
          <w:rFonts w:ascii="Calibri" w:eastAsia="SimSun" w:hAnsi="Calibri"/>
          <w:b/>
          <w:smallCaps/>
          <w:spacing w:val="-2"/>
          <w:sz w:val="28"/>
          <w:szCs w:val="20"/>
        </w:rPr>
      </w:pPr>
      <w:bookmarkStart w:id="1" w:name="_Toc10117702"/>
      <w:bookmarkStart w:id="2" w:name="_Toc10449632"/>
      <w:bookmarkStart w:id="3" w:name="_Toc114650841"/>
      <w:bookmarkStart w:id="4" w:name="_Toc144822666"/>
      <w:r>
        <w:rPr>
          <w:rFonts w:ascii="Calibri" w:hAnsi="Calibri"/>
          <w:b/>
          <w:smallCaps/>
          <w:sz w:val="28"/>
        </w:rPr>
        <w:t>I. Índice</w:t>
      </w:r>
      <w:bookmarkEnd w:id="1"/>
      <w:bookmarkEnd w:id="2"/>
      <w:bookmarkEnd w:id="3"/>
      <w:bookmarkEnd w:id="4"/>
    </w:p>
    <w:p w14:paraId="52540932" w14:textId="74CC77DB" w:rsidR="00BC0200" w:rsidRDefault="00ED15CC">
      <w:pPr>
        <w:pStyle w:val="TDC1"/>
        <w:rPr>
          <w:rFonts w:asciiTheme="minorHAnsi" w:eastAsiaTheme="minorEastAsia" w:hAnsiTheme="minorHAnsi" w:cstheme="minorBidi"/>
          <w:b w:val="0"/>
          <w:bCs w:val="0"/>
          <w:smallCaps w:val="0"/>
          <w:spacing w:val="0"/>
          <w:sz w:val="22"/>
          <w:szCs w:val="22"/>
          <w:lang w:val="es-EC" w:eastAsia="es-EC"/>
        </w:rPr>
      </w:pPr>
      <w:r w:rsidRPr="00DC294C">
        <w:rPr>
          <w:b w:val="0"/>
          <w:color w:val="000000" w:themeColor="text1"/>
          <w:sz w:val="18"/>
        </w:rPr>
        <w:fldChar w:fldCharType="begin"/>
      </w:r>
      <w:r w:rsidRPr="00DC294C">
        <w:rPr>
          <w:b w:val="0"/>
          <w:color w:val="000000" w:themeColor="text1"/>
          <w:sz w:val="18"/>
        </w:rPr>
        <w:instrText xml:space="preserve"> TOC \o "1-3" \h \z \u </w:instrText>
      </w:r>
      <w:r w:rsidRPr="00DC294C">
        <w:rPr>
          <w:b w:val="0"/>
          <w:color w:val="000000" w:themeColor="text1"/>
          <w:sz w:val="18"/>
        </w:rPr>
        <w:fldChar w:fldCharType="separate"/>
      </w:r>
      <w:hyperlink w:anchor="_Toc144822666" w:history="1">
        <w:r w:rsidR="00BC0200" w:rsidRPr="00545175">
          <w:rPr>
            <w:rStyle w:val="Hipervnculo"/>
          </w:rPr>
          <w:t>I. Índice</w:t>
        </w:r>
        <w:r w:rsidR="00BC0200">
          <w:rPr>
            <w:webHidden/>
          </w:rPr>
          <w:tab/>
        </w:r>
        <w:r w:rsidR="00BC0200">
          <w:rPr>
            <w:webHidden/>
          </w:rPr>
          <w:fldChar w:fldCharType="begin"/>
        </w:r>
        <w:r w:rsidR="00BC0200">
          <w:rPr>
            <w:webHidden/>
          </w:rPr>
          <w:instrText xml:space="preserve"> PAGEREF _Toc144822666 \h </w:instrText>
        </w:r>
        <w:r w:rsidR="00BC0200">
          <w:rPr>
            <w:webHidden/>
          </w:rPr>
        </w:r>
        <w:r w:rsidR="00BC0200">
          <w:rPr>
            <w:webHidden/>
          </w:rPr>
          <w:fldChar w:fldCharType="separate"/>
        </w:r>
        <w:r w:rsidR="004D0AC8">
          <w:rPr>
            <w:webHidden/>
          </w:rPr>
          <w:t>3</w:t>
        </w:r>
        <w:r w:rsidR="00BC0200">
          <w:rPr>
            <w:webHidden/>
          </w:rPr>
          <w:fldChar w:fldCharType="end"/>
        </w:r>
      </w:hyperlink>
    </w:p>
    <w:p w14:paraId="7CF1A3E5" w14:textId="360ECB0F"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67" w:history="1">
        <w:r w:rsidR="00BC0200" w:rsidRPr="00545175">
          <w:rPr>
            <w:rStyle w:val="Hipervnculo"/>
          </w:rPr>
          <w:t>II. Reto de desarrollo</w:t>
        </w:r>
        <w:r w:rsidR="00BC0200">
          <w:rPr>
            <w:webHidden/>
          </w:rPr>
          <w:tab/>
        </w:r>
        <w:r w:rsidR="00BC0200">
          <w:rPr>
            <w:webHidden/>
          </w:rPr>
          <w:fldChar w:fldCharType="begin"/>
        </w:r>
        <w:r w:rsidR="00BC0200">
          <w:rPr>
            <w:webHidden/>
          </w:rPr>
          <w:instrText xml:space="preserve"> PAGEREF _Toc144822667 \h </w:instrText>
        </w:r>
        <w:r w:rsidR="00BC0200">
          <w:rPr>
            <w:webHidden/>
          </w:rPr>
        </w:r>
        <w:r w:rsidR="00BC0200">
          <w:rPr>
            <w:webHidden/>
          </w:rPr>
          <w:fldChar w:fldCharType="separate"/>
        </w:r>
        <w:r w:rsidR="004D0AC8">
          <w:rPr>
            <w:webHidden/>
          </w:rPr>
          <w:t>7</w:t>
        </w:r>
        <w:r w:rsidR="00BC0200">
          <w:rPr>
            <w:webHidden/>
          </w:rPr>
          <w:fldChar w:fldCharType="end"/>
        </w:r>
      </w:hyperlink>
    </w:p>
    <w:p w14:paraId="5D297523" w14:textId="7CAFE41E"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68" w:history="1">
        <w:r w:rsidR="00BC0200" w:rsidRPr="00545175">
          <w:rPr>
            <w:rStyle w:val="Hipervnculo"/>
          </w:rPr>
          <w:t>III. Estrategia</w:t>
        </w:r>
        <w:r w:rsidR="00BC0200">
          <w:rPr>
            <w:webHidden/>
          </w:rPr>
          <w:tab/>
        </w:r>
        <w:r w:rsidR="00BC0200">
          <w:rPr>
            <w:webHidden/>
          </w:rPr>
          <w:fldChar w:fldCharType="begin"/>
        </w:r>
        <w:r w:rsidR="00BC0200">
          <w:rPr>
            <w:webHidden/>
          </w:rPr>
          <w:instrText xml:space="preserve"> PAGEREF _Toc144822668 \h </w:instrText>
        </w:r>
        <w:r w:rsidR="00BC0200">
          <w:rPr>
            <w:webHidden/>
          </w:rPr>
        </w:r>
        <w:r w:rsidR="00BC0200">
          <w:rPr>
            <w:webHidden/>
          </w:rPr>
          <w:fldChar w:fldCharType="separate"/>
        </w:r>
        <w:r w:rsidR="004D0AC8">
          <w:rPr>
            <w:webHidden/>
          </w:rPr>
          <w:t>22</w:t>
        </w:r>
        <w:r w:rsidR="00BC0200">
          <w:rPr>
            <w:webHidden/>
          </w:rPr>
          <w:fldChar w:fldCharType="end"/>
        </w:r>
      </w:hyperlink>
    </w:p>
    <w:p w14:paraId="1A7F9DC1" w14:textId="6401FD3A"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69" w:history="1">
        <w:r w:rsidR="00BC0200" w:rsidRPr="00545175">
          <w:rPr>
            <w:rStyle w:val="Hipervnculo"/>
          </w:rPr>
          <w:t>IV. Resultados y alianzas</w:t>
        </w:r>
        <w:r w:rsidR="00BC0200">
          <w:rPr>
            <w:webHidden/>
          </w:rPr>
          <w:tab/>
        </w:r>
        <w:r w:rsidR="00BC0200">
          <w:rPr>
            <w:webHidden/>
          </w:rPr>
          <w:fldChar w:fldCharType="begin"/>
        </w:r>
        <w:r w:rsidR="00BC0200">
          <w:rPr>
            <w:webHidden/>
          </w:rPr>
          <w:instrText xml:space="preserve"> PAGEREF _Toc144822669 \h </w:instrText>
        </w:r>
        <w:r w:rsidR="00BC0200">
          <w:rPr>
            <w:webHidden/>
          </w:rPr>
        </w:r>
        <w:r w:rsidR="00BC0200">
          <w:rPr>
            <w:webHidden/>
          </w:rPr>
          <w:fldChar w:fldCharType="separate"/>
        </w:r>
        <w:r w:rsidR="004D0AC8">
          <w:rPr>
            <w:webHidden/>
          </w:rPr>
          <w:t>28</w:t>
        </w:r>
        <w:r w:rsidR="00BC0200">
          <w:rPr>
            <w:webHidden/>
          </w:rPr>
          <w:fldChar w:fldCharType="end"/>
        </w:r>
      </w:hyperlink>
    </w:p>
    <w:p w14:paraId="2CD3A704" w14:textId="6A4F7B56"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0" w:history="1">
        <w:r w:rsidR="00BC0200" w:rsidRPr="00545175">
          <w:rPr>
            <w:rStyle w:val="Hipervnculo"/>
          </w:rPr>
          <w:t>V. Marco de resultados del proyecto</w:t>
        </w:r>
        <w:r w:rsidR="00BC0200">
          <w:rPr>
            <w:webHidden/>
          </w:rPr>
          <w:tab/>
        </w:r>
        <w:r w:rsidR="00BC0200">
          <w:rPr>
            <w:webHidden/>
          </w:rPr>
          <w:fldChar w:fldCharType="begin"/>
        </w:r>
        <w:r w:rsidR="00BC0200">
          <w:rPr>
            <w:webHidden/>
          </w:rPr>
          <w:instrText xml:space="preserve"> PAGEREF _Toc144822670 \h </w:instrText>
        </w:r>
        <w:r w:rsidR="00BC0200">
          <w:rPr>
            <w:webHidden/>
          </w:rPr>
        </w:r>
        <w:r w:rsidR="00BC0200">
          <w:rPr>
            <w:webHidden/>
          </w:rPr>
          <w:fldChar w:fldCharType="separate"/>
        </w:r>
        <w:r w:rsidR="004D0AC8">
          <w:rPr>
            <w:webHidden/>
          </w:rPr>
          <w:t>66</w:t>
        </w:r>
        <w:r w:rsidR="00BC0200">
          <w:rPr>
            <w:webHidden/>
          </w:rPr>
          <w:fldChar w:fldCharType="end"/>
        </w:r>
      </w:hyperlink>
    </w:p>
    <w:p w14:paraId="4EBB1D3E" w14:textId="33321655"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1" w:history="1">
        <w:r w:rsidR="00BC0200" w:rsidRPr="00545175">
          <w:rPr>
            <w:rStyle w:val="Hipervnculo"/>
          </w:rPr>
          <w:t>VI. Plan de Monitoreo y evaluación</w:t>
        </w:r>
        <w:r w:rsidR="00BC0200">
          <w:rPr>
            <w:webHidden/>
          </w:rPr>
          <w:tab/>
        </w:r>
        <w:r w:rsidR="00BC0200">
          <w:rPr>
            <w:webHidden/>
          </w:rPr>
          <w:fldChar w:fldCharType="begin"/>
        </w:r>
        <w:r w:rsidR="00BC0200">
          <w:rPr>
            <w:webHidden/>
          </w:rPr>
          <w:instrText xml:space="preserve"> PAGEREF _Toc144822671 \h </w:instrText>
        </w:r>
        <w:r w:rsidR="00BC0200">
          <w:rPr>
            <w:webHidden/>
          </w:rPr>
        </w:r>
        <w:r w:rsidR="00BC0200">
          <w:rPr>
            <w:webHidden/>
          </w:rPr>
          <w:fldChar w:fldCharType="separate"/>
        </w:r>
        <w:r w:rsidR="004D0AC8">
          <w:rPr>
            <w:webHidden/>
          </w:rPr>
          <w:t>70</w:t>
        </w:r>
        <w:r w:rsidR="00BC0200">
          <w:rPr>
            <w:webHidden/>
          </w:rPr>
          <w:fldChar w:fldCharType="end"/>
        </w:r>
      </w:hyperlink>
    </w:p>
    <w:p w14:paraId="7B5DB6BA" w14:textId="55DBED6E"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2" w:history="1">
        <w:r w:rsidR="00BC0200" w:rsidRPr="00545175">
          <w:rPr>
            <w:rStyle w:val="Hipervnculo"/>
          </w:rPr>
          <w:t>VII. Disposiciones de Gobernanza y gestión</w:t>
        </w:r>
        <w:r w:rsidR="00BC0200">
          <w:rPr>
            <w:webHidden/>
          </w:rPr>
          <w:tab/>
        </w:r>
        <w:r w:rsidR="00BC0200">
          <w:rPr>
            <w:webHidden/>
          </w:rPr>
          <w:fldChar w:fldCharType="begin"/>
        </w:r>
        <w:r w:rsidR="00BC0200">
          <w:rPr>
            <w:webHidden/>
          </w:rPr>
          <w:instrText xml:space="preserve"> PAGEREF _Toc144822672 \h </w:instrText>
        </w:r>
        <w:r w:rsidR="00BC0200">
          <w:rPr>
            <w:webHidden/>
          </w:rPr>
        </w:r>
        <w:r w:rsidR="00BC0200">
          <w:rPr>
            <w:webHidden/>
          </w:rPr>
          <w:fldChar w:fldCharType="separate"/>
        </w:r>
        <w:r w:rsidR="004D0AC8">
          <w:rPr>
            <w:webHidden/>
          </w:rPr>
          <w:t>84</w:t>
        </w:r>
        <w:r w:rsidR="00BC0200">
          <w:rPr>
            <w:webHidden/>
          </w:rPr>
          <w:fldChar w:fldCharType="end"/>
        </w:r>
      </w:hyperlink>
    </w:p>
    <w:p w14:paraId="5537EA4A" w14:textId="6A7EFB7D"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3" w:history="1">
        <w:r w:rsidR="00BC0200" w:rsidRPr="00545175">
          <w:rPr>
            <w:rStyle w:val="Hipervnculo"/>
          </w:rPr>
          <w:t>VIII. Planificación y gestión financiera</w:t>
        </w:r>
        <w:r w:rsidR="00BC0200">
          <w:rPr>
            <w:webHidden/>
          </w:rPr>
          <w:tab/>
        </w:r>
        <w:r w:rsidR="00BC0200">
          <w:rPr>
            <w:webHidden/>
          </w:rPr>
          <w:fldChar w:fldCharType="begin"/>
        </w:r>
        <w:r w:rsidR="00BC0200">
          <w:rPr>
            <w:webHidden/>
          </w:rPr>
          <w:instrText xml:space="preserve"> PAGEREF _Toc144822673 \h </w:instrText>
        </w:r>
        <w:r w:rsidR="00BC0200">
          <w:rPr>
            <w:webHidden/>
          </w:rPr>
        </w:r>
        <w:r w:rsidR="00BC0200">
          <w:rPr>
            <w:webHidden/>
          </w:rPr>
          <w:fldChar w:fldCharType="separate"/>
        </w:r>
        <w:r w:rsidR="004D0AC8">
          <w:rPr>
            <w:webHidden/>
          </w:rPr>
          <w:t>90</w:t>
        </w:r>
        <w:r w:rsidR="00BC0200">
          <w:rPr>
            <w:webHidden/>
          </w:rPr>
          <w:fldChar w:fldCharType="end"/>
        </w:r>
      </w:hyperlink>
    </w:p>
    <w:p w14:paraId="5D24084D" w14:textId="486794A5"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4" w:history="1">
        <w:r w:rsidR="00BC0200" w:rsidRPr="00545175">
          <w:rPr>
            <w:rStyle w:val="Hipervnculo"/>
          </w:rPr>
          <w:t>IX. Presupuesto total y Plan de trabajo</w:t>
        </w:r>
        <w:r w:rsidR="00BC0200">
          <w:rPr>
            <w:webHidden/>
          </w:rPr>
          <w:tab/>
        </w:r>
        <w:r w:rsidR="00BC0200">
          <w:rPr>
            <w:webHidden/>
          </w:rPr>
          <w:fldChar w:fldCharType="begin"/>
        </w:r>
        <w:r w:rsidR="00BC0200">
          <w:rPr>
            <w:webHidden/>
          </w:rPr>
          <w:instrText xml:space="preserve"> PAGEREF _Toc144822674 \h </w:instrText>
        </w:r>
        <w:r w:rsidR="00BC0200">
          <w:rPr>
            <w:webHidden/>
          </w:rPr>
        </w:r>
        <w:r w:rsidR="00BC0200">
          <w:rPr>
            <w:webHidden/>
          </w:rPr>
          <w:fldChar w:fldCharType="separate"/>
        </w:r>
        <w:r w:rsidR="004D0AC8">
          <w:rPr>
            <w:webHidden/>
          </w:rPr>
          <w:t>93</w:t>
        </w:r>
        <w:r w:rsidR="00BC0200">
          <w:rPr>
            <w:webHidden/>
          </w:rPr>
          <w:fldChar w:fldCharType="end"/>
        </w:r>
      </w:hyperlink>
    </w:p>
    <w:p w14:paraId="4A5F4FA2" w14:textId="49E11DD4"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5" w:history="1">
        <w:r w:rsidR="00BC0200" w:rsidRPr="00545175">
          <w:rPr>
            <w:rStyle w:val="Hipervnculo"/>
          </w:rPr>
          <w:t>X. Contexto jurídico</w:t>
        </w:r>
        <w:r w:rsidR="00BC0200">
          <w:rPr>
            <w:webHidden/>
          </w:rPr>
          <w:tab/>
        </w:r>
        <w:r w:rsidR="00BC0200">
          <w:rPr>
            <w:webHidden/>
          </w:rPr>
          <w:fldChar w:fldCharType="begin"/>
        </w:r>
        <w:r w:rsidR="00BC0200">
          <w:rPr>
            <w:webHidden/>
          </w:rPr>
          <w:instrText xml:space="preserve"> PAGEREF _Toc144822675 \h </w:instrText>
        </w:r>
        <w:r w:rsidR="00BC0200">
          <w:rPr>
            <w:webHidden/>
          </w:rPr>
        </w:r>
        <w:r w:rsidR="00BC0200">
          <w:rPr>
            <w:webHidden/>
          </w:rPr>
          <w:fldChar w:fldCharType="separate"/>
        </w:r>
        <w:r w:rsidR="004D0AC8">
          <w:rPr>
            <w:webHidden/>
          </w:rPr>
          <w:t>98</w:t>
        </w:r>
        <w:r w:rsidR="00BC0200">
          <w:rPr>
            <w:webHidden/>
          </w:rPr>
          <w:fldChar w:fldCharType="end"/>
        </w:r>
      </w:hyperlink>
    </w:p>
    <w:p w14:paraId="457ED5A4" w14:textId="6F9B5E44"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6" w:history="1">
        <w:r w:rsidR="00BC0200" w:rsidRPr="00545175">
          <w:rPr>
            <w:rStyle w:val="Hipervnculo"/>
          </w:rPr>
          <w:t>XI. Gestión de riesgos</w:t>
        </w:r>
        <w:r w:rsidR="00BC0200">
          <w:rPr>
            <w:webHidden/>
          </w:rPr>
          <w:tab/>
        </w:r>
        <w:r w:rsidR="00BC0200">
          <w:rPr>
            <w:webHidden/>
          </w:rPr>
          <w:fldChar w:fldCharType="begin"/>
        </w:r>
        <w:r w:rsidR="00BC0200">
          <w:rPr>
            <w:webHidden/>
          </w:rPr>
          <w:instrText xml:space="preserve"> PAGEREF _Toc144822676 \h </w:instrText>
        </w:r>
        <w:r w:rsidR="00BC0200">
          <w:rPr>
            <w:webHidden/>
          </w:rPr>
        </w:r>
        <w:r w:rsidR="00BC0200">
          <w:rPr>
            <w:webHidden/>
          </w:rPr>
          <w:fldChar w:fldCharType="separate"/>
        </w:r>
        <w:r w:rsidR="004D0AC8">
          <w:rPr>
            <w:webHidden/>
          </w:rPr>
          <w:t>99</w:t>
        </w:r>
        <w:r w:rsidR="00BC0200">
          <w:rPr>
            <w:webHidden/>
          </w:rPr>
          <w:fldChar w:fldCharType="end"/>
        </w:r>
      </w:hyperlink>
    </w:p>
    <w:p w14:paraId="2DD6BB9D" w14:textId="572541CF" w:rsidR="00BC0200" w:rsidRDefault="00000000">
      <w:pPr>
        <w:pStyle w:val="TDC1"/>
        <w:rPr>
          <w:rFonts w:asciiTheme="minorHAnsi" w:eastAsiaTheme="minorEastAsia" w:hAnsiTheme="minorHAnsi" w:cstheme="minorBidi"/>
          <w:b w:val="0"/>
          <w:bCs w:val="0"/>
          <w:smallCaps w:val="0"/>
          <w:spacing w:val="0"/>
          <w:sz w:val="22"/>
          <w:szCs w:val="22"/>
          <w:lang w:val="es-EC" w:eastAsia="es-EC"/>
        </w:rPr>
      </w:pPr>
      <w:hyperlink w:anchor="_Toc144822677" w:history="1">
        <w:r w:rsidR="00BC0200" w:rsidRPr="00545175">
          <w:rPr>
            <w:rStyle w:val="Hipervnculo"/>
          </w:rPr>
          <w:t>XII. Anexos obligatorios</w:t>
        </w:r>
        <w:r w:rsidR="00BC0200">
          <w:rPr>
            <w:webHidden/>
          </w:rPr>
          <w:tab/>
        </w:r>
        <w:r w:rsidR="00BC0200">
          <w:rPr>
            <w:webHidden/>
          </w:rPr>
          <w:fldChar w:fldCharType="begin"/>
        </w:r>
        <w:r w:rsidR="00BC0200">
          <w:rPr>
            <w:webHidden/>
          </w:rPr>
          <w:instrText xml:space="preserve"> PAGEREF _Toc144822677 \h </w:instrText>
        </w:r>
        <w:r w:rsidR="00BC0200">
          <w:rPr>
            <w:webHidden/>
          </w:rPr>
        </w:r>
        <w:r w:rsidR="00BC0200">
          <w:rPr>
            <w:webHidden/>
          </w:rPr>
          <w:fldChar w:fldCharType="separate"/>
        </w:r>
        <w:r w:rsidR="004D0AC8">
          <w:rPr>
            <w:webHidden/>
          </w:rPr>
          <w:t>102</w:t>
        </w:r>
        <w:r w:rsidR="00BC0200">
          <w:rPr>
            <w:webHidden/>
          </w:rPr>
          <w:fldChar w:fldCharType="end"/>
        </w:r>
      </w:hyperlink>
    </w:p>
    <w:p w14:paraId="21E83102" w14:textId="6A77B03E"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78" w:history="1">
        <w:r w:rsidR="00BC0200" w:rsidRPr="00545175">
          <w:rPr>
            <w:rStyle w:val="Hipervnculo"/>
            <w:rFonts w:cstheme="minorHAnsi"/>
            <w:noProof/>
          </w:rPr>
          <w:t>1.</w:t>
        </w:r>
        <w:r w:rsidR="00BC0200">
          <w:rPr>
            <w:rFonts w:eastAsiaTheme="minorEastAsia" w:cstheme="minorBidi"/>
            <w:b w:val="0"/>
            <w:bCs w:val="0"/>
            <w:noProof/>
            <w:lang w:val="es-EC" w:eastAsia="es-EC"/>
          </w:rPr>
          <w:tab/>
        </w:r>
        <w:r w:rsidR="00BC0200" w:rsidRPr="00545175">
          <w:rPr>
            <w:rStyle w:val="Hipervnculo"/>
            <w:noProof/>
          </w:rPr>
          <w:t>Plantilla presupuestaria del FMAM</w:t>
        </w:r>
        <w:r w:rsidR="00BC0200">
          <w:rPr>
            <w:noProof/>
            <w:webHidden/>
          </w:rPr>
          <w:tab/>
        </w:r>
        <w:r w:rsidR="00BC0200">
          <w:rPr>
            <w:noProof/>
            <w:webHidden/>
          </w:rPr>
          <w:fldChar w:fldCharType="begin"/>
        </w:r>
        <w:r w:rsidR="00BC0200">
          <w:rPr>
            <w:noProof/>
            <w:webHidden/>
          </w:rPr>
          <w:instrText xml:space="preserve"> PAGEREF _Toc144822678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63ACCB54" w14:textId="01331C47"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79" w:history="1">
        <w:r w:rsidR="00BC0200" w:rsidRPr="00545175">
          <w:rPr>
            <w:rStyle w:val="Hipervnculo"/>
            <w:rFonts w:cstheme="minorHAnsi"/>
            <w:noProof/>
          </w:rPr>
          <w:t>2.</w:t>
        </w:r>
        <w:r w:rsidR="00BC0200">
          <w:rPr>
            <w:rFonts w:eastAsiaTheme="minorEastAsia" w:cstheme="minorBidi"/>
            <w:b w:val="0"/>
            <w:bCs w:val="0"/>
            <w:noProof/>
            <w:lang w:val="es-EC" w:eastAsia="es-EC"/>
          </w:rPr>
          <w:tab/>
        </w:r>
        <w:r w:rsidR="00BC0200" w:rsidRPr="00545175">
          <w:rPr>
            <w:rStyle w:val="Hipervnculo"/>
            <w:noProof/>
          </w:rPr>
          <w:t>Carta de apoyo a la ejecución del FMAM</w:t>
        </w:r>
        <w:r w:rsidR="00BC0200">
          <w:rPr>
            <w:noProof/>
            <w:webHidden/>
          </w:rPr>
          <w:tab/>
        </w:r>
        <w:r w:rsidR="00BC0200">
          <w:rPr>
            <w:noProof/>
            <w:webHidden/>
          </w:rPr>
          <w:fldChar w:fldCharType="begin"/>
        </w:r>
        <w:r w:rsidR="00BC0200">
          <w:rPr>
            <w:noProof/>
            <w:webHidden/>
          </w:rPr>
          <w:instrText xml:space="preserve"> PAGEREF _Toc144822679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770138CB" w14:textId="7C5C87D0"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0" w:history="1">
        <w:r w:rsidR="00BC0200" w:rsidRPr="00545175">
          <w:rPr>
            <w:rStyle w:val="Hipervnculo"/>
            <w:rFonts w:cstheme="minorHAnsi"/>
            <w:noProof/>
          </w:rPr>
          <w:t>3.</w:t>
        </w:r>
        <w:r w:rsidR="00BC0200">
          <w:rPr>
            <w:rFonts w:eastAsiaTheme="minorEastAsia" w:cstheme="minorBidi"/>
            <w:b w:val="0"/>
            <w:bCs w:val="0"/>
            <w:noProof/>
            <w:lang w:val="es-EC" w:eastAsia="es-EC"/>
          </w:rPr>
          <w:tab/>
        </w:r>
        <w:r w:rsidR="00BC0200" w:rsidRPr="00545175">
          <w:rPr>
            <w:rStyle w:val="Hipervnculo"/>
            <w:noProof/>
          </w:rPr>
          <w:t>Mapa del proyecto y coordenadas geoespaciales de la zona del proyecto</w:t>
        </w:r>
        <w:r w:rsidR="00BC0200">
          <w:rPr>
            <w:noProof/>
            <w:webHidden/>
          </w:rPr>
          <w:tab/>
        </w:r>
        <w:r w:rsidR="00BC0200">
          <w:rPr>
            <w:noProof/>
            <w:webHidden/>
          </w:rPr>
          <w:fldChar w:fldCharType="begin"/>
        </w:r>
        <w:r w:rsidR="00BC0200">
          <w:rPr>
            <w:noProof/>
            <w:webHidden/>
          </w:rPr>
          <w:instrText xml:space="preserve"> PAGEREF _Toc144822680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04ECB770" w14:textId="328BE5A6"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1" w:history="1">
        <w:r w:rsidR="00BC0200" w:rsidRPr="00545175">
          <w:rPr>
            <w:rStyle w:val="Hipervnculo"/>
            <w:rFonts w:cstheme="minorHAnsi"/>
            <w:noProof/>
          </w:rPr>
          <w:t>4.</w:t>
        </w:r>
        <w:r w:rsidR="00BC0200">
          <w:rPr>
            <w:rFonts w:eastAsiaTheme="minorEastAsia" w:cstheme="minorBidi"/>
            <w:b w:val="0"/>
            <w:bCs w:val="0"/>
            <w:noProof/>
            <w:lang w:val="es-EC" w:eastAsia="es-EC"/>
          </w:rPr>
          <w:tab/>
        </w:r>
        <w:r w:rsidR="00BC0200" w:rsidRPr="00545175">
          <w:rPr>
            <w:rStyle w:val="Hipervnculo"/>
            <w:noProof/>
          </w:rPr>
          <w:t>Plan de Trabajo Plurianual</w:t>
        </w:r>
        <w:r w:rsidR="00BC0200">
          <w:rPr>
            <w:noProof/>
            <w:webHidden/>
          </w:rPr>
          <w:tab/>
        </w:r>
        <w:r w:rsidR="00BC0200">
          <w:rPr>
            <w:noProof/>
            <w:webHidden/>
          </w:rPr>
          <w:fldChar w:fldCharType="begin"/>
        </w:r>
        <w:r w:rsidR="00BC0200">
          <w:rPr>
            <w:noProof/>
            <w:webHidden/>
          </w:rPr>
          <w:instrText xml:space="preserve"> PAGEREF _Toc144822681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0846088D" w14:textId="5FFDCDA5"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2" w:history="1">
        <w:r w:rsidR="00BC0200" w:rsidRPr="00545175">
          <w:rPr>
            <w:rStyle w:val="Hipervnculo"/>
            <w:rFonts w:cstheme="minorHAnsi"/>
            <w:noProof/>
          </w:rPr>
          <w:t>5.</w:t>
        </w:r>
        <w:r w:rsidR="00BC0200">
          <w:rPr>
            <w:rFonts w:eastAsiaTheme="minorEastAsia" w:cstheme="minorBidi"/>
            <w:b w:val="0"/>
            <w:bCs w:val="0"/>
            <w:noProof/>
            <w:lang w:val="es-EC" w:eastAsia="es-EC"/>
          </w:rPr>
          <w:tab/>
        </w:r>
        <w:r w:rsidR="00BC0200" w:rsidRPr="00545175">
          <w:rPr>
            <w:rStyle w:val="Hipervnculo"/>
            <w:noProof/>
          </w:rPr>
          <w:t>Procedimiento de Evaluación Social y Ambiental (SESP)</w:t>
        </w:r>
        <w:r w:rsidR="00BC0200">
          <w:rPr>
            <w:noProof/>
            <w:webHidden/>
          </w:rPr>
          <w:tab/>
        </w:r>
        <w:r w:rsidR="00BC0200">
          <w:rPr>
            <w:noProof/>
            <w:webHidden/>
          </w:rPr>
          <w:fldChar w:fldCharType="begin"/>
        </w:r>
        <w:r w:rsidR="00BC0200">
          <w:rPr>
            <w:noProof/>
            <w:webHidden/>
          </w:rPr>
          <w:instrText xml:space="preserve"> PAGEREF _Toc144822682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01C2B9EE" w14:textId="3E02BDAA"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3" w:history="1">
        <w:r w:rsidR="00BC0200" w:rsidRPr="00545175">
          <w:rPr>
            <w:rStyle w:val="Hipervnculo"/>
            <w:rFonts w:cstheme="minorHAnsi"/>
            <w:noProof/>
          </w:rPr>
          <w:t>6.</w:t>
        </w:r>
        <w:r w:rsidR="00BC0200">
          <w:rPr>
            <w:rFonts w:eastAsiaTheme="minorEastAsia" w:cstheme="minorBidi"/>
            <w:b w:val="0"/>
            <w:bCs w:val="0"/>
            <w:noProof/>
            <w:lang w:val="es-EC" w:eastAsia="es-EC"/>
          </w:rPr>
          <w:tab/>
        </w:r>
        <w:r w:rsidR="00BC0200" w:rsidRPr="00545175">
          <w:rPr>
            <w:rStyle w:val="Hipervnculo"/>
            <w:noProof/>
          </w:rPr>
          <w:t>Registro de riesgos de Atlas PNUD</w:t>
        </w:r>
        <w:r w:rsidR="00BC0200">
          <w:rPr>
            <w:noProof/>
            <w:webHidden/>
          </w:rPr>
          <w:tab/>
        </w:r>
        <w:r w:rsidR="00BC0200">
          <w:rPr>
            <w:noProof/>
            <w:webHidden/>
          </w:rPr>
          <w:fldChar w:fldCharType="begin"/>
        </w:r>
        <w:r w:rsidR="00BC0200">
          <w:rPr>
            <w:noProof/>
            <w:webHidden/>
          </w:rPr>
          <w:instrText xml:space="preserve"> PAGEREF _Toc144822683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2663957C" w14:textId="5FDDB917"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4" w:history="1">
        <w:r w:rsidR="00BC0200" w:rsidRPr="00545175">
          <w:rPr>
            <w:rStyle w:val="Hipervnculo"/>
            <w:rFonts w:cstheme="minorHAnsi"/>
            <w:noProof/>
          </w:rPr>
          <w:t>7.</w:t>
        </w:r>
        <w:r w:rsidR="00BC0200">
          <w:rPr>
            <w:rFonts w:eastAsiaTheme="minorEastAsia" w:cstheme="minorBidi"/>
            <w:b w:val="0"/>
            <w:bCs w:val="0"/>
            <w:noProof/>
            <w:lang w:val="es-EC" w:eastAsia="es-EC"/>
          </w:rPr>
          <w:tab/>
        </w:r>
        <w:r w:rsidR="00BC0200" w:rsidRPr="00545175">
          <w:rPr>
            <w:rStyle w:val="Hipervnculo"/>
            <w:noProof/>
          </w:rPr>
          <w:t>Panorama de las consultorías técnicas</w:t>
        </w:r>
        <w:r w:rsidR="00BC0200">
          <w:rPr>
            <w:noProof/>
            <w:webHidden/>
          </w:rPr>
          <w:tab/>
        </w:r>
        <w:r w:rsidR="00BC0200">
          <w:rPr>
            <w:noProof/>
            <w:webHidden/>
          </w:rPr>
          <w:fldChar w:fldCharType="begin"/>
        </w:r>
        <w:r w:rsidR="00BC0200">
          <w:rPr>
            <w:noProof/>
            <w:webHidden/>
          </w:rPr>
          <w:instrText xml:space="preserve"> PAGEREF _Toc144822684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556A8E77" w14:textId="5BB92CE4"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5" w:history="1">
        <w:r w:rsidR="00BC0200" w:rsidRPr="00545175">
          <w:rPr>
            <w:rStyle w:val="Hipervnculo"/>
            <w:rFonts w:cstheme="minorHAnsi"/>
            <w:noProof/>
          </w:rPr>
          <w:t>8.</w:t>
        </w:r>
        <w:r w:rsidR="00BC0200">
          <w:rPr>
            <w:rFonts w:eastAsiaTheme="minorEastAsia" w:cstheme="minorBidi"/>
            <w:b w:val="0"/>
            <w:bCs w:val="0"/>
            <w:noProof/>
            <w:lang w:val="es-EC" w:eastAsia="es-EC"/>
          </w:rPr>
          <w:tab/>
        </w:r>
        <w:r w:rsidR="00BC0200" w:rsidRPr="00545175">
          <w:rPr>
            <w:rStyle w:val="Hipervnculo"/>
            <w:noProof/>
          </w:rPr>
          <w:t>Plan de participación de las partes interesadas</w:t>
        </w:r>
        <w:r w:rsidR="00BC0200">
          <w:rPr>
            <w:noProof/>
            <w:webHidden/>
          </w:rPr>
          <w:tab/>
        </w:r>
        <w:r w:rsidR="00BC0200">
          <w:rPr>
            <w:noProof/>
            <w:webHidden/>
          </w:rPr>
          <w:fldChar w:fldCharType="begin"/>
        </w:r>
        <w:r w:rsidR="00BC0200">
          <w:rPr>
            <w:noProof/>
            <w:webHidden/>
          </w:rPr>
          <w:instrText xml:space="preserve"> PAGEREF _Toc144822685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73E84298" w14:textId="065033AA" w:rsidR="00BC0200" w:rsidRDefault="00000000">
      <w:pPr>
        <w:pStyle w:val="TDC2"/>
        <w:tabs>
          <w:tab w:val="left" w:pos="720"/>
          <w:tab w:val="right" w:leader="dot" w:pos="9350"/>
        </w:tabs>
        <w:rPr>
          <w:rFonts w:eastAsiaTheme="minorEastAsia" w:cstheme="minorBidi"/>
          <w:b w:val="0"/>
          <w:bCs w:val="0"/>
          <w:noProof/>
          <w:lang w:val="es-EC" w:eastAsia="es-EC"/>
        </w:rPr>
      </w:pPr>
      <w:hyperlink w:anchor="_Toc144822686" w:history="1">
        <w:r w:rsidR="00BC0200" w:rsidRPr="00545175">
          <w:rPr>
            <w:rStyle w:val="Hipervnculo"/>
            <w:rFonts w:cstheme="minorHAnsi"/>
            <w:noProof/>
          </w:rPr>
          <w:t>9.</w:t>
        </w:r>
        <w:r w:rsidR="00BC0200">
          <w:rPr>
            <w:rFonts w:eastAsiaTheme="minorEastAsia" w:cstheme="minorBidi"/>
            <w:b w:val="0"/>
            <w:bCs w:val="0"/>
            <w:noProof/>
            <w:lang w:val="es-EC" w:eastAsia="es-EC"/>
          </w:rPr>
          <w:tab/>
        </w:r>
        <w:r w:rsidR="00BC0200" w:rsidRPr="00545175">
          <w:rPr>
            <w:rStyle w:val="Hipervnculo"/>
            <w:noProof/>
          </w:rPr>
          <w:t>Marco de Gestión Social y Ambiental (ESMF)</w:t>
        </w:r>
        <w:r w:rsidR="00BC0200">
          <w:rPr>
            <w:noProof/>
            <w:webHidden/>
          </w:rPr>
          <w:tab/>
        </w:r>
        <w:r w:rsidR="00BC0200">
          <w:rPr>
            <w:noProof/>
            <w:webHidden/>
          </w:rPr>
          <w:fldChar w:fldCharType="begin"/>
        </w:r>
        <w:r w:rsidR="00BC0200">
          <w:rPr>
            <w:noProof/>
            <w:webHidden/>
          </w:rPr>
          <w:instrText xml:space="preserve"> PAGEREF _Toc144822686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304FB97B" w14:textId="5A04D62F"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87" w:history="1">
        <w:r w:rsidR="00BC0200" w:rsidRPr="00545175">
          <w:rPr>
            <w:rStyle w:val="Hipervnculo"/>
            <w:rFonts w:cstheme="minorHAnsi"/>
            <w:noProof/>
          </w:rPr>
          <w:t>10.</w:t>
        </w:r>
        <w:r w:rsidR="00BC0200">
          <w:rPr>
            <w:rFonts w:eastAsiaTheme="minorEastAsia" w:cstheme="minorBidi"/>
            <w:b w:val="0"/>
            <w:bCs w:val="0"/>
            <w:noProof/>
            <w:lang w:val="es-EC" w:eastAsia="es-EC"/>
          </w:rPr>
          <w:tab/>
        </w:r>
        <w:r w:rsidR="00BC0200" w:rsidRPr="00545175">
          <w:rPr>
            <w:rStyle w:val="Hipervnculo"/>
            <w:noProof/>
          </w:rPr>
          <w:t>Análisis de género y Plan de Acción de Género</w:t>
        </w:r>
        <w:r w:rsidR="00BC0200">
          <w:rPr>
            <w:noProof/>
            <w:webHidden/>
          </w:rPr>
          <w:tab/>
        </w:r>
        <w:r w:rsidR="00BC0200">
          <w:rPr>
            <w:noProof/>
            <w:webHidden/>
          </w:rPr>
          <w:fldChar w:fldCharType="begin"/>
        </w:r>
        <w:r w:rsidR="00BC0200">
          <w:rPr>
            <w:noProof/>
            <w:webHidden/>
          </w:rPr>
          <w:instrText xml:space="preserve"> PAGEREF _Toc144822687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7D8B6BB0" w14:textId="50730C83"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88" w:history="1">
        <w:r w:rsidR="00BC0200" w:rsidRPr="00545175">
          <w:rPr>
            <w:rStyle w:val="Hipervnculo"/>
            <w:rFonts w:cstheme="minorHAnsi"/>
            <w:noProof/>
          </w:rPr>
          <w:t>11.</w:t>
        </w:r>
        <w:r w:rsidR="00BC0200">
          <w:rPr>
            <w:rFonts w:eastAsiaTheme="minorEastAsia" w:cstheme="minorBidi"/>
            <w:b w:val="0"/>
            <w:bCs w:val="0"/>
            <w:noProof/>
            <w:lang w:val="es-EC" w:eastAsia="es-EC"/>
          </w:rPr>
          <w:tab/>
        </w:r>
        <w:r w:rsidR="00BC0200" w:rsidRPr="00545175">
          <w:rPr>
            <w:rStyle w:val="Hipervnculo"/>
            <w:noProof/>
          </w:rPr>
          <w:t>Plan de Adquisiciones</w:t>
        </w:r>
        <w:r w:rsidR="00BC0200">
          <w:rPr>
            <w:noProof/>
            <w:webHidden/>
          </w:rPr>
          <w:tab/>
        </w:r>
        <w:r w:rsidR="00BC0200">
          <w:rPr>
            <w:noProof/>
            <w:webHidden/>
          </w:rPr>
          <w:fldChar w:fldCharType="begin"/>
        </w:r>
        <w:r w:rsidR="00BC0200">
          <w:rPr>
            <w:noProof/>
            <w:webHidden/>
          </w:rPr>
          <w:instrText xml:space="preserve"> PAGEREF _Toc144822688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68AF2E21" w14:textId="59956384"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89" w:history="1">
        <w:r w:rsidR="00BC0200" w:rsidRPr="00545175">
          <w:rPr>
            <w:rStyle w:val="Hipervnculo"/>
            <w:rFonts w:cstheme="minorHAnsi"/>
            <w:noProof/>
          </w:rPr>
          <w:t>12.</w:t>
        </w:r>
        <w:r w:rsidR="00BC0200">
          <w:rPr>
            <w:rFonts w:eastAsiaTheme="minorEastAsia" w:cstheme="minorBidi"/>
            <w:b w:val="0"/>
            <w:bCs w:val="0"/>
            <w:noProof/>
            <w:lang w:val="es-EC" w:eastAsia="es-EC"/>
          </w:rPr>
          <w:tab/>
        </w:r>
        <w:r w:rsidR="00BC0200" w:rsidRPr="00545175">
          <w:rPr>
            <w:rStyle w:val="Hipervnculo"/>
            <w:noProof/>
          </w:rPr>
          <w:t>Beneficiarios y personas concienciadas</w:t>
        </w:r>
        <w:r w:rsidR="00BC0200">
          <w:rPr>
            <w:noProof/>
            <w:webHidden/>
          </w:rPr>
          <w:tab/>
        </w:r>
        <w:r w:rsidR="00BC0200">
          <w:rPr>
            <w:noProof/>
            <w:webHidden/>
          </w:rPr>
          <w:fldChar w:fldCharType="begin"/>
        </w:r>
        <w:r w:rsidR="00BC0200">
          <w:rPr>
            <w:noProof/>
            <w:webHidden/>
          </w:rPr>
          <w:instrText xml:space="preserve"> PAGEREF _Toc144822689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2389971C" w14:textId="4C364AF1"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0" w:history="1">
        <w:r w:rsidR="00BC0200" w:rsidRPr="00545175">
          <w:rPr>
            <w:rStyle w:val="Hipervnculo"/>
            <w:rFonts w:cstheme="minorHAnsi"/>
            <w:noProof/>
          </w:rPr>
          <w:t>13.</w:t>
        </w:r>
        <w:r w:rsidR="00BC0200">
          <w:rPr>
            <w:rFonts w:eastAsiaTheme="minorEastAsia" w:cstheme="minorBidi"/>
            <w:b w:val="0"/>
            <w:bCs w:val="0"/>
            <w:noProof/>
            <w:lang w:val="es-EC" w:eastAsia="es-EC"/>
          </w:rPr>
          <w:tab/>
        </w:r>
        <w:r w:rsidR="00BC0200" w:rsidRPr="00545175">
          <w:rPr>
            <w:rStyle w:val="Hipervnculo"/>
            <w:noProof/>
          </w:rPr>
          <w:t>Directrices para proyectos piloto</w:t>
        </w:r>
        <w:r w:rsidR="00BC0200">
          <w:rPr>
            <w:noProof/>
            <w:webHidden/>
          </w:rPr>
          <w:tab/>
        </w:r>
        <w:r w:rsidR="00BC0200">
          <w:rPr>
            <w:noProof/>
            <w:webHidden/>
          </w:rPr>
          <w:fldChar w:fldCharType="begin"/>
        </w:r>
        <w:r w:rsidR="00BC0200">
          <w:rPr>
            <w:noProof/>
            <w:webHidden/>
          </w:rPr>
          <w:instrText xml:space="preserve"> PAGEREF _Toc144822690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7076CEF5" w14:textId="63782FFD"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1" w:history="1">
        <w:r w:rsidR="00BC0200" w:rsidRPr="00545175">
          <w:rPr>
            <w:rStyle w:val="Hipervnculo"/>
            <w:rFonts w:cstheme="minorHAnsi"/>
            <w:noProof/>
          </w:rPr>
          <w:t>14.</w:t>
        </w:r>
        <w:r w:rsidR="00BC0200">
          <w:rPr>
            <w:rFonts w:eastAsiaTheme="minorEastAsia" w:cstheme="minorBidi"/>
            <w:b w:val="0"/>
            <w:bCs w:val="0"/>
            <w:noProof/>
            <w:lang w:val="es-EC" w:eastAsia="es-EC"/>
          </w:rPr>
          <w:tab/>
        </w:r>
        <w:r w:rsidR="00BC0200" w:rsidRPr="00545175">
          <w:rPr>
            <w:rStyle w:val="Hipervnculo"/>
            <w:noProof/>
          </w:rPr>
          <w:t>Análisis jurídico e institucional</w:t>
        </w:r>
        <w:r w:rsidR="00BC0200">
          <w:rPr>
            <w:noProof/>
            <w:webHidden/>
          </w:rPr>
          <w:tab/>
        </w:r>
        <w:r w:rsidR="00BC0200">
          <w:rPr>
            <w:noProof/>
            <w:webHidden/>
          </w:rPr>
          <w:fldChar w:fldCharType="begin"/>
        </w:r>
        <w:r w:rsidR="00BC0200">
          <w:rPr>
            <w:noProof/>
            <w:webHidden/>
          </w:rPr>
          <w:instrText xml:space="preserve"> PAGEREF _Toc144822691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18EE7947" w14:textId="6BBEA85C"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2" w:history="1">
        <w:r w:rsidR="00BC0200" w:rsidRPr="00545175">
          <w:rPr>
            <w:rStyle w:val="Hipervnculo"/>
            <w:rFonts w:cstheme="minorHAnsi"/>
            <w:noProof/>
          </w:rPr>
          <w:t>15.</w:t>
        </w:r>
        <w:r w:rsidR="00BC0200">
          <w:rPr>
            <w:rFonts w:eastAsiaTheme="minorEastAsia" w:cstheme="minorBidi"/>
            <w:b w:val="0"/>
            <w:bCs w:val="0"/>
            <w:noProof/>
            <w:lang w:val="es-EC" w:eastAsia="es-EC"/>
          </w:rPr>
          <w:tab/>
        </w:r>
        <w:r w:rsidR="00BC0200" w:rsidRPr="00545175">
          <w:rPr>
            <w:rStyle w:val="Hipervnculo"/>
            <w:noProof/>
          </w:rPr>
          <w:t>Cartas de compromisos financieros</w:t>
        </w:r>
        <w:r w:rsidR="00BC0200">
          <w:rPr>
            <w:noProof/>
            <w:webHidden/>
          </w:rPr>
          <w:tab/>
        </w:r>
        <w:r w:rsidR="00BC0200">
          <w:rPr>
            <w:noProof/>
            <w:webHidden/>
          </w:rPr>
          <w:fldChar w:fldCharType="begin"/>
        </w:r>
        <w:r w:rsidR="00BC0200">
          <w:rPr>
            <w:noProof/>
            <w:webHidden/>
          </w:rPr>
          <w:instrText xml:space="preserve"> PAGEREF _Toc144822692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0FAF5E68" w14:textId="1B7C11FB"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3" w:history="1">
        <w:r w:rsidR="00BC0200" w:rsidRPr="00545175">
          <w:rPr>
            <w:rStyle w:val="Hipervnculo"/>
            <w:rFonts w:cstheme="minorHAnsi"/>
            <w:noProof/>
          </w:rPr>
          <w:t>16.</w:t>
        </w:r>
        <w:r w:rsidR="00BC0200">
          <w:rPr>
            <w:rFonts w:eastAsiaTheme="minorEastAsia" w:cstheme="minorBidi"/>
            <w:b w:val="0"/>
            <w:bCs w:val="0"/>
            <w:noProof/>
            <w:lang w:val="es-EC" w:eastAsia="es-EC"/>
          </w:rPr>
          <w:tab/>
        </w:r>
        <w:r w:rsidR="00BC0200" w:rsidRPr="00545175">
          <w:rPr>
            <w:rStyle w:val="Hipervnculo"/>
            <w:noProof/>
          </w:rPr>
          <w:t>Indicadores básicos del FMAM</w:t>
        </w:r>
        <w:r w:rsidR="00BC0200">
          <w:rPr>
            <w:noProof/>
            <w:webHidden/>
          </w:rPr>
          <w:tab/>
        </w:r>
        <w:r w:rsidR="00BC0200">
          <w:rPr>
            <w:noProof/>
            <w:webHidden/>
          </w:rPr>
          <w:fldChar w:fldCharType="begin"/>
        </w:r>
        <w:r w:rsidR="00BC0200">
          <w:rPr>
            <w:noProof/>
            <w:webHidden/>
          </w:rPr>
          <w:instrText xml:space="preserve"> PAGEREF _Toc144822693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55C56571" w14:textId="546DFE16"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4" w:history="1">
        <w:r w:rsidR="00BC0200" w:rsidRPr="00545175">
          <w:rPr>
            <w:rStyle w:val="Hipervnculo"/>
            <w:rFonts w:cstheme="minorHAnsi"/>
            <w:noProof/>
          </w:rPr>
          <w:t>17.</w:t>
        </w:r>
        <w:r w:rsidR="00BC0200">
          <w:rPr>
            <w:rFonts w:eastAsiaTheme="minorEastAsia" w:cstheme="minorBidi"/>
            <w:b w:val="0"/>
            <w:bCs w:val="0"/>
            <w:noProof/>
            <w:lang w:val="es-EC" w:eastAsia="es-EC"/>
          </w:rPr>
          <w:tab/>
        </w:r>
        <w:r w:rsidR="00BC0200" w:rsidRPr="00545175">
          <w:rPr>
            <w:rStyle w:val="Hipervnculo"/>
            <w:noProof/>
          </w:rPr>
          <w:t>Taxonomía del FMAM</w:t>
        </w:r>
        <w:r w:rsidR="00BC0200">
          <w:rPr>
            <w:noProof/>
            <w:webHidden/>
          </w:rPr>
          <w:tab/>
        </w:r>
        <w:r w:rsidR="00BC0200">
          <w:rPr>
            <w:noProof/>
            <w:webHidden/>
          </w:rPr>
          <w:fldChar w:fldCharType="begin"/>
        </w:r>
        <w:r w:rsidR="00BC0200">
          <w:rPr>
            <w:noProof/>
            <w:webHidden/>
          </w:rPr>
          <w:instrText xml:space="preserve"> PAGEREF _Toc144822694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10D17998" w14:textId="57310A21"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5" w:history="1">
        <w:r w:rsidR="00BC0200" w:rsidRPr="00545175">
          <w:rPr>
            <w:rStyle w:val="Hipervnculo"/>
            <w:rFonts w:cstheme="minorHAnsi"/>
            <w:noProof/>
          </w:rPr>
          <w:t>18.</w:t>
        </w:r>
        <w:r w:rsidR="00BC0200">
          <w:rPr>
            <w:rFonts w:eastAsiaTheme="minorEastAsia" w:cstheme="minorBidi"/>
            <w:b w:val="0"/>
            <w:bCs w:val="0"/>
            <w:noProof/>
            <w:lang w:val="es-EC" w:eastAsia="es-EC"/>
          </w:rPr>
          <w:tab/>
        </w:r>
        <w:r w:rsidR="00BC0200" w:rsidRPr="00545175">
          <w:rPr>
            <w:rStyle w:val="Hipervnculo"/>
            <w:noProof/>
          </w:rPr>
          <w:t>Herramienta de Evaluación de la Capacidad de los Socios (PCAT)</w:t>
        </w:r>
        <w:r w:rsidR="00BC0200">
          <w:rPr>
            <w:noProof/>
            <w:webHidden/>
          </w:rPr>
          <w:tab/>
        </w:r>
        <w:r w:rsidR="00BC0200">
          <w:rPr>
            <w:noProof/>
            <w:webHidden/>
          </w:rPr>
          <w:fldChar w:fldCharType="begin"/>
        </w:r>
        <w:r w:rsidR="00BC0200">
          <w:rPr>
            <w:noProof/>
            <w:webHidden/>
          </w:rPr>
          <w:instrText xml:space="preserve"> PAGEREF _Toc144822695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4F327204" w14:textId="369C5930"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6" w:history="1">
        <w:r w:rsidR="00BC0200" w:rsidRPr="00545175">
          <w:rPr>
            <w:rStyle w:val="Hipervnculo"/>
            <w:rFonts w:cstheme="minorHAnsi"/>
            <w:noProof/>
          </w:rPr>
          <w:t>19.</w:t>
        </w:r>
        <w:r w:rsidR="00BC0200">
          <w:rPr>
            <w:rFonts w:eastAsiaTheme="minorEastAsia" w:cstheme="minorBidi"/>
            <w:b w:val="0"/>
            <w:bCs w:val="0"/>
            <w:noProof/>
            <w:lang w:val="es-EC" w:eastAsia="es-EC"/>
          </w:rPr>
          <w:tab/>
        </w:r>
        <w:r w:rsidR="00BC0200" w:rsidRPr="00545175">
          <w:rPr>
            <w:rStyle w:val="Hipervnculo"/>
            <w:noProof/>
          </w:rPr>
          <w:t>Evaluación HACT</w:t>
        </w:r>
        <w:r w:rsidR="00BC0200">
          <w:rPr>
            <w:noProof/>
            <w:webHidden/>
          </w:rPr>
          <w:tab/>
        </w:r>
        <w:r w:rsidR="00BC0200">
          <w:rPr>
            <w:noProof/>
            <w:webHidden/>
          </w:rPr>
          <w:fldChar w:fldCharType="begin"/>
        </w:r>
        <w:r w:rsidR="00BC0200">
          <w:rPr>
            <w:noProof/>
            <w:webHidden/>
          </w:rPr>
          <w:instrText xml:space="preserve"> PAGEREF _Toc144822696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5D4CED53" w14:textId="1C6D8406"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7" w:history="1">
        <w:r w:rsidR="00BC0200" w:rsidRPr="00545175">
          <w:rPr>
            <w:rStyle w:val="Hipervnculo"/>
            <w:rFonts w:cstheme="minorHAnsi"/>
            <w:noProof/>
          </w:rPr>
          <w:t>20.</w:t>
        </w:r>
        <w:r w:rsidR="00BC0200">
          <w:rPr>
            <w:rFonts w:eastAsiaTheme="minorEastAsia" w:cstheme="minorBidi"/>
            <w:b w:val="0"/>
            <w:bCs w:val="0"/>
            <w:noProof/>
            <w:lang w:val="es-EC" w:eastAsia="es-EC"/>
          </w:rPr>
          <w:tab/>
        </w:r>
        <w:r w:rsidR="00BC0200" w:rsidRPr="00545175">
          <w:rPr>
            <w:rStyle w:val="Hipervnculo"/>
            <w:noProof/>
          </w:rPr>
          <w:t>Informe de Garantía de Calidad del Proyecto del PNUD</w:t>
        </w:r>
        <w:r w:rsidR="00BC0200">
          <w:rPr>
            <w:noProof/>
            <w:webHidden/>
          </w:rPr>
          <w:tab/>
        </w:r>
        <w:r w:rsidR="00BC0200">
          <w:rPr>
            <w:noProof/>
            <w:webHidden/>
          </w:rPr>
          <w:fldChar w:fldCharType="begin"/>
        </w:r>
        <w:r w:rsidR="00BC0200">
          <w:rPr>
            <w:noProof/>
            <w:webHidden/>
          </w:rPr>
          <w:instrText xml:space="preserve"> PAGEREF _Toc144822697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6B397C3D" w14:textId="2008CBFE" w:rsidR="00BC0200" w:rsidRDefault="00000000">
      <w:pPr>
        <w:pStyle w:val="TDC2"/>
        <w:tabs>
          <w:tab w:val="left" w:pos="960"/>
          <w:tab w:val="right" w:leader="dot" w:pos="9350"/>
        </w:tabs>
        <w:rPr>
          <w:rFonts w:eastAsiaTheme="minorEastAsia" w:cstheme="minorBidi"/>
          <w:b w:val="0"/>
          <w:bCs w:val="0"/>
          <w:noProof/>
          <w:lang w:val="es-EC" w:eastAsia="es-EC"/>
        </w:rPr>
      </w:pPr>
      <w:hyperlink w:anchor="_Toc144822698" w:history="1">
        <w:r w:rsidR="00BC0200" w:rsidRPr="00545175">
          <w:rPr>
            <w:rStyle w:val="Hipervnculo"/>
            <w:rFonts w:cstheme="minorHAnsi"/>
            <w:noProof/>
          </w:rPr>
          <w:t>21.</w:t>
        </w:r>
        <w:r w:rsidR="00BC0200">
          <w:rPr>
            <w:rFonts w:eastAsiaTheme="minorEastAsia" w:cstheme="minorBidi"/>
            <w:b w:val="0"/>
            <w:bCs w:val="0"/>
            <w:noProof/>
            <w:lang w:val="es-EC" w:eastAsia="es-EC"/>
          </w:rPr>
          <w:tab/>
        </w:r>
        <w:r w:rsidR="00BC0200" w:rsidRPr="00545175">
          <w:rPr>
            <w:rStyle w:val="Hipervnculo"/>
            <w:noProof/>
          </w:rPr>
          <w:t>Carta de acuerdo firmada entre el PNUD y el Socio en la Implementación solicitando los servicios de apoyo del PNUD</w:t>
        </w:r>
        <w:r w:rsidR="00BC0200">
          <w:rPr>
            <w:noProof/>
            <w:webHidden/>
          </w:rPr>
          <w:tab/>
        </w:r>
        <w:r w:rsidR="00BC0200">
          <w:rPr>
            <w:noProof/>
            <w:webHidden/>
          </w:rPr>
          <w:fldChar w:fldCharType="begin"/>
        </w:r>
        <w:r w:rsidR="00BC0200">
          <w:rPr>
            <w:noProof/>
            <w:webHidden/>
          </w:rPr>
          <w:instrText xml:space="preserve"> PAGEREF _Toc144822698 \h </w:instrText>
        </w:r>
        <w:r w:rsidR="00BC0200">
          <w:rPr>
            <w:noProof/>
            <w:webHidden/>
          </w:rPr>
        </w:r>
        <w:r w:rsidR="00BC0200">
          <w:rPr>
            <w:noProof/>
            <w:webHidden/>
          </w:rPr>
          <w:fldChar w:fldCharType="separate"/>
        </w:r>
        <w:r w:rsidR="004D0AC8">
          <w:rPr>
            <w:noProof/>
            <w:webHidden/>
          </w:rPr>
          <w:t>102</w:t>
        </w:r>
        <w:r w:rsidR="00BC0200">
          <w:rPr>
            <w:noProof/>
            <w:webHidden/>
          </w:rPr>
          <w:fldChar w:fldCharType="end"/>
        </w:r>
      </w:hyperlink>
    </w:p>
    <w:p w14:paraId="4AABD313" w14:textId="1760305E" w:rsidR="00ED15CC" w:rsidRPr="003D62F2" w:rsidRDefault="00ED15CC" w:rsidP="00C358E4">
      <w:pPr>
        <w:jc w:val="both"/>
        <w:rPr>
          <w:rFonts w:eastAsia="SimSun" w:cstheme="minorHAnsi"/>
          <w:b/>
          <w:color w:val="000000" w:themeColor="text1"/>
          <w:sz w:val="22"/>
        </w:rPr>
      </w:pPr>
      <w:r w:rsidRPr="00DC294C">
        <w:rPr>
          <w:rFonts w:asciiTheme="minorHAnsi" w:eastAsia="SimSun" w:hAnsiTheme="minorHAnsi" w:cstheme="minorHAnsi"/>
          <w:color w:val="000000" w:themeColor="text1"/>
          <w:sz w:val="18"/>
        </w:rPr>
        <w:fldChar w:fldCharType="end"/>
      </w:r>
    </w:p>
    <w:p w14:paraId="18850189" w14:textId="77777777" w:rsidR="008F7CF1" w:rsidRDefault="008F7CF1" w:rsidP="00CB3CE4">
      <w:pPr>
        <w:spacing w:after="120"/>
        <w:jc w:val="both"/>
        <w:rPr>
          <w:rFonts w:asciiTheme="minorHAnsi" w:hAnsiTheme="minorHAnsi" w:cstheme="minorHAnsi"/>
          <w:b/>
          <w:bCs/>
          <w:iCs/>
          <w:sz w:val="20"/>
          <w:szCs w:val="20"/>
          <w:lang w:val="en-US"/>
        </w:rPr>
      </w:pPr>
    </w:p>
    <w:p w14:paraId="7839C60C" w14:textId="315A34DC" w:rsidR="00AB559B" w:rsidRPr="00F4197B" w:rsidRDefault="00AB559B" w:rsidP="00CB3CE4">
      <w:pPr>
        <w:spacing w:after="120"/>
        <w:jc w:val="both"/>
        <w:rPr>
          <w:rFonts w:asciiTheme="minorHAnsi" w:hAnsiTheme="minorHAnsi" w:cstheme="minorHAnsi"/>
          <w:b/>
          <w:bCs/>
          <w:iCs/>
          <w:sz w:val="20"/>
          <w:szCs w:val="20"/>
        </w:rPr>
      </w:pPr>
      <w:r>
        <w:rPr>
          <w:rFonts w:asciiTheme="minorHAnsi" w:hAnsiTheme="minorHAnsi"/>
          <w:b/>
          <w:sz w:val="20"/>
        </w:rPr>
        <w:t xml:space="preserve">LISTA DE </w:t>
      </w:r>
      <w:r w:rsidR="00022C4D">
        <w:rPr>
          <w:rFonts w:asciiTheme="minorHAnsi" w:hAnsiTheme="minorHAnsi"/>
          <w:b/>
          <w:sz w:val="20"/>
        </w:rPr>
        <w:t>TABLAS</w:t>
      </w:r>
    </w:p>
    <w:p w14:paraId="2DBF66D4" w14:textId="233B246B" w:rsidR="00CB3CE4" w:rsidRPr="00F4197B" w:rsidRDefault="004312B9">
      <w:pPr>
        <w:pStyle w:val="Tabladeilustraciones"/>
        <w:tabs>
          <w:tab w:val="right" w:leader="dot" w:pos="9350"/>
        </w:tabs>
        <w:rPr>
          <w:rFonts w:asciiTheme="minorHAnsi" w:eastAsiaTheme="minorEastAsia" w:hAnsiTheme="minorHAnsi" w:cstheme="minorHAnsi"/>
          <w:noProof/>
          <w:sz w:val="20"/>
          <w:szCs w:val="20"/>
        </w:rPr>
      </w:pPr>
      <w:r w:rsidRPr="00F4197B">
        <w:rPr>
          <w:rFonts w:asciiTheme="minorHAnsi" w:hAnsiTheme="minorHAnsi" w:cstheme="minorHAnsi"/>
          <w:b/>
          <w:sz w:val="20"/>
        </w:rPr>
        <w:fldChar w:fldCharType="begin"/>
      </w:r>
      <w:r w:rsidRPr="00F4197B">
        <w:rPr>
          <w:rFonts w:asciiTheme="minorHAnsi" w:hAnsiTheme="minorHAnsi" w:cstheme="minorHAnsi"/>
          <w:b/>
          <w:sz w:val="20"/>
        </w:rPr>
        <w:instrText xml:space="preserve"> TOC \h \z \c "Table" </w:instrText>
      </w:r>
      <w:r w:rsidRPr="00F4197B">
        <w:rPr>
          <w:rFonts w:asciiTheme="minorHAnsi" w:hAnsiTheme="minorHAnsi" w:cstheme="minorHAnsi"/>
          <w:b/>
          <w:sz w:val="20"/>
        </w:rPr>
        <w:fldChar w:fldCharType="separate"/>
      </w:r>
      <w:hyperlink w:anchor="_Toc114650451" w:history="1">
        <w:r w:rsidR="00022C4D" w:rsidRPr="00022C4D">
          <w:rPr>
            <w:rStyle w:val="Hipervnculo"/>
            <w:rFonts w:asciiTheme="minorHAnsi" w:eastAsiaTheme="majorEastAsia" w:hAnsiTheme="minorHAnsi" w:cstheme="minorHAnsi"/>
            <w:noProof/>
            <w:sz w:val="20"/>
          </w:rPr>
          <w:t>Tabla 1: Principales cultivos</w:t>
        </w:r>
        <w:r w:rsidR="00CB3CE4" w:rsidRPr="00F4197B">
          <w:rPr>
            <w:rStyle w:val="Hipervnculo"/>
            <w:rFonts w:asciiTheme="minorHAnsi" w:eastAsiaTheme="majorEastAsia" w:hAnsiTheme="minorHAnsi" w:cstheme="minorHAnsi"/>
            <w:noProof/>
            <w:sz w:val="20"/>
          </w:rPr>
          <w:t xml:space="preserve"> 2020</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_Toc114650451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11</w:t>
        </w:r>
        <w:r w:rsidR="00CB3CE4" w:rsidRPr="00F4197B">
          <w:rPr>
            <w:rFonts w:asciiTheme="minorHAnsi" w:hAnsiTheme="minorHAnsi" w:cstheme="minorHAnsi"/>
            <w:noProof/>
            <w:webHidden/>
            <w:sz w:val="20"/>
          </w:rPr>
          <w:fldChar w:fldCharType="end"/>
        </w:r>
      </w:hyperlink>
    </w:p>
    <w:p w14:paraId="22D89208" w14:textId="6AF0CFE9"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2" w:history="1">
        <w:r w:rsidR="00022C4D" w:rsidRPr="00022C4D">
          <w:rPr>
            <w:rStyle w:val="Hipervnculo"/>
            <w:rFonts w:asciiTheme="minorHAnsi" w:eastAsiaTheme="majorEastAsia" w:hAnsiTheme="minorHAnsi" w:cstheme="minorHAnsi"/>
            <w:noProof/>
            <w:sz w:val="20"/>
          </w:rPr>
          <w:t>Tabla 2: Importaciones de agroquímicos en Ecuador</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_Toc114650452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12</w:t>
        </w:r>
        <w:r w:rsidR="00CB3CE4" w:rsidRPr="00F4197B">
          <w:rPr>
            <w:rFonts w:asciiTheme="minorHAnsi" w:hAnsiTheme="minorHAnsi" w:cstheme="minorHAnsi"/>
            <w:noProof/>
            <w:webHidden/>
            <w:sz w:val="20"/>
          </w:rPr>
          <w:fldChar w:fldCharType="end"/>
        </w:r>
      </w:hyperlink>
    </w:p>
    <w:p w14:paraId="69670D87" w14:textId="476AF445"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3" w:history="1">
        <w:r w:rsidR="00022C4D" w:rsidRPr="00022C4D">
          <w:rPr>
            <w:rStyle w:val="Hipervnculo"/>
            <w:rFonts w:asciiTheme="minorHAnsi" w:eastAsiaTheme="majorEastAsia" w:hAnsiTheme="minorHAnsi" w:cstheme="minorHAnsi"/>
            <w:noProof/>
            <w:sz w:val="20"/>
          </w:rPr>
          <w:t xml:space="preserve">Tabla 3: Importaciones de </w:t>
        </w:r>
        <w:r w:rsidR="00D959E4">
          <w:rPr>
            <w:rStyle w:val="Hipervnculo"/>
            <w:rFonts w:asciiTheme="minorHAnsi" w:eastAsiaTheme="majorEastAsia" w:hAnsiTheme="minorHAnsi" w:cstheme="minorHAnsi"/>
            <w:noProof/>
            <w:sz w:val="20"/>
          </w:rPr>
          <w:t>PAP</w:t>
        </w:r>
        <w:r w:rsidR="00022C4D" w:rsidRPr="00022C4D">
          <w:rPr>
            <w:rStyle w:val="Hipervnculo"/>
            <w:rFonts w:asciiTheme="minorHAnsi" w:eastAsiaTheme="majorEastAsia" w:hAnsiTheme="minorHAnsi" w:cstheme="minorHAnsi"/>
            <w:noProof/>
            <w:sz w:val="20"/>
          </w:rPr>
          <w:t>s, Clorpirifos y Paraquat en Ecuador</w:t>
        </w:r>
        <w:r w:rsidR="00CB3CE4" w:rsidRPr="00F4197B">
          <w:rPr>
            <w:rStyle w:val="Hipervnculo"/>
            <w:rFonts w:asciiTheme="minorHAnsi" w:eastAsiaTheme="majorEastAsia" w:hAnsiTheme="minorHAnsi" w:cstheme="minorHAnsi"/>
            <w:noProof/>
            <w:sz w:val="20"/>
          </w:rPr>
          <w:t>.</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_Toc114650453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12</w:t>
        </w:r>
        <w:r w:rsidR="00CB3CE4" w:rsidRPr="00F4197B">
          <w:rPr>
            <w:rFonts w:asciiTheme="minorHAnsi" w:hAnsiTheme="minorHAnsi" w:cstheme="minorHAnsi"/>
            <w:noProof/>
            <w:webHidden/>
            <w:sz w:val="20"/>
          </w:rPr>
          <w:fldChar w:fldCharType="end"/>
        </w:r>
      </w:hyperlink>
    </w:p>
    <w:p w14:paraId="317EDEF8" w14:textId="7AE7A248"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4" w:history="1">
        <w:r w:rsidR="00022C4D" w:rsidRPr="00022C4D">
          <w:rPr>
            <w:rStyle w:val="Hipervnculo"/>
            <w:rFonts w:asciiTheme="minorHAnsi" w:eastAsiaTheme="majorEastAsia" w:hAnsiTheme="minorHAnsi" w:cstheme="minorHAnsi"/>
            <w:noProof/>
            <w:sz w:val="20"/>
          </w:rPr>
          <w:t>Tabla 4: Superficie y toxicidad de los insumos químicos utilizados en los cultivos</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_Toc114650454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13</w:t>
        </w:r>
        <w:r w:rsidR="00CB3CE4" w:rsidRPr="00F4197B">
          <w:rPr>
            <w:rFonts w:asciiTheme="minorHAnsi" w:hAnsiTheme="minorHAnsi" w:cstheme="minorHAnsi"/>
            <w:noProof/>
            <w:webHidden/>
            <w:sz w:val="20"/>
          </w:rPr>
          <w:fldChar w:fldCharType="end"/>
        </w:r>
      </w:hyperlink>
    </w:p>
    <w:p w14:paraId="6B3C8B49" w14:textId="5D1BD92F"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5" w:history="1">
        <w:r w:rsidR="00860E5C" w:rsidRPr="00860E5C">
          <w:rPr>
            <w:rStyle w:val="Hipervnculo"/>
            <w:rFonts w:asciiTheme="minorHAnsi" w:eastAsiaTheme="majorEastAsia" w:hAnsiTheme="minorHAnsi" w:cstheme="minorHAnsi"/>
            <w:noProof/>
            <w:sz w:val="20"/>
          </w:rPr>
          <w:t xml:space="preserve">Tabla 5: Residuos de </w:t>
        </w:r>
        <w:r w:rsidR="00EB1A45">
          <w:rPr>
            <w:rStyle w:val="Hipervnculo"/>
            <w:rFonts w:asciiTheme="minorHAnsi" w:eastAsiaTheme="majorEastAsia" w:hAnsiTheme="minorHAnsi" w:cstheme="minorHAnsi"/>
            <w:noProof/>
            <w:sz w:val="20"/>
          </w:rPr>
          <w:t>plaguicidas</w:t>
        </w:r>
        <w:r w:rsidR="00860E5C" w:rsidRPr="00860E5C">
          <w:rPr>
            <w:rStyle w:val="Hipervnculo"/>
            <w:rFonts w:asciiTheme="minorHAnsi" w:eastAsiaTheme="majorEastAsia" w:hAnsiTheme="minorHAnsi" w:cstheme="minorHAnsi"/>
            <w:noProof/>
            <w:sz w:val="20"/>
          </w:rPr>
          <w:t xml:space="preserve"> en cultivos</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_Toc114650455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13</w:t>
        </w:r>
        <w:r w:rsidR="00CB3CE4" w:rsidRPr="00F4197B">
          <w:rPr>
            <w:rFonts w:asciiTheme="minorHAnsi" w:hAnsiTheme="minorHAnsi" w:cstheme="minorHAnsi"/>
            <w:noProof/>
            <w:webHidden/>
            <w:sz w:val="20"/>
          </w:rPr>
          <w:fldChar w:fldCharType="end"/>
        </w:r>
      </w:hyperlink>
    </w:p>
    <w:p w14:paraId="0CB85C65" w14:textId="75CCFDC1"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6" w:history="1">
        <w:r w:rsidR="00860E5C" w:rsidRPr="00860E5C">
          <w:rPr>
            <w:rStyle w:val="Hipervnculo"/>
            <w:rFonts w:asciiTheme="minorHAnsi" w:eastAsiaTheme="majorEastAsia" w:hAnsiTheme="minorHAnsi" w:cstheme="minorHAnsi"/>
            <w:noProof/>
            <w:sz w:val="20"/>
          </w:rPr>
          <w:t>Tabla 6: Registros de intoxicaciones por agroquímicos</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_Toc114650456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15</w:t>
        </w:r>
        <w:r w:rsidR="00CB3CE4" w:rsidRPr="00F4197B">
          <w:rPr>
            <w:rFonts w:asciiTheme="minorHAnsi" w:hAnsiTheme="minorHAnsi" w:cstheme="minorHAnsi"/>
            <w:noProof/>
            <w:webHidden/>
            <w:sz w:val="20"/>
          </w:rPr>
          <w:fldChar w:fldCharType="end"/>
        </w:r>
      </w:hyperlink>
    </w:p>
    <w:p w14:paraId="17BD3F53" w14:textId="4A4DF3CA"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7" w:history="1">
        <w:r w:rsidR="00860E5C" w:rsidRPr="00860E5C">
          <w:rPr>
            <w:rStyle w:val="Hipervnculo"/>
            <w:rFonts w:asciiTheme="minorHAnsi" w:eastAsiaTheme="majorEastAsia" w:hAnsiTheme="minorHAnsi" w:cstheme="minorHAnsi"/>
            <w:noProof/>
            <w:sz w:val="20"/>
          </w:rPr>
          <w:t xml:space="preserve">Tabla 7: Inventario de </w:t>
        </w:r>
        <w:r w:rsidR="00EB1A45" w:rsidRPr="00EB1A45">
          <w:rPr>
            <w:rStyle w:val="Hipervnculo"/>
            <w:rFonts w:asciiTheme="minorHAnsi" w:eastAsiaTheme="majorEastAsia" w:hAnsiTheme="minorHAnsi" w:cstheme="minorHAnsi"/>
            <w:noProof/>
            <w:sz w:val="20"/>
          </w:rPr>
          <w:t>plaguicidas</w:t>
        </w:r>
        <w:r w:rsidR="00860E5C" w:rsidRPr="00EB1A45">
          <w:rPr>
            <w:rStyle w:val="Hipervnculo"/>
            <w:rFonts w:asciiTheme="minorHAnsi" w:hAnsiTheme="minorHAnsi" w:cstheme="minorHAnsi"/>
            <w:noProof/>
            <w:sz w:val="20"/>
          </w:rPr>
          <w:t xml:space="preserve"> </w:t>
        </w:r>
        <w:r w:rsidR="00860E5C" w:rsidRPr="00860E5C">
          <w:rPr>
            <w:rStyle w:val="Hipervnculo"/>
            <w:rFonts w:asciiTheme="minorHAnsi" w:eastAsiaTheme="majorEastAsia" w:hAnsiTheme="minorHAnsi" w:cstheme="minorHAnsi"/>
            <w:noProof/>
            <w:sz w:val="20"/>
          </w:rPr>
          <w:t>obsoletos</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_Toc114650457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16</w:t>
        </w:r>
        <w:r w:rsidR="00CB3CE4" w:rsidRPr="00F4197B">
          <w:rPr>
            <w:rFonts w:asciiTheme="minorHAnsi" w:hAnsiTheme="minorHAnsi" w:cstheme="minorHAnsi"/>
            <w:noProof/>
            <w:webHidden/>
            <w:sz w:val="20"/>
          </w:rPr>
          <w:fldChar w:fldCharType="end"/>
        </w:r>
      </w:hyperlink>
    </w:p>
    <w:p w14:paraId="52330235" w14:textId="12BD75D2"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8" w:history="1">
        <w:r w:rsidR="00860E5C" w:rsidRPr="00860E5C">
          <w:rPr>
            <w:rStyle w:val="Hipervnculo"/>
            <w:rFonts w:asciiTheme="minorHAnsi" w:eastAsiaTheme="majorEastAsia" w:hAnsiTheme="minorHAnsi" w:cstheme="minorHAnsi"/>
            <w:noProof/>
            <w:sz w:val="20"/>
          </w:rPr>
          <w:t>Tabla 8: Gestión de residuos plásticos agrícolas</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_Toc114650458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17</w:t>
        </w:r>
        <w:r w:rsidR="00CB3CE4" w:rsidRPr="00F4197B">
          <w:rPr>
            <w:rFonts w:asciiTheme="minorHAnsi" w:hAnsiTheme="minorHAnsi" w:cstheme="minorHAnsi"/>
            <w:noProof/>
            <w:webHidden/>
            <w:sz w:val="20"/>
          </w:rPr>
          <w:fldChar w:fldCharType="end"/>
        </w:r>
      </w:hyperlink>
    </w:p>
    <w:p w14:paraId="09E887CB" w14:textId="693292F3"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59" w:history="1">
        <w:r w:rsidR="00860E5C" w:rsidRPr="00860E5C">
          <w:rPr>
            <w:rStyle w:val="Hipervnculo"/>
            <w:rFonts w:asciiTheme="minorHAnsi" w:eastAsiaTheme="majorEastAsia" w:hAnsiTheme="minorHAnsi" w:cstheme="minorHAnsi"/>
            <w:noProof/>
            <w:sz w:val="20"/>
          </w:rPr>
          <w:t>Tabla 9: Destino de los envases vacíos</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_Toc114650459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17</w:t>
        </w:r>
        <w:r w:rsidR="00CB3CE4" w:rsidRPr="00F4197B">
          <w:rPr>
            <w:rFonts w:asciiTheme="minorHAnsi" w:hAnsiTheme="minorHAnsi" w:cstheme="minorHAnsi"/>
            <w:noProof/>
            <w:webHidden/>
            <w:sz w:val="20"/>
          </w:rPr>
          <w:fldChar w:fldCharType="end"/>
        </w:r>
      </w:hyperlink>
    </w:p>
    <w:p w14:paraId="38AE36BC" w14:textId="2E8401E6"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0" w:history="1">
        <w:r w:rsidR="00860E5C" w:rsidRPr="00860E5C">
          <w:rPr>
            <w:rStyle w:val="Hipervnculo"/>
            <w:rFonts w:asciiTheme="minorHAnsi" w:eastAsiaTheme="majorEastAsia" w:hAnsiTheme="minorHAnsi" w:cstheme="minorHAnsi"/>
            <w:noProof/>
            <w:sz w:val="20"/>
          </w:rPr>
          <w:t xml:space="preserve">Tabla 10: Asociaciones del </w:t>
        </w:r>
        <w:r w:rsidR="00CB3CE4" w:rsidRPr="00F4197B">
          <w:rPr>
            <w:rStyle w:val="Hipervnculo"/>
            <w:rFonts w:asciiTheme="minorHAnsi" w:eastAsiaTheme="majorEastAsia" w:hAnsiTheme="minorHAnsi" w:cstheme="minorHAnsi"/>
            <w:noProof/>
            <w:sz w:val="20"/>
          </w:rPr>
          <w:t>FSP.</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_Toc114650460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45</w:t>
        </w:r>
        <w:r w:rsidR="00CB3CE4" w:rsidRPr="00F4197B">
          <w:rPr>
            <w:rFonts w:asciiTheme="minorHAnsi" w:hAnsiTheme="minorHAnsi" w:cstheme="minorHAnsi"/>
            <w:noProof/>
            <w:webHidden/>
            <w:sz w:val="20"/>
          </w:rPr>
          <w:fldChar w:fldCharType="end"/>
        </w:r>
      </w:hyperlink>
    </w:p>
    <w:p w14:paraId="0E76A8C9" w14:textId="3A668DDB"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1" w:history="1">
        <w:r w:rsidR="00860E5C" w:rsidRPr="00860E5C">
          <w:rPr>
            <w:rStyle w:val="Hipervnculo"/>
            <w:rFonts w:asciiTheme="minorHAnsi" w:eastAsiaTheme="majorEastAsia" w:hAnsiTheme="minorHAnsi" w:cstheme="minorHAnsi"/>
            <w:noProof/>
            <w:sz w:val="20"/>
          </w:rPr>
          <w:t xml:space="preserve">Tabla 11: Otros proyectos en curso relacionados con este </w:t>
        </w:r>
        <w:r w:rsidR="00CB3CE4" w:rsidRPr="00F4197B">
          <w:rPr>
            <w:rStyle w:val="Hipervnculo"/>
            <w:rFonts w:asciiTheme="minorHAnsi" w:eastAsiaTheme="majorEastAsia" w:hAnsiTheme="minorHAnsi" w:cstheme="minorHAnsi"/>
            <w:noProof/>
            <w:sz w:val="20"/>
          </w:rPr>
          <w:t>FSP.</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_Toc114650461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53</w:t>
        </w:r>
        <w:r w:rsidR="00CB3CE4" w:rsidRPr="00F4197B">
          <w:rPr>
            <w:rFonts w:asciiTheme="minorHAnsi" w:hAnsiTheme="minorHAnsi" w:cstheme="minorHAnsi"/>
            <w:noProof/>
            <w:webHidden/>
            <w:sz w:val="20"/>
          </w:rPr>
          <w:fldChar w:fldCharType="end"/>
        </w:r>
      </w:hyperlink>
    </w:p>
    <w:p w14:paraId="7935DC5E" w14:textId="050F161A"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2" w:history="1">
        <w:r w:rsidR="00D508AB" w:rsidRPr="00D508AB">
          <w:rPr>
            <w:rStyle w:val="Hipervnculo"/>
            <w:rFonts w:asciiTheme="minorHAnsi" w:eastAsiaTheme="majorEastAsia" w:hAnsiTheme="minorHAnsi" w:cstheme="minorHAnsi"/>
            <w:noProof/>
            <w:sz w:val="20"/>
          </w:rPr>
          <w:t>Tabla 12: Cofinanciación</w:t>
        </w:r>
        <w:r w:rsidR="00CB3CE4" w:rsidRPr="00F4197B">
          <w:rPr>
            <w:rStyle w:val="Hipervnculo"/>
            <w:rFonts w:asciiTheme="minorHAnsi" w:eastAsiaTheme="majorEastAsia" w:hAnsiTheme="minorHAnsi" w:cstheme="minorHAnsi"/>
            <w:noProof/>
            <w:sz w:val="20"/>
          </w:rPr>
          <w:t>.</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_Toc114650462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56</w:t>
        </w:r>
        <w:r w:rsidR="00CB3CE4" w:rsidRPr="00F4197B">
          <w:rPr>
            <w:rFonts w:asciiTheme="minorHAnsi" w:hAnsiTheme="minorHAnsi" w:cstheme="minorHAnsi"/>
            <w:noProof/>
            <w:webHidden/>
            <w:sz w:val="20"/>
          </w:rPr>
          <w:fldChar w:fldCharType="end"/>
        </w:r>
      </w:hyperlink>
    </w:p>
    <w:p w14:paraId="2253E894" w14:textId="6D818608"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3" w:history="1">
        <w:r w:rsidR="00D508AB" w:rsidRPr="00D508AB">
          <w:rPr>
            <w:rStyle w:val="Hipervnculo"/>
            <w:rFonts w:asciiTheme="minorHAnsi" w:eastAsiaTheme="majorEastAsia" w:hAnsiTheme="minorHAnsi" w:cstheme="minorHAnsi"/>
            <w:noProof/>
            <w:sz w:val="20"/>
          </w:rPr>
          <w:t xml:space="preserve">Tabla 13: Principales riesgos que pueden amenazar la consecución de los resultados del </w:t>
        </w:r>
        <w:r w:rsidR="00CB3CE4" w:rsidRPr="00F4197B">
          <w:rPr>
            <w:rStyle w:val="Hipervnculo"/>
            <w:rFonts w:asciiTheme="minorHAnsi" w:eastAsiaTheme="majorEastAsia" w:hAnsiTheme="minorHAnsi" w:cstheme="minorHAnsi"/>
            <w:noProof/>
            <w:sz w:val="20"/>
          </w:rPr>
          <w:t>FSP.</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_Toc114650463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56</w:t>
        </w:r>
        <w:r w:rsidR="00CB3CE4" w:rsidRPr="00F4197B">
          <w:rPr>
            <w:rFonts w:asciiTheme="minorHAnsi" w:hAnsiTheme="minorHAnsi" w:cstheme="minorHAnsi"/>
            <w:noProof/>
            <w:webHidden/>
            <w:sz w:val="20"/>
          </w:rPr>
          <w:fldChar w:fldCharType="end"/>
        </w:r>
      </w:hyperlink>
    </w:p>
    <w:p w14:paraId="080E34EF" w14:textId="1EA569EB"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4" w:history="1">
        <w:r w:rsidR="00D508AB" w:rsidRPr="00D508AB">
          <w:rPr>
            <w:rStyle w:val="Hipervnculo"/>
            <w:rFonts w:asciiTheme="minorHAnsi" w:eastAsiaTheme="majorEastAsia" w:hAnsiTheme="minorHAnsi" w:cstheme="minorHAnsi"/>
            <w:noProof/>
            <w:sz w:val="20"/>
          </w:rPr>
          <w:t xml:space="preserve">Tabla 14: Plan de </w:t>
        </w:r>
        <w:r w:rsidR="004932D0">
          <w:rPr>
            <w:rStyle w:val="Hipervnculo"/>
            <w:rFonts w:asciiTheme="minorHAnsi" w:eastAsiaTheme="majorEastAsia" w:hAnsiTheme="minorHAnsi" w:cstheme="minorHAnsi"/>
            <w:noProof/>
            <w:sz w:val="20"/>
          </w:rPr>
          <w:t>Monitoreo</w:t>
        </w:r>
        <w:r w:rsidR="00CB3CE4" w:rsidRPr="00F4197B">
          <w:rPr>
            <w:rStyle w:val="Hipervnculo"/>
            <w:rFonts w:asciiTheme="minorHAnsi" w:eastAsiaTheme="majorEastAsia" w:hAnsiTheme="minorHAnsi" w:cstheme="minorHAnsi"/>
            <w:noProof/>
            <w:sz w:val="20"/>
          </w:rPr>
          <w:t>.</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_Toc114650464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73</w:t>
        </w:r>
        <w:r w:rsidR="00CB3CE4" w:rsidRPr="00F4197B">
          <w:rPr>
            <w:rFonts w:asciiTheme="minorHAnsi" w:hAnsiTheme="minorHAnsi" w:cstheme="minorHAnsi"/>
            <w:noProof/>
            <w:webHidden/>
            <w:sz w:val="20"/>
          </w:rPr>
          <w:fldChar w:fldCharType="end"/>
        </w:r>
      </w:hyperlink>
    </w:p>
    <w:p w14:paraId="24116D06" w14:textId="2219B6F1"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5" w:history="1">
        <w:r w:rsidR="00D508AB" w:rsidRPr="00D508AB">
          <w:rPr>
            <w:rStyle w:val="Hipervnculo"/>
            <w:rFonts w:asciiTheme="minorHAnsi" w:eastAsiaTheme="majorEastAsia" w:hAnsiTheme="minorHAnsi" w:cstheme="minorHAnsi"/>
            <w:noProof/>
            <w:sz w:val="20"/>
          </w:rPr>
          <w:t xml:space="preserve">Tabla 15: Presupuesto de </w:t>
        </w:r>
        <w:r w:rsidR="004932D0">
          <w:rPr>
            <w:rStyle w:val="Hipervnculo"/>
            <w:rFonts w:asciiTheme="minorHAnsi" w:eastAsiaTheme="majorEastAsia" w:hAnsiTheme="minorHAnsi" w:cstheme="minorHAnsi"/>
            <w:noProof/>
            <w:sz w:val="20"/>
          </w:rPr>
          <w:t>Monitoreo</w:t>
        </w:r>
        <w:r w:rsidR="00D508AB" w:rsidRPr="00D508AB">
          <w:rPr>
            <w:rStyle w:val="Hipervnculo"/>
            <w:rFonts w:asciiTheme="minorHAnsi" w:eastAsiaTheme="majorEastAsia" w:hAnsiTheme="minorHAnsi" w:cstheme="minorHAnsi"/>
            <w:noProof/>
            <w:sz w:val="20"/>
          </w:rPr>
          <w:t xml:space="preserve"> y </w:t>
        </w:r>
        <w:r w:rsidR="004932D0">
          <w:rPr>
            <w:rStyle w:val="Hipervnculo"/>
            <w:rFonts w:asciiTheme="minorHAnsi" w:eastAsiaTheme="majorEastAsia" w:hAnsiTheme="minorHAnsi" w:cstheme="minorHAnsi"/>
            <w:noProof/>
            <w:sz w:val="20"/>
          </w:rPr>
          <w:t>E</w:t>
        </w:r>
        <w:r w:rsidR="00D508AB" w:rsidRPr="00D508AB">
          <w:rPr>
            <w:rStyle w:val="Hipervnculo"/>
            <w:rFonts w:asciiTheme="minorHAnsi" w:eastAsiaTheme="majorEastAsia" w:hAnsiTheme="minorHAnsi" w:cstheme="minorHAnsi"/>
            <w:noProof/>
            <w:sz w:val="20"/>
          </w:rPr>
          <w:t>valuación</w:t>
        </w:r>
        <w:r w:rsidR="00CB3CE4" w:rsidRPr="00F4197B">
          <w:rPr>
            <w:rStyle w:val="Hipervnculo"/>
            <w:rFonts w:asciiTheme="minorHAnsi" w:eastAsiaTheme="majorEastAsia" w:hAnsiTheme="minorHAnsi" w:cstheme="minorHAnsi"/>
            <w:noProof/>
            <w:sz w:val="20"/>
          </w:rPr>
          <w:t>.</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_Toc114650465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82</w:t>
        </w:r>
        <w:r w:rsidR="00CB3CE4" w:rsidRPr="00F4197B">
          <w:rPr>
            <w:rFonts w:asciiTheme="minorHAnsi" w:hAnsiTheme="minorHAnsi" w:cstheme="minorHAnsi"/>
            <w:noProof/>
            <w:webHidden/>
            <w:sz w:val="20"/>
          </w:rPr>
          <w:fldChar w:fldCharType="end"/>
        </w:r>
      </w:hyperlink>
    </w:p>
    <w:p w14:paraId="4B903B7F" w14:textId="4649921F" w:rsidR="00CB3CE4" w:rsidRPr="00F4197B" w:rsidRDefault="00000000">
      <w:pPr>
        <w:pStyle w:val="Tabladeilustraciones"/>
        <w:tabs>
          <w:tab w:val="right" w:leader="dot" w:pos="9350"/>
        </w:tabs>
        <w:rPr>
          <w:rFonts w:asciiTheme="minorHAnsi" w:eastAsiaTheme="minorEastAsia" w:hAnsiTheme="minorHAnsi" w:cstheme="minorHAnsi"/>
          <w:noProof/>
          <w:sz w:val="20"/>
        </w:rPr>
      </w:pPr>
      <w:hyperlink w:anchor="_Toc114650466" w:history="1">
        <w:r w:rsidR="00D508AB" w:rsidRPr="00D508AB">
          <w:rPr>
            <w:rStyle w:val="Hipervnculo"/>
            <w:rFonts w:asciiTheme="minorHAnsi" w:eastAsiaTheme="majorEastAsia" w:hAnsiTheme="minorHAnsi" w:cstheme="minorHAnsi"/>
            <w:noProof/>
            <w:sz w:val="20"/>
          </w:rPr>
          <w:t>Tabla 16: Recursos de cofinanciación</w:t>
        </w:r>
        <w:r w:rsidR="00CB3CE4" w:rsidRPr="00F4197B">
          <w:rPr>
            <w:rFonts w:asciiTheme="minorHAnsi" w:hAnsiTheme="minorHAnsi" w:cstheme="minorHAnsi"/>
            <w:noProof/>
            <w:webHidden/>
            <w:sz w:val="20"/>
          </w:rPr>
          <w:tab/>
        </w:r>
        <w:r w:rsidR="00CB3CE4" w:rsidRPr="00F4197B">
          <w:rPr>
            <w:rFonts w:asciiTheme="minorHAnsi" w:hAnsiTheme="minorHAnsi" w:cstheme="minorHAnsi"/>
            <w:noProof/>
            <w:webHidden/>
            <w:sz w:val="20"/>
          </w:rPr>
          <w:fldChar w:fldCharType="begin"/>
        </w:r>
        <w:r w:rsidR="00CB3CE4" w:rsidRPr="00F4197B">
          <w:rPr>
            <w:rFonts w:asciiTheme="minorHAnsi" w:hAnsiTheme="minorHAnsi" w:cstheme="minorHAnsi"/>
            <w:noProof/>
            <w:webHidden/>
            <w:sz w:val="20"/>
          </w:rPr>
          <w:instrText xml:space="preserve"> PAGEREF _Toc114650466 \h </w:instrText>
        </w:r>
        <w:r w:rsidR="00CB3CE4" w:rsidRPr="00F4197B">
          <w:rPr>
            <w:rFonts w:asciiTheme="minorHAnsi" w:hAnsiTheme="minorHAnsi" w:cstheme="minorHAnsi"/>
            <w:noProof/>
            <w:webHidden/>
            <w:sz w:val="20"/>
          </w:rPr>
        </w:r>
        <w:r w:rsidR="00CB3CE4" w:rsidRPr="00F4197B">
          <w:rPr>
            <w:rFonts w:asciiTheme="minorHAnsi" w:hAnsiTheme="minorHAnsi" w:cstheme="minorHAnsi"/>
            <w:noProof/>
            <w:webHidden/>
            <w:sz w:val="20"/>
          </w:rPr>
          <w:fldChar w:fldCharType="separate"/>
        </w:r>
        <w:r w:rsidR="004D0AC8">
          <w:rPr>
            <w:rFonts w:asciiTheme="minorHAnsi" w:hAnsiTheme="minorHAnsi" w:cstheme="minorHAnsi"/>
            <w:noProof/>
            <w:webHidden/>
            <w:sz w:val="20"/>
          </w:rPr>
          <w:t>90</w:t>
        </w:r>
        <w:r w:rsidR="00CB3CE4" w:rsidRPr="00F4197B">
          <w:rPr>
            <w:rFonts w:asciiTheme="minorHAnsi" w:hAnsiTheme="minorHAnsi" w:cstheme="minorHAnsi"/>
            <w:noProof/>
            <w:webHidden/>
            <w:sz w:val="20"/>
          </w:rPr>
          <w:fldChar w:fldCharType="end"/>
        </w:r>
      </w:hyperlink>
    </w:p>
    <w:p w14:paraId="400560F2" w14:textId="77777777" w:rsidR="00CB3CE4" w:rsidRPr="00F4197B" w:rsidRDefault="004312B9" w:rsidP="00CB3CE4">
      <w:pPr>
        <w:jc w:val="both"/>
        <w:rPr>
          <w:rFonts w:asciiTheme="minorHAnsi" w:hAnsiTheme="minorHAnsi" w:cstheme="minorHAnsi"/>
          <w:b/>
          <w:sz w:val="20"/>
        </w:rPr>
      </w:pPr>
      <w:r w:rsidRPr="00F4197B">
        <w:rPr>
          <w:rFonts w:asciiTheme="minorHAnsi" w:hAnsiTheme="minorHAnsi" w:cstheme="minorHAnsi"/>
          <w:b/>
          <w:sz w:val="20"/>
        </w:rPr>
        <w:fldChar w:fldCharType="end"/>
      </w:r>
    </w:p>
    <w:p w14:paraId="18AC730D" w14:textId="52ED4AF1" w:rsidR="00AB559B" w:rsidRPr="00F4197B" w:rsidRDefault="00AB559B" w:rsidP="00CB3CE4">
      <w:pPr>
        <w:spacing w:after="240"/>
        <w:jc w:val="both"/>
        <w:rPr>
          <w:rFonts w:asciiTheme="minorHAnsi" w:hAnsiTheme="minorHAnsi" w:cstheme="minorHAnsi"/>
          <w:b/>
          <w:bCs/>
          <w:iCs/>
          <w:sz w:val="20"/>
          <w:szCs w:val="20"/>
        </w:rPr>
      </w:pPr>
      <w:r>
        <w:rPr>
          <w:rFonts w:asciiTheme="minorHAnsi" w:hAnsiTheme="minorHAnsi"/>
          <w:b/>
          <w:sz w:val="20"/>
        </w:rPr>
        <w:t xml:space="preserve">LISTA DE </w:t>
      </w:r>
      <w:r w:rsidR="00D959E4">
        <w:rPr>
          <w:rFonts w:asciiTheme="minorHAnsi" w:hAnsiTheme="minorHAnsi"/>
          <w:b/>
          <w:sz w:val="20"/>
        </w:rPr>
        <w:t>DIAGRAMAS</w:t>
      </w:r>
    </w:p>
    <w:p w14:paraId="2F30430C" w14:textId="76552D51" w:rsidR="00CB3CE4" w:rsidRPr="00F4197B" w:rsidRDefault="00CB3CE4">
      <w:pPr>
        <w:pStyle w:val="Tabladeilustraciones"/>
        <w:tabs>
          <w:tab w:val="right" w:leader="dot" w:pos="9350"/>
        </w:tabs>
        <w:rPr>
          <w:rFonts w:ascii="Calibri" w:eastAsiaTheme="minorEastAsia" w:hAnsi="Calibri" w:cs="Calibri"/>
          <w:noProof/>
          <w:sz w:val="20"/>
          <w:szCs w:val="20"/>
        </w:rPr>
      </w:pPr>
      <w:r w:rsidRPr="00F4197B">
        <w:rPr>
          <w:rFonts w:ascii="Calibri" w:hAnsi="Calibri" w:cs="Calibri"/>
          <w:b/>
          <w:sz w:val="20"/>
        </w:rPr>
        <w:fldChar w:fldCharType="begin"/>
      </w:r>
      <w:r w:rsidRPr="00F4197B">
        <w:rPr>
          <w:rFonts w:ascii="Calibri" w:hAnsi="Calibri" w:cs="Calibri"/>
          <w:b/>
          <w:sz w:val="20"/>
        </w:rPr>
        <w:instrText xml:space="preserve"> TOC \h \z \c "Figure" </w:instrText>
      </w:r>
      <w:r w:rsidRPr="00F4197B">
        <w:rPr>
          <w:rFonts w:ascii="Calibri" w:hAnsi="Calibri" w:cs="Calibri"/>
          <w:b/>
          <w:sz w:val="20"/>
        </w:rPr>
        <w:fldChar w:fldCharType="separate"/>
      </w:r>
      <w:hyperlink w:anchor="_Toc114650505" w:history="1">
        <w:r w:rsidR="00D508AB">
          <w:rPr>
            <w:rStyle w:val="Hipervnculo"/>
            <w:rFonts w:ascii="Calibri" w:eastAsiaTheme="majorEastAsia" w:hAnsi="Calibri" w:cs="Calibri"/>
            <w:noProof/>
            <w:sz w:val="20"/>
          </w:rPr>
          <w:t>Figura 1. Teoría del C</w:t>
        </w:r>
        <w:r w:rsidR="00D508AB" w:rsidRPr="00D508AB">
          <w:rPr>
            <w:rStyle w:val="Hipervnculo"/>
            <w:rFonts w:ascii="Calibri" w:eastAsiaTheme="majorEastAsia" w:hAnsi="Calibri" w:cs="Calibri"/>
            <w:noProof/>
            <w:sz w:val="20"/>
          </w:rPr>
          <w:t xml:space="preserve">ambio: </w:t>
        </w:r>
        <w:r w:rsidR="004932D0">
          <w:rPr>
            <w:rStyle w:val="Hipervnculo"/>
            <w:rFonts w:ascii="Calibri" w:eastAsiaTheme="majorEastAsia" w:hAnsi="Calibri" w:cs="Calibri"/>
            <w:noProof/>
            <w:sz w:val="20"/>
          </w:rPr>
          <w:t>D</w:t>
        </w:r>
        <w:r w:rsidR="00D508AB" w:rsidRPr="00D508AB">
          <w:rPr>
            <w:rStyle w:val="Hipervnculo"/>
            <w:rFonts w:ascii="Calibri" w:eastAsiaTheme="majorEastAsia" w:hAnsi="Calibri" w:cs="Calibri"/>
            <w:noProof/>
            <w:sz w:val="20"/>
          </w:rPr>
          <w:t>iagrama de análisis del Árbol de Problemas</w:t>
        </w:r>
        <w:r w:rsidRPr="00F4197B">
          <w:rPr>
            <w:rStyle w:val="Hipervnculo"/>
            <w:rFonts w:ascii="Calibri" w:eastAsiaTheme="majorEastAsia" w:hAnsi="Calibri" w:cs="Calibri"/>
            <w:noProof/>
            <w:sz w:val="20"/>
          </w:rPr>
          <w:t>.</w:t>
        </w:r>
        <w:r w:rsidRPr="00F4197B">
          <w:rPr>
            <w:rFonts w:ascii="Calibri" w:hAnsi="Calibri" w:cs="Calibri"/>
            <w:noProof/>
            <w:webHidden/>
            <w:sz w:val="20"/>
          </w:rPr>
          <w:tab/>
        </w:r>
        <w:r w:rsidRPr="00F4197B">
          <w:rPr>
            <w:rFonts w:ascii="Calibri" w:hAnsi="Calibri" w:cs="Calibri"/>
            <w:noProof/>
            <w:webHidden/>
            <w:sz w:val="20"/>
          </w:rPr>
          <w:fldChar w:fldCharType="begin"/>
        </w:r>
        <w:r w:rsidRPr="00F4197B">
          <w:rPr>
            <w:rFonts w:ascii="Calibri" w:hAnsi="Calibri" w:cs="Calibri"/>
            <w:noProof/>
            <w:webHidden/>
            <w:sz w:val="20"/>
          </w:rPr>
          <w:instrText xml:space="preserve"> PAGEREF _Toc114650505 \h </w:instrText>
        </w:r>
        <w:r w:rsidRPr="00F4197B">
          <w:rPr>
            <w:rFonts w:ascii="Calibri" w:hAnsi="Calibri" w:cs="Calibri"/>
            <w:noProof/>
            <w:webHidden/>
            <w:sz w:val="20"/>
          </w:rPr>
        </w:r>
        <w:r w:rsidRPr="00F4197B">
          <w:rPr>
            <w:rFonts w:ascii="Calibri" w:hAnsi="Calibri" w:cs="Calibri"/>
            <w:noProof/>
            <w:webHidden/>
            <w:sz w:val="20"/>
          </w:rPr>
          <w:fldChar w:fldCharType="separate"/>
        </w:r>
        <w:r w:rsidR="004D0AC8">
          <w:rPr>
            <w:rFonts w:ascii="Calibri" w:hAnsi="Calibri" w:cs="Calibri"/>
            <w:noProof/>
            <w:webHidden/>
            <w:sz w:val="20"/>
          </w:rPr>
          <w:t>20</w:t>
        </w:r>
        <w:r w:rsidRPr="00F4197B">
          <w:rPr>
            <w:rFonts w:ascii="Calibri" w:hAnsi="Calibri" w:cs="Calibri"/>
            <w:noProof/>
            <w:webHidden/>
            <w:sz w:val="20"/>
          </w:rPr>
          <w:fldChar w:fldCharType="end"/>
        </w:r>
      </w:hyperlink>
    </w:p>
    <w:p w14:paraId="6988FBB3" w14:textId="08678E25" w:rsidR="00CB3CE4" w:rsidRPr="00F4197B" w:rsidRDefault="00000000">
      <w:pPr>
        <w:pStyle w:val="Tabladeilustraciones"/>
        <w:tabs>
          <w:tab w:val="right" w:leader="dot" w:pos="9350"/>
        </w:tabs>
        <w:rPr>
          <w:rFonts w:ascii="Calibri" w:eastAsiaTheme="minorEastAsia" w:hAnsi="Calibri" w:cs="Calibri"/>
          <w:noProof/>
          <w:sz w:val="20"/>
        </w:rPr>
      </w:pPr>
      <w:hyperlink w:anchor="_Toc114650506" w:history="1">
        <w:r w:rsidR="00274DCD">
          <w:rPr>
            <w:rStyle w:val="Hipervnculo"/>
            <w:rFonts w:ascii="Calibri" w:eastAsiaTheme="majorEastAsia" w:hAnsi="Calibri" w:cs="Calibri"/>
            <w:noProof/>
            <w:sz w:val="20"/>
          </w:rPr>
          <w:t>Figura 2. Diagrama de la Teoría del C</w:t>
        </w:r>
        <w:r w:rsidR="00274DCD" w:rsidRPr="00274DCD">
          <w:rPr>
            <w:rStyle w:val="Hipervnculo"/>
            <w:rFonts w:ascii="Calibri" w:eastAsiaTheme="majorEastAsia" w:hAnsi="Calibri" w:cs="Calibri"/>
            <w:noProof/>
            <w:sz w:val="20"/>
          </w:rPr>
          <w:t>ambio</w:t>
        </w:r>
        <w:r w:rsidR="00CB3CE4" w:rsidRPr="00F4197B">
          <w:rPr>
            <w:rStyle w:val="Hipervnculo"/>
            <w:rFonts w:ascii="Calibri" w:eastAsiaTheme="majorEastAsia" w:hAnsi="Calibri" w:cs="Calibri"/>
            <w:noProof/>
            <w:sz w:val="20"/>
          </w:rPr>
          <w:t>.</w:t>
        </w:r>
        <w:r w:rsidR="00CB3CE4" w:rsidRPr="00F4197B">
          <w:rPr>
            <w:rFonts w:ascii="Calibri" w:hAnsi="Calibri" w:cs="Calibri"/>
            <w:noProof/>
            <w:webHidden/>
            <w:sz w:val="20"/>
          </w:rPr>
          <w:tab/>
        </w:r>
        <w:r w:rsidR="00CB3CE4" w:rsidRPr="00F4197B">
          <w:rPr>
            <w:rFonts w:ascii="Calibri" w:hAnsi="Calibri" w:cs="Calibri"/>
            <w:noProof/>
            <w:webHidden/>
            <w:sz w:val="20"/>
          </w:rPr>
          <w:fldChar w:fldCharType="begin"/>
        </w:r>
        <w:r w:rsidR="00CB3CE4" w:rsidRPr="00F4197B">
          <w:rPr>
            <w:rFonts w:ascii="Calibri" w:hAnsi="Calibri" w:cs="Calibri"/>
            <w:noProof/>
            <w:webHidden/>
            <w:sz w:val="20"/>
          </w:rPr>
          <w:instrText xml:space="preserve"> PAGEREF _Toc114650506 \h </w:instrText>
        </w:r>
        <w:r w:rsidR="00CB3CE4" w:rsidRPr="00F4197B">
          <w:rPr>
            <w:rFonts w:ascii="Calibri" w:hAnsi="Calibri" w:cs="Calibri"/>
            <w:noProof/>
            <w:webHidden/>
            <w:sz w:val="20"/>
          </w:rPr>
        </w:r>
        <w:r w:rsidR="00CB3CE4" w:rsidRPr="00F4197B">
          <w:rPr>
            <w:rFonts w:ascii="Calibri" w:hAnsi="Calibri" w:cs="Calibri"/>
            <w:noProof/>
            <w:webHidden/>
            <w:sz w:val="20"/>
          </w:rPr>
          <w:fldChar w:fldCharType="separate"/>
        </w:r>
        <w:r w:rsidR="004D0AC8">
          <w:rPr>
            <w:rFonts w:ascii="Calibri" w:hAnsi="Calibri" w:cs="Calibri"/>
            <w:noProof/>
            <w:webHidden/>
            <w:sz w:val="20"/>
          </w:rPr>
          <w:t>24</w:t>
        </w:r>
        <w:r w:rsidR="00CB3CE4" w:rsidRPr="00F4197B">
          <w:rPr>
            <w:rFonts w:ascii="Calibri" w:hAnsi="Calibri" w:cs="Calibri"/>
            <w:noProof/>
            <w:webHidden/>
            <w:sz w:val="20"/>
          </w:rPr>
          <w:fldChar w:fldCharType="end"/>
        </w:r>
      </w:hyperlink>
    </w:p>
    <w:p w14:paraId="21E92C7A" w14:textId="472CE1C9" w:rsidR="00CB3CE4" w:rsidRPr="00F4197B" w:rsidRDefault="00CB3CE4" w:rsidP="00CB3CE4">
      <w:pPr>
        <w:jc w:val="both"/>
        <w:rPr>
          <w:rFonts w:ascii="Calibri" w:hAnsi="Calibri" w:cs="Calibri"/>
          <w:b/>
          <w:sz w:val="20"/>
        </w:rPr>
      </w:pPr>
      <w:r w:rsidRPr="00F4197B">
        <w:rPr>
          <w:rFonts w:ascii="Calibri" w:hAnsi="Calibri" w:cs="Calibri"/>
          <w:b/>
          <w:sz w:val="20"/>
        </w:rPr>
        <w:fldChar w:fldCharType="end"/>
      </w:r>
    </w:p>
    <w:p w14:paraId="1DB08D18" w14:textId="1EA904FB" w:rsidR="00AB559B" w:rsidRPr="00F4197B" w:rsidRDefault="00AB559B" w:rsidP="00AB559B">
      <w:pPr>
        <w:keepNext/>
        <w:tabs>
          <w:tab w:val="left" w:pos="567"/>
        </w:tabs>
        <w:spacing w:after="120"/>
        <w:ind w:left="567" w:hanging="567"/>
        <w:rPr>
          <w:rFonts w:ascii="Calibri" w:hAnsi="Calibri" w:cs="Calibri"/>
          <w:b/>
          <w:sz w:val="20"/>
          <w:szCs w:val="20"/>
        </w:rPr>
      </w:pPr>
      <w:r>
        <w:rPr>
          <w:rFonts w:ascii="Calibri" w:hAnsi="Calibri"/>
          <w:b/>
          <w:sz w:val="20"/>
        </w:rPr>
        <w:t>LISTA DE ACRÓNIMOS Y ABREVIATURAS</w:t>
      </w:r>
    </w:p>
    <w:tbl>
      <w:tblPr>
        <w:tblW w:w="9634" w:type="dxa"/>
        <w:tblCellMar>
          <w:left w:w="70" w:type="dxa"/>
          <w:right w:w="70" w:type="dxa"/>
        </w:tblCellMar>
        <w:tblLook w:val="04A0" w:firstRow="1" w:lastRow="0" w:firstColumn="1" w:lastColumn="0" w:noHBand="0" w:noVBand="1"/>
      </w:tblPr>
      <w:tblGrid>
        <w:gridCol w:w="9634"/>
      </w:tblGrid>
      <w:tr w:rsidR="00A77F13" w:rsidRPr="00F4197B" w14:paraId="0294F2E9" w14:textId="77777777" w:rsidTr="00A77F13">
        <w:trPr>
          <w:trHeight w:val="288"/>
        </w:trPr>
        <w:tc>
          <w:tcPr>
            <w:tcW w:w="9634" w:type="dxa"/>
            <w:shd w:val="clear" w:color="auto" w:fill="auto"/>
          </w:tcPr>
          <w:tbl>
            <w:tblPr>
              <w:tblW w:w="9210" w:type="dxa"/>
              <w:tblCellMar>
                <w:left w:w="0" w:type="dxa"/>
                <w:right w:w="0" w:type="dxa"/>
              </w:tblCellMar>
              <w:tblLook w:val="04A0" w:firstRow="1" w:lastRow="0" w:firstColumn="1" w:lastColumn="0" w:noHBand="0" w:noVBand="1"/>
            </w:tblPr>
            <w:tblGrid>
              <w:gridCol w:w="1199"/>
              <w:gridCol w:w="8011"/>
            </w:tblGrid>
            <w:tr w:rsidR="00A77F13" w:rsidRPr="008540E9" w14:paraId="5704EB81"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1C647BEB" w14:textId="77777777" w:rsidR="00A77F13" w:rsidRPr="00F4197B" w:rsidRDefault="00A77F13" w:rsidP="00A77F13">
                  <w:pPr>
                    <w:rPr>
                      <w:rFonts w:ascii="Calibri" w:hAnsi="Calibri" w:cs="Calibri"/>
                      <w:color w:val="000000"/>
                      <w:sz w:val="18"/>
                      <w:szCs w:val="18"/>
                    </w:rPr>
                  </w:pPr>
                  <w:r>
                    <w:rPr>
                      <w:rFonts w:ascii="Calibri" w:hAnsi="Calibri"/>
                      <w:color w:val="000000"/>
                      <w:sz w:val="18"/>
                    </w:rPr>
                    <w:t>ABG</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5F299D9"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Agencia de Regulación y Control de la Bioseguridad y Cuarentena para Galápagos </w:t>
                  </w:r>
                </w:p>
              </w:tc>
            </w:tr>
            <w:tr w:rsidR="00A77F13" w:rsidRPr="008540E9" w14:paraId="66EA37DB"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72CB8D40" w14:textId="77777777" w:rsidR="00A77F13" w:rsidRPr="00F4197B" w:rsidRDefault="00A77F13" w:rsidP="00A77F13">
                  <w:pPr>
                    <w:rPr>
                      <w:rFonts w:ascii="Calibri" w:hAnsi="Calibri" w:cs="Calibri"/>
                      <w:color w:val="000000"/>
                      <w:sz w:val="18"/>
                      <w:szCs w:val="18"/>
                    </w:rPr>
                  </w:pPr>
                  <w:r>
                    <w:rPr>
                      <w:rFonts w:ascii="Calibri" w:hAnsi="Calibri"/>
                      <w:color w:val="000000"/>
                      <w:sz w:val="18"/>
                    </w:rPr>
                    <w:t>AEBE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5F6C4D8"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Asociación de Exportadores de Banano de Ecuador </w:t>
                  </w:r>
                </w:p>
              </w:tc>
            </w:tr>
            <w:tr w:rsidR="00A77F13" w:rsidRPr="008540E9" w14:paraId="71D0C334"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26DBEE6" w14:textId="77777777" w:rsidR="00A77F13" w:rsidRPr="00F4197B" w:rsidRDefault="00A77F13" w:rsidP="00A77F13">
                  <w:pPr>
                    <w:rPr>
                      <w:rFonts w:ascii="Calibri" w:hAnsi="Calibri" w:cs="Calibri"/>
                      <w:color w:val="000000"/>
                      <w:sz w:val="18"/>
                      <w:szCs w:val="18"/>
                    </w:rPr>
                  </w:pPr>
                  <w:r>
                    <w:rPr>
                      <w:rFonts w:ascii="Calibri" w:hAnsi="Calibri"/>
                      <w:color w:val="000000"/>
                      <w:sz w:val="18"/>
                    </w:rPr>
                    <w:t>AGROCALIDAD</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7415E71" w14:textId="77777777" w:rsidR="00A77F13" w:rsidRPr="00F4197B" w:rsidRDefault="00A77F13" w:rsidP="00A77F13">
                  <w:pPr>
                    <w:rPr>
                      <w:rFonts w:ascii="Calibri" w:hAnsi="Calibri" w:cs="Calibri"/>
                      <w:color w:val="000000"/>
                      <w:sz w:val="18"/>
                      <w:szCs w:val="18"/>
                    </w:rPr>
                  </w:pPr>
                  <w:r>
                    <w:rPr>
                      <w:rFonts w:ascii="Calibri" w:hAnsi="Calibri"/>
                      <w:color w:val="000000"/>
                      <w:sz w:val="18"/>
                    </w:rPr>
                    <w:t>Agencia de Regulación y Control Fitosanitario y Zoosanitario</w:t>
                  </w:r>
                </w:p>
              </w:tc>
            </w:tr>
            <w:tr w:rsidR="00A77F13" w:rsidRPr="00F4197B" w14:paraId="5D083FC9"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70DD9DE5" w14:textId="77777777" w:rsidR="00A77F13" w:rsidRPr="00F4197B" w:rsidRDefault="00A77F13" w:rsidP="00A77F13">
                  <w:pPr>
                    <w:rPr>
                      <w:rFonts w:ascii="Calibri" w:hAnsi="Calibri" w:cs="Calibri"/>
                      <w:color w:val="000000"/>
                      <w:sz w:val="18"/>
                      <w:szCs w:val="18"/>
                    </w:rPr>
                  </w:pPr>
                  <w:r>
                    <w:rPr>
                      <w:rFonts w:ascii="Calibri" w:hAnsi="Calibri"/>
                      <w:color w:val="000000"/>
                      <w:sz w:val="18"/>
                    </w:rPr>
                    <w:t>AME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0FF4BB6"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Asociación de Municipalidades Ecuatorianas </w:t>
                  </w:r>
                </w:p>
              </w:tc>
            </w:tr>
            <w:tr w:rsidR="00A77F13" w:rsidRPr="008540E9" w14:paraId="172AF640"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083E47B" w14:textId="77777777" w:rsidR="00A77F13" w:rsidRPr="00F4197B" w:rsidRDefault="00A77F13" w:rsidP="00A77F13">
                  <w:pPr>
                    <w:rPr>
                      <w:rFonts w:ascii="Calibri" w:hAnsi="Calibri" w:cs="Calibri"/>
                      <w:color w:val="000000"/>
                      <w:sz w:val="18"/>
                      <w:szCs w:val="18"/>
                    </w:rPr>
                  </w:pPr>
                  <w:r>
                    <w:rPr>
                      <w:rFonts w:ascii="Calibri" w:hAnsi="Calibri"/>
                      <w:color w:val="000000"/>
                      <w:sz w:val="18"/>
                    </w:rPr>
                    <w:t>ANECACAO</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EE0F52F"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Asociación Nacional de Exportadores de Cacao </w:t>
                  </w:r>
                </w:p>
              </w:tc>
            </w:tr>
            <w:tr w:rsidR="00805123" w:rsidRPr="008540E9" w14:paraId="7A547AF5"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7B055699" w14:textId="3DC4FB17" w:rsidR="00805123" w:rsidRDefault="00805123" w:rsidP="00A77F13">
                  <w:pPr>
                    <w:rPr>
                      <w:rFonts w:ascii="Calibri" w:hAnsi="Calibri"/>
                      <w:color w:val="000000"/>
                      <w:sz w:val="18"/>
                    </w:rPr>
                  </w:pPr>
                  <w:r>
                    <w:rPr>
                      <w:rFonts w:ascii="Calibri" w:hAnsi="Calibri"/>
                      <w:color w:val="000000"/>
                      <w:sz w:val="18"/>
                    </w:rPr>
                    <w:t>AO</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16D812C3" w14:textId="05D2456E" w:rsidR="00805123" w:rsidRDefault="00E87F30" w:rsidP="00A77F13">
                  <w:pPr>
                    <w:rPr>
                      <w:rFonts w:ascii="Calibri" w:hAnsi="Calibri"/>
                      <w:color w:val="000000"/>
                      <w:sz w:val="18"/>
                    </w:rPr>
                  </w:pPr>
                  <w:r>
                    <w:rPr>
                      <w:rFonts w:ascii="Calibri" w:hAnsi="Calibri"/>
                      <w:color w:val="000000"/>
                      <w:sz w:val="18"/>
                    </w:rPr>
                    <w:t>Agricultura O</w:t>
                  </w:r>
                  <w:r w:rsidR="00805123">
                    <w:rPr>
                      <w:rFonts w:ascii="Calibri" w:hAnsi="Calibri"/>
                      <w:color w:val="000000"/>
                      <w:sz w:val="18"/>
                    </w:rPr>
                    <w:t>rgánica</w:t>
                  </w:r>
                </w:p>
              </w:tc>
            </w:tr>
            <w:tr w:rsidR="00A77F13" w:rsidRPr="008540E9" w14:paraId="02C33F45"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635B78F" w14:textId="77777777" w:rsidR="00A77F13" w:rsidRPr="00F4197B" w:rsidRDefault="00A77F13" w:rsidP="00A77F13">
                  <w:pPr>
                    <w:rPr>
                      <w:rFonts w:ascii="Calibri" w:hAnsi="Calibri" w:cs="Calibri"/>
                      <w:color w:val="000000"/>
                      <w:sz w:val="18"/>
                      <w:szCs w:val="18"/>
                    </w:rPr>
                  </w:pPr>
                  <w:r>
                    <w:rPr>
                      <w:rFonts w:ascii="Calibri" w:hAnsi="Calibri"/>
                      <w:color w:val="000000"/>
                      <w:sz w:val="18"/>
                    </w:rPr>
                    <w:t>APCSA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5CFDFA3"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Asociación de la Industria de Protección de Cultivos y Sanidad Animal </w:t>
                  </w:r>
                </w:p>
              </w:tc>
            </w:tr>
            <w:tr w:rsidR="00A77F13" w:rsidRPr="008540E9" w14:paraId="4C7597A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175EDF62" w14:textId="77777777" w:rsidR="00A77F13" w:rsidRPr="00F4197B" w:rsidRDefault="00A77F13" w:rsidP="00A77F13">
                  <w:pPr>
                    <w:rPr>
                      <w:rFonts w:ascii="Calibri" w:hAnsi="Calibri" w:cs="Calibri"/>
                      <w:color w:val="000000"/>
                      <w:sz w:val="18"/>
                      <w:szCs w:val="18"/>
                    </w:rPr>
                  </w:pPr>
                  <w:r>
                    <w:rPr>
                      <w:rFonts w:ascii="Calibri" w:hAnsi="Calibri"/>
                      <w:color w:val="000000"/>
                      <w:sz w:val="18"/>
                    </w:rPr>
                    <w:t>APROQUE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DAC779D"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Asociación de Productores Químicos de Ecuador </w:t>
                  </w:r>
                </w:p>
              </w:tc>
            </w:tr>
            <w:tr w:rsidR="00395854" w:rsidRPr="008540E9" w14:paraId="615A4F45"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4A9FEFB5" w14:textId="24F34881" w:rsidR="00395854" w:rsidRDefault="00395854" w:rsidP="00A77F13">
                  <w:pPr>
                    <w:rPr>
                      <w:rFonts w:ascii="Calibri" w:hAnsi="Calibri"/>
                      <w:color w:val="000000"/>
                      <w:sz w:val="18"/>
                    </w:rPr>
                  </w:pPr>
                  <w:r>
                    <w:rPr>
                      <w:rFonts w:ascii="Calibri" w:hAnsi="Calibri"/>
                      <w:color w:val="000000"/>
                      <w:sz w:val="18"/>
                    </w:rPr>
                    <w:t>ARAS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74BBBD4E" w14:textId="2B0D7AE4" w:rsidR="00395854" w:rsidRDefault="00395854" w:rsidP="00A77F13">
                  <w:pPr>
                    <w:rPr>
                      <w:rFonts w:ascii="Calibri" w:hAnsi="Calibri"/>
                      <w:color w:val="000000"/>
                      <w:sz w:val="18"/>
                    </w:rPr>
                  </w:pPr>
                  <w:r>
                    <w:rPr>
                      <w:rFonts w:ascii="Calibri" w:hAnsi="Calibri"/>
                      <w:color w:val="000000"/>
                      <w:sz w:val="18"/>
                    </w:rPr>
                    <w:t>A</w:t>
                  </w:r>
                  <w:r w:rsidR="0029381F">
                    <w:rPr>
                      <w:rFonts w:ascii="Calibri" w:hAnsi="Calibri"/>
                      <w:color w:val="000000"/>
                      <w:sz w:val="18"/>
                    </w:rPr>
                    <w:t>nálisis de Riesgos Ambientales y S</w:t>
                  </w:r>
                  <w:r>
                    <w:rPr>
                      <w:rFonts w:ascii="Calibri" w:hAnsi="Calibri"/>
                      <w:color w:val="000000"/>
                      <w:sz w:val="18"/>
                    </w:rPr>
                    <w:t>ociales</w:t>
                  </w:r>
                </w:p>
              </w:tc>
            </w:tr>
            <w:tr w:rsidR="00A77F13" w:rsidRPr="008540E9" w14:paraId="772EBB9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648B94A" w14:textId="77777777" w:rsidR="00A77F13" w:rsidRPr="00F4197B" w:rsidRDefault="00A77F13" w:rsidP="00A77F13">
                  <w:pPr>
                    <w:rPr>
                      <w:rFonts w:ascii="Calibri" w:hAnsi="Calibri" w:cs="Calibri"/>
                      <w:color w:val="000000"/>
                      <w:sz w:val="18"/>
                      <w:szCs w:val="18"/>
                    </w:rPr>
                  </w:pPr>
                  <w:r>
                    <w:rPr>
                      <w:rFonts w:ascii="Calibri" w:hAnsi="Calibri"/>
                      <w:color w:val="000000"/>
                      <w:sz w:val="18"/>
                    </w:rPr>
                    <w:t>ARCSA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EF925DF"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Agencia de Regulación, Control y Vigilancia Sanitaria </w:t>
                  </w:r>
                </w:p>
              </w:tc>
            </w:tr>
            <w:tr w:rsidR="00A77F13" w:rsidRPr="008540E9" w14:paraId="40CE1858"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6E093E8" w14:textId="77777777" w:rsidR="00A77F13" w:rsidRPr="00F4197B" w:rsidRDefault="00A77F13" w:rsidP="00A77F13">
                  <w:pPr>
                    <w:rPr>
                      <w:rFonts w:ascii="Calibri" w:hAnsi="Calibri" w:cs="Calibri"/>
                      <w:color w:val="000000"/>
                      <w:sz w:val="18"/>
                      <w:szCs w:val="18"/>
                    </w:rPr>
                  </w:pPr>
                  <w:r>
                    <w:rPr>
                      <w:rFonts w:ascii="Calibri" w:hAnsi="Calibri"/>
                      <w:color w:val="000000"/>
                      <w:sz w:val="18"/>
                    </w:rPr>
                    <w:t>ASOESPUR</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09720B3" w14:textId="78F8D81A" w:rsidR="00A77F13" w:rsidRPr="00F4197B" w:rsidRDefault="00A77F13" w:rsidP="00274DCD">
                  <w:pPr>
                    <w:rPr>
                      <w:rFonts w:ascii="Calibri" w:hAnsi="Calibri" w:cs="Calibri"/>
                      <w:color w:val="000000"/>
                      <w:sz w:val="18"/>
                      <w:szCs w:val="18"/>
                    </w:rPr>
                  </w:pPr>
                  <w:r>
                    <w:rPr>
                      <w:rFonts w:ascii="Calibri" w:hAnsi="Calibri"/>
                      <w:color w:val="000000"/>
                      <w:sz w:val="18"/>
                    </w:rPr>
                    <w:t xml:space="preserve">Asociación </w:t>
                  </w:r>
                  <w:r w:rsidR="00274DCD">
                    <w:rPr>
                      <w:rFonts w:ascii="Calibri" w:hAnsi="Calibri"/>
                      <w:color w:val="000000"/>
                      <w:sz w:val="18"/>
                    </w:rPr>
                    <w:t>d</w:t>
                  </w:r>
                  <w:r>
                    <w:rPr>
                      <w:rFonts w:ascii="Calibri" w:hAnsi="Calibri"/>
                      <w:color w:val="000000"/>
                      <w:sz w:val="18"/>
                    </w:rPr>
                    <w:t xml:space="preserve">e Productores Agrícolas </w:t>
                  </w:r>
                  <w:r w:rsidR="00274DCD">
                    <w:rPr>
                      <w:rFonts w:ascii="Calibri" w:hAnsi="Calibri"/>
                      <w:color w:val="000000"/>
                      <w:sz w:val="18"/>
                    </w:rPr>
                    <w:t xml:space="preserve">y </w:t>
                  </w:r>
                  <w:r>
                    <w:rPr>
                      <w:rFonts w:ascii="Calibri" w:hAnsi="Calibri"/>
                      <w:color w:val="000000"/>
                      <w:sz w:val="18"/>
                    </w:rPr>
                    <w:t xml:space="preserve">Ganaderos La Esperanza de Urdaneta </w:t>
                  </w:r>
                </w:p>
              </w:tc>
            </w:tr>
            <w:tr w:rsidR="00A77F13" w:rsidRPr="008540E9" w14:paraId="02FC5A04"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D88ACFB" w14:textId="77777777" w:rsidR="00A77F13" w:rsidRPr="00F4197B" w:rsidRDefault="00A77F13" w:rsidP="00A77F13">
                  <w:pPr>
                    <w:rPr>
                      <w:rFonts w:ascii="Calibri" w:hAnsi="Calibri" w:cs="Calibri"/>
                      <w:color w:val="000000"/>
                      <w:sz w:val="18"/>
                      <w:szCs w:val="18"/>
                    </w:rPr>
                  </w:pPr>
                  <w:r>
                    <w:rPr>
                      <w:rFonts w:ascii="Calibri" w:hAnsi="Calibri"/>
                      <w:color w:val="000000"/>
                      <w:sz w:val="18"/>
                    </w:rPr>
                    <w:t>ASOGUABO</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F60E34A" w14:textId="77777777" w:rsidR="00A77F13" w:rsidRPr="00F4197B" w:rsidRDefault="00A77F13" w:rsidP="00A77F13">
                  <w:pPr>
                    <w:rPr>
                      <w:rFonts w:ascii="Calibri" w:hAnsi="Calibri" w:cs="Calibri"/>
                      <w:color w:val="000000"/>
                      <w:sz w:val="18"/>
                      <w:szCs w:val="18"/>
                    </w:rPr>
                  </w:pPr>
                  <w:r>
                    <w:rPr>
                      <w:rFonts w:ascii="Calibri" w:hAnsi="Calibri"/>
                      <w:color w:val="000000"/>
                      <w:sz w:val="18"/>
                    </w:rPr>
                    <w:t xml:space="preserve">Asociación de Pequeños Productores Bananeros El Guabo </w:t>
                  </w:r>
                </w:p>
              </w:tc>
            </w:tr>
            <w:tr w:rsidR="00AE72DB" w:rsidRPr="00F4197B" w14:paraId="64118C1C" w14:textId="77777777" w:rsidTr="00AE72DB">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2615ED8C" w14:textId="0D56ED43" w:rsidR="00AE72DB" w:rsidRPr="00F4197B" w:rsidRDefault="00AE72DB" w:rsidP="00A77F13">
                  <w:pPr>
                    <w:rPr>
                      <w:rFonts w:ascii="Calibri" w:hAnsi="Calibri" w:cs="Calibri"/>
                      <w:color w:val="000000"/>
                      <w:sz w:val="18"/>
                      <w:szCs w:val="18"/>
                    </w:rPr>
                  </w:pPr>
                  <w:r>
                    <w:rPr>
                      <w:rFonts w:ascii="Calibri" w:hAnsi="Calibri"/>
                      <w:color w:val="000000"/>
                      <w:sz w:val="18"/>
                    </w:rPr>
                    <w:t>BIOFIN</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3246E024" w14:textId="5AD8D551" w:rsidR="00AE72DB" w:rsidRPr="00F4197B" w:rsidRDefault="00AE72DB" w:rsidP="00A77F13">
                  <w:pPr>
                    <w:rPr>
                      <w:rFonts w:ascii="Calibri" w:hAnsi="Calibri" w:cs="Calibri"/>
                      <w:color w:val="000000"/>
                      <w:sz w:val="18"/>
                      <w:szCs w:val="18"/>
                    </w:rPr>
                  </w:pPr>
                  <w:r>
                    <w:rPr>
                      <w:rFonts w:ascii="Calibri" w:hAnsi="Calibri"/>
                      <w:color w:val="000000"/>
                      <w:sz w:val="18"/>
                    </w:rPr>
                    <w:t xml:space="preserve">Iniciativa de Financiación de la Biodiversidad </w:t>
                  </w:r>
                </w:p>
              </w:tc>
            </w:tr>
            <w:tr w:rsidR="00AE72DB" w:rsidRPr="00F4197B" w14:paraId="528B4B4B" w14:textId="77777777" w:rsidTr="00AE72DB">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038EF82" w14:textId="4B7C642F" w:rsidR="00AE72DB" w:rsidRPr="00F4197B" w:rsidRDefault="00AE72DB" w:rsidP="00A77F13">
                  <w:pPr>
                    <w:rPr>
                      <w:rFonts w:ascii="Calibri" w:hAnsi="Calibri" w:cs="Calibri"/>
                      <w:color w:val="000000"/>
                      <w:sz w:val="18"/>
                      <w:szCs w:val="18"/>
                    </w:rPr>
                  </w:pPr>
                  <w:r>
                    <w:rPr>
                      <w:rFonts w:ascii="Calibri" w:hAnsi="Calibri"/>
                      <w:color w:val="000000"/>
                      <w:sz w:val="18"/>
                    </w:rPr>
                    <w:lastRenderedPageBreak/>
                    <w:t>BMD</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7348FFD4" w14:textId="7E1C3E28" w:rsidR="00AE72DB" w:rsidRPr="00F4197B" w:rsidRDefault="00AE72DB" w:rsidP="00D660DB">
                  <w:pPr>
                    <w:rPr>
                      <w:rFonts w:ascii="Calibri" w:hAnsi="Calibri" w:cs="Calibri"/>
                      <w:color w:val="000000"/>
                      <w:sz w:val="18"/>
                      <w:szCs w:val="18"/>
                    </w:rPr>
                  </w:pPr>
                  <w:r>
                    <w:rPr>
                      <w:rFonts w:ascii="Calibri" w:hAnsi="Calibri"/>
                      <w:color w:val="000000"/>
                      <w:sz w:val="18"/>
                    </w:rPr>
                    <w:t>Banco Multilateral de Desarrollo</w:t>
                  </w:r>
                </w:p>
              </w:tc>
            </w:tr>
            <w:tr w:rsidR="00AE72DB" w:rsidRPr="00F4197B" w14:paraId="57AF8051"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4D47003" w14:textId="5FD8F2F2" w:rsidR="00AE72DB" w:rsidRPr="00F4197B" w:rsidRDefault="00AE72DB" w:rsidP="00A77F13">
                  <w:pPr>
                    <w:rPr>
                      <w:rFonts w:ascii="Calibri" w:hAnsi="Calibri" w:cs="Calibri"/>
                      <w:color w:val="000000"/>
                      <w:sz w:val="18"/>
                      <w:szCs w:val="18"/>
                    </w:rPr>
                  </w:pPr>
                  <w:r>
                    <w:rPr>
                      <w:rFonts w:ascii="Calibri" w:hAnsi="Calibri"/>
                      <w:color w:val="000000"/>
                      <w:sz w:val="18"/>
                    </w:rPr>
                    <w:t>BPA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4D9EEEB" w14:textId="427FCF91" w:rsidR="00AE72DB" w:rsidRPr="00F4197B" w:rsidRDefault="00AE72DB" w:rsidP="00A77F13">
                  <w:pPr>
                    <w:rPr>
                      <w:rFonts w:ascii="Calibri" w:hAnsi="Calibri" w:cs="Calibri"/>
                      <w:color w:val="000000"/>
                      <w:sz w:val="18"/>
                      <w:szCs w:val="18"/>
                    </w:rPr>
                  </w:pPr>
                  <w:r>
                    <w:rPr>
                      <w:rFonts w:ascii="Calibri" w:hAnsi="Calibri"/>
                      <w:color w:val="000000"/>
                      <w:sz w:val="18"/>
                    </w:rPr>
                    <w:t>Buenas Prácticas Agrícolas</w:t>
                  </w:r>
                </w:p>
              </w:tc>
            </w:tr>
            <w:tr w:rsidR="00AE72DB" w:rsidRPr="00F4197B" w14:paraId="5399DD49"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770C48B" w14:textId="1C1141E9" w:rsidR="00AE72DB" w:rsidRDefault="00AE72DB" w:rsidP="00A77F13">
                  <w:pPr>
                    <w:rPr>
                      <w:rFonts w:ascii="Calibri" w:hAnsi="Calibri"/>
                      <w:color w:val="000000"/>
                      <w:sz w:val="18"/>
                    </w:rPr>
                  </w:pPr>
                  <w:r>
                    <w:rPr>
                      <w:rFonts w:ascii="Calibri" w:hAnsi="Calibri"/>
                      <w:color w:val="000000"/>
                      <w:sz w:val="18"/>
                    </w:rPr>
                    <w:t>BPPS NCE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C30B4ED" w14:textId="5690D56F" w:rsidR="00AE72DB" w:rsidRDefault="00AE72DB" w:rsidP="00A77F13">
                  <w:pPr>
                    <w:rPr>
                      <w:rFonts w:ascii="Calibri" w:hAnsi="Calibri"/>
                      <w:color w:val="000000"/>
                      <w:sz w:val="18"/>
                    </w:rPr>
                  </w:pPr>
                  <w:r>
                    <w:rPr>
                      <w:rFonts w:ascii="Calibri" w:hAnsi="Calibri"/>
                      <w:color w:val="000000"/>
                      <w:sz w:val="18"/>
                    </w:rPr>
                    <w:t>Oficina de Apoyo a Políticas y Programas, Naturaleza, Clima y Energía</w:t>
                  </w:r>
                </w:p>
              </w:tc>
            </w:tr>
            <w:tr w:rsidR="00AE72DB" w:rsidRPr="00F4197B" w14:paraId="67210470"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FA657B3" w14:textId="2937173F" w:rsidR="00AE72DB" w:rsidRDefault="00AE72DB" w:rsidP="00A77F13">
                  <w:pPr>
                    <w:rPr>
                      <w:rFonts w:ascii="Calibri" w:hAnsi="Calibri"/>
                      <w:color w:val="000000"/>
                      <w:sz w:val="18"/>
                    </w:rPr>
                  </w:pPr>
                  <w:r>
                    <w:rPr>
                      <w:rFonts w:ascii="Calibri" w:hAnsi="Calibri"/>
                      <w:color w:val="000000"/>
                      <w:sz w:val="18"/>
                    </w:rPr>
                    <w:t>CAN</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4B7F20FA" w14:textId="6DED769E" w:rsidR="00AE72DB" w:rsidRDefault="00AE72DB" w:rsidP="00A77F13">
                  <w:pPr>
                    <w:rPr>
                      <w:rFonts w:ascii="Calibri" w:hAnsi="Calibri"/>
                      <w:color w:val="000000"/>
                      <w:sz w:val="18"/>
                    </w:rPr>
                  </w:pPr>
                  <w:r>
                    <w:rPr>
                      <w:rFonts w:ascii="Calibri" w:hAnsi="Calibri"/>
                      <w:color w:val="000000"/>
                      <w:sz w:val="18"/>
                    </w:rPr>
                    <w:t xml:space="preserve">Comunidad Andina de Naciones </w:t>
                  </w:r>
                </w:p>
              </w:tc>
            </w:tr>
            <w:tr w:rsidR="00AE72DB" w:rsidRPr="008540E9" w14:paraId="78523D00"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2DA8031" w14:textId="0CB7D179" w:rsidR="00AE72DB" w:rsidRPr="00F4197B" w:rsidRDefault="00AE72DB" w:rsidP="00A77F13">
                  <w:pPr>
                    <w:rPr>
                      <w:rFonts w:ascii="Calibri" w:hAnsi="Calibri" w:cs="Calibri"/>
                      <w:color w:val="000000"/>
                      <w:sz w:val="18"/>
                      <w:szCs w:val="18"/>
                    </w:rPr>
                  </w:pPr>
                  <w:r>
                    <w:rPr>
                      <w:rFonts w:ascii="Calibri" w:hAnsi="Calibri"/>
                      <w:color w:val="000000"/>
                      <w:sz w:val="18"/>
                    </w:rPr>
                    <w:t>COA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13748656" w14:textId="02EBC91B" w:rsidR="00AE72DB" w:rsidRPr="00F4197B" w:rsidRDefault="00AE72DB" w:rsidP="00A77F13">
                  <w:pPr>
                    <w:rPr>
                      <w:rFonts w:ascii="Calibri" w:hAnsi="Calibri" w:cs="Calibri"/>
                      <w:color w:val="000000"/>
                      <w:sz w:val="18"/>
                      <w:szCs w:val="18"/>
                    </w:rPr>
                  </w:pPr>
                  <w:r>
                    <w:rPr>
                      <w:rFonts w:ascii="Calibri" w:hAnsi="Calibri"/>
                      <w:color w:val="000000"/>
                      <w:sz w:val="18"/>
                    </w:rPr>
                    <w:t>Código Orgánico del Ambiente</w:t>
                  </w:r>
                </w:p>
              </w:tc>
            </w:tr>
            <w:tr w:rsidR="00AE72DB" w:rsidRPr="00F4197B" w14:paraId="23E2CA7C"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5FB1CD8" w14:textId="2A8EC27D" w:rsidR="00AE72DB" w:rsidRPr="00F4197B" w:rsidRDefault="00AE72DB" w:rsidP="00A77F13">
                  <w:pPr>
                    <w:rPr>
                      <w:rFonts w:ascii="Calibri" w:hAnsi="Calibri" w:cs="Calibri"/>
                      <w:color w:val="000000"/>
                      <w:sz w:val="18"/>
                      <w:szCs w:val="18"/>
                    </w:rPr>
                  </w:pPr>
                  <w:r>
                    <w:rPr>
                      <w:rFonts w:ascii="Calibri" w:hAnsi="Calibri"/>
                      <w:color w:val="000000"/>
                      <w:sz w:val="18"/>
                    </w:rPr>
                    <w:t>CONAFIPS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D8E370E" w14:textId="41C7F94C" w:rsidR="00AE72DB" w:rsidRPr="00F4197B" w:rsidRDefault="00AE72DB" w:rsidP="00A77F13">
                  <w:pPr>
                    <w:rPr>
                      <w:rFonts w:ascii="Calibri" w:hAnsi="Calibri" w:cs="Calibri"/>
                      <w:color w:val="000000"/>
                      <w:sz w:val="18"/>
                      <w:szCs w:val="18"/>
                    </w:rPr>
                  </w:pPr>
                  <w:r>
                    <w:rPr>
                      <w:rFonts w:ascii="Calibri" w:hAnsi="Calibri"/>
                      <w:color w:val="000000"/>
                      <w:sz w:val="18"/>
                    </w:rPr>
                    <w:t xml:space="preserve">Corporación Nacional de Finanzas Populares y Solidarias </w:t>
                  </w:r>
                </w:p>
              </w:tc>
            </w:tr>
            <w:tr w:rsidR="00AE72DB" w:rsidRPr="00F4197B" w14:paraId="71D3D951"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E7ECBF1" w14:textId="1CC60C75" w:rsidR="00AE72DB" w:rsidRPr="00F4197B" w:rsidRDefault="00AE72DB" w:rsidP="00A77F13">
                  <w:pPr>
                    <w:rPr>
                      <w:rFonts w:ascii="Calibri" w:hAnsi="Calibri" w:cs="Calibri"/>
                      <w:color w:val="000000"/>
                      <w:sz w:val="18"/>
                      <w:szCs w:val="18"/>
                    </w:rPr>
                  </w:pPr>
                  <w:r>
                    <w:rPr>
                      <w:rFonts w:ascii="Calibri" w:hAnsi="Calibri"/>
                      <w:color w:val="000000"/>
                      <w:sz w:val="18"/>
                    </w:rPr>
                    <w:t>CONGOPE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162AEAB" w14:textId="39393115" w:rsidR="00AE72DB" w:rsidRPr="00F4197B" w:rsidRDefault="00AE72DB" w:rsidP="00A77F13">
                  <w:pPr>
                    <w:rPr>
                      <w:rFonts w:ascii="Calibri" w:hAnsi="Calibri" w:cs="Calibri"/>
                      <w:color w:val="000000"/>
                      <w:sz w:val="18"/>
                      <w:szCs w:val="18"/>
                    </w:rPr>
                  </w:pPr>
                  <w:r>
                    <w:rPr>
                      <w:rFonts w:ascii="Calibri" w:hAnsi="Calibri"/>
                      <w:color w:val="000000"/>
                      <w:sz w:val="18"/>
                    </w:rPr>
                    <w:t xml:space="preserve">Consorcio de Gobiernos Autónomos Provinciales del Ecuador </w:t>
                  </w:r>
                </w:p>
              </w:tc>
            </w:tr>
            <w:tr w:rsidR="00AE72DB" w:rsidRPr="00F4197B" w14:paraId="0B601519"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744FAB9" w14:textId="04E5B464" w:rsidR="00AE72DB" w:rsidRPr="00F4197B" w:rsidRDefault="00AE72DB" w:rsidP="00A77F13">
                  <w:pPr>
                    <w:rPr>
                      <w:rFonts w:ascii="Calibri" w:hAnsi="Calibri" w:cs="Calibri"/>
                      <w:color w:val="000000"/>
                      <w:sz w:val="18"/>
                      <w:szCs w:val="18"/>
                    </w:rPr>
                  </w:pPr>
                  <w:r>
                    <w:rPr>
                      <w:rFonts w:ascii="Calibri" w:hAnsi="Calibri"/>
                      <w:color w:val="000000"/>
                      <w:sz w:val="18"/>
                    </w:rPr>
                    <w:t>CONPAPA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C53869D" w14:textId="4BC00881" w:rsidR="00AE72DB" w:rsidRPr="00F4197B" w:rsidRDefault="00AE72DB" w:rsidP="00A77F13">
                  <w:pPr>
                    <w:rPr>
                      <w:rFonts w:ascii="Calibri" w:hAnsi="Calibri" w:cs="Calibri"/>
                      <w:color w:val="000000"/>
                      <w:sz w:val="18"/>
                      <w:szCs w:val="18"/>
                    </w:rPr>
                  </w:pPr>
                  <w:r>
                    <w:rPr>
                      <w:rFonts w:ascii="Calibri" w:hAnsi="Calibri"/>
                      <w:color w:val="000000"/>
                      <w:sz w:val="18"/>
                    </w:rPr>
                    <w:t xml:space="preserve">Consorcio de Productores de Papa  </w:t>
                  </w:r>
                </w:p>
              </w:tc>
            </w:tr>
            <w:tr w:rsidR="00AE72DB" w:rsidRPr="00F4197B" w14:paraId="6F0A86C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0160E51" w14:textId="7768A5E2" w:rsidR="00AE72DB" w:rsidRPr="00F4197B" w:rsidRDefault="00AE72DB" w:rsidP="00A77F13">
                  <w:pPr>
                    <w:rPr>
                      <w:rFonts w:ascii="Calibri" w:hAnsi="Calibri" w:cs="Calibri"/>
                      <w:color w:val="000000"/>
                      <w:sz w:val="18"/>
                      <w:szCs w:val="18"/>
                    </w:rPr>
                  </w:pPr>
                  <w:r>
                    <w:rPr>
                      <w:rFonts w:ascii="Calibri" w:hAnsi="Calibri"/>
                      <w:color w:val="000000"/>
                      <w:sz w:val="18"/>
                    </w:rPr>
                    <w:t>COP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92FEFAC" w14:textId="0CBA8459" w:rsidR="00AE72DB" w:rsidRPr="00F4197B" w:rsidRDefault="00AE72DB" w:rsidP="00A77F13">
                  <w:pPr>
                    <w:rPr>
                      <w:rFonts w:ascii="Calibri" w:hAnsi="Calibri" w:cs="Calibri"/>
                      <w:color w:val="000000"/>
                      <w:sz w:val="18"/>
                      <w:szCs w:val="18"/>
                    </w:rPr>
                  </w:pPr>
                  <w:r>
                    <w:rPr>
                      <w:rFonts w:ascii="Calibri" w:hAnsi="Calibri"/>
                      <w:color w:val="000000"/>
                      <w:sz w:val="18"/>
                    </w:rPr>
                    <w:t>Contaminantes Orgánicos Persistentes</w:t>
                  </w:r>
                </w:p>
              </w:tc>
            </w:tr>
            <w:tr w:rsidR="00AE72DB" w:rsidRPr="008540E9" w14:paraId="5C74110B"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1E274D7" w14:textId="7DF9AA16" w:rsidR="00AE72DB" w:rsidRPr="00F4197B" w:rsidRDefault="00AE72DB" w:rsidP="00A77F13">
                  <w:pPr>
                    <w:rPr>
                      <w:rFonts w:ascii="Calibri" w:hAnsi="Calibri" w:cs="Calibri"/>
                      <w:color w:val="000000"/>
                      <w:sz w:val="18"/>
                      <w:szCs w:val="18"/>
                    </w:rPr>
                  </w:pPr>
                  <w:r>
                    <w:rPr>
                      <w:rFonts w:ascii="Calibri" w:hAnsi="Calibri"/>
                      <w:color w:val="000000"/>
                      <w:sz w:val="18"/>
                    </w:rPr>
                    <w:t>COP</w:t>
                  </w:r>
                  <w:r>
                    <w:rPr>
                      <w:rFonts w:ascii="Calibri" w:hAnsi="Calibri"/>
                      <w:color w:val="000000"/>
                      <w:sz w:val="18"/>
                      <w:lang w:val="es-EC"/>
                    </w:rPr>
                    <w:t xml:space="preserve"> </w:t>
                  </w:r>
                  <w:r>
                    <w:rPr>
                      <w:rFonts w:ascii="Calibri" w:hAnsi="Calibri"/>
                      <w:color w:val="000000"/>
                      <w:sz w:val="18"/>
                    </w:rPr>
                    <w:t>NI</w:t>
                  </w:r>
                  <w:r>
                    <w:rPr>
                      <w:rFonts w:ascii="Calibri" w:hAnsi="Calibri"/>
                      <w:color w:val="000000"/>
                      <w:sz w:val="18"/>
                      <w:lang w:val="es-EC"/>
                    </w:rPr>
                    <w:t>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7A91413" w14:textId="69CB28C6" w:rsidR="00AE72DB" w:rsidRPr="00F4197B" w:rsidRDefault="00AE72DB" w:rsidP="00A77F13">
                  <w:pPr>
                    <w:rPr>
                      <w:rFonts w:ascii="Calibri" w:hAnsi="Calibri" w:cs="Calibri"/>
                      <w:color w:val="000000"/>
                      <w:sz w:val="18"/>
                      <w:szCs w:val="18"/>
                    </w:rPr>
                  </w:pPr>
                  <w:r>
                    <w:rPr>
                      <w:rFonts w:ascii="Calibri" w:hAnsi="Calibri"/>
                      <w:color w:val="000000"/>
                      <w:sz w:val="18"/>
                    </w:rPr>
                    <w:t>Contaminantes Orgánicos Persistentes No Intencionales</w:t>
                  </w:r>
                </w:p>
              </w:tc>
            </w:tr>
            <w:tr w:rsidR="00AE72DB" w:rsidRPr="008540E9" w14:paraId="47E270F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BBEB24D" w14:textId="2FD4FFB0" w:rsidR="00AE72DB" w:rsidRPr="00F4197B" w:rsidRDefault="00AE72DB" w:rsidP="00A77F13">
                  <w:pPr>
                    <w:rPr>
                      <w:rFonts w:ascii="Calibri" w:hAnsi="Calibri" w:cs="Calibri"/>
                      <w:color w:val="000000"/>
                      <w:sz w:val="18"/>
                      <w:szCs w:val="18"/>
                    </w:rPr>
                  </w:pPr>
                  <w:r>
                    <w:rPr>
                      <w:rFonts w:ascii="Calibri" w:hAnsi="Calibri"/>
                      <w:color w:val="000000"/>
                      <w:sz w:val="18"/>
                    </w:rPr>
                    <w:t>COTASA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DCB35FA" w14:textId="55FE8267" w:rsidR="00AE72DB" w:rsidRPr="00F4197B" w:rsidRDefault="00AE72DB" w:rsidP="00A77F13">
                  <w:pPr>
                    <w:rPr>
                      <w:rFonts w:ascii="Calibri" w:hAnsi="Calibri" w:cs="Calibri"/>
                      <w:color w:val="000000"/>
                      <w:sz w:val="18"/>
                      <w:szCs w:val="18"/>
                    </w:rPr>
                  </w:pPr>
                  <w:r>
                    <w:rPr>
                      <w:rFonts w:ascii="Calibri" w:hAnsi="Calibri"/>
                      <w:color w:val="000000"/>
                      <w:sz w:val="18"/>
                    </w:rPr>
                    <w:t>Comité Técnico Andino de Sanidad Agropecuaria</w:t>
                  </w:r>
                </w:p>
              </w:tc>
            </w:tr>
            <w:tr w:rsidR="00AE72DB" w:rsidRPr="008540E9" w14:paraId="1BB8837F"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5158A74" w14:textId="5C3F03F8" w:rsidR="00AE72DB" w:rsidRPr="00F4197B" w:rsidRDefault="00AE72DB" w:rsidP="00A77F13">
                  <w:pPr>
                    <w:rPr>
                      <w:rFonts w:ascii="Calibri" w:hAnsi="Calibri" w:cs="Calibri"/>
                      <w:color w:val="000000"/>
                      <w:sz w:val="18"/>
                      <w:szCs w:val="18"/>
                    </w:rPr>
                  </w:pPr>
                  <w:r>
                    <w:rPr>
                      <w:rFonts w:ascii="Calibri" w:hAnsi="Calibri"/>
                      <w:color w:val="000000"/>
                      <w:sz w:val="18"/>
                    </w:rPr>
                    <w:t>CTNP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66D573D" w14:textId="78882C3D" w:rsidR="00AE72DB" w:rsidRPr="00F4197B" w:rsidRDefault="00AE72DB" w:rsidP="00A77F13">
                  <w:pPr>
                    <w:rPr>
                      <w:rFonts w:ascii="Calibri" w:hAnsi="Calibri" w:cs="Calibri"/>
                      <w:color w:val="000000"/>
                      <w:sz w:val="18"/>
                      <w:szCs w:val="18"/>
                    </w:rPr>
                  </w:pPr>
                  <w:r>
                    <w:rPr>
                      <w:rFonts w:ascii="Calibri" w:hAnsi="Calibri"/>
                      <w:color w:val="000000"/>
                      <w:sz w:val="18"/>
                    </w:rPr>
                    <w:t xml:space="preserve">Comité Técnico Nacional de Plaguicidas </w:t>
                  </w:r>
                </w:p>
              </w:tc>
            </w:tr>
            <w:tr w:rsidR="00AE72DB" w:rsidRPr="008540E9" w14:paraId="27339F64"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5C5AE194" w14:textId="0C25F30E" w:rsidR="00AE72DB" w:rsidRDefault="00AE72DB" w:rsidP="00A77F13">
                  <w:pPr>
                    <w:rPr>
                      <w:rFonts w:ascii="Calibri" w:hAnsi="Calibri"/>
                      <w:color w:val="000000"/>
                      <w:sz w:val="18"/>
                    </w:rPr>
                  </w:pPr>
                  <w:r>
                    <w:rPr>
                      <w:rFonts w:ascii="Calibri" w:hAnsi="Calibri"/>
                      <w:color w:val="000000"/>
                      <w:sz w:val="18"/>
                    </w:rPr>
                    <w:t>EASE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258CD77D" w14:textId="26EA164C" w:rsidR="00AE72DB" w:rsidRDefault="00AE72DB" w:rsidP="00A77F13">
                  <w:pPr>
                    <w:rPr>
                      <w:rFonts w:ascii="Calibri" w:hAnsi="Calibri"/>
                      <w:color w:val="000000"/>
                      <w:sz w:val="18"/>
                    </w:rPr>
                  </w:pPr>
                  <w:r>
                    <w:rPr>
                      <w:rFonts w:ascii="Calibri" w:hAnsi="Calibri"/>
                      <w:color w:val="000000"/>
                      <w:sz w:val="18"/>
                    </w:rPr>
                    <w:t>Evaluación Ambiental y Social Estratégica</w:t>
                  </w:r>
                </w:p>
              </w:tc>
            </w:tr>
            <w:tr w:rsidR="00AE72DB" w:rsidRPr="008540E9" w14:paraId="7955A60B"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634DCCF6" w14:textId="558951F2" w:rsidR="00AE72DB" w:rsidRDefault="00AE72DB" w:rsidP="00A77F13">
                  <w:pPr>
                    <w:rPr>
                      <w:rFonts w:ascii="Calibri" w:hAnsi="Calibri"/>
                      <w:color w:val="000000"/>
                      <w:sz w:val="18"/>
                    </w:rPr>
                  </w:pPr>
                  <w:r>
                    <w:rPr>
                      <w:rFonts w:ascii="Calibri" w:hAnsi="Calibri"/>
                      <w:color w:val="000000"/>
                      <w:sz w:val="18"/>
                    </w:rPr>
                    <w:t>EIAS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3ABCD574" w14:textId="3F3D5C2A" w:rsidR="00AE72DB" w:rsidRDefault="00AE72DB" w:rsidP="00A77F13">
                  <w:pPr>
                    <w:rPr>
                      <w:rFonts w:ascii="Calibri" w:hAnsi="Calibri"/>
                      <w:color w:val="000000"/>
                      <w:sz w:val="18"/>
                    </w:rPr>
                  </w:pPr>
                  <w:r>
                    <w:rPr>
                      <w:rFonts w:ascii="Calibri" w:hAnsi="Calibri"/>
                      <w:color w:val="000000"/>
                      <w:sz w:val="18"/>
                    </w:rPr>
                    <w:t>Evaluación de Impacto Ambiental y Social</w:t>
                  </w:r>
                </w:p>
              </w:tc>
            </w:tr>
            <w:tr w:rsidR="00AE72DB" w:rsidRPr="008540E9" w14:paraId="00C24E69"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10996BCB" w14:textId="223B4795" w:rsidR="00AE72DB" w:rsidRPr="00F4197B" w:rsidRDefault="00AE72DB" w:rsidP="00A77F13">
                  <w:pPr>
                    <w:rPr>
                      <w:rFonts w:ascii="Calibri" w:hAnsi="Calibri" w:cs="Calibri"/>
                      <w:color w:val="000000"/>
                      <w:sz w:val="18"/>
                      <w:szCs w:val="18"/>
                    </w:rPr>
                  </w:pPr>
                  <w:r>
                    <w:rPr>
                      <w:rFonts w:ascii="Calibri" w:hAnsi="Calibri"/>
                      <w:color w:val="000000"/>
                      <w:sz w:val="18"/>
                    </w:rPr>
                    <w:t>ESPAC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8C8F740" w14:textId="5735DCF2" w:rsidR="00AE72DB" w:rsidRPr="00F4197B" w:rsidRDefault="00AE72DB" w:rsidP="00A77F13">
                  <w:pPr>
                    <w:rPr>
                      <w:rFonts w:ascii="Calibri" w:hAnsi="Calibri" w:cs="Calibri"/>
                      <w:color w:val="000000"/>
                      <w:sz w:val="18"/>
                      <w:szCs w:val="18"/>
                    </w:rPr>
                  </w:pPr>
                  <w:r>
                    <w:rPr>
                      <w:rFonts w:ascii="Calibri" w:hAnsi="Calibri"/>
                      <w:color w:val="000000"/>
                      <w:sz w:val="18"/>
                    </w:rPr>
                    <w:t xml:space="preserve">Encuesta de Superficie y Producción Agropecuaria Continua  </w:t>
                  </w:r>
                </w:p>
              </w:tc>
            </w:tr>
            <w:tr w:rsidR="00AE72DB" w:rsidRPr="00F4197B" w14:paraId="5DE69861"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946C4CC" w14:textId="2C73ED5F" w:rsidR="00AE72DB" w:rsidRPr="00F4197B" w:rsidRDefault="00AE72DB" w:rsidP="00A77F13">
                  <w:pPr>
                    <w:rPr>
                      <w:rFonts w:ascii="Calibri" w:hAnsi="Calibri" w:cs="Calibri"/>
                      <w:color w:val="000000"/>
                      <w:sz w:val="18"/>
                      <w:szCs w:val="18"/>
                    </w:rPr>
                  </w:pPr>
                  <w:r>
                    <w:rPr>
                      <w:rFonts w:ascii="Calibri" w:hAnsi="Calibri"/>
                      <w:color w:val="000000"/>
                      <w:sz w:val="18"/>
                    </w:rPr>
                    <w:t>EXPOFLORES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AF897DB" w14:textId="76662CE0" w:rsidR="00AE72DB" w:rsidRPr="00F4197B" w:rsidRDefault="00AE72DB" w:rsidP="00A77F13">
                  <w:pPr>
                    <w:rPr>
                      <w:rFonts w:ascii="Calibri" w:hAnsi="Calibri" w:cs="Calibri"/>
                      <w:color w:val="000000"/>
                      <w:sz w:val="18"/>
                      <w:szCs w:val="18"/>
                    </w:rPr>
                  </w:pPr>
                  <w:r>
                    <w:rPr>
                      <w:rFonts w:ascii="Calibri" w:hAnsi="Calibri"/>
                      <w:color w:val="000000"/>
                      <w:sz w:val="18"/>
                    </w:rPr>
                    <w:t xml:space="preserve">Asociación Nacional de Productores y Exportadores de Flores de Ecuador </w:t>
                  </w:r>
                </w:p>
              </w:tc>
            </w:tr>
            <w:tr w:rsidR="00AE72DB" w:rsidRPr="008540E9" w14:paraId="5891264C" w14:textId="77777777" w:rsidTr="00A77F13">
              <w:trPr>
                <w:trHeight w:val="28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7270A9C3" w14:textId="48D485A2" w:rsidR="00AE72DB" w:rsidRPr="00F4197B" w:rsidRDefault="00AE72DB" w:rsidP="00A77F13">
                  <w:pPr>
                    <w:rPr>
                      <w:rFonts w:ascii="Calibri" w:hAnsi="Calibri" w:cs="Calibri"/>
                      <w:color w:val="000000"/>
                      <w:sz w:val="18"/>
                      <w:szCs w:val="18"/>
                    </w:rPr>
                  </w:pPr>
                  <w:r>
                    <w:rPr>
                      <w:rFonts w:ascii="Calibri" w:hAnsi="Calibri"/>
                      <w:color w:val="000000"/>
                      <w:sz w:val="18"/>
                    </w:rPr>
                    <w:t>FAO</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72D8696" w14:textId="1C178639" w:rsidR="00AE72DB" w:rsidRPr="00F4197B" w:rsidRDefault="00AE72DB" w:rsidP="00A77F13">
                  <w:pPr>
                    <w:rPr>
                      <w:rFonts w:ascii="Calibri" w:hAnsi="Calibri" w:cs="Calibri"/>
                      <w:color w:val="000000"/>
                      <w:sz w:val="18"/>
                      <w:szCs w:val="18"/>
                    </w:rPr>
                  </w:pPr>
                  <w:r>
                    <w:rPr>
                      <w:rFonts w:ascii="Calibri" w:hAnsi="Calibri"/>
                      <w:color w:val="000000"/>
                      <w:sz w:val="18"/>
                    </w:rPr>
                    <w:t xml:space="preserve">Organización de las Naciones Unidas para la Agricultura y la Alimentación </w:t>
                  </w:r>
                </w:p>
              </w:tc>
            </w:tr>
            <w:tr w:rsidR="00AE72DB" w:rsidRPr="008540E9" w14:paraId="71FA1096"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3770A79" w14:textId="0298D3E4" w:rsidR="00AE72DB" w:rsidRPr="00F4197B" w:rsidRDefault="00AE72DB" w:rsidP="00A77F13">
                  <w:pPr>
                    <w:rPr>
                      <w:rFonts w:ascii="Calibri" w:hAnsi="Calibri" w:cs="Calibri"/>
                      <w:color w:val="000000"/>
                      <w:sz w:val="18"/>
                      <w:szCs w:val="18"/>
                    </w:rPr>
                  </w:pPr>
                  <w:r>
                    <w:rPr>
                      <w:rFonts w:ascii="Calibri" w:hAnsi="Calibri"/>
                      <w:color w:val="000000"/>
                      <w:sz w:val="18"/>
                    </w:rPr>
                    <w:t>FARM</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18D9AE22" w14:textId="3CFCDA4F" w:rsidR="00AE72DB" w:rsidRPr="00F4197B" w:rsidRDefault="00AE72DB" w:rsidP="00A77F13">
                  <w:pPr>
                    <w:rPr>
                      <w:rFonts w:ascii="Calibri" w:hAnsi="Calibri" w:cs="Calibri"/>
                      <w:color w:val="000000"/>
                      <w:sz w:val="18"/>
                      <w:szCs w:val="18"/>
                    </w:rPr>
                  </w:pPr>
                  <w:r>
                    <w:rPr>
                      <w:rFonts w:ascii="Calibri" w:hAnsi="Calibri"/>
                      <w:color w:val="000000"/>
                      <w:sz w:val="18"/>
                    </w:rPr>
                    <w:t xml:space="preserve">Financiación de la Reducción y Gestión de Productos Agroquímicos </w:t>
                  </w:r>
                </w:p>
              </w:tc>
            </w:tr>
            <w:tr w:rsidR="00AE72DB" w:rsidRPr="008540E9" w14:paraId="0C3269AD"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79D97683" w14:textId="531A1526" w:rsidR="00AE72DB" w:rsidRDefault="00AE72DB" w:rsidP="00A77F13">
                  <w:pPr>
                    <w:rPr>
                      <w:rFonts w:ascii="Calibri" w:hAnsi="Calibri"/>
                      <w:color w:val="000000"/>
                      <w:sz w:val="18"/>
                    </w:rPr>
                  </w:pPr>
                  <w:r>
                    <w:rPr>
                      <w:rFonts w:ascii="Calibri" w:hAnsi="Calibri"/>
                      <w:color w:val="000000"/>
                      <w:sz w:val="18"/>
                    </w:rPr>
                    <w:t>FMAM</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26A467E4" w14:textId="5E31BF98" w:rsidR="00AE72DB" w:rsidRDefault="00AE72DB" w:rsidP="00A77F13">
                  <w:pPr>
                    <w:rPr>
                      <w:rFonts w:ascii="Calibri" w:hAnsi="Calibri"/>
                      <w:color w:val="000000"/>
                      <w:sz w:val="18"/>
                    </w:rPr>
                  </w:pPr>
                  <w:r>
                    <w:rPr>
                      <w:rFonts w:ascii="Calibri" w:hAnsi="Calibri"/>
                      <w:color w:val="000000"/>
                      <w:sz w:val="18"/>
                    </w:rPr>
                    <w:t>Fondo para el Medio Ambiente Mundial</w:t>
                  </w:r>
                </w:p>
              </w:tc>
            </w:tr>
            <w:tr w:rsidR="00AE72DB" w:rsidRPr="008540E9" w14:paraId="5CF57C8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15B3A36" w14:textId="72DB6F64" w:rsidR="00AE72DB" w:rsidRPr="00F4197B" w:rsidRDefault="00AE72DB" w:rsidP="00A77F13">
                  <w:pPr>
                    <w:rPr>
                      <w:rFonts w:ascii="Calibri" w:hAnsi="Calibri" w:cs="Calibri"/>
                      <w:color w:val="000000"/>
                      <w:sz w:val="18"/>
                      <w:szCs w:val="18"/>
                    </w:rPr>
                  </w:pPr>
                  <w:r>
                    <w:rPr>
                      <w:rFonts w:ascii="Calibri" w:hAnsi="Calibri"/>
                      <w:color w:val="000000"/>
                      <w:sz w:val="18"/>
                    </w:rPr>
                    <w:t>FSP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3D4FCDD" w14:textId="1B9AAA09" w:rsidR="00AE72DB" w:rsidRPr="00F4197B" w:rsidRDefault="00AE72DB" w:rsidP="00A77F13">
                  <w:pPr>
                    <w:rPr>
                      <w:rFonts w:ascii="Calibri" w:hAnsi="Calibri" w:cs="Calibri"/>
                      <w:color w:val="000000"/>
                      <w:sz w:val="18"/>
                      <w:szCs w:val="18"/>
                    </w:rPr>
                  </w:pPr>
                  <w:r>
                    <w:rPr>
                      <w:rFonts w:ascii="Calibri" w:hAnsi="Calibri"/>
                      <w:color w:val="000000"/>
                      <w:sz w:val="18"/>
                    </w:rPr>
                    <w:t>Proyecto a Escala Completa</w:t>
                  </w:r>
                </w:p>
              </w:tc>
            </w:tr>
            <w:tr w:rsidR="00AE72DB" w:rsidRPr="008540E9" w14:paraId="0F762BC0"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0B83E5C" w14:textId="393F0D11" w:rsidR="00AE72DB" w:rsidRPr="00F4197B" w:rsidRDefault="00AE72DB" w:rsidP="00A77F13">
                  <w:pPr>
                    <w:rPr>
                      <w:rFonts w:ascii="Calibri" w:hAnsi="Calibri" w:cs="Calibri"/>
                      <w:color w:val="000000"/>
                      <w:sz w:val="18"/>
                      <w:szCs w:val="18"/>
                    </w:rPr>
                  </w:pPr>
                  <w:r>
                    <w:rPr>
                      <w:rFonts w:ascii="Calibri" w:hAnsi="Calibri"/>
                      <w:color w:val="000000"/>
                      <w:sz w:val="18"/>
                    </w:rPr>
                    <w:t>GACT</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73D230B" w14:textId="676B7616" w:rsidR="00AE72DB" w:rsidRPr="00F4197B" w:rsidRDefault="00AE72DB" w:rsidP="00A77F13">
                  <w:pPr>
                    <w:rPr>
                      <w:rFonts w:ascii="Calibri" w:hAnsi="Calibri" w:cs="Calibri"/>
                      <w:color w:val="000000"/>
                      <w:sz w:val="18"/>
                      <w:szCs w:val="18"/>
                    </w:rPr>
                  </w:pPr>
                  <w:r>
                    <w:rPr>
                      <w:rFonts w:ascii="Calibri" w:hAnsi="Calibri"/>
                      <w:color w:val="000000"/>
                      <w:sz w:val="18"/>
                    </w:rPr>
                    <w:t>Grupo de Asesoramiento Científico y Técnico del FMAM</w:t>
                  </w:r>
                </w:p>
              </w:tc>
            </w:tr>
            <w:tr w:rsidR="00AE72DB" w:rsidRPr="008540E9" w14:paraId="50971FC5"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379148E" w14:textId="6A112805" w:rsidR="00AE72DB" w:rsidRPr="00F4197B" w:rsidRDefault="00AE72DB" w:rsidP="00A77F13">
                  <w:pPr>
                    <w:rPr>
                      <w:rFonts w:ascii="Calibri" w:hAnsi="Calibri" w:cs="Calibri"/>
                      <w:color w:val="000000"/>
                      <w:sz w:val="18"/>
                      <w:szCs w:val="18"/>
                    </w:rPr>
                  </w:pPr>
                  <w:r>
                    <w:rPr>
                      <w:rFonts w:ascii="Calibri" w:hAnsi="Calibri"/>
                      <w:color w:val="000000"/>
                      <w:sz w:val="18"/>
                    </w:rPr>
                    <w:t>GAD</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17166115" w14:textId="4389D99E" w:rsidR="00AE72DB" w:rsidRPr="00F4197B" w:rsidRDefault="00AE72DB" w:rsidP="00A77F13">
                  <w:pPr>
                    <w:rPr>
                      <w:rFonts w:ascii="Calibri" w:hAnsi="Calibri" w:cs="Calibri"/>
                      <w:color w:val="000000"/>
                      <w:sz w:val="18"/>
                      <w:szCs w:val="18"/>
                    </w:rPr>
                  </w:pPr>
                  <w:r>
                    <w:rPr>
                      <w:rFonts w:ascii="Calibri" w:hAnsi="Calibri"/>
                      <w:color w:val="000000"/>
                      <w:sz w:val="18"/>
                    </w:rPr>
                    <w:t xml:space="preserve">Gobierno Autónomo Descentralizado </w:t>
                  </w:r>
                </w:p>
              </w:tc>
            </w:tr>
            <w:tr w:rsidR="00AE72DB" w:rsidRPr="008540E9" w14:paraId="181B2C4A"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0AAAACC" w14:textId="17623B7F" w:rsidR="00AE72DB" w:rsidRPr="00F4197B" w:rsidRDefault="00AE72DB" w:rsidP="00A77F13">
                  <w:pPr>
                    <w:rPr>
                      <w:rFonts w:ascii="Calibri" w:hAnsi="Calibri" w:cs="Calibri"/>
                      <w:color w:val="000000"/>
                      <w:sz w:val="18"/>
                      <w:szCs w:val="18"/>
                    </w:rPr>
                  </w:pPr>
                  <w:r>
                    <w:rPr>
                      <w:rFonts w:ascii="Calibri" w:hAnsi="Calibri"/>
                      <w:color w:val="000000"/>
                      <w:sz w:val="18"/>
                    </w:rPr>
                    <w:t>GC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E6732F8" w14:textId="16470ABB" w:rsidR="00AE72DB" w:rsidRPr="00F4197B" w:rsidRDefault="00AE72DB" w:rsidP="00A77F13">
                  <w:pPr>
                    <w:rPr>
                      <w:rFonts w:ascii="Calibri" w:hAnsi="Calibri" w:cs="Calibri"/>
                      <w:color w:val="000000"/>
                      <w:sz w:val="18"/>
                      <w:szCs w:val="18"/>
                    </w:rPr>
                  </w:pPr>
                  <w:r>
                    <w:rPr>
                      <w:rFonts w:ascii="Calibri" w:hAnsi="Calibri"/>
                      <w:color w:val="000000"/>
                      <w:sz w:val="18"/>
                    </w:rPr>
                    <w:t>Gestión del Conocimiento</w:t>
                  </w:r>
                </w:p>
              </w:tc>
            </w:tr>
            <w:tr w:rsidR="00AE72DB" w:rsidRPr="00F4197B" w14:paraId="5205F4CE" w14:textId="77777777" w:rsidTr="00C84D02">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center"/>
                  <w:hideMark/>
                </w:tcPr>
                <w:p w14:paraId="657EBE57" w14:textId="0A0B085E" w:rsidR="00AE72DB" w:rsidRPr="00F4197B" w:rsidRDefault="00AE72DB" w:rsidP="00A77F13">
                  <w:pPr>
                    <w:rPr>
                      <w:rFonts w:ascii="Calibri" w:hAnsi="Calibri" w:cs="Calibri"/>
                      <w:color w:val="000000"/>
                      <w:sz w:val="18"/>
                      <w:szCs w:val="18"/>
                    </w:rPr>
                  </w:pPr>
                  <w:r>
                    <w:rPr>
                      <w:rFonts w:ascii="Calibri" w:hAnsi="Calibri"/>
                      <w:color w:val="000000"/>
                      <w:sz w:val="18"/>
                    </w:rPr>
                    <w:t>GEFSEC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A58F6EE" w14:textId="644CC45B" w:rsidR="00AE72DB" w:rsidRPr="00F4197B" w:rsidRDefault="00AE72DB" w:rsidP="00A77F13">
                  <w:pPr>
                    <w:rPr>
                      <w:rFonts w:ascii="Calibri" w:hAnsi="Calibri" w:cs="Calibri"/>
                      <w:color w:val="000000"/>
                      <w:sz w:val="18"/>
                      <w:szCs w:val="18"/>
                    </w:rPr>
                  </w:pPr>
                  <w:r>
                    <w:rPr>
                      <w:rFonts w:ascii="Calibri" w:hAnsi="Calibri"/>
                      <w:color w:val="000000"/>
                      <w:sz w:val="18"/>
                    </w:rPr>
                    <w:t>Secretaría del Fondo para el Medio Ambiente Mundial</w:t>
                  </w:r>
                </w:p>
              </w:tc>
            </w:tr>
            <w:tr w:rsidR="00AE72DB" w:rsidRPr="008540E9" w14:paraId="592F3130" w14:textId="77777777" w:rsidTr="00A1567C">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center"/>
                  <w:hideMark/>
                </w:tcPr>
                <w:p w14:paraId="498D75B3" w14:textId="7015B876" w:rsidR="00AE72DB" w:rsidRPr="00F4197B" w:rsidRDefault="00AE72DB" w:rsidP="00A77F13">
                  <w:pPr>
                    <w:rPr>
                      <w:rFonts w:ascii="Calibri" w:hAnsi="Calibri" w:cs="Calibri"/>
                      <w:color w:val="000000"/>
                      <w:sz w:val="18"/>
                      <w:szCs w:val="18"/>
                    </w:rPr>
                  </w:pPr>
                  <w:r>
                    <w:rPr>
                      <w:rFonts w:ascii="Calibri" w:hAnsi="Calibri"/>
                      <w:color w:val="000000"/>
                      <w:sz w:val="18"/>
                    </w:rPr>
                    <w:t>GEI</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2E93F53" w14:textId="0C528C2B" w:rsidR="00AE72DB" w:rsidRPr="00F4197B" w:rsidRDefault="00AE72DB" w:rsidP="00A77F13">
                  <w:pPr>
                    <w:rPr>
                      <w:rFonts w:ascii="Calibri" w:hAnsi="Calibri" w:cs="Calibri"/>
                      <w:color w:val="000000"/>
                      <w:sz w:val="18"/>
                      <w:szCs w:val="18"/>
                    </w:rPr>
                  </w:pPr>
                  <w:r>
                    <w:rPr>
                      <w:rFonts w:ascii="Calibri" w:hAnsi="Calibri"/>
                      <w:color w:val="000000"/>
                      <w:sz w:val="18"/>
                    </w:rPr>
                    <w:t>Gases de efecto invernadero</w:t>
                  </w:r>
                </w:p>
              </w:tc>
            </w:tr>
            <w:tr w:rsidR="00AE72DB" w:rsidRPr="008540E9" w14:paraId="254B17EC" w14:textId="77777777" w:rsidTr="00C84D02">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27ED6B5" w14:textId="5B7DE471" w:rsidR="00AE72DB" w:rsidRPr="00F4197B" w:rsidRDefault="00AE72DB" w:rsidP="00A77F13">
                  <w:pPr>
                    <w:rPr>
                      <w:rFonts w:ascii="Calibri" w:hAnsi="Calibri" w:cs="Calibri"/>
                      <w:color w:val="000000"/>
                      <w:sz w:val="18"/>
                      <w:szCs w:val="18"/>
                    </w:rPr>
                  </w:pPr>
                  <w:r>
                    <w:rPr>
                      <w:rFonts w:ascii="Calibri" w:hAnsi="Calibri"/>
                      <w:color w:val="000000"/>
                      <w:sz w:val="18"/>
                    </w:rPr>
                    <w:t xml:space="preserve">GGKP </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6FF902E" w14:textId="455257B0" w:rsidR="00AE72DB" w:rsidRPr="00F4197B" w:rsidRDefault="00AE72DB" w:rsidP="00A77F13">
                  <w:pPr>
                    <w:rPr>
                      <w:rFonts w:ascii="Calibri" w:hAnsi="Calibri" w:cs="Calibri"/>
                      <w:color w:val="000000"/>
                      <w:sz w:val="18"/>
                      <w:szCs w:val="18"/>
                    </w:rPr>
                  </w:pPr>
                  <w:r>
                    <w:rPr>
                      <w:rFonts w:ascii="Calibri" w:hAnsi="Calibri"/>
                      <w:color w:val="000000"/>
                      <w:sz w:val="18"/>
                    </w:rPr>
                    <w:t xml:space="preserve">Plataforma de Conocimiento sobre Crecimiento Verde (Green Growth Knowledge Platform) </w:t>
                  </w:r>
                </w:p>
              </w:tc>
            </w:tr>
            <w:tr w:rsidR="00AE72DB" w:rsidRPr="008540E9" w14:paraId="28EDD223" w14:textId="77777777" w:rsidTr="00C84D02">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CE16FBB" w14:textId="25CC7040" w:rsidR="00AE72DB" w:rsidRPr="00F4197B" w:rsidRDefault="00AE72DB" w:rsidP="00A77F13">
                  <w:pPr>
                    <w:rPr>
                      <w:rFonts w:ascii="Calibri" w:hAnsi="Calibri" w:cs="Calibri"/>
                      <w:color w:val="000000"/>
                      <w:sz w:val="18"/>
                      <w:szCs w:val="18"/>
                    </w:rPr>
                  </w:pPr>
                  <w:r>
                    <w:rPr>
                      <w:rFonts w:ascii="Calibri" w:hAnsi="Calibri"/>
                      <w:color w:val="000000"/>
                      <w:sz w:val="18"/>
                    </w:rPr>
                    <w:t>GIZ</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F883F35" w14:textId="2EFB0DE9" w:rsidR="00AE72DB" w:rsidRPr="00F4197B" w:rsidRDefault="00AE72DB" w:rsidP="00A77F13">
                  <w:pPr>
                    <w:rPr>
                      <w:rFonts w:ascii="Calibri" w:hAnsi="Calibri" w:cs="Calibri"/>
                      <w:color w:val="000000"/>
                      <w:sz w:val="18"/>
                      <w:szCs w:val="18"/>
                    </w:rPr>
                  </w:pPr>
                  <w:r>
                    <w:rPr>
                      <w:rFonts w:ascii="Calibri" w:hAnsi="Calibri"/>
                      <w:color w:val="000000"/>
                      <w:sz w:val="18"/>
                    </w:rPr>
                    <w:t>Sociedad Alemana de Cooperación Internacional</w:t>
                  </w:r>
                </w:p>
              </w:tc>
            </w:tr>
            <w:tr w:rsidR="00AE72DB" w:rsidRPr="008540E9" w14:paraId="30DA4B2C" w14:textId="77777777" w:rsidTr="00A1567C">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49DD7D19" w14:textId="7D2E9EEB" w:rsidR="00AE72DB" w:rsidRDefault="00AE72DB" w:rsidP="00A77F13">
                  <w:pPr>
                    <w:rPr>
                      <w:rFonts w:ascii="Calibri" w:hAnsi="Calibri"/>
                      <w:color w:val="000000"/>
                      <w:sz w:val="18"/>
                    </w:rPr>
                  </w:pPr>
                  <w:r>
                    <w:rPr>
                      <w:rFonts w:ascii="Calibri" w:hAnsi="Calibri"/>
                      <w:color w:val="000000"/>
                      <w:sz w:val="18"/>
                    </w:rPr>
                    <w:t>GRECI</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115152D" w14:textId="3B3614F5" w:rsidR="00AE72DB" w:rsidRDefault="00AE72DB" w:rsidP="00A77F13">
                  <w:pPr>
                    <w:rPr>
                      <w:rFonts w:ascii="Calibri" w:hAnsi="Calibri"/>
                      <w:color w:val="000000"/>
                      <w:sz w:val="18"/>
                    </w:rPr>
                  </w:pPr>
                  <w:r>
                    <w:rPr>
                      <w:rFonts w:ascii="Calibri" w:hAnsi="Calibri"/>
                      <w:color w:val="000000"/>
                      <w:sz w:val="18"/>
                    </w:rPr>
                    <w:t xml:space="preserve">Gestión de Residuos y Economía Circular </w:t>
                  </w:r>
                </w:p>
              </w:tc>
            </w:tr>
            <w:tr w:rsidR="00AE72DB" w:rsidRPr="00F4197B" w14:paraId="22FF139A" w14:textId="77777777" w:rsidTr="00AE72DB">
              <w:trPr>
                <w:trHeight w:val="183"/>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6A3422F" w14:textId="22681F1B" w:rsidR="00AE72DB" w:rsidRPr="00F4197B" w:rsidRDefault="00AE72DB" w:rsidP="00A77F13">
                  <w:pPr>
                    <w:rPr>
                      <w:rFonts w:ascii="Calibri" w:hAnsi="Calibri" w:cs="Calibri"/>
                      <w:color w:val="000000"/>
                      <w:sz w:val="18"/>
                      <w:szCs w:val="18"/>
                    </w:rPr>
                  </w:pPr>
                  <w:r>
                    <w:rPr>
                      <w:rFonts w:ascii="Calibri" w:hAnsi="Calibri"/>
                      <w:color w:val="000000"/>
                      <w:sz w:val="18"/>
                    </w:rPr>
                    <w:t>ICI</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02EEB21" w14:textId="0F7E2461" w:rsidR="00AE72DB" w:rsidRPr="00F4197B" w:rsidRDefault="00AE72DB" w:rsidP="00A77F13">
                  <w:pPr>
                    <w:rPr>
                      <w:rFonts w:ascii="Calibri" w:hAnsi="Calibri" w:cs="Calibri"/>
                      <w:color w:val="000000"/>
                      <w:sz w:val="18"/>
                      <w:szCs w:val="18"/>
                    </w:rPr>
                  </w:pPr>
                  <w:r>
                    <w:rPr>
                      <w:rFonts w:ascii="Calibri" w:hAnsi="Calibri"/>
                      <w:color w:val="000000"/>
                      <w:sz w:val="18"/>
                    </w:rPr>
                    <w:t>Intercambio de Conocimientos e Información</w:t>
                  </w:r>
                </w:p>
              </w:tc>
            </w:tr>
            <w:tr w:rsidR="00AE72DB" w:rsidRPr="00F4197B" w14:paraId="78B57DFD" w14:textId="77777777" w:rsidTr="00E41BBF">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16CAC6B" w14:textId="75466158" w:rsidR="00AE72DB" w:rsidRDefault="00AE72DB" w:rsidP="00A77F13">
                  <w:pPr>
                    <w:rPr>
                      <w:rFonts w:ascii="Calibri" w:hAnsi="Calibri"/>
                      <w:color w:val="000000"/>
                      <w:sz w:val="18"/>
                    </w:rPr>
                  </w:pPr>
                  <w:r>
                    <w:rPr>
                      <w:rFonts w:ascii="Calibri" w:hAnsi="Calibri"/>
                      <w:color w:val="000000"/>
                      <w:sz w:val="18"/>
                    </w:rPr>
                    <w:t>IFI</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111F4C0E" w14:textId="28117172" w:rsidR="00AE72DB" w:rsidRDefault="00AE72DB" w:rsidP="00A77F13">
                  <w:pPr>
                    <w:rPr>
                      <w:rFonts w:ascii="Calibri" w:hAnsi="Calibri"/>
                      <w:color w:val="000000"/>
                      <w:sz w:val="18"/>
                    </w:rPr>
                  </w:pPr>
                  <w:r>
                    <w:rPr>
                      <w:rFonts w:ascii="Calibri" w:hAnsi="Calibri"/>
                      <w:color w:val="000000"/>
                      <w:sz w:val="18"/>
                    </w:rPr>
                    <w:t xml:space="preserve">Instituciones Financieras Intermediarias </w:t>
                  </w:r>
                </w:p>
              </w:tc>
            </w:tr>
            <w:tr w:rsidR="00AE72DB" w:rsidRPr="00F4197B" w14:paraId="1F197A0E" w14:textId="77777777" w:rsidTr="00B40E9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E9FC0C8" w14:textId="069E5431" w:rsidR="00AE72DB" w:rsidRPr="00F4197B" w:rsidRDefault="00AE72DB" w:rsidP="00A77F13">
                  <w:pPr>
                    <w:rPr>
                      <w:rFonts w:ascii="Calibri" w:hAnsi="Calibri" w:cs="Calibri"/>
                      <w:color w:val="000000"/>
                      <w:sz w:val="18"/>
                      <w:szCs w:val="18"/>
                    </w:rPr>
                  </w:pPr>
                  <w:r>
                    <w:rPr>
                      <w:rFonts w:ascii="Calibri" w:hAnsi="Calibri"/>
                      <w:color w:val="000000"/>
                      <w:sz w:val="18"/>
                    </w:rPr>
                    <w:t>INEC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1B3859C" w14:textId="2ECB17A7" w:rsidR="00AE72DB" w:rsidRPr="00F4197B" w:rsidRDefault="00AE72DB" w:rsidP="00A77F13">
                  <w:pPr>
                    <w:rPr>
                      <w:rFonts w:ascii="Calibri" w:hAnsi="Calibri" w:cs="Calibri"/>
                      <w:color w:val="000000"/>
                      <w:sz w:val="18"/>
                      <w:szCs w:val="18"/>
                    </w:rPr>
                  </w:pPr>
                  <w:r>
                    <w:rPr>
                      <w:rFonts w:ascii="Calibri" w:hAnsi="Calibri"/>
                      <w:color w:val="000000"/>
                      <w:sz w:val="18"/>
                    </w:rPr>
                    <w:t xml:space="preserve">Instituto Nacional de Estadística y Censo </w:t>
                  </w:r>
                </w:p>
              </w:tc>
            </w:tr>
            <w:tr w:rsidR="00AE72DB" w:rsidRPr="00F4197B" w14:paraId="7EC0C384" w14:textId="77777777" w:rsidTr="0052211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2072ACE8" w14:textId="6DB55159" w:rsidR="00AE72DB" w:rsidRDefault="00AE72DB" w:rsidP="00A77F13">
                  <w:pPr>
                    <w:rPr>
                      <w:rFonts w:ascii="Calibri" w:hAnsi="Calibri"/>
                      <w:color w:val="000000"/>
                      <w:sz w:val="18"/>
                    </w:rPr>
                  </w:pPr>
                  <w:r>
                    <w:rPr>
                      <w:rFonts w:ascii="Calibri" w:hAnsi="Calibri"/>
                      <w:color w:val="000000"/>
                      <w:sz w:val="18"/>
                    </w:rPr>
                    <w:t>INIAP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6A5FF82D" w14:textId="4889B401" w:rsidR="00AE72DB" w:rsidRDefault="00AE72DB" w:rsidP="00A77F13">
                  <w:pPr>
                    <w:rPr>
                      <w:rFonts w:ascii="Calibri" w:hAnsi="Calibri"/>
                      <w:color w:val="000000"/>
                      <w:sz w:val="18"/>
                    </w:rPr>
                  </w:pPr>
                  <w:r>
                    <w:rPr>
                      <w:rFonts w:ascii="Calibri" w:hAnsi="Calibri"/>
                      <w:color w:val="000000"/>
                      <w:sz w:val="18"/>
                    </w:rPr>
                    <w:t xml:space="preserve">Instituto Nacional de Investigación Agrícola </w:t>
                  </w:r>
                </w:p>
              </w:tc>
            </w:tr>
            <w:tr w:rsidR="00AE72DB" w:rsidRPr="00F4197B" w14:paraId="4FD8340D" w14:textId="77777777" w:rsidTr="00F96A5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CCCE4AC" w14:textId="49DAED84" w:rsidR="00AE72DB" w:rsidRPr="00F4197B" w:rsidRDefault="00AE72DB" w:rsidP="00A77F13">
                  <w:pPr>
                    <w:rPr>
                      <w:rFonts w:ascii="Calibri" w:hAnsi="Calibri" w:cs="Calibri"/>
                      <w:color w:val="000000"/>
                      <w:sz w:val="18"/>
                      <w:szCs w:val="18"/>
                    </w:rPr>
                  </w:pPr>
                  <w:r>
                    <w:rPr>
                      <w:rFonts w:ascii="Calibri" w:hAnsi="Calibri"/>
                      <w:color w:val="000000"/>
                      <w:sz w:val="18"/>
                    </w:rPr>
                    <w:t>INNOVAGRO</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1B6D6C15" w14:textId="3E13B791" w:rsidR="00AE72DB" w:rsidRPr="00F4197B" w:rsidRDefault="00AE72DB" w:rsidP="00A77F13">
                  <w:pPr>
                    <w:rPr>
                      <w:rFonts w:ascii="Calibri" w:hAnsi="Calibri" w:cs="Calibri"/>
                      <w:color w:val="000000"/>
                      <w:sz w:val="18"/>
                      <w:szCs w:val="18"/>
                    </w:rPr>
                  </w:pPr>
                  <w:r>
                    <w:rPr>
                      <w:rFonts w:ascii="Calibri" w:hAnsi="Calibri"/>
                      <w:color w:val="000000"/>
                      <w:sz w:val="18"/>
                    </w:rPr>
                    <w:t>Cámara de Industria para la Innovación y la Tecnología Agrícola</w:t>
                  </w:r>
                </w:p>
              </w:tc>
            </w:tr>
            <w:tr w:rsidR="00AE72DB" w:rsidRPr="00F4197B" w14:paraId="314120DF" w14:textId="77777777" w:rsidTr="00F96A5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451A912" w14:textId="6BD99CA9" w:rsidR="00AE72DB" w:rsidRPr="00F4197B" w:rsidRDefault="00AE72DB" w:rsidP="00A77F13">
                  <w:pPr>
                    <w:rPr>
                      <w:rFonts w:ascii="Calibri" w:hAnsi="Calibri" w:cs="Calibri"/>
                      <w:color w:val="000000"/>
                      <w:sz w:val="18"/>
                      <w:szCs w:val="18"/>
                    </w:rPr>
                  </w:pPr>
                  <w:r>
                    <w:rPr>
                      <w:rFonts w:ascii="Calibri" w:hAnsi="Calibri"/>
                      <w:color w:val="000000"/>
                      <w:sz w:val="18"/>
                    </w:rPr>
                    <w:t>IVA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BCFE2EB" w14:textId="5E6FD01C" w:rsidR="00AE72DB" w:rsidRPr="00F4197B" w:rsidRDefault="00AE72DB" w:rsidP="00A77F13">
                  <w:pPr>
                    <w:rPr>
                      <w:rFonts w:ascii="Calibri" w:hAnsi="Calibri" w:cs="Calibri"/>
                      <w:color w:val="000000"/>
                      <w:sz w:val="18"/>
                      <w:szCs w:val="18"/>
                    </w:rPr>
                  </w:pPr>
                  <w:r>
                    <w:rPr>
                      <w:rFonts w:ascii="Calibri" w:hAnsi="Calibri"/>
                      <w:color w:val="000000"/>
                      <w:sz w:val="18"/>
                    </w:rPr>
                    <w:t>Impuesto sobre el Valor Agregado</w:t>
                  </w:r>
                </w:p>
              </w:tc>
            </w:tr>
            <w:tr w:rsidR="00AE72DB" w:rsidRPr="00F4197B" w14:paraId="149407AD" w14:textId="77777777" w:rsidTr="008A23FB">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A96DA23" w14:textId="4E6501E8" w:rsidR="00AE72DB" w:rsidRPr="00F4197B" w:rsidRDefault="00AE72DB" w:rsidP="00A77F13">
                  <w:pPr>
                    <w:rPr>
                      <w:rFonts w:ascii="Calibri" w:hAnsi="Calibri" w:cs="Calibri"/>
                      <w:color w:val="000000"/>
                      <w:sz w:val="18"/>
                      <w:szCs w:val="18"/>
                    </w:rPr>
                  </w:pPr>
                  <w:r>
                    <w:rPr>
                      <w:rFonts w:ascii="Calibri" w:hAnsi="Calibri"/>
                      <w:color w:val="000000"/>
                      <w:sz w:val="18"/>
                    </w:rPr>
                    <w:t>M&amp;E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83B435C" w14:textId="14071007" w:rsidR="00AE72DB" w:rsidRPr="00F4197B" w:rsidRDefault="00AE72DB" w:rsidP="00A77F13">
                  <w:pPr>
                    <w:rPr>
                      <w:rFonts w:ascii="Calibri" w:hAnsi="Calibri" w:cs="Calibri"/>
                      <w:color w:val="000000"/>
                      <w:sz w:val="18"/>
                      <w:szCs w:val="18"/>
                    </w:rPr>
                  </w:pPr>
                  <w:r>
                    <w:rPr>
                      <w:rFonts w:ascii="Calibri" w:hAnsi="Calibri"/>
                      <w:color w:val="000000"/>
                      <w:sz w:val="18"/>
                    </w:rPr>
                    <w:t>Monitoreo y Evaluación</w:t>
                  </w:r>
                </w:p>
              </w:tc>
            </w:tr>
            <w:tr w:rsidR="00AE72DB" w:rsidRPr="00F4197B" w14:paraId="3F87D7D5" w14:textId="77777777" w:rsidTr="008A23FB">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20723F5D" w14:textId="6DFEA1D9" w:rsidR="00AE72DB" w:rsidRDefault="00AE72DB" w:rsidP="00A77F13">
                  <w:pPr>
                    <w:rPr>
                      <w:rFonts w:ascii="Calibri" w:hAnsi="Calibri"/>
                      <w:color w:val="000000"/>
                      <w:sz w:val="18"/>
                    </w:rPr>
                  </w:pPr>
                  <w:r>
                    <w:rPr>
                      <w:rFonts w:ascii="Calibri" w:hAnsi="Calibri"/>
                      <w:color w:val="000000"/>
                      <w:sz w:val="18"/>
                    </w:rPr>
                    <w:t>MAATE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9F5A355" w14:textId="5C9402B5" w:rsidR="00AE72DB" w:rsidRDefault="00AE72DB" w:rsidP="00A77F13">
                  <w:pPr>
                    <w:rPr>
                      <w:rFonts w:ascii="Calibri" w:hAnsi="Calibri"/>
                      <w:color w:val="000000"/>
                      <w:sz w:val="18"/>
                    </w:rPr>
                  </w:pPr>
                  <w:r>
                    <w:rPr>
                      <w:rFonts w:ascii="Calibri" w:hAnsi="Calibri"/>
                      <w:color w:val="000000"/>
                      <w:sz w:val="18"/>
                    </w:rPr>
                    <w:t xml:space="preserve">Ministerio de Medio Ambiente, Agua y Transición Ecológica </w:t>
                  </w:r>
                </w:p>
              </w:tc>
            </w:tr>
            <w:tr w:rsidR="00AE72DB" w:rsidRPr="00F4197B" w14:paraId="6CB75EFC" w14:textId="77777777" w:rsidTr="00A77F13">
              <w:trPr>
                <w:trHeight w:val="28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DF73704" w14:textId="3538C3C7" w:rsidR="00AE72DB" w:rsidRPr="00F4197B" w:rsidRDefault="00AE72DB" w:rsidP="00A77F13">
                  <w:pPr>
                    <w:rPr>
                      <w:rFonts w:ascii="Calibri" w:hAnsi="Calibri" w:cs="Calibri"/>
                      <w:color w:val="000000"/>
                      <w:sz w:val="18"/>
                      <w:szCs w:val="18"/>
                    </w:rPr>
                  </w:pPr>
                  <w:r>
                    <w:rPr>
                      <w:rFonts w:ascii="Calibri" w:hAnsi="Calibri"/>
                      <w:color w:val="000000"/>
                      <w:sz w:val="18"/>
                    </w:rPr>
                    <w:t>MAG</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0064CA6" w14:textId="5DBB83F4" w:rsidR="00AE72DB" w:rsidRPr="00F4197B" w:rsidRDefault="00AE72DB" w:rsidP="00A77F13">
                  <w:pPr>
                    <w:rPr>
                      <w:rFonts w:ascii="Calibri" w:hAnsi="Calibri" w:cs="Calibri"/>
                      <w:color w:val="000000"/>
                      <w:sz w:val="18"/>
                      <w:szCs w:val="18"/>
                    </w:rPr>
                  </w:pPr>
                  <w:r>
                    <w:rPr>
                      <w:rFonts w:ascii="Calibri" w:hAnsi="Calibri"/>
                      <w:color w:val="000000"/>
                      <w:sz w:val="18"/>
                    </w:rPr>
                    <w:t xml:space="preserve">Ministerio de Agricultura y Ganadería </w:t>
                  </w:r>
                </w:p>
              </w:tc>
            </w:tr>
            <w:tr w:rsidR="00AE72DB" w:rsidRPr="00F4197B" w14:paraId="72BACA3F"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1C3CBDA" w14:textId="1B43295E" w:rsidR="00AE72DB" w:rsidRPr="00F4197B" w:rsidRDefault="00AE72DB" w:rsidP="00A77F13">
                  <w:pPr>
                    <w:rPr>
                      <w:rFonts w:ascii="Calibri" w:hAnsi="Calibri" w:cs="Calibri"/>
                      <w:color w:val="000000"/>
                      <w:sz w:val="18"/>
                      <w:szCs w:val="18"/>
                    </w:rPr>
                  </w:pPr>
                  <w:r>
                    <w:rPr>
                      <w:rFonts w:ascii="Calibri" w:hAnsi="Calibri"/>
                      <w:color w:val="000000"/>
                      <w:sz w:val="18"/>
                    </w:rPr>
                    <w:t>MFC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F705005" w14:textId="06564C85" w:rsidR="00AE72DB" w:rsidRPr="00F4197B" w:rsidRDefault="00AE72DB" w:rsidP="00A77F13">
                  <w:pPr>
                    <w:rPr>
                      <w:rFonts w:ascii="Calibri" w:hAnsi="Calibri" w:cs="Calibri"/>
                      <w:color w:val="000000"/>
                      <w:sz w:val="18"/>
                      <w:szCs w:val="18"/>
                    </w:rPr>
                  </w:pPr>
                  <w:r>
                    <w:rPr>
                      <w:rFonts w:ascii="Calibri" w:hAnsi="Calibri"/>
                      <w:color w:val="000000"/>
                      <w:sz w:val="18"/>
                    </w:rPr>
                    <w:t>Mecanismo de Fondos Concursables</w:t>
                  </w:r>
                </w:p>
              </w:tc>
            </w:tr>
            <w:tr w:rsidR="00AE72DB" w:rsidRPr="008540E9" w14:paraId="3884F3F5"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2EDCB73" w14:textId="1AAEF49A" w:rsidR="00AE72DB" w:rsidRPr="00F4197B" w:rsidRDefault="00AE72DB" w:rsidP="00A77F13">
                  <w:pPr>
                    <w:rPr>
                      <w:rFonts w:ascii="Calibri" w:hAnsi="Calibri" w:cs="Calibri"/>
                      <w:color w:val="000000"/>
                      <w:sz w:val="18"/>
                      <w:szCs w:val="18"/>
                    </w:rPr>
                  </w:pPr>
                  <w:r>
                    <w:rPr>
                      <w:rFonts w:ascii="Calibri" w:hAnsi="Calibri"/>
                      <w:color w:val="000000"/>
                      <w:sz w:val="18"/>
                    </w:rPr>
                    <w:t>MOOC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7A2B84A" w14:textId="44EA6F8B" w:rsidR="00AE72DB" w:rsidRPr="00F4197B" w:rsidRDefault="00AE72DB" w:rsidP="00A77F13">
                  <w:pPr>
                    <w:rPr>
                      <w:rFonts w:ascii="Calibri" w:hAnsi="Calibri" w:cs="Calibri"/>
                      <w:color w:val="000000"/>
                      <w:sz w:val="18"/>
                      <w:szCs w:val="18"/>
                    </w:rPr>
                  </w:pPr>
                  <w:r>
                    <w:rPr>
                      <w:rFonts w:ascii="Calibri" w:hAnsi="Calibri"/>
                      <w:color w:val="000000"/>
                      <w:sz w:val="18"/>
                    </w:rPr>
                    <w:t>Curso Abierto Masivo en Línea (Massive Online Open Course)</w:t>
                  </w:r>
                </w:p>
              </w:tc>
            </w:tr>
            <w:tr w:rsidR="00AE72DB" w:rsidRPr="008540E9" w14:paraId="65C8DA88"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F8FDF56" w14:textId="75E660A7" w:rsidR="00AE72DB" w:rsidRPr="00F4197B" w:rsidRDefault="00AE72DB" w:rsidP="00A77F13">
                  <w:pPr>
                    <w:rPr>
                      <w:rFonts w:ascii="Calibri" w:hAnsi="Calibri" w:cs="Calibri"/>
                      <w:color w:val="000000"/>
                      <w:sz w:val="18"/>
                      <w:szCs w:val="18"/>
                    </w:rPr>
                  </w:pPr>
                  <w:r>
                    <w:rPr>
                      <w:rFonts w:ascii="Calibri" w:hAnsi="Calibri"/>
                      <w:color w:val="000000"/>
                      <w:sz w:val="18"/>
                    </w:rPr>
                    <w:t>MPCEIP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D77BE36" w14:textId="64FCBB3D" w:rsidR="00AE72DB" w:rsidRPr="00F4197B" w:rsidRDefault="00AE72DB" w:rsidP="00A77F13">
                  <w:pPr>
                    <w:rPr>
                      <w:rFonts w:ascii="Calibri" w:hAnsi="Calibri" w:cs="Calibri"/>
                      <w:color w:val="000000"/>
                      <w:sz w:val="18"/>
                      <w:szCs w:val="18"/>
                    </w:rPr>
                  </w:pPr>
                  <w:r>
                    <w:rPr>
                      <w:rFonts w:ascii="Calibri" w:hAnsi="Calibri"/>
                      <w:color w:val="000000"/>
                      <w:sz w:val="18"/>
                    </w:rPr>
                    <w:t xml:space="preserve">Ministerio de Producción, Comercio Exterior, Inversiones y Pesca </w:t>
                  </w:r>
                </w:p>
              </w:tc>
            </w:tr>
            <w:tr w:rsidR="00AE72DB" w:rsidRPr="00F4197B" w14:paraId="4CCB8A9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5748718" w14:textId="1CD6F82E" w:rsidR="00AE72DB" w:rsidRPr="00F4197B" w:rsidRDefault="00AE72DB" w:rsidP="00A77F13">
                  <w:pPr>
                    <w:rPr>
                      <w:rFonts w:ascii="Calibri" w:hAnsi="Calibri" w:cs="Calibri"/>
                      <w:color w:val="000000"/>
                      <w:sz w:val="18"/>
                      <w:szCs w:val="18"/>
                    </w:rPr>
                  </w:pPr>
                  <w:r>
                    <w:rPr>
                      <w:rFonts w:ascii="Calibri" w:hAnsi="Calibri"/>
                      <w:color w:val="000000"/>
                      <w:sz w:val="18"/>
                    </w:rPr>
                    <w:t>MSP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26F8EF1" w14:textId="3F3DA999" w:rsidR="00AE72DB" w:rsidRPr="00F4197B" w:rsidRDefault="00AE72DB" w:rsidP="00A77F13">
                  <w:pPr>
                    <w:rPr>
                      <w:rFonts w:ascii="Calibri" w:hAnsi="Calibri" w:cs="Calibri"/>
                      <w:color w:val="000000"/>
                      <w:sz w:val="18"/>
                      <w:szCs w:val="18"/>
                    </w:rPr>
                  </w:pPr>
                  <w:r>
                    <w:rPr>
                      <w:rFonts w:ascii="Calibri" w:hAnsi="Calibri"/>
                      <w:color w:val="000000"/>
                      <w:sz w:val="18"/>
                    </w:rPr>
                    <w:t xml:space="preserve">Ministerio de Salud Pública </w:t>
                  </w:r>
                </w:p>
              </w:tc>
            </w:tr>
            <w:tr w:rsidR="00AE72DB" w:rsidRPr="00F4197B" w14:paraId="1C01870E"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791ABC9" w14:textId="08009D80" w:rsidR="00AE72DB" w:rsidRPr="00F4197B" w:rsidRDefault="00AE72DB" w:rsidP="00A77F13">
                  <w:pPr>
                    <w:rPr>
                      <w:rFonts w:ascii="Calibri" w:hAnsi="Calibri" w:cs="Calibri"/>
                      <w:color w:val="000000"/>
                      <w:sz w:val="18"/>
                      <w:szCs w:val="18"/>
                    </w:rPr>
                  </w:pPr>
                  <w:r>
                    <w:rPr>
                      <w:rFonts w:ascii="Calibri" w:hAnsi="Calibri"/>
                      <w:color w:val="000000"/>
                      <w:sz w:val="18"/>
                    </w:rPr>
                    <w:t>MTD</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A78166F" w14:textId="10E7869E" w:rsidR="00AE72DB" w:rsidRPr="00F4197B" w:rsidRDefault="00AE72DB" w:rsidP="00A77F13">
                  <w:pPr>
                    <w:rPr>
                      <w:rFonts w:ascii="Calibri" w:hAnsi="Calibri" w:cs="Calibri"/>
                      <w:color w:val="000000"/>
                      <w:sz w:val="18"/>
                      <w:szCs w:val="18"/>
                    </w:rPr>
                  </w:pPr>
                  <w:r>
                    <w:rPr>
                      <w:rFonts w:ascii="Calibri" w:hAnsi="Calibri"/>
                      <w:color w:val="000000"/>
                      <w:sz w:val="18"/>
                    </w:rPr>
                    <w:t>Mejores Técnicas Disponibles</w:t>
                  </w:r>
                </w:p>
              </w:tc>
            </w:tr>
            <w:tr w:rsidR="00AE72DB" w:rsidRPr="00F4197B" w14:paraId="38DD45A0" w14:textId="77777777" w:rsidTr="004D089D">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center"/>
                </w:tcPr>
                <w:p w14:paraId="5F44C889" w14:textId="0A028892" w:rsidR="00AE72DB" w:rsidDel="00B65BB6" w:rsidRDefault="00AE72DB" w:rsidP="00A77F13">
                  <w:pPr>
                    <w:rPr>
                      <w:rFonts w:ascii="Calibri" w:hAnsi="Calibri"/>
                      <w:color w:val="000000"/>
                      <w:sz w:val="18"/>
                    </w:rPr>
                  </w:pPr>
                  <w:r>
                    <w:rPr>
                      <w:rFonts w:ascii="Calibri" w:hAnsi="Calibri"/>
                      <w:color w:val="000000"/>
                      <w:sz w:val="18"/>
                      <w:lang w:val="es-EC"/>
                    </w:rPr>
                    <w:t>MTR</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6CCE13DF" w14:textId="4A5AEDA5" w:rsidR="00AE72DB" w:rsidDel="00B65BB6" w:rsidRDefault="00AE72DB" w:rsidP="00A77F13">
                  <w:pPr>
                    <w:rPr>
                      <w:rFonts w:ascii="Calibri" w:hAnsi="Calibri"/>
                      <w:color w:val="000000"/>
                      <w:sz w:val="18"/>
                    </w:rPr>
                  </w:pPr>
                  <w:r>
                    <w:rPr>
                      <w:rFonts w:ascii="Calibri" w:hAnsi="Calibri"/>
                      <w:color w:val="000000"/>
                      <w:sz w:val="18"/>
                    </w:rPr>
                    <w:t>Revisión Intermedia</w:t>
                  </w:r>
                </w:p>
              </w:tc>
            </w:tr>
            <w:tr w:rsidR="00AE72DB" w:rsidRPr="00F4197B" w14:paraId="6989514C" w14:textId="77777777" w:rsidTr="00C0437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center"/>
                  <w:hideMark/>
                </w:tcPr>
                <w:p w14:paraId="01A6D8B1" w14:textId="5EFADD9B" w:rsidR="00AE72DB" w:rsidRPr="00F4197B" w:rsidRDefault="00AE72DB" w:rsidP="00A77F13">
                  <w:pPr>
                    <w:rPr>
                      <w:rFonts w:ascii="Calibri" w:hAnsi="Calibri" w:cs="Calibri"/>
                      <w:color w:val="000000"/>
                      <w:sz w:val="18"/>
                      <w:szCs w:val="18"/>
                    </w:rPr>
                  </w:pPr>
                  <w:r>
                    <w:rPr>
                      <w:rFonts w:ascii="Calibri" w:hAnsi="Calibri"/>
                      <w:color w:val="000000"/>
                      <w:sz w:val="18"/>
                    </w:rPr>
                    <w:t>OCDE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8D39F0B" w14:textId="7F237701" w:rsidR="00AE72DB" w:rsidRPr="00F4197B" w:rsidRDefault="00AE72DB" w:rsidP="00A77F13">
                  <w:pPr>
                    <w:rPr>
                      <w:rFonts w:ascii="Calibri" w:hAnsi="Calibri" w:cs="Calibri"/>
                      <w:color w:val="000000"/>
                      <w:sz w:val="18"/>
                      <w:szCs w:val="18"/>
                    </w:rPr>
                  </w:pPr>
                  <w:r>
                    <w:rPr>
                      <w:rFonts w:ascii="Calibri" w:hAnsi="Calibri"/>
                      <w:color w:val="000000"/>
                      <w:sz w:val="18"/>
                    </w:rPr>
                    <w:t>Organización para la Cooperación y el Desarrollo Económico</w:t>
                  </w:r>
                </w:p>
              </w:tc>
            </w:tr>
            <w:tr w:rsidR="00AE72DB" w:rsidRPr="008540E9" w14:paraId="1358E414" w14:textId="77777777" w:rsidTr="00C0437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center"/>
                  <w:hideMark/>
                </w:tcPr>
                <w:p w14:paraId="5400AFFE" w14:textId="2E26BF14" w:rsidR="00AE72DB" w:rsidRPr="00F4197B" w:rsidRDefault="00AE72DB" w:rsidP="00A77F13">
                  <w:pPr>
                    <w:rPr>
                      <w:rFonts w:ascii="Calibri" w:hAnsi="Calibri" w:cs="Calibri"/>
                      <w:color w:val="000000"/>
                      <w:sz w:val="18"/>
                      <w:szCs w:val="18"/>
                    </w:rPr>
                  </w:pPr>
                  <w:r>
                    <w:rPr>
                      <w:rFonts w:ascii="Calibri" w:hAnsi="Calibri"/>
                      <w:color w:val="000000"/>
                      <w:sz w:val="18"/>
                    </w:rPr>
                    <w:t>ODS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96C85E1" w14:textId="2007E58C" w:rsidR="00AE72DB" w:rsidRPr="00F4197B" w:rsidRDefault="00AE72DB" w:rsidP="00A77F13">
                  <w:pPr>
                    <w:rPr>
                      <w:rFonts w:ascii="Calibri" w:hAnsi="Calibri" w:cs="Calibri"/>
                      <w:color w:val="000000"/>
                      <w:sz w:val="18"/>
                      <w:szCs w:val="18"/>
                    </w:rPr>
                  </w:pPr>
                  <w:r>
                    <w:rPr>
                      <w:rFonts w:ascii="Calibri" w:hAnsi="Calibri"/>
                      <w:color w:val="000000"/>
                      <w:sz w:val="18"/>
                    </w:rPr>
                    <w:t>Objetivos de Desarrollo Sostenible</w:t>
                  </w:r>
                </w:p>
              </w:tc>
            </w:tr>
            <w:tr w:rsidR="00AE72DB" w:rsidRPr="008540E9" w14:paraId="19DF8C8C" w14:textId="77777777" w:rsidTr="00C0437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center"/>
                  <w:hideMark/>
                </w:tcPr>
                <w:p w14:paraId="543296DA" w14:textId="4D258420" w:rsidR="00AE72DB" w:rsidRPr="00F4197B" w:rsidRDefault="00AE72DB" w:rsidP="00A77F13">
                  <w:pPr>
                    <w:rPr>
                      <w:rFonts w:ascii="Calibri" w:hAnsi="Calibri" w:cs="Calibri"/>
                      <w:color w:val="000000"/>
                      <w:sz w:val="18"/>
                      <w:szCs w:val="18"/>
                    </w:rPr>
                  </w:pPr>
                  <w:r>
                    <w:rPr>
                      <w:rFonts w:ascii="Calibri" w:hAnsi="Calibri"/>
                      <w:color w:val="000000"/>
                      <w:sz w:val="18"/>
                    </w:rPr>
                    <w:t>OMS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3D1FCE4" w14:textId="531BB74D" w:rsidR="00AE72DB" w:rsidRPr="00F4197B" w:rsidRDefault="00AE72DB" w:rsidP="00A77F13">
                  <w:pPr>
                    <w:rPr>
                      <w:rFonts w:ascii="Calibri" w:hAnsi="Calibri" w:cs="Calibri"/>
                      <w:color w:val="000000"/>
                      <w:sz w:val="18"/>
                      <w:szCs w:val="18"/>
                    </w:rPr>
                  </w:pPr>
                  <w:r>
                    <w:rPr>
                      <w:rFonts w:ascii="Calibri" w:hAnsi="Calibri"/>
                      <w:color w:val="000000"/>
                      <w:sz w:val="18"/>
                    </w:rPr>
                    <w:t>Organización Mundial de la Salud</w:t>
                  </w:r>
                </w:p>
              </w:tc>
            </w:tr>
            <w:tr w:rsidR="00AE72DB" w:rsidRPr="008540E9" w14:paraId="0C1C6BCB" w14:textId="77777777" w:rsidTr="004D089D">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01FA8E8" w14:textId="54F8DC4E" w:rsidR="00AE72DB" w:rsidRPr="00F4197B" w:rsidRDefault="00AE72DB" w:rsidP="00A77F13">
                  <w:pPr>
                    <w:rPr>
                      <w:rFonts w:ascii="Calibri" w:hAnsi="Calibri" w:cs="Calibri"/>
                      <w:color w:val="000000"/>
                      <w:sz w:val="18"/>
                      <w:szCs w:val="18"/>
                    </w:rPr>
                  </w:pPr>
                  <w:r>
                    <w:rPr>
                      <w:rFonts w:ascii="Calibri" w:hAnsi="Calibri"/>
                      <w:color w:val="000000"/>
                      <w:sz w:val="18"/>
                    </w:rPr>
                    <w:t>ONG</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99FA226" w14:textId="310D62B2" w:rsidR="00AE72DB" w:rsidRPr="00F4197B" w:rsidRDefault="00AE72DB" w:rsidP="00A77F13">
                  <w:pPr>
                    <w:rPr>
                      <w:rFonts w:ascii="Calibri" w:hAnsi="Calibri" w:cs="Calibri"/>
                      <w:color w:val="000000"/>
                      <w:sz w:val="18"/>
                      <w:szCs w:val="18"/>
                    </w:rPr>
                  </w:pPr>
                  <w:r>
                    <w:rPr>
                      <w:rFonts w:ascii="Calibri" w:hAnsi="Calibri"/>
                      <w:color w:val="000000"/>
                      <w:sz w:val="18"/>
                    </w:rPr>
                    <w:t>Organización No Gubernamental</w:t>
                  </w:r>
                </w:p>
              </w:tc>
            </w:tr>
            <w:tr w:rsidR="00AE72DB" w:rsidRPr="008540E9" w14:paraId="04EA1DBB" w14:textId="77777777" w:rsidTr="00C0437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8DE1CEC" w14:textId="593EA668" w:rsidR="00AE72DB" w:rsidRDefault="00AE72DB" w:rsidP="00A77F13">
                  <w:pPr>
                    <w:rPr>
                      <w:rFonts w:ascii="Calibri" w:hAnsi="Calibri"/>
                      <w:color w:val="000000"/>
                      <w:sz w:val="18"/>
                    </w:rPr>
                  </w:pPr>
                  <w:r>
                    <w:rPr>
                      <w:rFonts w:ascii="Calibri" w:hAnsi="Calibri"/>
                      <w:color w:val="000000"/>
                      <w:sz w:val="18"/>
                    </w:rPr>
                    <w:t>OSC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1C084920" w14:textId="5901F652" w:rsidR="00AE72DB" w:rsidRDefault="00AE72DB" w:rsidP="00A77F13">
                  <w:pPr>
                    <w:rPr>
                      <w:rFonts w:ascii="Calibri" w:hAnsi="Calibri"/>
                      <w:color w:val="000000"/>
                      <w:sz w:val="18"/>
                    </w:rPr>
                  </w:pPr>
                  <w:r>
                    <w:rPr>
                      <w:rFonts w:ascii="Calibri" w:hAnsi="Calibri"/>
                      <w:color w:val="000000"/>
                      <w:sz w:val="18"/>
                    </w:rPr>
                    <w:t>Organización de la Sociedad Civil</w:t>
                  </w:r>
                </w:p>
              </w:tc>
            </w:tr>
            <w:tr w:rsidR="00AE72DB" w:rsidRPr="00F4197B" w14:paraId="5394D073" w14:textId="77777777" w:rsidTr="00C0437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95FF202" w14:textId="10BD0B57" w:rsidR="00AE72DB" w:rsidRPr="00F4197B" w:rsidRDefault="00AE72DB" w:rsidP="00A77F13">
                  <w:pPr>
                    <w:rPr>
                      <w:rFonts w:ascii="Calibri" w:hAnsi="Calibri" w:cs="Calibri"/>
                      <w:color w:val="000000"/>
                      <w:sz w:val="18"/>
                      <w:szCs w:val="18"/>
                    </w:rPr>
                  </w:pPr>
                  <w:r>
                    <w:rPr>
                      <w:rFonts w:ascii="Calibri" w:hAnsi="Calibri"/>
                      <w:color w:val="000000"/>
                      <w:sz w:val="18"/>
                    </w:rPr>
                    <w:t>PAC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0D41776" w14:textId="315A53EA" w:rsidR="00AE72DB" w:rsidRPr="00F4197B" w:rsidRDefault="00AE72DB" w:rsidP="00A77F13">
                  <w:pPr>
                    <w:rPr>
                      <w:rFonts w:ascii="Calibri" w:hAnsi="Calibri" w:cs="Calibri"/>
                      <w:color w:val="000000"/>
                      <w:sz w:val="18"/>
                      <w:szCs w:val="18"/>
                    </w:rPr>
                  </w:pPr>
                  <w:r>
                    <w:rPr>
                      <w:rFonts w:ascii="Calibri" w:hAnsi="Calibri"/>
                      <w:color w:val="000000"/>
                      <w:sz w:val="18"/>
                    </w:rPr>
                    <w:t>Política Agrícola Común</w:t>
                  </w:r>
                </w:p>
              </w:tc>
            </w:tr>
            <w:tr w:rsidR="00AE72DB" w:rsidRPr="00F4197B" w14:paraId="248D9207" w14:textId="77777777" w:rsidTr="00C0437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F0DA9AA" w14:textId="6FF19823" w:rsidR="00AE72DB" w:rsidRPr="00F4197B" w:rsidRDefault="00AE72DB" w:rsidP="00A77F13">
                  <w:pPr>
                    <w:rPr>
                      <w:rFonts w:ascii="Calibri" w:hAnsi="Calibri" w:cs="Calibri"/>
                      <w:color w:val="000000"/>
                      <w:sz w:val="18"/>
                      <w:szCs w:val="18"/>
                    </w:rPr>
                  </w:pPr>
                  <w:r>
                    <w:rPr>
                      <w:rFonts w:ascii="Calibri" w:hAnsi="Calibri"/>
                      <w:color w:val="000000"/>
                      <w:sz w:val="18"/>
                    </w:rPr>
                    <w:t>PAP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1A32A917" w14:textId="4E437A42" w:rsidR="00AE72DB" w:rsidRPr="00F4197B" w:rsidRDefault="00AE72DB" w:rsidP="00A77F13">
                  <w:pPr>
                    <w:rPr>
                      <w:rFonts w:ascii="Calibri" w:hAnsi="Calibri" w:cs="Calibri"/>
                      <w:color w:val="000000"/>
                      <w:sz w:val="18"/>
                      <w:szCs w:val="18"/>
                    </w:rPr>
                  </w:pPr>
                  <w:r>
                    <w:rPr>
                      <w:rFonts w:ascii="Calibri" w:hAnsi="Calibri"/>
                      <w:color w:val="000000"/>
                      <w:sz w:val="18"/>
                    </w:rPr>
                    <w:t>Plaguicidas Altamente Peligrosos</w:t>
                  </w:r>
                </w:p>
              </w:tc>
            </w:tr>
            <w:tr w:rsidR="00AE72DB" w:rsidRPr="00F4197B" w14:paraId="47946D3A" w14:textId="77777777" w:rsidTr="00A8666D">
              <w:trPr>
                <w:trHeight w:val="28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627D2A2" w14:textId="1CEE3213" w:rsidR="00AE72DB" w:rsidRPr="00F4197B" w:rsidRDefault="00AE72DB" w:rsidP="00A77F13">
                  <w:pPr>
                    <w:rPr>
                      <w:rFonts w:ascii="Calibri" w:hAnsi="Calibri" w:cs="Calibri"/>
                      <w:color w:val="000000"/>
                      <w:sz w:val="18"/>
                      <w:szCs w:val="18"/>
                    </w:rPr>
                  </w:pPr>
                  <w:r>
                    <w:rPr>
                      <w:rFonts w:ascii="Calibri" w:hAnsi="Calibri"/>
                      <w:color w:val="000000"/>
                      <w:sz w:val="18"/>
                      <w:lang w:val="es-EC"/>
                    </w:rPr>
                    <w:lastRenderedPageBreak/>
                    <w:t>PFD</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0C8849E" w14:textId="1FC8C9C8" w:rsidR="00AE72DB" w:rsidRPr="00F4197B" w:rsidRDefault="00AE72DB" w:rsidP="00A77F13">
                  <w:pPr>
                    <w:rPr>
                      <w:rFonts w:ascii="Calibri" w:hAnsi="Calibri" w:cs="Calibri"/>
                      <w:color w:val="000000"/>
                      <w:sz w:val="18"/>
                      <w:szCs w:val="18"/>
                    </w:rPr>
                  </w:pPr>
                  <w:r>
                    <w:rPr>
                      <w:rFonts w:ascii="Calibri" w:hAnsi="Calibri"/>
                      <w:color w:val="000000"/>
                      <w:sz w:val="18"/>
                    </w:rPr>
                    <w:t>Documento Marco del Programa</w:t>
                  </w:r>
                </w:p>
              </w:tc>
            </w:tr>
            <w:tr w:rsidR="00AE72DB" w:rsidRPr="00F4197B" w14:paraId="42E3B5E0" w14:textId="77777777" w:rsidTr="00A8666D">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42F1D05" w14:textId="79921B16" w:rsidR="00AE72DB" w:rsidRPr="00F4197B" w:rsidRDefault="00AE72DB" w:rsidP="00A77F13">
                  <w:pPr>
                    <w:rPr>
                      <w:rFonts w:ascii="Calibri" w:hAnsi="Calibri" w:cs="Calibri"/>
                      <w:color w:val="000000"/>
                      <w:sz w:val="18"/>
                      <w:szCs w:val="18"/>
                    </w:rPr>
                  </w:pPr>
                  <w:r>
                    <w:rPr>
                      <w:rFonts w:ascii="Calibri" w:hAnsi="Calibri"/>
                      <w:color w:val="000000"/>
                      <w:sz w:val="18"/>
                    </w:rPr>
                    <w:t>PGAS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E78FF37" w14:textId="50B7ACE1" w:rsidR="00AE72DB" w:rsidRPr="00F4197B" w:rsidRDefault="00AE72DB" w:rsidP="00A77F13">
                  <w:pPr>
                    <w:rPr>
                      <w:rFonts w:ascii="Calibri" w:hAnsi="Calibri" w:cs="Calibri"/>
                      <w:color w:val="000000"/>
                      <w:sz w:val="18"/>
                      <w:szCs w:val="18"/>
                    </w:rPr>
                  </w:pPr>
                  <w:r>
                    <w:rPr>
                      <w:rFonts w:ascii="Calibri" w:hAnsi="Calibri"/>
                      <w:color w:val="000000"/>
                      <w:sz w:val="18"/>
                    </w:rPr>
                    <w:t>Planes de Gestión Ambiental y Social</w:t>
                  </w:r>
                </w:p>
              </w:tc>
            </w:tr>
            <w:tr w:rsidR="00AE72DB" w:rsidRPr="008540E9" w14:paraId="07FD4453" w14:textId="77777777" w:rsidTr="003F3A66">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34C5247F" w14:textId="31784771" w:rsidR="00AE72DB" w:rsidRPr="00F4197B" w:rsidRDefault="00AE72DB" w:rsidP="00A77F13">
                  <w:pPr>
                    <w:rPr>
                      <w:rFonts w:ascii="Calibri" w:hAnsi="Calibri" w:cs="Calibri"/>
                      <w:color w:val="000000"/>
                      <w:sz w:val="18"/>
                      <w:szCs w:val="18"/>
                    </w:rPr>
                  </w:pPr>
                  <w:r>
                    <w:rPr>
                      <w:rFonts w:ascii="Calibri" w:hAnsi="Calibri"/>
                      <w:color w:val="000000"/>
                      <w:sz w:val="18"/>
                    </w:rPr>
                    <w:t>PIB</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0A15F8FA" w14:textId="7A60C7F7" w:rsidR="00AE72DB" w:rsidRPr="00F4197B" w:rsidRDefault="00AE72DB" w:rsidP="00A77F13">
                  <w:pPr>
                    <w:rPr>
                      <w:rFonts w:ascii="Calibri" w:hAnsi="Calibri" w:cs="Calibri"/>
                      <w:color w:val="000000"/>
                      <w:sz w:val="18"/>
                      <w:szCs w:val="18"/>
                    </w:rPr>
                  </w:pPr>
                  <w:r>
                    <w:rPr>
                      <w:rFonts w:ascii="Calibri" w:hAnsi="Calibri"/>
                      <w:color w:val="000000"/>
                      <w:sz w:val="18"/>
                    </w:rPr>
                    <w:t>Producto Interno Bruto</w:t>
                  </w:r>
                </w:p>
              </w:tc>
            </w:tr>
            <w:tr w:rsidR="00AE72DB" w:rsidRPr="008540E9" w14:paraId="679B5C8F" w14:textId="77777777" w:rsidTr="00C84D02">
              <w:trPr>
                <w:trHeight w:val="345"/>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1A32CBCB" w14:textId="6C52E5F2" w:rsidR="00AE72DB" w:rsidRPr="00F4197B" w:rsidRDefault="00AE72DB" w:rsidP="00A77F13">
                  <w:pPr>
                    <w:rPr>
                      <w:rFonts w:ascii="Calibri" w:hAnsi="Calibri" w:cs="Calibri"/>
                      <w:color w:val="000000"/>
                      <w:sz w:val="18"/>
                      <w:szCs w:val="18"/>
                    </w:rPr>
                  </w:pPr>
                  <w:r>
                    <w:rPr>
                      <w:rFonts w:ascii="Calibri" w:hAnsi="Calibri"/>
                      <w:color w:val="000000"/>
                      <w:sz w:val="18"/>
                    </w:rPr>
                    <w:t>PNI</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9C0E198" w14:textId="6580E54D" w:rsidR="00AE72DB" w:rsidRPr="00F4197B" w:rsidRDefault="00AE72DB" w:rsidP="00A77F13">
                  <w:pPr>
                    <w:rPr>
                      <w:rFonts w:ascii="Calibri" w:hAnsi="Calibri" w:cs="Calibri"/>
                      <w:color w:val="000000"/>
                      <w:sz w:val="18"/>
                      <w:szCs w:val="18"/>
                    </w:rPr>
                  </w:pPr>
                  <w:r>
                    <w:rPr>
                      <w:rFonts w:ascii="Calibri" w:hAnsi="Calibri"/>
                      <w:color w:val="000000"/>
                      <w:sz w:val="18"/>
                    </w:rPr>
                    <w:t>Plan Nacional de Implementación</w:t>
                  </w:r>
                </w:p>
              </w:tc>
            </w:tr>
            <w:tr w:rsidR="00AE72DB" w:rsidRPr="008540E9" w14:paraId="42550139" w14:textId="77777777" w:rsidTr="00C84D02">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765E59B" w14:textId="73F33CC9" w:rsidR="00AE72DB" w:rsidRDefault="00AE72DB" w:rsidP="00A77F13">
                  <w:pPr>
                    <w:rPr>
                      <w:rFonts w:ascii="Calibri" w:hAnsi="Calibri"/>
                      <w:color w:val="000000"/>
                      <w:sz w:val="18"/>
                    </w:rPr>
                  </w:pPr>
                  <w:r>
                    <w:rPr>
                      <w:rFonts w:ascii="Calibri" w:hAnsi="Calibri"/>
                      <w:color w:val="000000"/>
                      <w:sz w:val="18"/>
                    </w:rPr>
                    <w:t>PIR</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3B262B39" w14:textId="556FF317" w:rsidR="00AE72DB" w:rsidRDefault="00AE72DB" w:rsidP="00A77F13">
                  <w:pPr>
                    <w:rPr>
                      <w:rFonts w:ascii="Calibri" w:hAnsi="Calibri"/>
                      <w:color w:val="000000"/>
                      <w:sz w:val="18"/>
                    </w:rPr>
                  </w:pPr>
                  <w:r>
                    <w:rPr>
                      <w:rFonts w:ascii="Calibri" w:hAnsi="Calibri"/>
                      <w:color w:val="000000"/>
                      <w:sz w:val="18"/>
                    </w:rPr>
                    <w:t>Informe de Ejecución del Proyecto del FMAM (Project Implementation Report)</w:t>
                  </w:r>
                </w:p>
              </w:tc>
            </w:tr>
            <w:tr w:rsidR="00AE72DB" w:rsidRPr="00F4197B" w14:paraId="361885D7" w14:textId="77777777" w:rsidTr="00A1567C">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E3AB9B5" w14:textId="62C5C025" w:rsidR="00AE72DB" w:rsidRPr="00F4197B" w:rsidRDefault="00AE72DB" w:rsidP="00A77F13">
                  <w:pPr>
                    <w:rPr>
                      <w:rFonts w:ascii="Calibri" w:hAnsi="Calibri" w:cs="Calibri"/>
                      <w:color w:val="000000"/>
                      <w:sz w:val="18"/>
                      <w:szCs w:val="18"/>
                    </w:rPr>
                  </w:pPr>
                  <w:r>
                    <w:rPr>
                      <w:rFonts w:ascii="Calibri" w:hAnsi="Calibri"/>
                      <w:color w:val="000000"/>
                      <w:sz w:val="18"/>
                    </w:rPr>
                    <w:t>PNGQ</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DF333D7" w14:textId="7BEF9CF9" w:rsidR="00AE72DB" w:rsidRPr="00F4197B" w:rsidRDefault="00AE72DB" w:rsidP="00A77F13">
                  <w:pPr>
                    <w:rPr>
                      <w:rFonts w:ascii="Calibri" w:hAnsi="Calibri" w:cs="Calibri"/>
                      <w:color w:val="000000"/>
                      <w:sz w:val="18"/>
                      <w:szCs w:val="18"/>
                    </w:rPr>
                  </w:pPr>
                  <w:r>
                    <w:rPr>
                      <w:rFonts w:ascii="Calibri" w:hAnsi="Calibri"/>
                      <w:color w:val="000000"/>
                      <w:sz w:val="18"/>
                    </w:rPr>
                    <w:t xml:space="preserve">Programa Nacional para la Gestión Ambientalmente Adecuada de Sustancias Químicas en su Ciclo de Vida </w:t>
                  </w:r>
                </w:p>
              </w:tc>
            </w:tr>
            <w:tr w:rsidR="00AE72DB" w:rsidRPr="00F4197B" w14:paraId="3A97649F" w14:textId="77777777" w:rsidTr="00A1567C">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5D34E90" w14:textId="0EFF211C" w:rsidR="00AE72DB" w:rsidRPr="00F4197B" w:rsidRDefault="00AE72DB" w:rsidP="00A77F13">
                  <w:pPr>
                    <w:rPr>
                      <w:rFonts w:ascii="Calibri" w:hAnsi="Calibri" w:cs="Calibri"/>
                      <w:color w:val="000000"/>
                      <w:sz w:val="18"/>
                      <w:szCs w:val="18"/>
                    </w:rPr>
                  </w:pPr>
                  <w:r>
                    <w:rPr>
                      <w:rFonts w:ascii="Calibri" w:hAnsi="Calibri"/>
                      <w:color w:val="000000"/>
                      <w:sz w:val="18"/>
                    </w:rPr>
                    <w:t>PNUD</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679D2C2" w14:textId="321775F0" w:rsidR="00AE72DB" w:rsidRPr="00F4197B" w:rsidRDefault="00AE72DB" w:rsidP="00A77F13">
                  <w:pPr>
                    <w:rPr>
                      <w:rFonts w:ascii="Calibri" w:hAnsi="Calibri" w:cs="Calibri"/>
                      <w:color w:val="000000"/>
                      <w:sz w:val="18"/>
                      <w:szCs w:val="18"/>
                    </w:rPr>
                  </w:pPr>
                  <w:r>
                    <w:rPr>
                      <w:rFonts w:ascii="Calibri" w:hAnsi="Calibri"/>
                      <w:color w:val="000000"/>
                      <w:sz w:val="18"/>
                    </w:rPr>
                    <w:t>Programa de las Naciones Unidas para el Desarrollo</w:t>
                  </w:r>
                </w:p>
              </w:tc>
            </w:tr>
            <w:tr w:rsidR="00AE72DB" w:rsidRPr="008540E9" w14:paraId="12D39A63" w14:textId="77777777" w:rsidTr="00E41BBF">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CFC033F" w14:textId="275D191A" w:rsidR="00AE72DB" w:rsidRPr="00F4197B" w:rsidRDefault="00AE72DB" w:rsidP="00A77F13">
                  <w:pPr>
                    <w:rPr>
                      <w:rFonts w:ascii="Calibri" w:hAnsi="Calibri" w:cs="Calibri"/>
                      <w:color w:val="000000"/>
                      <w:sz w:val="18"/>
                      <w:szCs w:val="18"/>
                    </w:rPr>
                  </w:pPr>
                  <w:r>
                    <w:rPr>
                      <w:rFonts w:ascii="Calibri" w:hAnsi="Calibri"/>
                      <w:color w:val="000000"/>
                      <w:sz w:val="18"/>
                    </w:rPr>
                    <w:t>PNUMA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B157FC6" w14:textId="34BEE118" w:rsidR="00AE72DB" w:rsidRPr="00F4197B" w:rsidRDefault="00AE72DB" w:rsidP="00A77F13">
                  <w:pPr>
                    <w:rPr>
                      <w:rFonts w:ascii="Calibri" w:hAnsi="Calibri" w:cs="Calibri"/>
                      <w:color w:val="000000"/>
                      <w:sz w:val="18"/>
                      <w:szCs w:val="18"/>
                    </w:rPr>
                  </w:pPr>
                  <w:r>
                    <w:rPr>
                      <w:rFonts w:ascii="Calibri" w:hAnsi="Calibri"/>
                      <w:color w:val="000000"/>
                      <w:sz w:val="18"/>
                    </w:rPr>
                    <w:t>Programa de las Naciones Unidas para el Medio Ambiente</w:t>
                  </w:r>
                </w:p>
              </w:tc>
            </w:tr>
            <w:tr w:rsidR="00AE72DB" w:rsidRPr="00F4197B" w14:paraId="6D4C4884" w14:textId="77777777" w:rsidTr="00B40E9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AD67811" w14:textId="52A29564" w:rsidR="00AE72DB" w:rsidRPr="00F4197B" w:rsidRDefault="00AE72DB" w:rsidP="00A77F13">
                  <w:pPr>
                    <w:rPr>
                      <w:rFonts w:ascii="Calibri" w:hAnsi="Calibri" w:cs="Calibri"/>
                      <w:color w:val="000000"/>
                      <w:sz w:val="18"/>
                      <w:szCs w:val="18"/>
                    </w:rPr>
                  </w:pPr>
                  <w:r>
                    <w:rPr>
                      <w:rFonts w:ascii="Calibri" w:hAnsi="Calibri"/>
                      <w:color w:val="000000"/>
                      <w:sz w:val="18"/>
                    </w:rPr>
                    <w:t>POPP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0C9158A" w14:textId="424A075A" w:rsidR="00AE72DB" w:rsidRPr="00F4197B" w:rsidRDefault="00AE72DB" w:rsidP="00A77F13">
                  <w:pPr>
                    <w:rPr>
                      <w:rFonts w:ascii="Calibri" w:hAnsi="Calibri" w:cs="Calibri"/>
                      <w:color w:val="000000"/>
                      <w:sz w:val="18"/>
                      <w:szCs w:val="18"/>
                    </w:rPr>
                  </w:pPr>
                  <w:r>
                    <w:rPr>
                      <w:rFonts w:ascii="Calibri" w:hAnsi="Calibri"/>
                      <w:color w:val="000000"/>
                      <w:sz w:val="18"/>
                    </w:rPr>
                    <w:t>Políticas y Procedimientos de Programas y Operaciones (Programme and Operations Policies and Procedures)</w:t>
                  </w:r>
                </w:p>
              </w:tc>
            </w:tr>
            <w:tr w:rsidR="00AE72DB" w:rsidRPr="00F4197B" w14:paraId="46EEC2F3" w14:textId="77777777" w:rsidTr="0052211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200E477B" w14:textId="48E0B505" w:rsidR="00AE72DB" w:rsidRDefault="00AE72DB" w:rsidP="00A77F13">
                  <w:pPr>
                    <w:rPr>
                      <w:rFonts w:ascii="Calibri" w:hAnsi="Calibri"/>
                      <w:color w:val="000000"/>
                      <w:sz w:val="18"/>
                    </w:rPr>
                  </w:pPr>
                  <w:r>
                    <w:rPr>
                      <w:rFonts w:ascii="Calibri" w:hAnsi="Calibri"/>
                      <w:color w:val="000000"/>
                      <w:sz w:val="18"/>
                    </w:rPr>
                    <w:t>PPG</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ED90702" w14:textId="1BBF1D82" w:rsidR="00AE72DB" w:rsidRDefault="00AE72DB" w:rsidP="00A77F13">
                  <w:pPr>
                    <w:rPr>
                      <w:rFonts w:ascii="Calibri" w:hAnsi="Calibri"/>
                      <w:color w:val="000000"/>
                      <w:sz w:val="18"/>
                    </w:rPr>
                  </w:pPr>
                  <w:r>
                    <w:rPr>
                      <w:rFonts w:ascii="Calibri" w:hAnsi="Calibri"/>
                      <w:color w:val="000000"/>
                      <w:sz w:val="18"/>
                    </w:rPr>
                    <w:t>Subvención para la Preparación de Proyectos (Project Preparation Grant)</w:t>
                  </w:r>
                </w:p>
              </w:tc>
            </w:tr>
            <w:tr w:rsidR="00AE72DB" w:rsidRPr="00F4197B" w14:paraId="566A55B3" w14:textId="77777777" w:rsidTr="00F96A5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286D3AF" w14:textId="44BB1CAE" w:rsidR="00AE72DB" w:rsidRPr="0019735C" w:rsidRDefault="00AE72DB" w:rsidP="00A77F13">
                  <w:pPr>
                    <w:rPr>
                      <w:rFonts w:ascii="Calibri" w:hAnsi="Calibri" w:cs="Calibri"/>
                      <w:color w:val="000000"/>
                      <w:sz w:val="18"/>
                      <w:szCs w:val="18"/>
                      <w:lang w:val="es-EC"/>
                    </w:rPr>
                  </w:pPr>
                  <w:r>
                    <w:rPr>
                      <w:rFonts w:ascii="Calibri" w:hAnsi="Calibri"/>
                      <w:color w:val="000000"/>
                      <w:sz w:val="18"/>
                    </w:rPr>
                    <w:t>PQUA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973B16C" w14:textId="3BBCB300" w:rsidR="00AE72DB" w:rsidRPr="00F4197B" w:rsidRDefault="00AE72DB" w:rsidP="00A77F13">
                  <w:pPr>
                    <w:rPr>
                      <w:rFonts w:ascii="Calibri" w:hAnsi="Calibri" w:cs="Calibri"/>
                      <w:color w:val="000000"/>
                      <w:sz w:val="18"/>
                      <w:szCs w:val="18"/>
                    </w:rPr>
                  </w:pPr>
                  <w:r>
                    <w:rPr>
                      <w:rFonts w:ascii="Calibri" w:hAnsi="Calibri"/>
                      <w:color w:val="000000"/>
                      <w:sz w:val="18"/>
                    </w:rPr>
                    <w:t>Plaguicidas Químicos de Uso Agrícola</w:t>
                  </w:r>
                </w:p>
              </w:tc>
            </w:tr>
            <w:tr w:rsidR="00AE72DB" w:rsidRPr="00F4197B" w14:paraId="148A483B" w14:textId="77777777" w:rsidTr="00F96A5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4AB1602D" w14:textId="1CD8D8B5" w:rsidR="00AE72DB" w:rsidRDefault="00AE72DB" w:rsidP="00A77F13">
                  <w:pPr>
                    <w:rPr>
                      <w:rFonts w:ascii="Calibri" w:hAnsi="Calibri"/>
                      <w:color w:val="000000"/>
                      <w:sz w:val="18"/>
                      <w:lang w:val="es-EC"/>
                    </w:rPr>
                  </w:pPr>
                  <w:r>
                    <w:rPr>
                      <w:rFonts w:ascii="Calibri" w:hAnsi="Calibri"/>
                      <w:color w:val="000000"/>
                      <w:sz w:val="18"/>
                    </w:rPr>
                    <w:t>PRMB</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11C38321" w14:textId="4C3EF290" w:rsidR="00AE72DB" w:rsidRDefault="00AE72DB" w:rsidP="00A77F13">
                  <w:pPr>
                    <w:rPr>
                      <w:rFonts w:ascii="Calibri" w:hAnsi="Calibri"/>
                      <w:color w:val="000000"/>
                      <w:sz w:val="18"/>
                    </w:rPr>
                  </w:pPr>
                  <w:r>
                    <w:rPr>
                      <w:rFonts w:ascii="Calibri" w:hAnsi="Calibri"/>
                      <w:color w:val="000000"/>
                      <w:sz w:val="18"/>
                    </w:rPr>
                    <w:t>País de Renta Media Baja</w:t>
                  </w:r>
                </w:p>
              </w:tc>
            </w:tr>
            <w:tr w:rsidR="00AE72DB" w:rsidRPr="00F4197B" w14:paraId="457C1982" w14:textId="77777777" w:rsidTr="008A23FB">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2A74FDC7" w14:textId="79F57FB2" w:rsidR="00AE72DB" w:rsidRDefault="00AE72DB" w:rsidP="00A77F13">
                  <w:pPr>
                    <w:rPr>
                      <w:rFonts w:ascii="Calibri" w:hAnsi="Calibri"/>
                      <w:color w:val="000000"/>
                      <w:sz w:val="18"/>
                    </w:rPr>
                  </w:pPr>
                  <w:r>
                    <w:rPr>
                      <w:rFonts w:ascii="Calibri" w:hAnsi="Calibri"/>
                      <w:color w:val="000000"/>
                      <w:sz w:val="18"/>
                    </w:rPr>
                    <w:t>R</w:t>
                  </w:r>
                  <w:r>
                    <w:rPr>
                      <w:rFonts w:ascii="Calibri" w:hAnsi="Calibri"/>
                      <w:color w:val="000000"/>
                      <w:sz w:val="18"/>
                      <w:lang w:val="es-EC"/>
                    </w:rPr>
                    <w:t>E</w:t>
                  </w:r>
                  <w:r>
                    <w:rPr>
                      <w:rFonts w:ascii="Calibri" w:hAnsi="Calibri"/>
                      <w:color w:val="000000"/>
                      <w:sz w:val="18"/>
                    </w:rPr>
                    <w:t>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65388CBD" w14:textId="1B8121F8" w:rsidR="00AE72DB" w:rsidRDefault="00AE72DB" w:rsidP="00A77F13">
                  <w:pPr>
                    <w:rPr>
                      <w:rFonts w:ascii="Calibri" w:hAnsi="Calibri"/>
                      <w:color w:val="000000"/>
                      <w:sz w:val="18"/>
                    </w:rPr>
                  </w:pPr>
                  <w:r>
                    <w:rPr>
                      <w:rFonts w:ascii="Calibri" w:hAnsi="Calibri"/>
                      <w:color w:val="000000"/>
                      <w:sz w:val="18"/>
                    </w:rPr>
                    <w:t>Responsabilidad Ampliada del Productor</w:t>
                  </w:r>
                </w:p>
              </w:tc>
            </w:tr>
            <w:tr w:rsidR="00AE72DB" w:rsidRPr="00F4197B" w14:paraId="618230E9" w14:textId="77777777" w:rsidTr="008A23FB">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0AB4523C" w14:textId="73239E4C" w:rsidR="00AE72DB" w:rsidRDefault="00AE72DB" w:rsidP="00A77F13">
                  <w:pPr>
                    <w:rPr>
                      <w:rFonts w:ascii="Calibri" w:hAnsi="Calibri"/>
                      <w:color w:val="000000"/>
                      <w:sz w:val="18"/>
                    </w:rPr>
                  </w:pPr>
                  <w:r>
                    <w:rPr>
                      <w:rFonts w:ascii="Calibri" w:hAnsi="Calibri"/>
                      <w:color w:val="000000"/>
                      <w:sz w:val="18"/>
                    </w:rPr>
                    <w:t>SAICM</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42C382EA" w14:textId="26D29CD3" w:rsidR="00AE72DB" w:rsidRDefault="00AE72DB" w:rsidP="00A77F13">
                  <w:pPr>
                    <w:rPr>
                      <w:rFonts w:ascii="Calibri" w:hAnsi="Calibri"/>
                      <w:color w:val="000000"/>
                      <w:sz w:val="18"/>
                    </w:rPr>
                  </w:pPr>
                  <w:r>
                    <w:rPr>
                      <w:rFonts w:ascii="Calibri" w:hAnsi="Calibri"/>
                      <w:color w:val="000000"/>
                      <w:sz w:val="18"/>
                    </w:rPr>
                    <w:t>Enfoque Estratégico de la Gestión Internacional de Sustancias Químicas (Strategic Approach to International Chemicals Management)</w:t>
                  </w:r>
                </w:p>
              </w:tc>
            </w:tr>
            <w:tr w:rsidR="00AE72DB" w:rsidRPr="00F4197B" w14:paraId="5EAB30F5"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8668938" w14:textId="6F15F929" w:rsidR="00AE72DB" w:rsidRPr="00F4197B" w:rsidRDefault="00AE72DB" w:rsidP="00A77F13">
                  <w:pPr>
                    <w:rPr>
                      <w:rFonts w:ascii="Calibri" w:hAnsi="Calibri" w:cs="Calibri"/>
                      <w:color w:val="000000"/>
                      <w:sz w:val="18"/>
                      <w:szCs w:val="18"/>
                    </w:rPr>
                  </w:pPr>
                  <w:r>
                    <w:rPr>
                      <w:rFonts w:ascii="Calibri" w:hAnsi="Calibri"/>
                      <w:color w:val="000000"/>
                      <w:sz w:val="18"/>
                    </w:rPr>
                    <w:t>SENAE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20AB1757" w14:textId="7EE95639" w:rsidR="00AE72DB" w:rsidRPr="00F4197B" w:rsidRDefault="00AE72DB" w:rsidP="00A77F13">
                  <w:pPr>
                    <w:rPr>
                      <w:rFonts w:ascii="Calibri" w:hAnsi="Calibri" w:cs="Calibri"/>
                      <w:color w:val="000000"/>
                      <w:sz w:val="18"/>
                      <w:szCs w:val="18"/>
                    </w:rPr>
                  </w:pPr>
                  <w:r>
                    <w:rPr>
                      <w:rFonts w:ascii="Calibri" w:hAnsi="Calibri"/>
                      <w:color w:val="000000"/>
                      <w:sz w:val="18"/>
                    </w:rPr>
                    <w:t xml:space="preserve">Servicio Nacional de Aduanas de Ecuador </w:t>
                  </w:r>
                </w:p>
              </w:tc>
            </w:tr>
            <w:tr w:rsidR="00AE72DB" w:rsidRPr="00F4197B" w14:paraId="022525B6"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20C94110" w14:textId="39D23191" w:rsidR="00AE72DB" w:rsidRDefault="00AE72DB" w:rsidP="00A77F13">
                  <w:pPr>
                    <w:rPr>
                      <w:rFonts w:ascii="Calibri" w:hAnsi="Calibri"/>
                      <w:color w:val="000000"/>
                      <w:sz w:val="18"/>
                    </w:rPr>
                  </w:pPr>
                  <w:r>
                    <w:rPr>
                      <w:rFonts w:ascii="Calibri" w:hAnsi="Calibri"/>
                      <w:color w:val="000000"/>
                      <w:sz w:val="18"/>
                    </w:rPr>
                    <w:t>SEPS</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63D1C951" w14:textId="387C9D8E" w:rsidR="00AE72DB" w:rsidRDefault="00AE72DB" w:rsidP="00A77F13">
                  <w:pPr>
                    <w:rPr>
                      <w:rFonts w:ascii="Calibri" w:hAnsi="Calibri"/>
                      <w:color w:val="000000"/>
                      <w:sz w:val="18"/>
                    </w:rPr>
                  </w:pPr>
                  <w:r>
                    <w:rPr>
                      <w:rFonts w:ascii="Calibri" w:hAnsi="Calibri"/>
                      <w:color w:val="000000"/>
                      <w:sz w:val="18"/>
                    </w:rPr>
                    <w:t>Superintendencia de Economía Popular y Solidaria</w:t>
                  </w:r>
                </w:p>
              </w:tc>
            </w:tr>
            <w:tr w:rsidR="00AE72DB" w:rsidRPr="00F4197B" w14:paraId="17EA10F8"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64D44FDA" w14:textId="0043F626" w:rsidR="00AE72DB" w:rsidRDefault="00AE72DB" w:rsidP="00A77F13">
                  <w:pPr>
                    <w:rPr>
                      <w:rFonts w:ascii="Calibri" w:hAnsi="Calibri"/>
                      <w:color w:val="000000"/>
                      <w:sz w:val="18"/>
                    </w:rPr>
                  </w:pPr>
                  <w:r>
                    <w:rPr>
                      <w:rFonts w:ascii="Calibri" w:hAnsi="Calibri"/>
                      <w:color w:val="000000"/>
                      <w:sz w:val="18"/>
                    </w:rPr>
                    <w:t>SERCOP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40084273" w14:textId="19428160" w:rsidR="00AE72DB" w:rsidRDefault="00AE72DB" w:rsidP="00A77F13">
                  <w:pPr>
                    <w:rPr>
                      <w:rFonts w:ascii="Calibri" w:hAnsi="Calibri"/>
                      <w:color w:val="000000"/>
                      <w:sz w:val="18"/>
                    </w:rPr>
                  </w:pPr>
                  <w:r>
                    <w:rPr>
                      <w:rFonts w:ascii="Calibri" w:hAnsi="Calibri"/>
                      <w:color w:val="000000"/>
                      <w:sz w:val="18"/>
                    </w:rPr>
                    <w:t xml:space="preserve">Secretaría de Contratación Pública </w:t>
                  </w:r>
                </w:p>
              </w:tc>
            </w:tr>
            <w:tr w:rsidR="00AE72DB" w:rsidRPr="00F4197B" w14:paraId="508B7583"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70BFB274" w14:textId="6B345A07" w:rsidR="00AE72DB" w:rsidRDefault="00AE72DB" w:rsidP="00A77F13">
                  <w:pPr>
                    <w:rPr>
                      <w:rFonts w:ascii="Calibri" w:hAnsi="Calibri"/>
                      <w:color w:val="000000"/>
                      <w:sz w:val="18"/>
                    </w:rPr>
                  </w:pPr>
                  <w:r>
                    <w:rPr>
                      <w:rFonts w:ascii="Calibri" w:hAnsi="Calibri"/>
                      <w:color w:val="000000"/>
                      <w:sz w:val="18"/>
                    </w:rPr>
                    <w:t>SFN</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052DFE8F" w14:textId="526EBB99" w:rsidR="00AE72DB" w:rsidRDefault="00AE72DB" w:rsidP="00A77F13">
                  <w:pPr>
                    <w:rPr>
                      <w:rFonts w:ascii="Calibri" w:hAnsi="Calibri"/>
                      <w:color w:val="000000"/>
                      <w:sz w:val="18"/>
                    </w:rPr>
                  </w:pPr>
                  <w:r>
                    <w:rPr>
                      <w:rFonts w:ascii="Calibri" w:hAnsi="Calibri"/>
                      <w:color w:val="000000"/>
                      <w:sz w:val="18"/>
                    </w:rPr>
                    <w:t xml:space="preserve">Sistema Financiero Nacional </w:t>
                  </w:r>
                </w:p>
              </w:tc>
            </w:tr>
            <w:tr w:rsidR="00AE72DB" w:rsidRPr="00F4197B" w14:paraId="39EB675A"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6BD2F2DB" w14:textId="4591D44D" w:rsidR="00AE72DB" w:rsidRDefault="00AE72DB" w:rsidP="00A77F13">
                  <w:pPr>
                    <w:rPr>
                      <w:rFonts w:ascii="Calibri" w:hAnsi="Calibri"/>
                      <w:color w:val="000000"/>
                      <w:sz w:val="18"/>
                    </w:rPr>
                  </w:pPr>
                  <w:r>
                    <w:rPr>
                      <w:rFonts w:ascii="Calibri" w:hAnsi="Calibri"/>
                      <w:color w:val="000000"/>
                      <w:sz w:val="18"/>
                    </w:rPr>
                    <w:t>SIPA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16BBB3BF" w14:textId="07C5DC57" w:rsidR="00AE72DB" w:rsidRDefault="00AE72DB" w:rsidP="00A77F13">
                  <w:pPr>
                    <w:rPr>
                      <w:rFonts w:ascii="Calibri" w:hAnsi="Calibri"/>
                      <w:color w:val="000000"/>
                      <w:sz w:val="18"/>
                    </w:rPr>
                  </w:pPr>
                  <w:r>
                    <w:rPr>
                      <w:rFonts w:ascii="Calibri" w:hAnsi="Calibri"/>
                      <w:color w:val="000000"/>
                      <w:sz w:val="18"/>
                    </w:rPr>
                    <w:t>Sistema de Información Pública Agropecuaria</w:t>
                  </w:r>
                </w:p>
              </w:tc>
            </w:tr>
            <w:tr w:rsidR="00AE72DB" w:rsidRPr="00F4197B" w14:paraId="028BACEF"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5FB216CE" w14:textId="17D89552" w:rsidR="00AE72DB" w:rsidRDefault="00AE72DB" w:rsidP="00A77F13">
                  <w:pPr>
                    <w:rPr>
                      <w:rFonts w:ascii="Calibri" w:hAnsi="Calibri"/>
                      <w:color w:val="000000"/>
                      <w:sz w:val="18"/>
                    </w:rPr>
                  </w:pPr>
                  <w:r>
                    <w:rPr>
                      <w:rFonts w:ascii="Calibri" w:hAnsi="Calibri"/>
                      <w:color w:val="000000"/>
                      <w:sz w:val="18"/>
                    </w:rPr>
                    <w:t>SNEM</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4E21D23F" w14:textId="73DADBF5" w:rsidR="00AE72DB" w:rsidRDefault="00AE72DB" w:rsidP="00A77F13">
                  <w:pPr>
                    <w:rPr>
                      <w:rFonts w:ascii="Calibri" w:hAnsi="Calibri"/>
                      <w:color w:val="000000"/>
                      <w:sz w:val="18"/>
                    </w:rPr>
                  </w:pPr>
                  <w:r>
                    <w:rPr>
                      <w:rFonts w:ascii="Calibri" w:hAnsi="Calibri"/>
                      <w:color w:val="000000"/>
                      <w:sz w:val="18"/>
                    </w:rPr>
                    <w:t>Servicio Nacional para la Erradicación de la Malaria</w:t>
                  </w:r>
                </w:p>
              </w:tc>
            </w:tr>
            <w:tr w:rsidR="00AE72DB" w:rsidRPr="00F4197B" w14:paraId="2FB2597F"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40495A30" w14:textId="4AFBC636" w:rsidR="00AE72DB" w:rsidRDefault="00AE72DB" w:rsidP="00A77F13">
                  <w:pPr>
                    <w:rPr>
                      <w:rFonts w:ascii="Calibri" w:hAnsi="Calibri"/>
                      <w:color w:val="000000"/>
                      <w:sz w:val="18"/>
                    </w:rPr>
                  </w:pPr>
                  <w:r>
                    <w:rPr>
                      <w:rFonts w:ascii="Calibri" w:hAnsi="Calibri"/>
                      <w:color w:val="000000"/>
                      <w:sz w:val="18"/>
                    </w:rPr>
                    <w:t>SPG</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915AD9E" w14:textId="07230B47" w:rsidR="00AE72DB" w:rsidRDefault="00AE72DB" w:rsidP="00A77F13">
                  <w:pPr>
                    <w:rPr>
                      <w:rFonts w:ascii="Calibri" w:hAnsi="Calibri"/>
                      <w:color w:val="000000"/>
                      <w:sz w:val="18"/>
                    </w:rPr>
                  </w:pPr>
                  <w:r>
                    <w:rPr>
                      <w:rFonts w:ascii="Calibri" w:hAnsi="Calibri"/>
                      <w:color w:val="000000"/>
                      <w:sz w:val="18"/>
                    </w:rPr>
                    <w:t xml:space="preserve">Sistemas Participativos de Garantía </w:t>
                  </w:r>
                </w:p>
              </w:tc>
            </w:tr>
            <w:tr w:rsidR="00AE72DB" w:rsidRPr="00F4197B" w14:paraId="769C1F53"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882045D" w14:textId="1660DAC9" w:rsidR="00AE72DB" w:rsidRPr="00F4197B" w:rsidRDefault="00AE72DB" w:rsidP="00A77F13">
                  <w:pPr>
                    <w:rPr>
                      <w:rFonts w:ascii="Calibri" w:hAnsi="Calibri" w:cs="Calibri"/>
                      <w:color w:val="000000"/>
                      <w:sz w:val="18"/>
                      <w:szCs w:val="18"/>
                    </w:rPr>
                  </w:pPr>
                  <w:r>
                    <w:rPr>
                      <w:rFonts w:ascii="Calibri" w:hAnsi="Calibri"/>
                      <w:color w:val="000000"/>
                      <w:sz w:val="18"/>
                    </w:rPr>
                    <w:t>SSC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EEE4A10" w14:textId="11834386" w:rsidR="00AE72DB" w:rsidRPr="00F4197B" w:rsidRDefault="00AE72DB" w:rsidP="00A77F13">
                  <w:pPr>
                    <w:rPr>
                      <w:rFonts w:ascii="Calibri" w:hAnsi="Calibri" w:cs="Calibri"/>
                      <w:color w:val="000000"/>
                      <w:sz w:val="18"/>
                      <w:szCs w:val="18"/>
                    </w:rPr>
                  </w:pPr>
                  <w:r>
                    <w:rPr>
                      <w:rFonts w:ascii="Calibri" w:hAnsi="Calibri"/>
                      <w:color w:val="000000"/>
                      <w:sz w:val="18"/>
                    </w:rPr>
                    <w:t xml:space="preserve">Seguro Social Campesino </w:t>
                  </w:r>
                </w:p>
              </w:tc>
            </w:tr>
            <w:tr w:rsidR="00AE72DB" w:rsidRPr="00F4197B" w14:paraId="4BEE8572"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5E6AB959" w14:textId="7865FC62" w:rsidR="00AE72DB" w:rsidRPr="00F4197B" w:rsidRDefault="00AE72DB" w:rsidP="00A77F13">
                  <w:pPr>
                    <w:rPr>
                      <w:rFonts w:ascii="Calibri" w:hAnsi="Calibri" w:cs="Calibri"/>
                      <w:color w:val="000000"/>
                      <w:sz w:val="18"/>
                      <w:szCs w:val="18"/>
                    </w:rPr>
                  </w:pPr>
                  <w:r>
                    <w:rPr>
                      <w:rFonts w:ascii="Calibri" w:hAnsi="Calibri"/>
                      <w:color w:val="000000"/>
                      <w:sz w:val="18"/>
                    </w:rPr>
                    <w:t>TdC</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F557176" w14:textId="651FB8EE" w:rsidR="00AE72DB" w:rsidRPr="00F4197B" w:rsidRDefault="00AE72DB" w:rsidP="00A77F13">
                  <w:pPr>
                    <w:rPr>
                      <w:rFonts w:ascii="Calibri" w:hAnsi="Calibri" w:cs="Calibri"/>
                      <w:color w:val="000000"/>
                      <w:sz w:val="18"/>
                      <w:szCs w:val="18"/>
                    </w:rPr>
                  </w:pPr>
                  <w:r>
                    <w:rPr>
                      <w:rFonts w:ascii="Calibri" w:hAnsi="Calibri"/>
                      <w:color w:val="000000"/>
                      <w:sz w:val="18"/>
                    </w:rPr>
                    <w:t>Teoría del Cambio</w:t>
                  </w:r>
                </w:p>
              </w:tc>
            </w:tr>
            <w:tr w:rsidR="00AE72DB" w:rsidRPr="008540E9" w14:paraId="4B4A9422"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18824E7E" w14:textId="495D38A4" w:rsidR="00AE72DB" w:rsidRPr="00F4197B" w:rsidRDefault="00AE72DB" w:rsidP="00A77F13">
                  <w:pPr>
                    <w:rPr>
                      <w:rFonts w:ascii="Calibri" w:hAnsi="Calibri" w:cs="Calibri"/>
                      <w:color w:val="000000"/>
                      <w:sz w:val="18"/>
                      <w:szCs w:val="18"/>
                    </w:rPr>
                  </w:pPr>
                  <w:r>
                    <w:rPr>
                      <w:rFonts w:ascii="Calibri" w:hAnsi="Calibri"/>
                      <w:color w:val="000000"/>
                      <w:sz w:val="18"/>
                    </w:rPr>
                    <w:t>TE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5A09F6B6" w14:textId="3D7488A0" w:rsidR="00AE72DB" w:rsidRPr="00F4197B" w:rsidRDefault="00AE72DB" w:rsidP="00A77F13">
                  <w:pPr>
                    <w:rPr>
                      <w:rFonts w:ascii="Calibri" w:hAnsi="Calibri" w:cs="Calibri"/>
                      <w:color w:val="000000"/>
                      <w:sz w:val="18"/>
                      <w:szCs w:val="18"/>
                    </w:rPr>
                  </w:pPr>
                  <w:r>
                    <w:rPr>
                      <w:rFonts w:ascii="Calibri" w:hAnsi="Calibri"/>
                      <w:color w:val="000000"/>
                      <w:sz w:val="18"/>
                    </w:rPr>
                    <w:t>Evaluación Final (Terminal Evaluation)</w:t>
                  </w:r>
                </w:p>
              </w:tc>
            </w:tr>
            <w:tr w:rsidR="00AE72DB" w:rsidRPr="00F4197B" w14:paraId="1E34D568"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721CB66" w14:textId="2FB44570" w:rsidR="00AE72DB" w:rsidRPr="00F4197B" w:rsidRDefault="00AE72DB" w:rsidP="00A77F13">
                  <w:pPr>
                    <w:rPr>
                      <w:rFonts w:ascii="Calibri" w:hAnsi="Calibri" w:cs="Calibri"/>
                      <w:color w:val="000000"/>
                      <w:sz w:val="18"/>
                      <w:szCs w:val="18"/>
                    </w:rPr>
                  </w:pPr>
                  <w:r>
                    <w:rPr>
                      <w:rFonts w:ascii="Calibri" w:hAnsi="Calibri"/>
                      <w:color w:val="000000"/>
                      <w:sz w:val="18"/>
                    </w:rPr>
                    <w:t>UCP</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3684C2E0" w14:textId="608BDDCD" w:rsidR="00AE72DB" w:rsidRPr="00F4197B" w:rsidRDefault="00AE72DB" w:rsidP="00A77F13">
                  <w:pPr>
                    <w:rPr>
                      <w:rFonts w:ascii="Calibri" w:hAnsi="Calibri" w:cs="Calibri"/>
                      <w:color w:val="000000"/>
                      <w:sz w:val="18"/>
                      <w:szCs w:val="18"/>
                    </w:rPr>
                  </w:pPr>
                  <w:r>
                    <w:rPr>
                      <w:rFonts w:ascii="Calibri" w:hAnsi="Calibri"/>
                      <w:color w:val="000000"/>
                      <w:sz w:val="18"/>
                    </w:rPr>
                    <w:t>Unidad de Coordinación de Proyectos</w:t>
                  </w:r>
                </w:p>
              </w:tc>
            </w:tr>
            <w:tr w:rsidR="00AE72DB" w:rsidRPr="00F4197B" w14:paraId="08B7930B"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6BEBBBF0" w14:textId="66AEC56B" w:rsidR="00AE72DB" w:rsidRPr="00F15011" w:rsidRDefault="00AE72DB" w:rsidP="00A77F13">
                  <w:pPr>
                    <w:rPr>
                      <w:rFonts w:ascii="Calibri" w:hAnsi="Calibri" w:cs="Calibri"/>
                      <w:color w:val="000000"/>
                      <w:sz w:val="18"/>
                      <w:szCs w:val="18"/>
                      <w:lang w:val="es-EC"/>
                    </w:rPr>
                  </w:pPr>
                  <w:r>
                    <w:rPr>
                      <w:rFonts w:ascii="Calibri" w:hAnsi="Calibri"/>
                      <w:color w:val="000000"/>
                      <w:sz w:val="18"/>
                    </w:rPr>
                    <w:t>UE</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4D95D921" w14:textId="6470AA06" w:rsidR="00AE72DB" w:rsidRPr="00F4197B" w:rsidRDefault="00AE72DB" w:rsidP="00A77F13">
                  <w:pPr>
                    <w:rPr>
                      <w:rFonts w:ascii="Calibri" w:hAnsi="Calibri" w:cs="Calibri"/>
                      <w:color w:val="000000"/>
                      <w:sz w:val="18"/>
                      <w:szCs w:val="18"/>
                    </w:rPr>
                  </w:pPr>
                  <w:r>
                    <w:rPr>
                      <w:rFonts w:ascii="Calibri" w:hAnsi="Calibri"/>
                      <w:color w:val="000000"/>
                      <w:sz w:val="18"/>
                    </w:rPr>
                    <w:t>Unión Europea</w:t>
                  </w:r>
                </w:p>
              </w:tc>
            </w:tr>
            <w:tr w:rsidR="00AE72DB" w:rsidRPr="00F4197B" w14:paraId="174B5A6F"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0590CE7D" w14:textId="5A6F80E2" w:rsidR="00AE72DB" w:rsidRPr="00F4197B" w:rsidRDefault="00AE72DB" w:rsidP="00A77F13">
                  <w:pPr>
                    <w:rPr>
                      <w:rFonts w:ascii="Calibri" w:hAnsi="Calibri" w:cs="Calibri"/>
                      <w:color w:val="000000"/>
                      <w:sz w:val="18"/>
                      <w:szCs w:val="18"/>
                    </w:rPr>
                  </w:pPr>
                  <w:r>
                    <w:rPr>
                      <w:rFonts w:ascii="Calibri" w:hAnsi="Calibri"/>
                      <w:color w:val="000000"/>
                      <w:sz w:val="18"/>
                    </w:rPr>
                    <w:t>UPA</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1F4E3B72" w14:textId="3E675E53" w:rsidR="00AE72DB" w:rsidRPr="00F4197B" w:rsidRDefault="00AE72DB" w:rsidP="00A77F13">
                  <w:pPr>
                    <w:rPr>
                      <w:rFonts w:ascii="Calibri" w:hAnsi="Calibri" w:cs="Calibri"/>
                      <w:color w:val="000000"/>
                      <w:sz w:val="18"/>
                      <w:szCs w:val="18"/>
                    </w:rPr>
                  </w:pPr>
                  <w:r>
                    <w:rPr>
                      <w:rFonts w:ascii="Calibri" w:hAnsi="Calibri"/>
                      <w:color w:val="000000"/>
                      <w:sz w:val="18"/>
                    </w:rPr>
                    <w:t>Unidades de Producción Agrícola</w:t>
                  </w:r>
                </w:p>
              </w:tc>
            </w:tr>
            <w:tr w:rsidR="00AE72DB" w:rsidRPr="008540E9" w14:paraId="3FA7E087"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40D91BE2" w14:textId="266284F7" w:rsidR="00AE72DB" w:rsidRPr="00F4197B" w:rsidRDefault="00AE72DB" w:rsidP="00A77F13">
                  <w:pPr>
                    <w:rPr>
                      <w:rFonts w:ascii="Calibri" w:hAnsi="Calibri" w:cs="Calibri"/>
                      <w:color w:val="000000"/>
                      <w:sz w:val="18"/>
                      <w:szCs w:val="18"/>
                    </w:rPr>
                  </w:pPr>
                  <w:r>
                    <w:rPr>
                      <w:rFonts w:ascii="Calibri" w:hAnsi="Calibri"/>
                      <w:color w:val="000000"/>
                      <w:sz w:val="18"/>
                    </w:rPr>
                    <w:t>VAB</w:t>
                  </w: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640F727C" w14:textId="3D93C2F2" w:rsidR="00AE72DB" w:rsidRPr="00F4197B" w:rsidRDefault="00AE72DB" w:rsidP="00A77F13">
                  <w:pPr>
                    <w:rPr>
                      <w:rFonts w:ascii="Calibri" w:hAnsi="Calibri" w:cs="Calibri"/>
                      <w:color w:val="000000"/>
                      <w:sz w:val="18"/>
                      <w:szCs w:val="18"/>
                    </w:rPr>
                  </w:pPr>
                  <w:r>
                    <w:rPr>
                      <w:rFonts w:ascii="Calibri" w:hAnsi="Calibri"/>
                      <w:color w:val="000000"/>
                      <w:sz w:val="18"/>
                    </w:rPr>
                    <w:t>Valor Agregado Bruto</w:t>
                  </w:r>
                </w:p>
              </w:tc>
            </w:tr>
            <w:tr w:rsidR="00AE72DB" w:rsidRPr="008540E9" w14:paraId="328DE8F8"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36C80CA5" w14:textId="68AA8B3D" w:rsidR="00AE72DB" w:rsidRDefault="00AE72DB" w:rsidP="00A77F13">
                  <w:pPr>
                    <w:rPr>
                      <w:rFonts w:ascii="Calibri" w:hAnsi="Calibri"/>
                      <w:color w:val="000000"/>
                      <w:sz w:val="18"/>
                    </w:rPr>
                  </w:pP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3399E90A" w14:textId="71AC8E61" w:rsidR="00AE72DB" w:rsidRDefault="00AE72DB" w:rsidP="00A77F13">
                  <w:pPr>
                    <w:rPr>
                      <w:rFonts w:ascii="Calibri" w:hAnsi="Calibri"/>
                      <w:color w:val="000000"/>
                      <w:sz w:val="18"/>
                    </w:rPr>
                  </w:pPr>
                </w:p>
              </w:tc>
            </w:tr>
            <w:tr w:rsidR="00AE72DB" w:rsidRPr="008540E9" w14:paraId="194D5A16"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10F9CE0F" w14:textId="6D7F2338" w:rsidR="00AE72DB" w:rsidRDefault="00AE72DB" w:rsidP="00A77F13">
                  <w:pPr>
                    <w:rPr>
                      <w:rFonts w:ascii="Calibri" w:hAnsi="Calibri"/>
                      <w:color w:val="000000"/>
                      <w:sz w:val="18"/>
                    </w:rPr>
                  </w:pP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A62BF2F" w14:textId="41771F5E" w:rsidR="00AE72DB" w:rsidRDefault="00AE72DB" w:rsidP="00A77F13">
                  <w:pPr>
                    <w:rPr>
                      <w:rFonts w:ascii="Calibri" w:hAnsi="Calibri"/>
                      <w:color w:val="000000"/>
                      <w:sz w:val="18"/>
                    </w:rPr>
                  </w:pPr>
                </w:p>
              </w:tc>
            </w:tr>
            <w:tr w:rsidR="00AE72DB" w:rsidRPr="00F4197B" w14:paraId="6D66C4B7" w14:textId="77777777" w:rsidTr="00A77F13">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hideMark/>
                </w:tcPr>
                <w:p w14:paraId="265D80F3" w14:textId="70851105" w:rsidR="00AE72DB" w:rsidRPr="00F4197B" w:rsidRDefault="00AE72DB" w:rsidP="00A77F13">
                  <w:pPr>
                    <w:rPr>
                      <w:rFonts w:ascii="Calibri" w:hAnsi="Calibri" w:cs="Calibri"/>
                      <w:color w:val="000000"/>
                      <w:sz w:val="18"/>
                      <w:szCs w:val="18"/>
                    </w:rPr>
                  </w:pPr>
                </w:p>
              </w:tc>
              <w:tc>
                <w:tcPr>
                  <w:tcW w:w="8011" w:type="dxa"/>
                  <w:tcBorders>
                    <w:top w:val="nil"/>
                    <w:left w:val="nil"/>
                    <w:bottom w:val="nil"/>
                    <w:right w:val="nil"/>
                  </w:tcBorders>
                  <w:shd w:val="clear" w:color="auto" w:fill="auto"/>
                  <w:noWrap/>
                  <w:tcMar>
                    <w:top w:w="15" w:type="dxa"/>
                    <w:left w:w="15" w:type="dxa"/>
                    <w:bottom w:w="0" w:type="dxa"/>
                    <w:right w:w="15" w:type="dxa"/>
                  </w:tcMar>
                  <w:vAlign w:val="bottom"/>
                  <w:hideMark/>
                </w:tcPr>
                <w:p w14:paraId="71230B3E" w14:textId="77777777" w:rsidR="00AE72DB" w:rsidRDefault="00AE72DB" w:rsidP="00A77F13">
                  <w:pPr>
                    <w:rPr>
                      <w:rFonts w:ascii="Calibri" w:hAnsi="Calibri" w:cs="Calibri"/>
                      <w:color w:val="000000"/>
                      <w:sz w:val="18"/>
                      <w:szCs w:val="18"/>
                    </w:rPr>
                  </w:pPr>
                </w:p>
                <w:p w14:paraId="6C289EF3" w14:textId="57FBC78B" w:rsidR="00EE3FD4" w:rsidRPr="00F4197B" w:rsidRDefault="00EE3FD4" w:rsidP="00A77F13">
                  <w:pPr>
                    <w:rPr>
                      <w:rFonts w:ascii="Calibri" w:hAnsi="Calibri" w:cs="Calibri"/>
                      <w:color w:val="000000"/>
                      <w:sz w:val="18"/>
                      <w:szCs w:val="18"/>
                    </w:rPr>
                  </w:pPr>
                </w:p>
              </w:tc>
            </w:tr>
            <w:tr w:rsidR="00EE3FD4" w:rsidRPr="00F4197B" w14:paraId="46FEDB5A" w14:textId="77777777" w:rsidTr="007A2B75">
              <w:trPr>
                <w:trHeight w:val="240"/>
              </w:trPr>
              <w:tc>
                <w:tcPr>
                  <w:tcW w:w="1199" w:type="dxa"/>
                  <w:tcBorders>
                    <w:top w:val="nil"/>
                    <w:left w:val="nil"/>
                    <w:bottom w:val="nil"/>
                    <w:right w:val="nil"/>
                  </w:tcBorders>
                  <w:shd w:val="clear" w:color="auto" w:fill="auto"/>
                  <w:noWrap/>
                  <w:tcMar>
                    <w:top w:w="15" w:type="dxa"/>
                    <w:left w:w="15" w:type="dxa"/>
                    <w:bottom w:w="0" w:type="dxa"/>
                    <w:right w:w="15" w:type="dxa"/>
                  </w:tcMar>
                  <w:vAlign w:val="bottom"/>
                </w:tcPr>
                <w:p w14:paraId="7B1E99C9" w14:textId="51F95B98" w:rsidR="00EE3FD4" w:rsidRPr="00F4197B" w:rsidRDefault="00EE3FD4" w:rsidP="00A77F13">
                  <w:pPr>
                    <w:rPr>
                      <w:rFonts w:ascii="Calibri" w:hAnsi="Calibri" w:cs="Calibri"/>
                      <w:color w:val="000000"/>
                      <w:sz w:val="18"/>
                      <w:szCs w:val="18"/>
                    </w:rPr>
                  </w:pPr>
                </w:p>
              </w:tc>
              <w:tc>
                <w:tcPr>
                  <w:tcW w:w="8011" w:type="dxa"/>
                  <w:tcBorders>
                    <w:top w:val="nil"/>
                    <w:left w:val="nil"/>
                    <w:bottom w:val="nil"/>
                    <w:right w:val="nil"/>
                  </w:tcBorders>
                  <w:shd w:val="clear" w:color="auto" w:fill="auto"/>
                  <w:noWrap/>
                  <w:tcMar>
                    <w:top w:w="15" w:type="dxa"/>
                    <w:left w:w="15" w:type="dxa"/>
                    <w:bottom w:w="0" w:type="dxa"/>
                    <w:right w:w="15" w:type="dxa"/>
                  </w:tcMar>
                  <w:vAlign w:val="bottom"/>
                </w:tcPr>
                <w:p w14:paraId="5FFEA4A3" w14:textId="663BA86A" w:rsidR="00EE3FD4" w:rsidRPr="00F4197B" w:rsidRDefault="00EE3FD4" w:rsidP="00A77F13">
                  <w:pPr>
                    <w:rPr>
                      <w:rFonts w:ascii="Calibri" w:hAnsi="Calibri" w:cs="Calibri"/>
                      <w:color w:val="000000"/>
                      <w:sz w:val="18"/>
                      <w:szCs w:val="18"/>
                    </w:rPr>
                  </w:pPr>
                </w:p>
              </w:tc>
            </w:tr>
          </w:tbl>
          <w:p w14:paraId="4F3D9DC1" w14:textId="19B1AB79" w:rsidR="00A77F13" w:rsidRPr="00F4197B" w:rsidRDefault="00A77F13" w:rsidP="00966EF0">
            <w:pPr>
              <w:spacing w:after="60"/>
              <w:jc w:val="both"/>
              <w:rPr>
                <w:rFonts w:ascii="Calibri" w:eastAsia="SimSun" w:hAnsi="Calibri" w:cs="Calibri"/>
                <w:sz w:val="18"/>
                <w:szCs w:val="18"/>
                <w:highlight w:val="yellow"/>
              </w:rPr>
            </w:pPr>
          </w:p>
        </w:tc>
      </w:tr>
    </w:tbl>
    <w:p w14:paraId="169A4D66" w14:textId="77777777" w:rsidR="00966EF0" w:rsidRPr="00A562E4" w:rsidRDefault="00966EF0" w:rsidP="00966EF0">
      <w:pPr>
        <w:keepNext/>
        <w:pBdr>
          <w:top w:val="single" w:sz="4" w:space="1" w:color="auto"/>
        </w:pBdr>
        <w:suppressAutoHyphens/>
        <w:spacing w:line="271" w:lineRule="auto"/>
        <w:ind w:left="720" w:hanging="720"/>
        <w:outlineLvl w:val="0"/>
        <w:rPr>
          <w:rFonts w:ascii="Calibri" w:eastAsia="SimSun" w:hAnsi="Calibri"/>
          <w:b/>
          <w:smallCaps/>
          <w:spacing w:val="-2"/>
          <w:sz w:val="28"/>
          <w:szCs w:val="20"/>
        </w:rPr>
      </w:pPr>
      <w:bookmarkStart w:id="5" w:name="_Toc407785517"/>
    </w:p>
    <w:p w14:paraId="45C8DFA5" w14:textId="77777777" w:rsidR="00550358" w:rsidRDefault="00550358">
      <w:pPr>
        <w:spacing w:after="160" w:line="259" w:lineRule="auto"/>
        <w:rPr>
          <w:rFonts w:ascii="Calibri" w:eastAsia="SimSun" w:hAnsi="Calibri"/>
          <w:b/>
          <w:smallCaps/>
          <w:spacing w:val="-2"/>
          <w:sz w:val="28"/>
          <w:szCs w:val="20"/>
        </w:rPr>
      </w:pPr>
      <w:r>
        <w:br w:type="page"/>
      </w:r>
    </w:p>
    <w:p w14:paraId="2D1866CD" w14:textId="654FE9CA" w:rsidR="00F075E8" w:rsidRPr="00772A5C" w:rsidRDefault="00705641" w:rsidP="00772A5C">
      <w:pPr>
        <w:keepNext/>
        <w:pBdr>
          <w:top w:val="single" w:sz="4" w:space="1" w:color="auto"/>
        </w:pBdr>
        <w:tabs>
          <w:tab w:val="num" w:pos="720"/>
        </w:tabs>
        <w:suppressAutoHyphens/>
        <w:spacing w:line="271" w:lineRule="auto"/>
        <w:ind w:left="720" w:hanging="720"/>
        <w:outlineLvl w:val="0"/>
        <w:rPr>
          <w:rFonts w:ascii="Calibri" w:eastAsia="SimSun" w:hAnsi="Calibri"/>
          <w:b/>
          <w:smallCaps/>
          <w:spacing w:val="-2"/>
          <w:sz w:val="28"/>
          <w:szCs w:val="20"/>
        </w:rPr>
      </w:pPr>
      <w:bookmarkStart w:id="6" w:name="_Toc114650842"/>
      <w:bookmarkStart w:id="7" w:name="_Toc144822667"/>
      <w:r>
        <w:rPr>
          <w:rFonts w:ascii="Calibri" w:hAnsi="Calibri"/>
          <w:b/>
          <w:smallCaps/>
          <w:sz w:val="28"/>
        </w:rPr>
        <w:t>II. Reto de desarrollo</w:t>
      </w:r>
      <w:bookmarkEnd w:id="5"/>
      <w:bookmarkEnd w:id="6"/>
      <w:bookmarkEnd w:id="7"/>
      <w:r>
        <w:rPr>
          <w:rFonts w:ascii="Calibri" w:hAnsi="Calibri"/>
          <w:b/>
          <w:smallCaps/>
          <w:sz w:val="28"/>
        </w:rPr>
        <w:t xml:space="preserve"> </w:t>
      </w:r>
    </w:p>
    <w:p w14:paraId="085E642B" w14:textId="77777777" w:rsidR="00F075E8" w:rsidRPr="00A562E4" w:rsidRDefault="00F075E8" w:rsidP="00556665">
      <w:pPr>
        <w:spacing w:after="120"/>
        <w:jc w:val="both"/>
        <w:rPr>
          <w:rFonts w:eastAsia="Calibri"/>
          <w:sz w:val="20"/>
          <w:szCs w:val="20"/>
        </w:rPr>
      </w:pPr>
      <w:r>
        <w:rPr>
          <w:rFonts w:asciiTheme="minorHAnsi" w:hAnsiTheme="minorHAnsi"/>
          <w:sz w:val="20"/>
        </w:rPr>
        <w:t xml:space="preserve">La agricultura es un sector de desarrollo de importancia mundial que atrae grandes inversiones y flujos financieros de una gran variedad de instituciones. En términos generales, el objetivo de esta inversión es mejorar el sistema de producción agrícola para alimentar a una población creciente (seguridad alimentaria), facilitar a los productores el acceso a mercados valiosos (nacionales y extranjeros) y mejorar así los medios de subsistencia de los productores de alimentos a lo largo de toda la cadena de valor. Además, el apoyo al desarrollo también exige que se respeten los derechos humanos, la salud de trabajadores y consumidores y el medio ambiente en general en todas las fases del proceso. Sin embargo, sigue habiendo un problema en la coordinación de estos flujos financieros para garantizar el máximo impacto en términos de reducción de externalidades químicas y de residuos sobre el terreno. </w:t>
      </w:r>
    </w:p>
    <w:p w14:paraId="678C7F3F" w14:textId="682F444E" w:rsidR="009F4837" w:rsidRPr="00A562E4" w:rsidRDefault="00F075E8" w:rsidP="00556665">
      <w:pPr>
        <w:spacing w:after="120"/>
        <w:jc w:val="both"/>
        <w:rPr>
          <w:rFonts w:eastAsia="Calibri"/>
          <w:sz w:val="20"/>
          <w:szCs w:val="20"/>
        </w:rPr>
      </w:pPr>
      <w:r>
        <w:rPr>
          <w:rFonts w:asciiTheme="minorHAnsi" w:hAnsiTheme="minorHAnsi"/>
          <w:sz w:val="20"/>
        </w:rPr>
        <w:t>Por ello, el programa FARM busca catalizar un marco de inversión en el sector agrícola que también busque desintoxicar el sector eliminando el uso de los insumos más perjudiciales para los sistemas de producción de alimentos. El programa FARM reducirá así el impacto del uso de agroquímicos persistentes y plásticos agrícolas (agroplásticos) y de un solo uso a lo largo de la cadena de valor de la producción alimentaria</w:t>
      </w:r>
      <w:r w:rsidR="00EA3C1D">
        <w:rPr>
          <w:rFonts w:asciiTheme="minorHAnsi" w:hAnsiTheme="minorHAnsi"/>
          <w:sz w:val="20"/>
        </w:rPr>
        <w:t>, en el ecosistema global</w:t>
      </w:r>
      <w:r>
        <w:rPr>
          <w:rFonts w:asciiTheme="minorHAnsi" w:hAnsiTheme="minorHAnsi"/>
          <w:sz w:val="20"/>
        </w:rPr>
        <w:t xml:space="preserve">.  </w:t>
      </w:r>
    </w:p>
    <w:p w14:paraId="146CBD96" w14:textId="785C4E82" w:rsidR="00687095" w:rsidRPr="00A562E4" w:rsidRDefault="00687095" w:rsidP="00556665">
      <w:pPr>
        <w:spacing w:after="120"/>
        <w:jc w:val="both"/>
        <w:rPr>
          <w:rFonts w:asciiTheme="minorHAnsi" w:eastAsia="Calibri" w:hAnsiTheme="minorHAnsi" w:cstheme="minorHAnsi"/>
          <w:color w:val="000000" w:themeColor="text1"/>
          <w:sz w:val="20"/>
          <w:szCs w:val="20"/>
        </w:rPr>
      </w:pPr>
      <w:r>
        <w:rPr>
          <w:rFonts w:asciiTheme="minorHAnsi" w:hAnsiTheme="minorHAnsi"/>
          <w:color w:val="000000" w:themeColor="text1"/>
          <w:sz w:val="20"/>
        </w:rPr>
        <w:t xml:space="preserve">El programa está alineado con la Estrategia y Orientaciones de Programación en la Esfera de Actividad de Productos Químicos y Residuos del FMAM-7. El programa apoyará la reducción y eliminación de los productos químicos más perjudiciales, principalmente asociados al Convenio de Estocolmo, y de los PAP abordados por el Enfoque Estratégico para la Gestión de Productos Químicos a Nivel Internacional (SAICM) y el Convenio de Rotterdam. El programa responde específicamente a la visión de la Estrategia FMAM-7 de un enfoque programático para abordar los productos agroquímicos, en una iniciativa de área focal totalmente integrada y alineada con las inversiones sectoriales, la política gubernamental en agricultura y el Programa de Impacto </w:t>
      </w:r>
      <w:r w:rsidR="00EA3C1D">
        <w:rPr>
          <w:rFonts w:asciiTheme="minorHAnsi" w:hAnsiTheme="minorHAnsi"/>
          <w:color w:val="000000" w:themeColor="text1"/>
          <w:sz w:val="20"/>
        </w:rPr>
        <w:t xml:space="preserve">sobre Sistemas Alimentarios (FOLUR) </w:t>
      </w:r>
      <w:r>
        <w:rPr>
          <w:rFonts w:asciiTheme="minorHAnsi" w:hAnsiTheme="minorHAnsi"/>
          <w:color w:val="000000" w:themeColor="text1"/>
          <w:sz w:val="20"/>
        </w:rPr>
        <w:t>del FMAM-7. El programa FARM aborda explícitamente los siguientes compromisos de la Estrategia FMAM-7:</w:t>
      </w:r>
    </w:p>
    <w:p w14:paraId="2AB1EECC" w14:textId="4AEA10FB" w:rsidR="00687095" w:rsidRPr="00687095" w:rsidRDefault="00687095">
      <w:pPr>
        <w:pStyle w:val="Prrafodelista"/>
        <w:numPr>
          <w:ilvl w:val="0"/>
          <w:numId w:val="20"/>
        </w:numPr>
        <w:spacing w:after="120"/>
        <w:contextualSpacing/>
        <w:jc w:val="both"/>
        <w:rPr>
          <w:rFonts w:asciiTheme="minorHAnsi" w:hAnsiTheme="minorHAnsi" w:cstheme="minorHAnsi"/>
          <w:sz w:val="20"/>
          <w:szCs w:val="20"/>
        </w:rPr>
      </w:pPr>
      <w:r>
        <w:rPr>
          <w:rFonts w:asciiTheme="minorHAnsi" w:hAnsiTheme="minorHAnsi"/>
          <w:sz w:val="20"/>
        </w:rPr>
        <w:t xml:space="preserve">Abordar el tema de productos químicos agrícolas incluidos los contaminantes orgánicos persistentes (COPs) en el Convenio de Estocolmo.  </w:t>
      </w:r>
    </w:p>
    <w:p w14:paraId="0722D0A5" w14:textId="77777777" w:rsidR="00687095" w:rsidRPr="00687095" w:rsidRDefault="00687095">
      <w:pPr>
        <w:pStyle w:val="Prrafodelista"/>
        <w:numPr>
          <w:ilvl w:val="0"/>
          <w:numId w:val="20"/>
        </w:numPr>
        <w:spacing w:after="120"/>
        <w:contextualSpacing/>
        <w:jc w:val="both"/>
        <w:rPr>
          <w:rFonts w:asciiTheme="minorHAnsi" w:hAnsiTheme="minorHAnsi" w:cstheme="minorHAnsi"/>
          <w:sz w:val="20"/>
          <w:szCs w:val="20"/>
        </w:rPr>
      </w:pPr>
      <w:r>
        <w:rPr>
          <w:rFonts w:asciiTheme="minorHAnsi" w:hAnsiTheme="minorHAnsi"/>
          <w:sz w:val="20"/>
        </w:rPr>
        <w:t>Apoyar la inversión en acciones para introducir y fomentar la adopción de alternativas sostenibles.</w:t>
      </w:r>
    </w:p>
    <w:p w14:paraId="5DAAF6D2" w14:textId="357EDE4E" w:rsidR="00687095" w:rsidRPr="00687095" w:rsidRDefault="00687095">
      <w:pPr>
        <w:pStyle w:val="Prrafodelista"/>
        <w:numPr>
          <w:ilvl w:val="0"/>
          <w:numId w:val="20"/>
        </w:numPr>
        <w:spacing w:after="120"/>
        <w:contextualSpacing/>
        <w:jc w:val="both"/>
        <w:rPr>
          <w:rFonts w:asciiTheme="minorHAnsi" w:hAnsiTheme="minorHAnsi" w:cstheme="minorHAnsi"/>
          <w:sz w:val="20"/>
          <w:szCs w:val="20"/>
        </w:rPr>
      </w:pPr>
      <w:r>
        <w:rPr>
          <w:rFonts w:asciiTheme="minorHAnsi" w:hAnsiTheme="minorHAnsi"/>
          <w:sz w:val="20"/>
        </w:rPr>
        <w:t xml:space="preserve">Apuntar a la reducción de Endosulfán, Lindano, Clorpirifos, Paraquat y plaguicidas altamente/gravemente peligrosos que entran en la cadena alimentaria mundial. </w:t>
      </w:r>
    </w:p>
    <w:p w14:paraId="4E84F559" w14:textId="083CB9D5" w:rsidR="00687095" w:rsidRPr="00687095" w:rsidRDefault="00687095">
      <w:pPr>
        <w:pStyle w:val="Prrafodelista"/>
        <w:numPr>
          <w:ilvl w:val="0"/>
          <w:numId w:val="20"/>
        </w:numPr>
        <w:spacing w:after="120"/>
        <w:contextualSpacing/>
        <w:jc w:val="both"/>
        <w:rPr>
          <w:rFonts w:asciiTheme="minorHAnsi" w:eastAsia="Calibri" w:hAnsiTheme="minorHAnsi" w:cstheme="minorHAnsi"/>
          <w:sz w:val="20"/>
          <w:szCs w:val="20"/>
        </w:rPr>
      </w:pPr>
      <w:r>
        <w:rPr>
          <w:rFonts w:asciiTheme="minorHAnsi" w:hAnsiTheme="minorHAnsi"/>
          <w:sz w:val="20"/>
        </w:rPr>
        <w:t>Abordar las temáticas de</w:t>
      </w:r>
      <w:r w:rsidR="00131E1E">
        <w:rPr>
          <w:rFonts w:asciiTheme="minorHAnsi" w:hAnsiTheme="minorHAnsi"/>
          <w:sz w:val="20"/>
        </w:rPr>
        <w:t>,</w:t>
      </w:r>
      <w:r>
        <w:rPr>
          <w:rFonts w:asciiTheme="minorHAnsi" w:hAnsiTheme="minorHAnsi"/>
          <w:sz w:val="20"/>
        </w:rPr>
        <w:t xml:space="preserve"> el final de la vida útil, los residuos y los COPs obsoletos y la gestión y eliminación segura de los plásticos agrícolas contaminados por COPs y PAPs. </w:t>
      </w:r>
    </w:p>
    <w:p w14:paraId="2389E70C" w14:textId="1281A7AF" w:rsidR="001F257B" w:rsidRPr="00022972" w:rsidRDefault="00687095" w:rsidP="00556665">
      <w:pPr>
        <w:spacing w:after="120"/>
        <w:jc w:val="both"/>
        <w:rPr>
          <w:rFonts w:eastAsia="Calibri"/>
          <w:sz w:val="20"/>
          <w:szCs w:val="20"/>
        </w:rPr>
      </w:pPr>
      <w:r>
        <w:rPr>
          <w:rFonts w:asciiTheme="minorHAnsi" w:hAnsiTheme="minorHAnsi"/>
          <w:color w:val="000000" w:themeColor="text1"/>
          <w:sz w:val="20"/>
        </w:rPr>
        <w:t>Con la inclusión de varios países de renta media-baja (PRMB) (Ecuador, Filipinas, India, Indonesia, Kenia, República Democrática Popular Lao, Uruguay y Vietnam), el programa también contribuirá al objetivo del FMAM-7 de abordar la gestión adecuada de los productos químicos y los residuos mediante el fortalecimiento de la capacidad de las instituciones subnacionales, nacionales y regionales y el fortalecimiento de los marcos políticos y normativos propicios en estos países.</w:t>
      </w:r>
    </w:p>
    <w:p w14:paraId="7423905B" w14:textId="24E075EE" w:rsidR="00F075E8" w:rsidRPr="006A315B" w:rsidRDefault="00E07937" w:rsidP="00556665">
      <w:pPr>
        <w:spacing w:after="120"/>
        <w:jc w:val="both"/>
        <w:rPr>
          <w:rFonts w:asciiTheme="minorHAnsi" w:hAnsiTheme="minorHAnsi" w:cstheme="minorHAnsi"/>
          <w:i/>
          <w:iCs/>
          <w:sz w:val="20"/>
          <w:szCs w:val="20"/>
          <w:u w:val="single"/>
        </w:rPr>
      </w:pPr>
      <w:r>
        <w:rPr>
          <w:rFonts w:asciiTheme="minorHAnsi" w:hAnsiTheme="minorHAnsi"/>
          <w:i/>
          <w:sz w:val="20"/>
          <w:u w:val="single"/>
        </w:rPr>
        <w:t xml:space="preserve">Contexto general </w:t>
      </w:r>
    </w:p>
    <w:p w14:paraId="72289723" w14:textId="22181905" w:rsidR="004C74DF" w:rsidRPr="006A315B" w:rsidRDefault="00E9509E" w:rsidP="00556665">
      <w:pPr>
        <w:spacing w:after="120"/>
        <w:jc w:val="both"/>
        <w:rPr>
          <w:rFonts w:asciiTheme="minorHAnsi" w:hAnsiTheme="minorHAnsi" w:cstheme="minorHAnsi"/>
          <w:sz w:val="20"/>
          <w:szCs w:val="20"/>
        </w:rPr>
      </w:pPr>
      <w:r>
        <w:rPr>
          <w:rFonts w:asciiTheme="minorHAnsi" w:hAnsiTheme="minorHAnsi"/>
          <w:sz w:val="20"/>
        </w:rPr>
        <w:t>Ecuador está situado en el noroeste de Sudamérica y tiene una superficie de 283.560</w:t>
      </w:r>
      <w:r w:rsidR="00EE3FD4" w:rsidRPr="00EE3FD4">
        <w:rPr>
          <w:rFonts w:asciiTheme="minorHAnsi" w:hAnsiTheme="minorHAnsi" w:cstheme="minorHAnsi"/>
          <w:sz w:val="20"/>
          <w:szCs w:val="20"/>
          <w:lang w:val="es-EC"/>
        </w:rPr>
        <w:t xml:space="preserve"> km</w:t>
      </w:r>
      <w:r w:rsidR="00EE3FD4" w:rsidRPr="00EE3FD4">
        <w:rPr>
          <w:rFonts w:asciiTheme="minorHAnsi" w:hAnsiTheme="minorHAnsi" w:cstheme="minorHAnsi"/>
          <w:sz w:val="20"/>
          <w:szCs w:val="20"/>
          <w:vertAlign w:val="superscript"/>
          <w:lang w:val="es-EC"/>
        </w:rPr>
        <w:t>2</w:t>
      </w:r>
      <w:r>
        <w:rPr>
          <w:rFonts w:asciiTheme="minorHAnsi" w:hAnsiTheme="minorHAnsi"/>
          <w:sz w:val="20"/>
        </w:rPr>
        <w:t>, de los cuales 276.840</w:t>
      </w:r>
      <w:r w:rsidR="00EE3FD4" w:rsidRPr="00EE3FD4">
        <w:rPr>
          <w:rFonts w:asciiTheme="minorHAnsi" w:hAnsiTheme="minorHAnsi" w:cstheme="minorHAnsi"/>
          <w:sz w:val="20"/>
          <w:szCs w:val="20"/>
          <w:lang w:val="es-EC"/>
        </w:rPr>
        <w:t xml:space="preserve"> km</w:t>
      </w:r>
      <w:r w:rsidR="00EE3FD4" w:rsidRPr="00EE3FD4">
        <w:rPr>
          <w:rFonts w:asciiTheme="minorHAnsi" w:hAnsiTheme="minorHAnsi" w:cstheme="minorHAnsi"/>
          <w:sz w:val="20"/>
          <w:szCs w:val="20"/>
          <w:vertAlign w:val="superscript"/>
          <w:lang w:val="es-EC"/>
        </w:rPr>
        <w:t>2</w:t>
      </w:r>
      <w:r>
        <w:rPr>
          <w:rFonts w:asciiTheme="minorHAnsi" w:hAnsiTheme="minorHAnsi"/>
          <w:sz w:val="20"/>
        </w:rPr>
        <w:t xml:space="preserve"> están en el continente y 6.720</w:t>
      </w:r>
      <w:r w:rsidR="00EE3FD4" w:rsidRPr="00EE3FD4">
        <w:rPr>
          <w:rFonts w:asciiTheme="minorHAnsi" w:hAnsiTheme="minorHAnsi" w:cstheme="minorHAnsi"/>
          <w:sz w:val="20"/>
          <w:szCs w:val="20"/>
          <w:lang w:val="es-EC"/>
        </w:rPr>
        <w:t xml:space="preserve"> km</w:t>
      </w:r>
      <w:r w:rsidR="00EE3FD4" w:rsidRPr="00EE3FD4">
        <w:rPr>
          <w:rFonts w:asciiTheme="minorHAnsi" w:hAnsiTheme="minorHAnsi" w:cstheme="minorHAnsi"/>
          <w:sz w:val="20"/>
          <w:szCs w:val="20"/>
          <w:vertAlign w:val="superscript"/>
          <w:lang w:val="es-EC"/>
        </w:rPr>
        <w:t>2</w:t>
      </w:r>
      <w:r>
        <w:rPr>
          <w:rFonts w:asciiTheme="minorHAnsi" w:hAnsiTheme="minorHAnsi"/>
          <w:sz w:val="20"/>
        </w:rPr>
        <w:t xml:space="preserve"> en el océano. Pertenece al grupo de 12 países megadiversos, con quienes representa entre el 60% y el 70% de la biodiversidad del planeta. En otras palabras, Ecuador tiene un importante y único patrimonio natural, que es la base de su desarrollo económico, social, cultural y productivo.</w:t>
      </w:r>
      <w:r w:rsidR="00EE3FD4">
        <w:rPr>
          <w:rFonts w:asciiTheme="minorHAnsi" w:hAnsiTheme="minorHAnsi"/>
          <w:sz w:val="20"/>
        </w:rPr>
        <w:t xml:space="preserve"> </w:t>
      </w:r>
    </w:p>
    <w:p w14:paraId="72B0F327" w14:textId="6AA0E6AE" w:rsidR="004C74DF" w:rsidRPr="00410315" w:rsidRDefault="00D6686B" w:rsidP="00556665">
      <w:pPr>
        <w:spacing w:after="120"/>
        <w:jc w:val="both"/>
        <w:rPr>
          <w:rFonts w:asciiTheme="minorHAnsi" w:hAnsiTheme="minorHAnsi" w:cstheme="minorHAnsi"/>
          <w:sz w:val="20"/>
          <w:szCs w:val="20"/>
        </w:rPr>
      </w:pPr>
      <w:r>
        <w:rPr>
          <w:rFonts w:asciiTheme="minorHAnsi" w:hAnsiTheme="minorHAnsi"/>
          <w:sz w:val="20"/>
        </w:rPr>
        <w:t xml:space="preserve">El territorio ecuatoriano cuenta con cuatro (4) </w:t>
      </w:r>
      <w:r>
        <w:rPr>
          <w:rFonts w:asciiTheme="minorHAnsi" w:hAnsiTheme="minorHAnsi"/>
          <w:color w:val="000000" w:themeColor="text1"/>
          <w:sz w:val="20"/>
        </w:rPr>
        <w:t xml:space="preserve">regiones </w:t>
      </w:r>
      <w:r>
        <w:rPr>
          <w:rFonts w:asciiTheme="minorHAnsi" w:hAnsiTheme="minorHAnsi"/>
          <w:sz w:val="20"/>
        </w:rPr>
        <w:t xml:space="preserve">geográficas bien diferenciadas </w:t>
      </w:r>
      <w:r>
        <w:rPr>
          <w:rFonts w:asciiTheme="minorHAnsi" w:hAnsiTheme="minorHAnsi"/>
          <w:color w:val="000000" w:themeColor="text1"/>
          <w:sz w:val="20"/>
        </w:rPr>
        <w:t xml:space="preserve">(Anexo 3): Costa, Sierra, Amazonía y Galápagos. La Costa, que abarca apenas algo más de la cuarta parte del territorio, cubre la mayor parte </w:t>
      </w:r>
      <w:r>
        <w:rPr>
          <w:rFonts w:asciiTheme="minorHAnsi" w:hAnsiTheme="minorHAnsi"/>
          <w:sz w:val="20"/>
        </w:rPr>
        <w:t xml:space="preserve">de las exportaciones agrícolas, principalmente plátano, café, cacao y frutas tropicales; también produce azúcar, arroz, maíz y semillas oleaginosas para el mercado interno. La actividad agrícola se complementa con la pesca, la producción de camarones y la ganadería. La Sierra o Región Andina está </w:t>
      </w:r>
      <w:r>
        <w:rPr>
          <w:rFonts w:asciiTheme="minorHAnsi" w:hAnsiTheme="minorHAnsi"/>
          <w:color w:val="000000" w:themeColor="text1"/>
          <w:sz w:val="20"/>
        </w:rPr>
        <w:t xml:space="preserve">constituida por un </w:t>
      </w:r>
      <w:r>
        <w:rPr>
          <w:rFonts w:asciiTheme="minorHAnsi" w:hAnsiTheme="minorHAnsi"/>
          <w:sz w:val="20"/>
        </w:rPr>
        <w:t xml:space="preserve">tramo </w:t>
      </w:r>
      <w:r>
        <w:rPr>
          <w:rFonts w:asciiTheme="minorHAnsi" w:hAnsiTheme="minorHAnsi"/>
          <w:color w:val="000000" w:themeColor="text1"/>
          <w:sz w:val="20"/>
        </w:rPr>
        <w:t xml:space="preserve">andino </w:t>
      </w:r>
      <w:r>
        <w:rPr>
          <w:rFonts w:asciiTheme="minorHAnsi" w:hAnsiTheme="minorHAnsi"/>
          <w:sz w:val="20"/>
        </w:rPr>
        <w:t xml:space="preserve">de dos cordilleras paralelas, entre las cuales se encuentra la estrecha meseta del valle interandino. Su importancia económica fundamental proviene de la industria, la ganadería y la agricultura, principalmente para el mercado nacional, y la producción de flores para la exportación. La región amazónica, al este de los Andes en la </w:t>
      </w:r>
      <w:r>
        <w:rPr>
          <w:rFonts w:asciiTheme="minorHAnsi" w:hAnsiTheme="minorHAnsi"/>
          <w:color w:val="000000" w:themeColor="text1"/>
          <w:sz w:val="20"/>
        </w:rPr>
        <w:t xml:space="preserve">cuenca del Amazonas, </w:t>
      </w:r>
      <w:r>
        <w:rPr>
          <w:rFonts w:asciiTheme="minorHAnsi" w:hAnsiTheme="minorHAnsi"/>
          <w:sz w:val="20"/>
        </w:rPr>
        <w:t xml:space="preserve">tiene una importante producción de </w:t>
      </w:r>
      <w:r>
        <w:rPr>
          <w:rFonts w:asciiTheme="minorHAnsi" w:hAnsiTheme="minorHAnsi"/>
          <w:color w:val="000000" w:themeColor="text1"/>
          <w:sz w:val="20"/>
        </w:rPr>
        <w:t>ganado</w:t>
      </w:r>
      <w:r>
        <w:rPr>
          <w:rFonts w:asciiTheme="minorHAnsi" w:hAnsiTheme="minorHAnsi"/>
          <w:sz w:val="20"/>
        </w:rPr>
        <w:t>, oleaginosas</w:t>
      </w:r>
      <w:r w:rsidR="009975C4">
        <w:rPr>
          <w:rFonts w:asciiTheme="minorHAnsi" w:hAnsiTheme="minorHAnsi"/>
          <w:sz w:val="20"/>
        </w:rPr>
        <w:t xml:space="preserve"> y</w:t>
      </w:r>
      <w:r>
        <w:rPr>
          <w:rFonts w:asciiTheme="minorHAnsi" w:hAnsiTheme="minorHAnsi"/>
          <w:sz w:val="20"/>
        </w:rPr>
        <w:t xml:space="preserve"> aceite que representa la mayor fuente de ingresos por exportación, y la selva constituye una reserva de gran biodiversidad. </w:t>
      </w:r>
      <w:r w:rsidR="009975C4">
        <w:rPr>
          <w:rFonts w:asciiTheme="minorHAnsi" w:hAnsiTheme="minorHAnsi"/>
          <w:sz w:val="20"/>
        </w:rPr>
        <w:t>P</w:t>
      </w:r>
      <w:r>
        <w:rPr>
          <w:rFonts w:asciiTheme="minorHAnsi" w:hAnsiTheme="minorHAnsi"/>
          <w:sz w:val="20"/>
        </w:rPr>
        <w:t>or último, la Región Insular, formada por las Islas Galápagos en el Pacífico, a unos 1.050 km de la costa y declarada Patrimonio de la Humanidad por la UNESCO, representa una fuente de ingresos de divisas para el país debido al turismo.</w:t>
      </w:r>
    </w:p>
    <w:p w14:paraId="6F88DBF9" w14:textId="7D6BCA3F" w:rsidR="00CA07F2" w:rsidRDefault="00CA07F2" w:rsidP="00556665">
      <w:pPr>
        <w:spacing w:after="120"/>
        <w:jc w:val="both"/>
        <w:rPr>
          <w:rFonts w:asciiTheme="minorHAnsi" w:hAnsiTheme="minorHAnsi" w:cstheme="minorHAnsi"/>
          <w:sz w:val="20"/>
          <w:szCs w:val="20"/>
        </w:rPr>
      </w:pPr>
      <w:r>
        <w:rPr>
          <w:rFonts w:asciiTheme="minorHAnsi" w:hAnsiTheme="minorHAnsi"/>
          <w:sz w:val="20"/>
        </w:rPr>
        <w:t>Ecuador es una república unitaria y descentralizada según la Constitución Nacional de 2008. La división político-administrativa del país comprende, de mayor a menor jerarquía, provincias (24), cantones (221) y parroquias (1.499), que constituyen así los diferentes niveles de organización territorial de la República.</w:t>
      </w:r>
    </w:p>
    <w:p w14:paraId="11336EDF" w14:textId="7082DCCB" w:rsidR="00C67851" w:rsidRPr="00EE5D5F" w:rsidRDefault="00755EA0" w:rsidP="00556665">
      <w:pPr>
        <w:spacing w:after="120"/>
        <w:jc w:val="both"/>
        <w:rPr>
          <w:rFonts w:asciiTheme="minorHAnsi" w:hAnsiTheme="minorHAnsi" w:cstheme="minorHAnsi"/>
          <w:sz w:val="20"/>
          <w:szCs w:val="20"/>
        </w:rPr>
      </w:pPr>
      <w:r>
        <w:rPr>
          <w:rFonts w:asciiTheme="minorHAnsi" w:hAnsiTheme="minorHAnsi"/>
          <w:sz w:val="20"/>
        </w:rPr>
        <w:t>Según el último Censo de Población (2010) realizado por el Instituto Nacional de Estadística y Censos (INEC) y las proyecciones, Ecuador cuenta actualmente con 17.915.879 habitantes</w:t>
      </w:r>
      <w:r w:rsidRPr="00EE5D5F">
        <w:rPr>
          <w:rStyle w:val="Refdenotaalpie"/>
          <w:rFonts w:asciiTheme="minorHAnsi" w:hAnsiTheme="minorHAnsi" w:cstheme="minorHAnsi"/>
          <w:sz w:val="20"/>
          <w:szCs w:val="20"/>
        </w:rPr>
        <w:footnoteReference w:id="4"/>
      </w:r>
      <w:r>
        <w:rPr>
          <w:rFonts w:asciiTheme="minorHAnsi" w:hAnsiTheme="minorHAnsi"/>
          <w:sz w:val="20"/>
        </w:rPr>
        <w:t>, de los cuales el 50,1% son hombres y el 49,9% mujeres. Del total de la población, aproximadamente el 64% se encuentra en zonas urbanas, mientras que el 36% está en zonas rurales. Las provincias cuya población se concentra principalmente en las zonas rurales son: Bolívar (aproximadamente el 71,91% de su población es rural), seguido de Cotopaxi (70,57%), Morona Santiago (66,45%), Napo (65,91%) y Zamora Chinchipe (60,61%).</w:t>
      </w:r>
    </w:p>
    <w:p w14:paraId="22151873" w14:textId="77777777" w:rsidR="00C50752" w:rsidRPr="006F0394" w:rsidRDefault="00C50752" w:rsidP="00C50752">
      <w:pPr>
        <w:spacing w:after="120"/>
        <w:rPr>
          <w:rFonts w:asciiTheme="minorHAnsi" w:hAnsiTheme="minorHAnsi" w:cstheme="minorHAnsi"/>
          <w:i/>
          <w:iCs/>
          <w:sz w:val="20"/>
          <w:szCs w:val="20"/>
          <w:u w:val="single"/>
        </w:rPr>
      </w:pPr>
      <w:r>
        <w:rPr>
          <w:rFonts w:asciiTheme="minorHAnsi" w:hAnsiTheme="minorHAnsi"/>
          <w:i/>
          <w:sz w:val="20"/>
          <w:u w:val="single"/>
        </w:rPr>
        <w:t>Marco institucional y jurídico</w:t>
      </w:r>
    </w:p>
    <w:p w14:paraId="1E57A947" w14:textId="6574B8F5" w:rsidR="00C50752" w:rsidRPr="00CB523D" w:rsidRDefault="00C50752" w:rsidP="00556665">
      <w:pPr>
        <w:spacing w:after="120"/>
        <w:jc w:val="both"/>
        <w:rPr>
          <w:rFonts w:asciiTheme="minorHAnsi" w:hAnsiTheme="minorHAnsi" w:cstheme="minorHAnsi"/>
          <w:sz w:val="20"/>
          <w:szCs w:val="20"/>
        </w:rPr>
      </w:pPr>
      <w:r>
        <w:rPr>
          <w:rFonts w:asciiTheme="minorHAnsi" w:hAnsiTheme="minorHAnsi"/>
          <w:sz w:val="20"/>
        </w:rPr>
        <w:t>Ecuador, a través de la Constitución de la República (Capítulo Séptimo), es uno de los primeros países en reconocer los derechos de la naturaleza. En su artículo 14 establece el derecho de la población a vivir en un ambiente sano y ecológicamente equilibrado, que garantice la sostenibilidad y el buen vivir. Adicionalmente, el artículo 15 prohíbe el desarrollo, producción, posesión, comercialización, importación, transporte, almacenamiento y uso, entre otros, de contaminantes orgánicos persistentes altamente tóxicos y agroquímicos prohibidos internacionalmente, perjudiciales para la salud humana o que atenten contra la soberanía alimentaria o los ecosistemas, así como la introducción de residuos nucleares y desechos tóxicos en el territorio nacional.</w:t>
      </w:r>
    </w:p>
    <w:p w14:paraId="2405D6CC" w14:textId="58664C50" w:rsidR="00C50752" w:rsidRDefault="00C50752" w:rsidP="00556665">
      <w:pPr>
        <w:spacing w:after="120"/>
        <w:jc w:val="both"/>
        <w:rPr>
          <w:rFonts w:asciiTheme="minorHAnsi" w:hAnsiTheme="minorHAnsi" w:cstheme="minorHAnsi"/>
          <w:sz w:val="20"/>
          <w:szCs w:val="20"/>
        </w:rPr>
      </w:pPr>
      <w:r>
        <w:rPr>
          <w:rFonts w:asciiTheme="minorHAnsi" w:hAnsiTheme="minorHAnsi"/>
          <w:sz w:val="20"/>
        </w:rPr>
        <w:t xml:space="preserve">Adicional a lo anterior, el 13 de abril de 2018 entró en vigencia el Código Orgánico del Ambiente (COA), que en su Libro Tercero de Calidad Ambiental - Título IV, establece disposiciones relativas a la gestión integral de sustancias químicas, residuos y desechos peligrosos y especiales. </w:t>
      </w:r>
      <w:r>
        <w:rPr>
          <w:rFonts w:asciiTheme="minorHAnsi" w:hAnsiTheme="minorHAnsi"/>
          <w:color w:val="000000" w:themeColor="text1"/>
          <w:sz w:val="20"/>
        </w:rPr>
        <w:t xml:space="preserve">El artículo 215 señala que, como medida preventiva para efectos de sustancias químicas, en caso de certeza técnica y científica, se deberá restringir o prohibir la introducción, desarrollo, producción, posesión, comercialización, uso, transporte, distribución, almacenamiento o exportación de dicha sustancia; y será la </w:t>
      </w:r>
      <w:r w:rsidR="00EC045B">
        <w:rPr>
          <w:rFonts w:asciiTheme="minorHAnsi" w:hAnsiTheme="minorHAnsi"/>
          <w:color w:val="000000" w:themeColor="text1"/>
          <w:sz w:val="20"/>
        </w:rPr>
        <w:t>a</w:t>
      </w:r>
      <w:r>
        <w:rPr>
          <w:rFonts w:asciiTheme="minorHAnsi" w:hAnsiTheme="minorHAnsi"/>
          <w:color w:val="000000" w:themeColor="text1"/>
          <w:sz w:val="20"/>
        </w:rPr>
        <w:t xml:space="preserve">utoridad </w:t>
      </w:r>
      <w:r w:rsidR="00EC045B">
        <w:rPr>
          <w:rFonts w:asciiTheme="minorHAnsi" w:hAnsiTheme="minorHAnsi"/>
          <w:color w:val="000000" w:themeColor="text1"/>
          <w:sz w:val="20"/>
        </w:rPr>
        <w:t>a</w:t>
      </w:r>
      <w:r>
        <w:rPr>
          <w:rFonts w:asciiTheme="minorHAnsi" w:hAnsiTheme="minorHAnsi"/>
          <w:color w:val="000000" w:themeColor="text1"/>
          <w:sz w:val="20"/>
        </w:rPr>
        <w:t xml:space="preserve">mbiental </w:t>
      </w:r>
      <w:r w:rsidR="00EC045B">
        <w:rPr>
          <w:rFonts w:asciiTheme="minorHAnsi" w:hAnsiTheme="minorHAnsi"/>
          <w:color w:val="000000" w:themeColor="text1"/>
          <w:sz w:val="20"/>
        </w:rPr>
        <w:t>n</w:t>
      </w:r>
      <w:r>
        <w:rPr>
          <w:rFonts w:asciiTheme="minorHAnsi" w:hAnsiTheme="minorHAnsi"/>
          <w:color w:val="000000" w:themeColor="text1"/>
          <w:sz w:val="20"/>
        </w:rPr>
        <w:t>acional quien analice la disponibilidad de productos más seguros. Asimismo, el artículo 222 prohíbe expresamente</w:t>
      </w:r>
      <w:r>
        <w:rPr>
          <w:rFonts w:asciiTheme="minorHAnsi" w:hAnsiTheme="minorHAnsi"/>
          <w:sz w:val="20"/>
        </w:rPr>
        <w:t xml:space="preserve"> la importación e introducción al territorio ecuatoriano de sustancias químicas consideradas contaminantes orgánicos persistentes, sus mezclas o productos que los contengan, así como sustancias químicas de uso agrícola e industrial cuyo uso haya sido prohibido por instrumentos internacionales ratificados por el Estado.</w:t>
      </w:r>
    </w:p>
    <w:p w14:paraId="3BB157DC" w14:textId="4ABB3A29" w:rsidR="00BF00DC" w:rsidRDefault="00BF00DC" w:rsidP="00556665">
      <w:pPr>
        <w:spacing w:after="120"/>
        <w:jc w:val="both"/>
        <w:rPr>
          <w:rFonts w:asciiTheme="minorHAnsi" w:hAnsiTheme="minorHAnsi" w:cstheme="minorHAnsi"/>
          <w:sz w:val="20"/>
          <w:szCs w:val="20"/>
        </w:rPr>
      </w:pPr>
      <w:r>
        <w:rPr>
          <w:rFonts w:asciiTheme="minorHAnsi" w:hAnsiTheme="minorHAnsi"/>
          <w:sz w:val="20"/>
        </w:rPr>
        <w:t>Las instituciones gubernamentales que tienen competencia directa en el manejo de plaguicidas en Ecuador son el Ministerio del Ambiente, Agua y Transición Ecológica (MAATE), la Agencia de Regulación y Control Fitosanitario y Zoosanitario (AGROCALIDAD), adscrita al Ministerio de Agricultura y Ganadería (MAG), y también la Agencia de Regulación, Control y Vigilancia Sanitaria (ARCSA) adscrita al Ministerio de Salud Pública del Ecuador (MSP).</w:t>
      </w:r>
    </w:p>
    <w:p w14:paraId="399B1D41" w14:textId="40EF4DA2" w:rsidR="00713E39" w:rsidRDefault="00713E39" w:rsidP="00556665">
      <w:pPr>
        <w:spacing w:after="120"/>
        <w:jc w:val="both"/>
        <w:rPr>
          <w:rFonts w:asciiTheme="minorHAnsi" w:hAnsiTheme="minorHAnsi" w:cstheme="minorHAnsi"/>
          <w:sz w:val="20"/>
          <w:szCs w:val="20"/>
        </w:rPr>
      </w:pPr>
      <w:r>
        <w:rPr>
          <w:rFonts w:asciiTheme="minorHAnsi" w:hAnsiTheme="minorHAnsi"/>
          <w:sz w:val="20"/>
        </w:rPr>
        <w:t xml:space="preserve">Estas tres instituciones constituyen el Comité Técnico Nacional de Plaguicidas (CTNP) (establecido en la Resolución 20 de marzo de 2021): </w:t>
      </w:r>
      <w:r w:rsidR="007C076D">
        <w:rPr>
          <w:rFonts w:asciiTheme="minorHAnsi" w:hAnsiTheme="minorHAnsi"/>
          <w:sz w:val="20"/>
        </w:rPr>
        <w:t>e</w:t>
      </w:r>
      <w:r>
        <w:rPr>
          <w:rFonts w:asciiTheme="minorHAnsi" w:hAnsiTheme="minorHAnsi"/>
          <w:sz w:val="20"/>
        </w:rPr>
        <w:t xml:space="preserve">misión del manual técnico complementario para facilitar la aplicación de la decisión 804 de la Comunidad Andina relativa al registro y control de plaguicidas químicos de uso agrícola, Sección III, Capítulo I). Cada institución revisa los expedientes previos al registro de los </w:t>
      </w:r>
      <w:r w:rsidR="00E667C9">
        <w:rPr>
          <w:rFonts w:asciiTheme="minorHAnsi" w:hAnsiTheme="minorHAnsi"/>
          <w:sz w:val="20"/>
        </w:rPr>
        <w:t>P</w:t>
      </w:r>
      <w:r>
        <w:rPr>
          <w:rFonts w:asciiTheme="minorHAnsi" w:hAnsiTheme="minorHAnsi"/>
          <w:sz w:val="20"/>
        </w:rPr>
        <w:t xml:space="preserve">laguicidas de </w:t>
      </w:r>
      <w:r w:rsidR="00E667C9">
        <w:rPr>
          <w:rFonts w:asciiTheme="minorHAnsi" w:hAnsiTheme="minorHAnsi"/>
          <w:sz w:val="20"/>
        </w:rPr>
        <w:t>U</w:t>
      </w:r>
      <w:r>
        <w:rPr>
          <w:rFonts w:asciiTheme="minorHAnsi" w:hAnsiTheme="minorHAnsi"/>
          <w:sz w:val="20"/>
        </w:rPr>
        <w:t xml:space="preserve">so </w:t>
      </w:r>
      <w:r w:rsidR="00E667C9">
        <w:rPr>
          <w:rFonts w:asciiTheme="minorHAnsi" w:hAnsiTheme="minorHAnsi"/>
          <w:sz w:val="20"/>
        </w:rPr>
        <w:t>A</w:t>
      </w:r>
      <w:r>
        <w:rPr>
          <w:rFonts w:asciiTheme="minorHAnsi" w:hAnsiTheme="minorHAnsi"/>
          <w:sz w:val="20"/>
        </w:rPr>
        <w:t>grícola (PQUA) en los ámbitos agronómico, ecotoxicológico y toxicológico, respectivamente.</w:t>
      </w:r>
    </w:p>
    <w:p w14:paraId="5089A62B" w14:textId="14939350" w:rsidR="000C0F20" w:rsidRPr="00713E39" w:rsidRDefault="000C0F20" w:rsidP="00556665">
      <w:pPr>
        <w:spacing w:after="120"/>
        <w:jc w:val="both"/>
        <w:rPr>
          <w:rFonts w:asciiTheme="minorHAnsi" w:hAnsiTheme="minorHAnsi" w:cstheme="minorHAnsi"/>
          <w:sz w:val="20"/>
          <w:szCs w:val="20"/>
        </w:rPr>
      </w:pPr>
      <w:r>
        <w:rPr>
          <w:rFonts w:asciiTheme="minorHAnsi" w:hAnsiTheme="minorHAnsi"/>
          <w:sz w:val="20"/>
        </w:rPr>
        <w:t xml:space="preserve">Otra institución que emite lineamientos sobre el manejo de plaguicidas es el Servicio Ecuatoriano de Normalización adscrito al Ministerio de la Producción, Comercio Exterior, Inversiones y Pesca (MPCEIP) a través de </w:t>
      </w:r>
      <w:r w:rsidR="00EC045B">
        <w:rPr>
          <w:rFonts w:asciiTheme="minorHAnsi" w:hAnsiTheme="minorHAnsi"/>
          <w:sz w:val="20"/>
        </w:rPr>
        <w:t>n</w:t>
      </w:r>
      <w:r>
        <w:rPr>
          <w:rFonts w:asciiTheme="minorHAnsi" w:hAnsiTheme="minorHAnsi"/>
          <w:sz w:val="20"/>
        </w:rPr>
        <w:t xml:space="preserve">ormas </w:t>
      </w:r>
      <w:r w:rsidR="00EC045B">
        <w:rPr>
          <w:rFonts w:asciiTheme="minorHAnsi" w:hAnsiTheme="minorHAnsi"/>
          <w:sz w:val="20"/>
        </w:rPr>
        <w:t>t</w:t>
      </w:r>
      <w:r>
        <w:rPr>
          <w:rFonts w:asciiTheme="minorHAnsi" w:hAnsiTheme="minorHAnsi"/>
          <w:sz w:val="20"/>
        </w:rPr>
        <w:t>écnicas Ecuatorianas.</w:t>
      </w:r>
    </w:p>
    <w:p w14:paraId="5B032A95" w14:textId="7D7737ED" w:rsidR="005A22B4" w:rsidRDefault="005A22B4" w:rsidP="00556665">
      <w:pPr>
        <w:pStyle w:val="NormalWeb"/>
        <w:spacing w:before="0" w:beforeAutospacing="0" w:after="120" w:afterAutospacing="0"/>
        <w:rPr>
          <w:rFonts w:asciiTheme="minorHAnsi" w:eastAsia="Times New Roman" w:hAnsiTheme="minorHAnsi" w:cstheme="minorHAnsi"/>
          <w:color w:val="000000"/>
          <w:sz w:val="20"/>
          <w:szCs w:val="20"/>
        </w:rPr>
      </w:pPr>
      <w:r>
        <w:rPr>
          <w:rFonts w:asciiTheme="minorHAnsi" w:hAnsiTheme="minorHAnsi"/>
          <w:sz w:val="20"/>
        </w:rPr>
        <w:t xml:space="preserve">Adicionalmente, el Servicio Nacional de Aduana del Ecuador (SENAE) regula la importación de plaguicidas, ya que su función institucional es </w:t>
      </w:r>
      <w:r>
        <w:rPr>
          <w:rFonts w:asciiTheme="minorHAnsi" w:hAnsiTheme="minorHAnsi"/>
          <w:color w:val="000000"/>
          <w:sz w:val="20"/>
        </w:rPr>
        <w:t>controlar la entrada y salida de bienes, personas y medios de transporte hacia y desde el país.</w:t>
      </w:r>
    </w:p>
    <w:p w14:paraId="03D772A3" w14:textId="34B47369" w:rsidR="00E063F0" w:rsidRPr="005A22B4" w:rsidRDefault="006A51C1" w:rsidP="00556665">
      <w:pPr>
        <w:pStyle w:val="NormalWeb"/>
        <w:spacing w:before="0" w:beforeAutospacing="0" w:after="120" w:afterAutospacing="0"/>
        <w:rPr>
          <w:rFonts w:asciiTheme="minorHAnsi" w:hAnsiTheme="minorHAnsi" w:cstheme="minorHAnsi"/>
          <w:iCs/>
          <w:sz w:val="20"/>
          <w:szCs w:val="20"/>
        </w:rPr>
      </w:pPr>
      <w:r>
        <w:rPr>
          <w:rFonts w:asciiTheme="minorHAnsi" w:hAnsiTheme="minorHAnsi"/>
          <w:sz w:val="20"/>
        </w:rPr>
        <w:t>AGROCALIDAD, MAATE, MSP y ARCSA, como autoridades competentes, han publicado reglamentos para las fases de registro de plaguicidas, su post-registro, almacenamiento, transporte, uso de plaguicidas, registro de bodegas para venta de plaguicidas, gestión integral de envases vacíos de plaguicidas, prohibición de plaguicidas, entre otros.</w:t>
      </w:r>
    </w:p>
    <w:p w14:paraId="7200914E" w14:textId="32F70586" w:rsidR="00E063F0" w:rsidRDefault="001D2179" w:rsidP="00556665">
      <w:pPr>
        <w:pStyle w:val="NormalWeb"/>
        <w:spacing w:before="0" w:beforeAutospacing="0" w:after="120" w:afterAutospacing="0"/>
        <w:rPr>
          <w:rFonts w:asciiTheme="minorHAnsi" w:hAnsiTheme="minorHAnsi" w:cstheme="minorHAnsi"/>
          <w:iCs/>
          <w:sz w:val="20"/>
          <w:szCs w:val="20"/>
        </w:rPr>
      </w:pPr>
      <w:r>
        <w:rPr>
          <w:rFonts w:asciiTheme="minorHAnsi" w:hAnsiTheme="minorHAnsi"/>
          <w:sz w:val="20"/>
        </w:rPr>
        <w:t>AGROCALIDAD ha promulgado 28 reglamentos sobre plaguicidas, principalmente sobre la prohibición o cancelación de plaguicidas y sobre el registro, control y posregistro de plaguicidas.</w:t>
      </w:r>
    </w:p>
    <w:p w14:paraId="499BB807" w14:textId="09BC5831" w:rsidR="00DB5B29" w:rsidRDefault="00DB5B29" w:rsidP="00556665">
      <w:pPr>
        <w:pStyle w:val="NormalWeb"/>
        <w:spacing w:before="0" w:beforeAutospacing="0" w:after="120" w:afterAutospacing="0"/>
        <w:rPr>
          <w:rFonts w:asciiTheme="minorHAnsi" w:hAnsiTheme="minorHAnsi" w:cstheme="minorHAnsi"/>
          <w:iCs/>
          <w:sz w:val="20"/>
          <w:szCs w:val="20"/>
        </w:rPr>
      </w:pPr>
      <w:r>
        <w:rPr>
          <w:rFonts w:asciiTheme="minorHAnsi" w:hAnsiTheme="minorHAnsi"/>
          <w:sz w:val="20"/>
        </w:rPr>
        <w:t>El MAATE ha emitido 4 reglamentos sobre plaguicidas, 2 relacionados principalmente con sus fases de gestión como: suministro, almacenamiento, transporte y uso, además de otros 2 reglamentos sobre clasificación y gestión integral de residuos peligrosos y especiales de plaguicidas (Acuerdo Ministerial 021 Instructivo para la gestión integral de residuos plásticos de uso agrícola, publicado en Boletín Oficial #943 del 29 de abril de 2013).</w:t>
      </w:r>
    </w:p>
    <w:p w14:paraId="174AD34A" w14:textId="208F7E9F" w:rsidR="00D845B2" w:rsidRDefault="00D845B2" w:rsidP="00556665">
      <w:pPr>
        <w:pStyle w:val="NormalWeb"/>
        <w:spacing w:before="0" w:beforeAutospacing="0" w:after="120" w:afterAutospacing="0"/>
        <w:rPr>
          <w:rFonts w:asciiTheme="minorHAnsi" w:hAnsiTheme="minorHAnsi" w:cstheme="minorHAnsi"/>
          <w:iCs/>
          <w:sz w:val="20"/>
          <w:szCs w:val="20"/>
        </w:rPr>
      </w:pPr>
      <w:r>
        <w:rPr>
          <w:rFonts w:asciiTheme="minorHAnsi" w:hAnsiTheme="minorHAnsi"/>
          <w:sz w:val="20"/>
        </w:rPr>
        <w:t>El MSP, a través de la ARCSA, ha emitido 2 reglamentos principalmente para el registro, re-registro y modificación de productos sanitarios.</w:t>
      </w:r>
    </w:p>
    <w:p w14:paraId="3BF955A1" w14:textId="1025032B" w:rsidR="00574162" w:rsidRPr="004046E5" w:rsidRDefault="00574162" w:rsidP="00556665">
      <w:pPr>
        <w:pStyle w:val="NormalWeb"/>
        <w:spacing w:before="0" w:beforeAutospacing="0" w:after="120" w:afterAutospacing="0"/>
        <w:rPr>
          <w:rFonts w:asciiTheme="minorHAnsi" w:hAnsiTheme="minorHAnsi" w:cstheme="minorHAnsi"/>
          <w:iCs/>
          <w:color w:val="000000" w:themeColor="text1"/>
          <w:sz w:val="20"/>
          <w:szCs w:val="20"/>
        </w:rPr>
      </w:pPr>
      <w:r>
        <w:rPr>
          <w:rFonts w:asciiTheme="minorHAnsi" w:hAnsiTheme="minorHAnsi"/>
          <w:sz w:val="20"/>
        </w:rPr>
        <w:t xml:space="preserve">Para más detalles, véase el Anexo </w:t>
      </w:r>
      <w:r>
        <w:rPr>
          <w:rFonts w:asciiTheme="minorHAnsi" w:hAnsiTheme="minorHAnsi"/>
          <w:color w:val="000000" w:themeColor="text1"/>
          <w:sz w:val="20"/>
        </w:rPr>
        <w:t>14 "Análisis del marco institucional y jurídico".</w:t>
      </w:r>
    </w:p>
    <w:p w14:paraId="6F65E500" w14:textId="676E732D" w:rsidR="00C50752" w:rsidRPr="004046E5" w:rsidRDefault="00C50752" w:rsidP="00C50752">
      <w:pPr>
        <w:spacing w:after="120"/>
        <w:jc w:val="both"/>
        <w:rPr>
          <w:rFonts w:asciiTheme="minorHAnsi" w:hAnsiTheme="minorHAnsi" w:cstheme="minorHAnsi"/>
          <w:color w:val="000000" w:themeColor="text1"/>
          <w:sz w:val="20"/>
          <w:szCs w:val="20"/>
          <w:u w:val="single"/>
        </w:rPr>
      </w:pPr>
      <w:r>
        <w:rPr>
          <w:rFonts w:asciiTheme="minorHAnsi" w:hAnsiTheme="minorHAnsi"/>
          <w:color w:val="000000" w:themeColor="text1"/>
          <w:sz w:val="20"/>
          <w:u w:val="single"/>
        </w:rPr>
        <w:t>Agenda internacional:</w:t>
      </w:r>
    </w:p>
    <w:p w14:paraId="330F29EF" w14:textId="77777777" w:rsidR="00C50752" w:rsidRPr="00936A33" w:rsidRDefault="00C50752" w:rsidP="00556665">
      <w:pPr>
        <w:spacing w:after="120"/>
        <w:jc w:val="both"/>
        <w:rPr>
          <w:rFonts w:asciiTheme="minorHAnsi" w:hAnsiTheme="minorHAnsi" w:cstheme="minorHAnsi"/>
          <w:sz w:val="20"/>
          <w:szCs w:val="20"/>
        </w:rPr>
      </w:pPr>
      <w:r>
        <w:rPr>
          <w:rFonts w:asciiTheme="minorHAnsi" w:hAnsiTheme="minorHAnsi"/>
          <w:sz w:val="20"/>
        </w:rPr>
        <w:t>Con el objetivo de establecer una gestión ambientalmente adecuada de los plaguicidas peligrosos dentro de su ciclo de vida, Ecuador ha realizado importantes esfuerzos en la aplicación de diferentes acuerdos y directrices ambientales internacionales. El Gobierno muestra su firme voluntad de seguir actuando en la misma dirección.</w:t>
      </w:r>
    </w:p>
    <w:p w14:paraId="1BB1E634" w14:textId="32B7D0FA" w:rsidR="00541084" w:rsidRDefault="00C50752" w:rsidP="00556665">
      <w:pPr>
        <w:spacing w:after="120"/>
        <w:jc w:val="both"/>
        <w:rPr>
          <w:rFonts w:asciiTheme="minorHAnsi" w:hAnsiTheme="minorHAnsi" w:cstheme="minorHAnsi"/>
          <w:sz w:val="20"/>
          <w:szCs w:val="20"/>
        </w:rPr>
      </w:pPr>
      <w:r>
        <w:rPr>
          <w:rFonts w:asciiTheme="minorHAnsi" w:hAnsiTheme="minorHAnsi"/>
          <w:sz w:val="20"/>
        </w:rPr>
        <w:t xml:space="preserve">Para hacer frente a las amenazas que suponen los COPs, los PAPs y los residuos relacionados, el Gobierno de Ecuador firmó tanto el Convenio de Rotterdam como el de Estocolmo </w:t>
      </w:r>
      <w:r>
        <w:rPr>
          <w:rFonts w:asciiTheme="minorHAnsi" w:hAnsiTheme="minorHAnsi"/>
          <w:color w:val="000000" w:themeColor="text1"/>
          <w:sz w:val="20"/>
        </w:rPr>
        <w:t>en 1998 y 2001, respectivamente</w:t>
      </w:r>
      <w:r>
        <w:rPr>
          <w:rFonts w:asciiTheme="minorHAnsi" w:hAnsiTheme="minorHAnsi"/>
          <w:sz w:val="20"/>
        </w:rPr>
        <w:t>. El país también forma parte del Convenio de Basilea y es signatario del Protocolo de Montreal.</w:t>
      </w:r>
    </w:p>
    <w:p w14:paraId="67C89641" w14:textId="6711AA1F" w:rsidR="00C50752" w:rsidRPr="00C03B25" w:rsidRDefault="00C50752" w:rsidP="00556665">
      <w:pPr>
        <w:spacing w:after="120"/>
        <w:jc w:val="both"/>
        <w:rPr>
          <w:rFonts w:asciiTheme="minorHAnsi" w:hAnsiTheme="minorHAnsi" w:cstheme="minorHAnsi"/>
          <w:sz w:val="20"/>
          <w:szCs w:val="20"/>
        </w:rPr>
      </w:pPr>
      <w:r>
        <w:rPr>
          <w:rFonts w:asciiTheme="minorHAnsi" w:hAnsiTheme="minorHAnsi"/>
          <w:sz w:val="20"/>
        </w:rPr>
        <w:t xml:space="preserve">El Convenio de Estocolmo sobre COPs fue ratificado el 7 de junio de 2004, y el país preparó un Plan Nacional de Aplicación (PNA) en 2006 y lo actualizó en 2009. Las prioridades establecidas en la versión actualizada incluían: i) </w:t>
      </w:r>
      <w:r w:rsidR="00D44866">
        <w:rPr>
          <w:rFonts w:asciiTheme="minorHAnsi" w:hAnsiTheme="minorHAnsi"/>
          <w:sz w:val="20"/>
        </w:rPr>
        <w:t>m</w:t>
      </w:r>
      <w:r>
        <w:rPr>
          <w:rFonts w:asciiTheme="minorHAnsi" w:hAnsiTheme="minorHAnsi"/>
          <w:sz w:val="20"/>
        </w:rPr>
        <w:t xml:space="preserve">ejora continua de la gestión de plaguicidas y ii) </w:t>
      </w:r>
      <w:r w:rsidR="00D44866">
        <w:rPr>
          <w:rFonts w:asciiTheme="minorHAnsi" w:hAnsiTheme="minorHAnsi"/>
          <w:sz w:val="20"/>
        </w:rPr>
        <w:t>r</w:t>
      </w:r>
      <w:r>
        <w:rPr>
          <w:rFonts w:asciiTheme="minorHAnsi" w:hAnsiTheme="minorHAnsi"/>
          <w:sz w:val="20"/>
        </w:rPr>
        <w:t>educción de las emisiones no intencionadas de COPs (COP</w:t>
      </w:r>
      <w:r w:rsidR="006A6986">
        <w:rPr>
          <w:rFonts w:asciiTheme="minorHAnsi" w:hAnsiTheme="minorHAnsi"/>
          <w:sz w:val="20"/>
          <w:lang w:val="es-EC"/>
        </w:rPr>
        <w:t xml:space="preserve"> </w:t>
      </w:r>
      <w:r>
        <w:rPr>
          <w:rFonts w:asciiTheme="minorHAnsi" w:hAnsiTheme="minorHAnsi"/>
          <w:sz w:val="20"/>
        </w:rPr>
        <w:t>NIS), entre otras. Actualmente el país está llevando a cabo la revisión y actualización del PNA.</w:t>
      </w:r>
    </w:p>
    <w:p w14:paraId="5874FA78" w14:textId="5DBDDEC6" w:rsidR="00DF46DC" w:rsidRDefault="00D41616" w:rsidP="00556665">
      <w:pPr>
        <w:spacing w:afterLines="50" w:after="120"/>
        <w:jc w:val="both"/>
        <w:rPr>
          <w:rFonts w:asciiTheme="minorHAnsi" w:hAnsiTheme="minorHAnsi" w:cstheme="minorHAnsi"/>
          <w:iCs/>
          <w:sz w:val="20"/>
          <w:szCs w:val="20"/>
        </w:rPr>
      </w:pPr>
      <w:r>
        <w:rPr>
          <w:rFonts w:asciiTheme="minorHAnsi" w:hAnsiTheme="minorHAnsi"/>
          <w:sz w:val="20"/>
        </w:rPr>
        <w:t xml:space="preserve">Ecuador también es signatario del SAICM y, como tal, ha emprendido esfuerzos para garantizar la aplicación efectiva de los objetivos del Plan de Acción Mundial en el país. El Plan de Acción Nacional para la </w:t>
      </w:r>
      <w:r w:rsidR="00EC045B">
        <w:rPr>
          <w:rFonts w:asciiTheme="minorHAnsi" w:hAnsiTheme="minorHAnsi"/>
          <w:sz w:val="20"/>
        </w:rPr>
        <w:t>a</w:t>
      </w:r>
      <w:r>
        <w:rPr>
          <w:rFonts w:asciiTheme="minorHAnsi" w:hAnsiTheme="minorHAnsi"/>
          <w:sz w:val="20"/>
        </w:rPr>
        <w:t xml:space="preserve">plicación del Enfoque Estratégico para la Gestión de Productos Químicos (SAICM) tiene como objetivo reducir progresivamente los riesgos para la salud y el medio ambiente asociados a los </w:t>
      </w:r>
      <w:r w:rsidR="005A2180">
        <w:rPr>
          <w:rFonts w:asciiTheme="minorHAnsi" w:hAnsiTheme="minorHAnsi"/>
          <w:sz w:val="20"/>
        </w:rPr>
        <w:t>p</w:t>
      </w:r>
      <w:r>
        <w:rPr>
          <w:rFonts w:asciiTheme="minorHAnsi" w:hAnsiTheme="minorHAnsi"/>
          <w:sz w:val="20"/>
        </w:rPr>
        <w:t xml:space="preserve">roductos </w:t>
      </w:r>
      <w:r w:rsidR="005A2180">
        <w:rPr>
          <w:rFonts w:asciiTheme="minorHAnsi" w:hAnsiTheme="minorHAnsi"/>
          <w:sz w:val="20"/>
        </w:rPr>
        <w:t>q</w:t>
      </w:r>
      <w:r>
        <w:rPr>
          <w:rFonts w:asciiTheme="minorHAnsi" w:hAnsiTheme="minorHAnsi"/>
          <w:sz w:val="20"/>
        </w:rPr>
        <w:t xml:space="preserve">uímicos a lo largo de su ciclo de vida en un proceso de mejora continua, en el marco del desarrollo sostenible. Sus objetivos son: i) </w:t>
      </w:r>
      <w:r w:rsidR="00D44866">
        <w:rPr>
          <w:rFonts w:asciiTheme="minorHAnsi" w:hAnsiTheme="minorHAnsi"/>
          <w:sz w:val="20"/>
        </w:rPr>
        <w:t>c</w:t>
      </w:r>
      <w:r>
        <w:rPr>
          <w:rFonts w:asciiTheme="minorHAnsi" w:hAnsiTheme="minorHAnsi"/>
          <w:sz w:val="20"/>
        </w:rPr>
        <w:t xml:space="preserve">oncienciar, sensibilizar y formar a los diferentes grupos de la sociedad sobre los riesgos asociados a los </w:t>
      </w:r>
      <w:r w:rsidR="005A2180">
        <w:rPr>
          <w:rFonts w:asciiTheme="minorHAnsi" w:hAnsiTheme="minorHAnsi"/>
          <w:sz w:val="20"/>
        </w:rPr>
        <w:t>p</w:t>
      </w:r>
      <w:r>
        <w:rPr>
          <w:rFonts w:asciiTheme="minorHAnsi" w:hAnsiTheme="minorHAnsi"/>
          <w:sz w:val="20"/>
        </w:rPr>
        <w:t xml:space="preserve">roductos </w:t>
      </w:r>
      <w:r w:rsidR="005A2180">
        <w:rPr>
          <w:rFonts w:asciiTheme="minorHAnsi" w:hAnsiTheme="minorHAnsi"/>
          <w:sz w:val="20"/>
        </w:rPr>
        <w:t>q</w:t>
      </w:r>
      <w:r>
        <w:rPr>
          <w:rFonts w:asciiTheme="minorHAnsi" w:hAnsiTheme="minorHAnsi"/>
          <w:sz w:val="20"/>
        </w:rPr>
        <w:t xml:space="preserve">uímicos a lo largo de su ciclo de vida y promover la investigación; ii) </w:t>
      </w:r>
      <w:r w:rsidR="00D44866">
        <w:rPr>
          <w:rFonts w:asciiTheme="minorHAnsi" w:hAnsiTheme="minorHAnsi"/>
          <w:sz w:val="20"/>
        </w:rPr>
        <w:t>d</w:t>
      </w:r>
      <w:r>
        <w:rPr>
          <w:rFonts w:asciiTheme="minorHAnsi" w:hAnsiTheme="minorHAnsi"/>
          <w:sz w:val="20"/>
        </w:rPr>
        <w:t>iseñar estrategias de intervención para dar respuesta a problemas específicos y establecer criterios para lograr la minimización de los efectos adversos sobre la salud humana y el medio ambiente debidos a los productos químicos a lo largo de su ciclo de vida</w:t>
      </w:r>
      <w:r w:rsidR="00D44866">
        <w:rPr>
          <w:rFonts w:asciiTheme="minorHAnsi" w:hAnsiTheme="minorHAnsi"/>
          <w:sz w:val="20"/>
        </w:rPr>
        <w:t>; y</w:t>
      </w:r>
      <w:r>
        <w:rPr>
          <w:rFonts w:asciiTheme="minorHAnsi" w:hAnsiTheme="minorHAnsi"/>
          <w:sz w:val="20"/>
        </w:rPr>
        <w:t xml:space="preserve"> iii) </w:t>
      </w:r>
      <w:r w:rsidR="00D44866">
        <w:rPr>
          <w:rFonts w:asciiTheme="minorHAnsi" w:hAnsiTheme="minorHAnsi"/>
          <w:sz w:val="20"/>
        </w:rPr>
        <w:t>f</w:t>
      </w:r>
      <w:r>
        <w:rPr>
          <w:rFonts w:asciiTheme="minorHAnsi" w:hAnsiTheme="minorHAnsi"/>
          <w:sz w:val="20"/>
        </w:rPr>
        <w:t xml:space="preserve">ortalecer el marco institucional y la coordinación entre los actores involucrados para la implementación de las diferentes líneas estratégicas. Los resultados de este proyecto contribuirán, de forma incremental, a llevar a cabo este </w:t>
      </w:r>
      <w:r w:rsidR="00D660DB">
        <w:rPr>
          <w:rFonts w:asciiTheme="minorHAnsi" w:hAnsiTheme="minorHAnsi"/>
          <w:sz w:val="20"/>
        </w:rPr>
        <w:t>p</w:t>
      </w:r>
      <w:r>
        <w:rPr>
          <w:rFonts w:asciiTheme="minorHAnsi" w:hAnsiTheme="minorHAnsi"/>
          <w:sz w:val="20"/>
        </w:rPr>
        <w:t>lan a escala nacional.</w:t>
      </w:r>
    </w:p>
    <w:p w14:paraId="16DABCFF" w14:textId="25DC802E" w:rsidR="00E95BA3" w:rsidRDefault="009C13A2" w:rsidP="00556665">
      <w:pPr>
        <w:spacing w:after="120"/>
        <w:jc w:val="both"/>
        <w:rPr>
          <w:rFonts w:asciiTheme="minorHAnsi" w:hAnsiTheme="minorHAnsi" w:cstheme="minorHAnsi"/>
          <w:iCs/>
          <w:sz w:val="20"/>
          <w:szCs w:val="20"/>
        </w:rPr>
      </w:pPr>
      <w:r>
        <w:rPr>
          <w:rFonts w:asciiTheme="minorHAnsi" w:hAnsiTheme="minorHAnsi"/>
          <w:sz w:val="20"/>
        </w:rPr>
        <w:t xml:space="preserve">Asimismo, Ecuador es país miembro de la Comunidad Andina de Naciones (CAN). A través del Comité Técnico Andino de Sanidad Agropecuaria (COTASA), integrado por los </w:t>
      </w:r>
      <w:r w:rsidR="003C32EB">
        <w:rPr>
          <w:rFonts w:asciiTheme="minorHAnsi" w:hAnsiTheme="minorHAnsi"/>
          <w:sz w:val="20"/>
        </w:rPr>
        <w:t>s</w:t>
      </w:r>
      <w:r>
        <w:rPr>
          <w:rFonts w:asciiTheme="minorHAnsi" w:hAnsiTheme="minorHAnsi"/>
          <w:sz w:val="20"/>
        </w:rPr>
        <w:t xml:space="preserve">ervicios </w:t>
      </w:r>
      <w:r w:rsidR="00206AD8">
        <w:rPr>
          <w:rFonts w:asciiTheme="minorHAnsi" w:hAnsiTheme="minorHAnsi"/>
          <w:sz w:val="20"/>
        </w:rPr>
        <w:t>oficiales</w:t>
      </w:r>
      <w:r>
        <w:rPr>
          <w:rFonts w:asciiTheme="minorHAnsi" w:hAnsiTheme="minorHAnsi"/>
          <w:sz w:val="20"/>
        </w:rPr>
        <w:t xml:space="preserve"> de </w:t>
      </w:r>
      <w:r w:rsidR="003C32EB">
        <w:rPr>
          <w:rFonts w:asciiTheme="minorHAnsi" w:hAnsiTheme="minorHAnsi"/>
          <w:sz w:val="20"/>
        </w:rPr>
        <w:t>s</w:t>
      </w:r>
      <w:r>
        <w:rPr>
          <w:rFonts w:asciiTheme="minorHAnsi" w:hAnsiTheme="minorHAnsi"/>
          <w:sz w:val="20"/>
        </w:rPr>
        <w:t xml:space="preserve">anidad </w:t>
      </w:r>
      <w:r w:rsidR="003C32EB">
        <w:rPr>
          <w:rFonts w:asciiTheme="minorHAnsi" w:hAnsiTheme="minorHAnsi"/>
          <w:sz w:val="20"/>
        </w:rPr>
        <w:t>a</w:t>
      </w:r>
      <w:r>
        <w:rPr>
          <w:rFonts w:asciiTheme="minorHAnsi" w:hAnsiTheme="minorHAnsi"/>
          <w:sz w:val="20"/>
        </w:rPr>
        <w:t xml:space="preserve">gropecuaria de los </w:t>
      </w:r>
      <w:r w:rsidR="003C32EB">
        <w:rPr>
          <w:rFonts w:asciiTheme="minorHAnsi" w:hAnsiTheme="minorHAnsi"/>
          <w:sz w:val="20"/>
        </w:rPr>
        <w:t>p</w:t>
      </w:r>
      <w:r>
        <w:rPr>
          <w:rFonts w:asciiTheme="minorHAnsi" w:hAnsiTheme="minorHAnsi"/>
          <w:sz w:val="20"/>
        </w:rPr>
        <w:t xml:space="preserve">aíses </w:t>
      </w:r>
      <w:r w:rsidR="003C32EB">
        <w:rPr>
          <w:rFonts w:asciiTheme="minorHAnsi" w:hAnsiTheme="minorHAnsi"/>
          <w:sz w:val="20"/>
        </w:rPr>
        <w:t>m</w:t>
      </w:r>
      <w:r>
        <w:rPr>
          <w:rFonts w:asciiTheme="minorHAnsi" w:hAnsiTheme="minorHAnsi"/>
          <w:sz w:val="20"/>
        </w:rPr>
        <w:t xml:space="preserve">iembros, busca desarrollar normas, programas comunes y proyectos de impacto regional para mantener y mejorar la competitividad de la producción agropecuaria. La labor </w:t>
      </w:r>
      <w:r w:rsidR="003C32EB">
        <w:rPr>
          <w:rFonts w:asciiTheme="minorHAnsi" w:hAnsiTheme="minorHAnsi"/>
          <w:sz w:val="20"/>
        </w:rPr>
        <w:t>a</w:t>
      </w:r>
      <w:r>
        <w:rPr>
          <w:rFonts w:asciiTheme="minorHAnsi" w:hAnsiTheme="minorHAnsi"/>
          <w:sz w:val="20"/>
        </w:rPr>
        <w:t xml:space="preserve">ndina en materia de sanidad vegetal puede resumirse en cuatro aspectos principales: medidas fitosanitarias, plagas de interés regional, plaguicidas químicos de uso agrícola y actividades en foros internacionales. </w:t>
      </w:r>
    </w:p>
    <w:p w14:paraId="0DA50A7B" w14:textId="00A62FB9" w:rsidR="004114B1" w:rsidRDefault="004114B1" w:rsidP="00556665">
      <w:pPr>
        <w:spacing w:after="120"/>
        <w:jc w:val="both"/>
        <w:rPr>
          <w:rFonts w:asciiTheme="minorHAnsi" w:hAnsiTheme="minorHAnsi" w:cstheme="minorHAnsi"/>
          <w:iCs/>
          <w:sz w:val="20"/>
          <w:szCs w:val="20"/>
        </w:rPr>
      </w:pPr>
      <w:r>
        <w:rPr>
          <w:rFonts w:asciiTheme="minorHAnsi" w:hAnsiTheme="minorHAnsi"/>
          <w:sz w:val="20"/>
        </w:rPr>
        <w:t xml:space="preserve">La Comunidad Andina expidió la Decisión 436/1998 para establecer requisitos y procedimientos armonizados para el registro y control de plaguicidas químicos de uso agrícola y para regular su uso y correcta manipulación. El objetivo es prevenir o minimizar los daños a la salud y el medio ambiente, así como facilitar el comercio en la subregión. Los fabricantes, importadores, exportadores y mayoristas de </w:t>
      </w:r>
      <w:r w:rsidR="00E667C9">
        <w:rPr>
          <w:rFonts w:asciiTheme="minorHAnsi" w:hAnsiTheme="minorHAnsi"/>
          <w:sz w:val="20"/>
        </w:rPr>
        <w:t>P</w:t>
      </w:r>
      <w:r>
        <w:rPr>
          <w:rFonts w:asciiTheme="minorHAnsi" w:hAnsiTheme="minorHAnsi"/>
          <w:sz w:val="20"/>
        </w:rPr>
        <w:t xml:space="preserve">laguicidas de </w:t>
      </w:r>
      <w:r w:rsidR="00E667C9">
        <w:rPr>
          <w:rFonts w:asciiTheme="minorHAnsi" w:hAnsiTheme="minorHAnsi"/>
          <w:sz w:val="20"/>
        </w:rPr>
        <w:t>U</w:t>
      </w:r>
      <w:r>
        <w:rPr>
          <w:rFonts w:asciiTheme="minorHAnsi" w:hAnsiTheme="minorHAnsi"/>
          <w:sz w:val="20"/>
        </w:rPr>
        <w:t xml:space="preserve">so </w:t>
      </w:r>
      <w:r w:rsidR="00E667C9">
        <w:rPr>
          <w:rFonts w:asciiTheme="minorHAnsi" w:hAnsiTheme="minorHAnsi"/>
          <w:sz w:val="20"/>
        </w:rPr>
        <w:t>A</w:t>
      </w:r>
      <w:r>
        <w:rPr>
          <w:rFonts w:asciiTheme="minorHAnsi" w:hAnsiTheme="minorHAnsi"/>
          <w:sz w:val="20"/>
        </w:rPr>
        <w:t>grícola deben estar registrados por la autoridad nacional competente, y se exigen permisos especiales para la investigación y experimentos científicos.</w:t>
      </w:r>
    </w:p>
    <w:p w14:paraId="4896C504" w14:textId="3E737E15" w:rsidR="00DF3AA7" w:rsidRPr="009877C0" w:rsidRDefault="00DF3AA7" w:rsidP="00556665">
      <w:pPr>
        <w:spacing w:after="120"/>
        <w:jc w:val="both"/>
        <w:rPr>
          <w:rFonts w:asciiTheme="minorHAnsi" w:hAnsiTheme="minorHAnsi" w:cstheme="minorHAnsi"/>
          <w:iCs/>
          <w:sz w:val="20"/>
          <w:szCs w:val="20"/>
        </w:rPr>
      </w:pPr>
      <w:r>
        <w:rPr>
          <w:rFonts w:asciiTheme="minorHAnsi" w:hAnsiTheme="minorHAnsi"/>
          <w:sz w:val="20"/>
        </w:rPr>
        <w:t xml:space="preserve">En un contexto global, en diciembre de 2019, se lanzó el Pacto Verde Europeo, con la ambición de la UE de ser el primer continente climáticamente neutro en 2050. La </w:t>
      </w:r>
      <w:r w:rsidR="0029381F">
        <w:rPr>
          <w:rFonts w:asciiTheme="minorHAnsi" w:hAnsiTheme="minorHAnsi"/>
          <w:sz w:val="20"/>
        </w:rPr>
        <w:t>e</w:t>
      </w:r>
      <w:r>
        <w:rPr>
          <w:rFonts w:asciiTheme="minorHAnsi" w:hAnsiTheme="minorHAnsi"/>
          <w:sz w:val="20"/>
        </w:rPr>
        <w:t xml:space="preserve">strategia </w:t>
      </w:r>
      <w:r w:rsidR="003C32EB">
        <w:rPr>
          <w:rFonts w:asciiTheme="minorHAnsi" w:hAnsiTheme="minorHAnsi"/>
          <w:sz w:val="20"/>
        </w:rPr>
        <w:t>D</w:t>
      </w:r>
      <w:r>
        <w:rPr>
          <w:rFonts w:asciiTheme="minorHAnsi" w:hAnsiTheme="minorHAnsi"/>
          <w:sz w:val="20"/>
        </w:rPr>
        <w:t>e la Granja a la Mesa (o F2F, Farm to Fork) se publicó en mayo de 2020 junto con la Estrategia de Biodiversidad en el Horizonte 2030, incorporando ya el escenario COVID. La UE destinará el 40% de los fondos de la Política Agrícola Común (PAC) a acciones F2F, para vincular la alimentación con la salud de las personas, las sociedades y el planeta. Los aspectos obligatorios y vinculantes, como los límites máximos de residuos de plaguicidas, serán más exigentes y una serie de agroquímicos nitrogenados y fosforados, así como los antibióticos, que tradicionalmente se utilizan para garantizar la salud de plantas y animales, manteniendo su productividad, entrarían en las listas de prohibiciones.</w:t>
      </w:r>
    </w:p>
    <w:p w14:paraId="6C25605B" w14:textId="77777777" w:rsidR="00C50752" w:rsidRPr="00B92A1D" w:rsidRDefault="00C50752" w:rsidP="00E95BA3">
      <w:pPr>
        <w:spacing w:after="120"/>
        <w:jc w:val="both"/>
        <w:rPr>
          <w:rFonts w:asciiTheme="minorHAnsi" w:hAnsiTheme="minorHAnsi" w:cstheme="minorHAnsi"/>
          <w:i/>
          <w:iCs/>
          <w:sz w:val="20"/>
          <w:szCs w:val="20"/>
          <w:u w:val="single"/>
        </w:rPr>
      </w:pPr>
      <w:r>
        <w:rPr>
          <w:rFonts w:asciiTheme="minorHAnsi" w:hAnsiTheme="minorHAnsi"/>
          <w:i/>
          <w:sz w:val="20"/>
          <w:u w:val="single"/>
        </w:rPr>
        <w:t>El sector agrícola en Ecuador</w:t>
      </w:r>
    </w:p>
    <w:p w14:paraId="725CC6CB" w14:textId="6FB8C01B" w:rsidR="007E1907" w:rsidRPr="00A562E4" w:rsidRDefault="00EB3BB4" w:rsidP="00903E2E">
      <w:pPr>
        <w:spacing w:after="120"/>
        <w:jc w:val="both"/>
        <w:rPr>
          <w:rFonts w:asciiTheme="minorHAnsi" w:hAnsiTheme="minorHAnsi" w:cstheme="minorHAnsi"/>
          <w:sz w:val="20"/>
          <w:szCs w:val="20"/>
        </w:rPr>
      </w:pPr>
      <w:r>
        <w:rPr>
          <w:rFonts w:asciiTheme="minorHAnsi" w:hAnsiTheme="minorHAnsi"/>
          <w:color w:val="000000"/>
          <w:sz w:val="20"/>
          <w:shd w:val="clear" w:color="auto" w:fill="FFFFFF"/>
        </w:rPr>
        <w:t xml:space="preserve">En Ecuador, el sector agrícola es de gran importancia para la economía. </w:t>
      </w:r>
      <w:r>
        <w:rPr>
          <w:rFonts w:asciiTheme="minorHAnsi" w:hAnsiTheme="minorHAnsi"/>
          <w:sz w:val="20"/>
        </w:rPr>
        <w:t>Con base en el Sistema de Información Pública Agropecuaria (SIPA)</w:t>
      </w:r>
      <w:r w:rsidRPr="006B76C2">
        <w:rPr>
          <w:rStyle w:val="Refdenotaalpie"/>
          <w:rFonts w:asciiTheme="minorHAnsi" w:hAnsiTheme="minorHAnsi" w:cstheme="minorHAnsi"/>
          <w:szCs w:val="20"/>
        </w:rPr>
        <w:footnoteReference w:id="5"/>
      </w:r>
      <w:r>
        <w:rPr>
          <w:rFonts w:asciiTheme="minorHAnsi" w:hAnsiTheme="minorHAnsi"/>
          <w:sz w:val="20"/>
        </w:rPr>
        <w:t>, del total de la población con empleo para enero de 2022, el 32% corresponde al sector que incluye la agricultura, ganadería, caza, silvicultura y pesca, siendo una de las principales fuentes de empleo en el país. La</w:t>
      </w:r>
      <w:r w:rsidR="00CB59DE">
        <w:rPr>
          <w:rFonts w:asciiTheme="minorHAnsi" w:hAnsiTheme="minorHAnsi"/>
          <w:sz w:val="20"/>
        </w:rPr>
        <w:t xml:space="preserve"> </w:t>
      </w:r>
      <w:r>
        <w:rPr>
          <w:rFonts w:asciiTheme="minorHAnsi" w:hAnsiTheme="minorHAnsi"/>
          <w:color w:val="000000"/>
          <w:sz w:val="20"/>
          <w:shd w:val="clear" w:color="auto" w:fill="FFFFFF"/>
        </w:rPr>
        <w:t xml:space="preserve">agricultura también se considera una de las principales actividades generadoras de grandes ingresos. La participación de este sector frente al </w:t>
      </w:r>
      <w:r>
        <w:rPr>
          <w:rFonts w:asciiTheme="minorHAnsi" w:hAnsiTheme="minorHAnsi"/>
          <w:sz w:val="20"/>
        </w:rPr>
        <w:t>Producto Interior Bruto (PIB)</w:t>
      </w:r>
      <w:r>
        <w:rPr>
          <w:rFonts w:asciiTheme="minorHAnsi" w:hAnsiTheme="minorHAnsi"/>
          <w:color w:val="000000"/>
          <w:sz w:val="20"/>
          <w:shd w:val="clear" w:color="auto" w:fill="FFFFFF"/>
        </w:rPr>
        <w:t xml:space="preserve"> la ha convertido en uno de los principales pilares de la economía nacional. </w:t>
      </w:r>
      <w:r>
        <w:rPr>
          <w:rFonts w:asciiTheme="minorHAnsi" w:hAnsiTheme="minorHAnsi"/>
          <w:sz w:val="20"/>
        </w:rPr>
        <w:t>Según</w:t>
      </w:r>
      <w:r w:rsidR="00F6165C">
        <w:rPr>
          <w:rFonts w:asciiTheme="minorHAnsi" w:hAnsiTheme="minorHAnsi"/>
          <w:sz w:val="20"/>
        </w:rPr>
        <w:t xml:space="preserve"> </w:t>
      </w:r>
      <w:r>
        <w:rPr>
          <w:rFonts w:asciiTheme="minorHAnsi" w:hAnsiTheme="minorHAnsi"/>
          <w:color w:val="000000"/>
          <w:sz w:val="20"/>
          <w:shd w:val="clear" w:color="auto" w:fill="FFFFFF"/>
        </w:rPr>
        <w:t xml:space="preserve">los últimos datos disponibles, para el año 2020 </w:t>
      </w:r>
      <w:r>
        <w:rPr>
          <w:rFonts w:asciiTheme="minorHAnsi" w:hAnsiTheme="minorHAnsi"/>
          <w:sz w:val="20"/>
        </w:rPr>
        <w:t>, el Valor Agregado Bruto (VAB) agrícola nacional contribuía en un 8,25% al PIB</w:t>
      </w:r>
      <w:r>
        <w:rPr>
          <w:rStyle w:val="Refdenotaalpie"/>
          <w:rFonts w:asciiTheme="minorHAnsi" w:hAnsiTheme="minorHAnsi"/>
        </w:rPr>
        <w:t xml:space="preserve"> </w:t>
      </w:r>
      <w:r w:rsidR="00625F26" w:rsidRPr="006B76C2">
        <w:rPr>
          <w:rStyle w:val="Refdenotaalpie"/>
          <w:rFonts w:asciiTheme="minorHAnsi" w:hAnsiTheme="minorHAnsi" w:cstheme="minorHAnsi"/>
          <w:szCs w:val="20"/>
        </w:rPr>
        <w:footnoteReference w:id="6"/>
      </w:r>
      <w:r>
        <w:rPr>
          <w:rFonts w:asciiTheme="minorHAnsi" w:hAnsiTheme="minorHAnsi"/>
          <w:sz w:val="20"/>
        </w:rPr>
        <w:t>. Además, el sector agrícola aporta aproximadamente el 70% de los alimentos que se consumen en el país, por lo que es vital para la seguridad y la soberanía alimentarias</w:t>
      </w:r>
      <w:r w:rsidR="00CA5B64">
        <w:rPr>
          <w:rStyle w:val="Refdenotaalpie"/>
          <w:rFonts w:cstheme="minorHAnsi"/>
          <w:szCs w:val="20"/>
          <w:lang w:val="en-US"/>
        </w:rPr>
        <w:footnoteReference w:id="7"/>
      </w:r>
      <w:r>
        <w:rPr>
          <w:rFonts w:asciiTheme="minorHAnsi" w:hAnsiTheme="minorHAnsi"/>
          <w:sz w:val="20"/>
        </w:rPr>
        <w:t>.</w:t>
      </w:r>
    </w:p>
    <w:p w14:paraId="1B9FBC60" w14:textId="3AD4454A" w:rsidR="00E90570" w:rsidRPr="00931886" w:rsidRDefault="00762396" w:rsidP="00903E2E">
      <w:pPr>
        <w:spacing w:after="120"/>
        <w:jc w:val="both"/>
        <w:rPr>
          <w:rFonts w:asciiTheme="minorHAnsi" w:hAnsiTheme="minorHAnsi" w:cstheme="minorHAnsi"/>
          <w:color w:val="000000" w:themeColor="text1"/>
          <w:sz w:val="20"/>
          <w:szCs w:val="20"/>
          <w:shd w:val="clear" w:color="auto" w:fill="FFFFFF"/>
        </w:rPr>
      </w:pPr>
      <w:r>
        <w:rPr>
          <w:rFonts w:asciiTheme="minorHAnsi" w:hAnsiTheme="minorHAnsi"/>
          <w:color w:val="000000" w:themeColor="text1"/>
          <w:sz w:val="20"/>
          <w:shd w:val="clear" w:color="auto" w:fill="FFFFFF"/>
        </w:rPr>
        <w:t>El último Censo Nacional Agropecuario (2000)</w:t>
      </w:r>
      <w:r w:rsidR="00EA4FC3" w:rsidRPr="00931886">
        <w:rPr>
          <w:rStyle w:val="Refdenotaalpie"/>
          <w:rFonts w:asciiTheme="minorHAnsi" w:hAnsiTheme="minorHAnsi" w:cstheme="minorHAnsi"/>
          <w:color w:val="000000" w:themeColor="text1"/>
          <w:sz w:val="20"/>
          <w:szCs w:val="20"/>
          <w:shd w:val="clear" w:color="auto" w:fill="FFFFFF"/>
        </w:rPr>
        <w:footnoteReference w:id="8"/>
      </w:r>
      <w:r>
        <w:rPr>
          <w:rFonts w:asciiTheme="minorHAnsi" w:hAnsiTheme="minorHAnsi"/>
          <w:color w:val="000000" w:themeColor="text1"/>
          <w:sz w:val="20"/>
          <w:shd w:val="clear" w:color="auto" w:fill="FFFFFF"/>
        </w:rPr>
        <w:t xml:space="preserve"> reveló que en Ecuador existen aproximadamente 842.882 Unidades de Producción Agropecuaria (UPAs) en las áreas de cultivos permanentes, cultivos transitorios, pastos naturales, bosques y otros usos. Hoy en día, según las proyecciones del MAG, el número de UPAs ascendería a un millón en todo el territorio. A través del Registro Nacional Agropecuario (Renagro) el Ministerio de Agricultura ya empezó a actualizar esta información en noviembre del 2020 en sitios piloto (Tosagua (Manabí), Carlos Julio Tola Arosemena (Napo), Guamote (Chimborazo) y Catamayo (Loja)). La información resultante del Renagro constituirá una valiosa herramienta para promover una gestión eficiente del sector con políticas diferenciadas para, entre otros, combatir el contrabando, focalizar subsidios, reducir vulnerabilidades, tener alertas y reacciones tempranas; atender a la población de manera más ordenada para promover cadenas más estratégicas, o alertar sobre problemas comerciales. </w:t>
      </w:r>
    </w:p>
    <w:p w14:paraId="763D0895" w14:textId="23760B6A" w:rsidR="00803515" w:rsidRDefault="00B90B8C" w:rsidP="00903E2E">
      <w:pPr>
        <w:spacing w:after="120"/>
        <w:jc w:val="both"/>
        <w:rPr>
          <w:rFonts w:asciiTheme="minorHAnsi" w:hAnsiTheme="minorHAnsi" w:cstheme="minorHAnsi"/>
          <w:sz w:val="20"/>
          <w:szCs w:val="20"/>
        </w:rPr>
      </w:pPr>
      <w:r>
        <w:rPr>
          <w:rFonts w:asciiTheme="minorHAnsi" w:hAnsiTheme="minorHAnsi"/>
          <w:color w:val="000000"/>
          <w:sz w:val="20"/>
          <w:shd w:val="clear" w:color="auto" w:fill="FFFFFF"/>
        </w:rPr>
        <w:t xml:space="preserve">Del total de agricultores ecuatorianos, el 80,4% son productores de 1 a 20 hectáreas (el 30% son productores de 1 hectárea), que pueden considerarse pequeños y medianos agricultores. En promedio, </w:t>
      </w:r>
      <w:r>
        <w:rPr>
          <w:rFonts w:asciiTheme="minorHAnsi" w:hAnsiTheme="minorHAnsi"/>
          <w:sz w:val="20"/>
        </w:rPr>
        <w:t xml:space="preserve">la composición nacional de los productores agrícolas </w:t>
      </w:r>
      <w:r w:rsidR="00803515" w:rsidRPr="001159D0">
        <w:rPr>
          <w:rStyle w:val="Refdenotaalpie"/>
          <w:rFonts w:asciiTheme="minorHAnsi" w:hAnsiTheme="minorHAnsi" w:cstheme="minorHAnsi"/>
          <w:sz w:val="20"/>
          <w:szCs w:val="20"/>
        </w:rPr>
        <w:footnoteReference w:id="9"/>
      </w:r>
      <w:r>
        <w:rPr>
          <w:rFonts w:asciiTheme="minorHAnsi" w:hAnsiTheme="minorHAnsi"/>
          <w:sz w:val="20"/>
        </w:rPr>
        <w:t xml:space="preserve"> son 72,97% hombres y 27,03% mujeres. Asimismo, una media del 1,25% corresponde a afroecuatorianos; el 14,65% a indígenas; el 70,27% a mestizos; el 11,16% a montubios; el 1,50% a blancos; y el 1,17% a otros grupos étnicos.</w:t>
      </w:r>
    </w:p>
    <w:p w14:paraId="00C818FE" w14:textId="1253CA0C" w:rsidR="00A73D43" w:rsidRDefault="00AF498F" w:rsidP="00903E2E">
      <w:pPr>
        <w:spacing w:after="120"/>
        <w:jc w:val="both"/>
        <w:rPr>
          <w:rFonts w:asciiTheme="minorHAnsi" w:hAnsiTheme="minorHAnsi"/>
          <w:sz w:val="20"/>
        </w:rPr>
      </w:pPr>
      <w:r>
        <w:rPr>
          <w:rFonts w:asciiTheme="minorHAnsi" w:hAnsiTheme="minorHAnsi"/>
          <w:color w:val="000000" w:themeColor="text1"/>
          <w:sz w:val="20"/>
          <w:shd w:val="clear" w:color="auto" w:fill="FFFFFF"/>
        </w:rPr>
        <w:t>Con base en las cifras agroproductivas correspondientes al año 2020</w:t>
      </w:r>
      <w:r w:rsidR="0042426B">
        <w:rPr>
          <w:rStyle w:val="Refdenotaalpie"/>
          <w:rFonts w:cstheme="minorHAnsi"/>
          <w:color w:val="000000" w:themeColor="text1"/>
          <w:szCs w:val="20"/>
          <w:shd w:val="clear" w:color="auto" w:fill="FFFFFF"/>
          <w:lang w:val="en-US"/>
        </w:rPr>
        <w:footnoteReference w:id="10"/>
      </w:r>
      <w:r>
        <w:rPr>
          <w:rFonts w:asciiTheme="minorHAnsi" w:hAnsiTheme="minorHAnsi"/>
          <w:color w:val="000000" w:themeColor="text1"/>
          <w:sz w:val="20"/>
          <w:shd w:val="clear" w:color="auto" w:fill="FFFFFF"/>
        </w:rPr>
        <w:t xml:space="preserve">, en el país se destinan aproximadamente 2.3 millones de hectáreas para uso agrícola/producción de cultivos, 60% para cultivos permanentes y 40% para cultivos transitorios. Las provincias que mayor participación tienen sobre el área total agrícola nacional son Guayas (23%); Los Ríos (20%); Manabí (14%); Esmeraldas (9%), Santo Domingo de los Tsáchilas (4%) y Sucumbíos (4%), que concentran en conjunto el 75% del área de cultivo nacional (permanente/transitoria) y que pertenecen principalmente a la región Costa. </w:t>
      </w:r>
      <w:r>
        <w:rPr>
          <w:rFonts w:asciiTheme="minorHAnsi" w:hAnsiTheme="minorHAnsi"/>
          <w:sz w:val="20"/>
        </w:rPr>
        <w:t xml:space="preserve">Los cultivos que representan el 80% de la superficie cultivada son: el cacao, maíz duro seco, arroz, palma aceitera y banano, mientras que los más significativos en términos de volumen de producción (toneladas) son la caña de azúcar (45%), el banano (24,6%), la palma aceitera (10%), el arroz (5,5%) y el maíz duro seco (5,3%). Para más detalles, véase el cuadro siguiente: </w:t>
      </w:r>
    </w:p>
    <w:p w14:paraId="337AE9C7" w14:textId="0D6752B5" w:rsidR="00081619" w:rsidRDefault="00081619" w:rsidP="00903E2E">
      <w:pPr>
        <w:spacing w:after="120"/>
        <w:jc w:val="both"/>
        <w:rPr>
          <w:rFonts w:asciiTheme="minorHAnsi" w:hAnsiTheme="minorHAnsi"/>
          <w:sz w:val="20"/>
        </w:rPr>
      </w:pPr>
    </w:p>
    <w:p w14:paraId="4FDCB44F" w14:textId="77777777" w:rsidR="00081619" w:rsidRPr="003B1014" w:rsidRDefault="00081619" w:rsidP="00903E2E">
      <w:pPr>
        <w:spacing w:after="120"/>
        <w:jc w:val="both"/>
        <w:rPr>
          <w:rFonts w:asciiTheme="minorHAnsi" w:hAnsiTheme="minorHAnsi" w:cstheme="minorHAnsi"/>
          <w:sz w:val="20"/>
          <w:szCs w:val="20"/>
        </w:rPr>
      </w:pPr>
    </w:p>
    <w:p w14:paraId="7AA9A21B" w14:textId="39E89BC4" w:rsidR="00A73D43" w:rsidRPr="004312B9" w:rsidRDefault="004312B9" w:rsidP="004312B9">
      <w:pPr>
        <w:pStyle w:val="Descripcin"/>
        <w:keepNext/>
        <w:rPr>
          <w:rFonts w:asciiTheme="minorHAnsi" w:hAnsiTheme="minorHAnsi" w:cstheme="minorHAnsi"/>
          <w:sz w:val="18"/>
          <w:szCs w:val="18"/>
        </w:rPr>
      </w:pPr>
      <w:bookmarkStart w:id="8" w:name="_Toc114650451"/>
      <w:r>
        <w:rPr>
          <w:rFonts w:asciiTheme="minorHAnsi" w:hAnsiTheme="minorHAnsi"/>
          <w:sz w:val="18"/>
        </w:rPr>
        <w:t xml:space="preserve">Tabla </w:t>
      </w:r>
      <w:r w:rsidRPr="004312B9">
        <w:rPr>
          <w:rFonts w:asciiTheme="minorHAnsi" w:hAnsiTheme="minorHAnsi" w:cstheme="minorHAnsi"/>
          <w:sz w:val="18"/>
        </w:rPr>
        <w:fldChar w:fldCharType="begin"/>
      </w:r>
      <w:r w:rsidRPr="004312B9">
        <w:rPr>
          <w:rFonts w:asciiTheme="minorHAnsi" w:hAnsiTheme="minorHAnsi" w:cstheme="minorHAnsi"/>
          <w:sz w:val="18"/>
        </w:rPr>
        <w:instrText xml:space="preserve"> SEQ Table \* ARABIC </w:instrText>
      </w:r>
      <w:r w:rsidRPr="004312B9">
        <w:rPr>
          <w:rFonts w:asciiTheme="minorHAnsi" w:hAnsiTheme="minorHAnsi" w:cstheme="minorHAnsi"/>
          <w:sz w:val="18"/>
        </w:rPr>
        <w:fldChar w:fldCharType="separate"/>
      </w:r>
      <w:r w:rsidR="004D0AC8">
        <w:rPr>
          <w:rFonts w:asciiTheme="minorHAnsi" w:hAnsiTheme="minorHAnsi" w:cstheme="minorHAnsi"/>
          <w:noProof/>
          <w:sz w:val="18"/>
        </w:rPr>
        <w:t>1</w:t>
      </w:r>
      <w:r w:rsidRPr="004312B9">
        <w:rPr>
          <w:rFonts w:asciiTheme="minorHAnsi" w:hAnsiTheme="minorHAnsi" w:cstheme="minorHAnsi"/>
          <w:sz w:val="18"/>
        </w:rPr>
        <w:fldChar w:fldCharType="end"/>
      </w:r>
      <w:r>
        <w:rPr>
          <w:rFonts w:asciiTheme="minorHAnsi" w:hAnsiTheme="minorHAnsi"/>
          <w:sz w:val="18"/>
        </w:rPr>
        <w:t>: Principales cultivos 2020</w:t>
      </w:r>
      <w:bookmarkEnd w:id="8"/>
    </w:p>
    <w:tbl>
      <w:tblPr>
        <w:tblW w:w="8195" w:type="dxa"/>
        <w:tblCellMar>
          <w:left w:w="70" w:type="dxa"/>
          <w:right w:w="70" w:type="dxa"/>
        </w:tblCellMar>
        <w:tblLook w:val="04A0" w:firstRow="1" w:lastRow="0" w:firstColumn="1" w:lastColumn="0" w:noHBand="0" w:noVBand="1"/>
      </w:tblPr>
      <w:tblGrid>
        <w:gridCol w:w="460"/>
        <w:gridCol w:w="1515"/>
        <w:gridCol w:w="1537"/>
        <w:gridCol w:w="1470"/>
        <w:gridCol w:w="1270"/>
        <w:gridCol w:w="1943"/>
      </w:tblGrid>
      <w:tr w:rsidR="006154C9" w:rsidRPr="00163085" w14:paraId="57953E80" w14:textId="062922BF" w:rsidTr="00DD0949">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B357B" w14:textId="77777777" w:rsidR="006154C9" w:rsidRPr="00163085" w:rsidRDefault="006154C9" w:rsidP="006154C9">
            <w:pPr>
              <w:rPr>
                <w:rFonts w:asciiTheme="minorHAnsi" w:hAnsiTheme="minorHAnsi" w:cstheme="minorHAnsi"/>
                <w:b/>
                <w:bCs/>
                <w:color w:val="000000"/>
                <w:sz w:val="18"/>
                <w:szCs w:val="18"/>
              </w:rPr>
            </w:pPr>
            <w:r>
              <w:rPr>
                <w:rFonts w:asciiTheme="minorHAnsi" w:hAnsiTheme="minorHAnsi"/>
                <w:b/>
                <w:color w:val="000000"/>
                <w:sz w:val="18"/>
              </w:rPr>
              <w:t>No.</w:t>
            </w:r>
          </w:p>
        </w:tc>
        <w:tc>
          <w:tcPr>
            <w:tcW w:w="1515" w:type="dxa"/>
            <w:tcBorders>
              <w:top w:val="single" w:sz="4" w:space="0" w:color="auto"/>
              <w:left w:val="nil"/>
              <w:bottom w:val="single" w:sz="4" w:space="0" w:color="auto"/>
              <w:right w:val="single" w:sz="4" w:space="0" w:color="auto"/>
            </w:tcBorders>
            <w:shd w:val="clear" w:color="auto" w:fill="auto"/>
            <w:noWrap/>
            <w:vAlign w:val="center"/>
            <w:hideMark/>
          </w:tcPr>
          <w:p w14:paraId="7CFFA851" w14:textId="622057A2" w:rsidR="006154C9" w:rsidRPr="00163085" w:rsidRDefault="006154C9" w:rsidP="006154C9">
            <w:pPr>
              <w:rPr>
                <w:rFonts w:asciiTheme="minorHAnsi" w:hAnsiTheme="minorHAnsi" w:cstheme="minorHAnsi"/>
                <w:b/>
                <w:bCs/>
                <w:color w:val="000000"/>
                <w:sz w:val="18"/>
                <w:szCs w:val="18"/>
              </w:rPr>
            </w:pPr>
            <w:r>
              <w:rPr>
                <w:rFonts w:asciiTheme="minorHAnsi" w:hAnsiTheme="minorHAnsi"/>
                <w:b/>
                <w:color w:val="000000"/>
                <w:sz w:val="18"/>
              </w:rPr>
              <w:t>Producto</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14:paraId="76E91632" w14:textId="62FBF9EE" w:rsidR="006154C9" w:rsidRPr="00163085"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Superficie plantada (ha)</w:t>
            </w:r>
          </w:p>
        </w:tc>
        <w:tc>
          <w:tcPr>
            <w:tcW w:w="1470" w:type="dxa"/>
            <w:tcBorders>
              <w:top w:val="single" w:sz="4" w:space="0" w:color="auto"/>
              <w:left w:val="nil"/>
              <w:bottom w:val="single" w:sz="4" w:space="0" w:color="auto"/>
              <w:right w:val="single" w:sz="4" w:space="0" w:color="auto"/>
            </w:tcBorders>
            <w:vAlign w:val="center"/>
          </w:tcPr>
          <w:p w14:paraId="2054B78A" w14:textId="77777777" w:rsidR="00DD0949"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 xml:space="preserve">Participación </w:t>
            </w:r>
          </w:p>
          <w:p w14:paraId="16902F16" w14:textId="66853BD1" w:rsidR="006154C9" w:rsidRPr="006154C9"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en la superficie total (%)</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57638" w14:textId="025BCB3A" w:rsidR="006154C9" w:rsidRPr="00163085"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Producción (t)</w:t>
            </w:r>
          </w:p>
        </w:tc>
        <w:tc>
          <w:tcPr>
            <w:tcW w:w="1943" w:type="dxa"/>
            <w:tcBorders>
              <w:top w:val="single" w:sz="4" w:space="0" w:color="auto"/>
              <w:left w:val="single" w:sz="4" w:space="0" w:color="auto"/>
              <w:bottom w:val="single" w:sz="4" w:space="0" w:color="auto"/>
              <w:right w:val="single" w:sz="4" w:space="0" w:color="auto"/>
            </w:tcBorders>
            <w:vAlign w:val="center"/>
          </w:tcPr>
          <w:p w14:paraId="645F9AC7" w14:textId="77777777" w:rsidR="00DD0949"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 xml:space="preserve">Participación </w:t>
            </w:r>
          </w:p>
          <w:p w14:paraId="7326B16E" w14:textId="6D11F136" w:rsidR="006154C9" w:rsidRPr="006154C9"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en la producción total (%)</w:t>
            </w:r>
          </w:p>
        </w:tc>
      </w:tr>
      <w:tr w:rsidR="006154C9" w:rsidRPr="00163085" w14:paraId="11050369" w14:textId="2E71C412"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38B8D85"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w:t>
            </w:r>
          </w:p>
        </w:tc>
        <w:tc>
          <w:tcPr>
            <w:tcW w:w="1515" w:type="dxa"/>
            <w:tcBorders>
              <w:top w:val="nil"/>
              <w:left w:val="nil"/>
              <w:bottom w:val="single" w:sz="4" w:space="0" w:color="auto"/>
              <w:right w:val="single" w:sz="4" w:space="0" w:color="auto"/>
            </w:tcBorders>
            <w:shd w:val="clear" w:color="auto" w:fill="auto"/>
            <w:noWrap/>
            <w:vAlign w:val="center"/>
            <w:hideMark/>
          </w:tcPr>
          <w:p w14:paraId="6BC0D2B3"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Cacao</w:t>
            </w:r>
          </w:p>
        </w:tc>
        <w:tc>
          <w:tcPr>
            <w:tcW w:w="1537" w:type="dxa"/>
            <w:tcBorders>
              <w:top w:val="nil"/>
              <w:left w:val="nil"/>
              <w:bottom w:val="single" w:sz="4" w:space="0" w:color="auto"/>
              <w:right w:val="single" w:sz="4" w:space="0" w:color="auto"/>
            </w:tcBorders>
            <w:shd w:val="clear" w:color="auto" w:fill="auto"/>
            <w:noWrap/>
            <w:vAlign w:val="center"/>
            <w:hideMark/>
          </w:tcPr>
          <w:p w14:paraId="5F5FFD62" w14:textId="56BC7E89"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590.579</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0F0E9BF7" w14:textId="470A9A7E"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25,9%</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0888939" w14:textId="77FE9761"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327.903</w:t>
            </w:r>
          </w:p>
        </w:tc>
        <w:tc>
          <w:tcPr>
            <w:tcW w:w="1943" w:type="dxa"/>
            <w:tcBorders>
              <w:top w:val="single" w:sz="4" w:space="0" w:color="auto"/>
              <w:left w:val="nil"/>
              <w:bottom w:val="single" w:sz="4" w:space="0" w:color="auto"/>
              <w:right w:val="single" w:sz="4" w:space="0" w:color="auto"/>
            </w:tcBorders>
            <w:shd w:val="clear" w:color="auto" w:fill="auto"/>
            <w:vAlign w:val="center"/>
          </w:tcPr>
          <w:p w14:paraId="5D7BAACC" w14:textId="656A2A51"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1,3%</w:t>
            </w:r>
          </w:p>
        </w:tc>
      </w:tr>
      <w:tr w:rsidR="006154C9" w:rsidRPr="00163085" w14:paraId="79C19B3D" w14:textId="6C544027"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860935D"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w:t>
            </w:r>
          </w:p>
        </w:tc>
        <w:tc>
          <w:tcPr>
            <w:tcW w:w="1515" w:type="dxa"/>
            <w:tcBorders>
              <w:top w:val="nil"/>
              <w:left w:val="nil"/>
              <w:bottom w:val="single" w:sz="4" w:space="0" w:color="auto"/>
              <w:right w:val="single" w:sz="4" w:space="0" w:color="auto"/>
            </w:tcBorders>
            <w:shd w:val="clear" w:color="auto" w:fill="auto"/>
            <w:noWrap/>
            <w:vAlign w:val="center"/>
            <w:hideMark/>
          </w:tcPr>
          <w:p w14:paraId="7C0208F2"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Maíz duro seco</w:t>
            </w:r>
          </w:p>
        </w:tc>
        <w:tc>
          <w:tcPr>
            <w:tcW w:w="1537" w:type="dxa"/>
            <w:tcBorders>
              <w:top w:val="nil"/>
              <w:left w:val="nil"/>
              <w:bottom w:val="single" w:sz="4" w:space="0" w:color="auto"/>
              <w:right w:val="single" w:sz="4" w:space="0" w:color="auto"/>
            </w:tcBorders>
            <w:shd w:val="clear" w:color="auto" w:fill="auto"/>
            <w:noWrap/>
            <w:vAlign w:val="center"/>
            <w:hideMark/>
          </w:tcPr>
          <w:p w14:paraId="751E3046" w14:textId="326F9DA9"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365.725</w:t>
            </w:r>
          </w:p>
        </w:tc>
        <w:tc>
          <w:tcPr>
            <w:tcW w:w="1470" w:type="dxa"/>
            <w:tcBorders>
              <w:top w:val="nil"/>
              <w:left w:val="single" w:sz="4" w:space="0" w:color="auto"/>
              <w:bottom w:val="single" w:sz="4" w:space="0" w:color="auto"/>
              <w:right w:val="single" w:sz="4" w:space="0" w:color="auto"/>
            </w:tcBorders>
            <w:shd w:val="clear" w:color="auto" w:fill="auto"/>
            <w:vAlign w:val="center"/>
          </w:tcPr>
          <w:p w14:paraId="1D013342" w14:textId="2B6C9D7A"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16,0%</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22ED582" w14:textId="7856D821"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1.304.884</w:t>
            </w:r>
          </w:p>
        </w:tc>
        <w:tc>
          <w:tcPr>
            <w:tcW w:w="1943" w:type="dxa"/>
            <w:tcBorders>
              <w:top w:val="nil"/>
              <w:left w:val="nil"/>
              <w:bottom w:val="single" w:sz="4" w:space="0" w:color="auto"/>
              <w:right w:val="single" w:sz="4" w:space="0" w:color="auto"/>
            </w:tcBorders>
            <w:shd w:val="clear" w:color="auto" w:fill="auto"/>
            <w:vAlign w:val="center"/>
          </w:tcPr>
          <w:p w14:paraId="772E1585" w14:textId="390DF977"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5,3%</w:t>
            </w:r>
          </w:p>
        </w:tc>
      </w:tr>
      <w:tr w:rsidR="006154C9" w:rsidRPr="00163085" w14:paraId="28F26E3D" w14:textId="3DFC8B2C"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36D6A26"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3</w:t>
            </w:r>
          </w:p>
        </w:tc>
        <w:tc>
          <w:tcPr>
            <w:tcW w:w="1515" w:type="dxa"/>
            <w:tcBorders>
              <w:top w:val="nil"/>
              <w:left w:val="nil"/>
              <w:bottom w:val="single" w:sz="4" w:space="0" w:color="auto"/>
              <w:right w:val="single" w:sz="4" w:space="0" w:color="auto"/>
            </w:tcBorders>
            <w:shd w:val="clear" w:color="auto" w:fill="auto"/>
            <w:noWrap/>
            <w:vAlign w:val="center"/>
            <w:hideMark/>
          </w:tcPr>
          <w:p w14:paraId="678DF85D"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Arroz</w:t>
            </w:r>
          </w:p>
        </w:tc>
        <w:tc>
          <w:tcPr>
            <w:tcW w:w="1537" w:type="dxa"/>
            <w:tcBorders>
              <w:top w:val="nil"/>
              <w:left w:val="nil"/>
              <w:bottom w:val="single" w:sz="4" w:space="0" w:color="auto"/>
              <w:right w:val="single" w:sz="4" w:space="0" w:color="auto"/>
            </w:tcBorders>
            <w:shd w:val="clear" w:color="auto" w:fill="auto"/>
            <w:noWrap/>
            <w:vAlign w:val="center"/>
            <w:hideMark/>
          </w:tcPr>
          <w:p w14:paraId="4C7DE957" w14:textId="4447A353"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315.023</w:t>
            </w:r>
          </w:p>
        </w:tc>
        <w:tc>
          <w:tcPr>
            <w:tcW w:w="1470" w:type="dxa"/>
            <w:tcBorders>
              <w:top w:val="nil"/>
              <w:left w:val="single" w:sz="4" w:space="0" w:color="auto"/>
              <w:bottom w:val="single" w:sz="4" w:space="0" w:color="auto"/>
              <w:right w:val="single" w:sz="4" w:space="0" w:color="auto"/>
            </w:tcBorders>
            <w:shd w:val="clear" w:color="auto" w:fill="auto"/>
            <w:vAlign w:val="center"/>
          </w:tcPr>
          <w:p w14:paraId="01E21EFD" w14:textId="7E45A515"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13,8%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56D9B7B" w14:textId="261747E3" w:rsidR="006154C9" w:rsidRPr="00163085" w:rsidRDefault="006154C9" w:rsidP="003A1389">
            <w:pPr>
              <w:jc w:val="center"/>
              <w:rPr>
                <w:rFonts w:asciiTheme="minorHAnsi" w:hAnsiTheme="minorHAnsi" w:cstheme="minorHAnsi"/>
                <w:color w:val="000000"/>
                <w:sz w:val="18"/>
                <w:szCs w:val="18"/>
              </w:rPr>
            </w:pPr>
            <w:r>
              <w:rPr>
                <w:rFonts w:asciiTheme="minorHAnsi" w:hAnsiTheme="minorHAnsi"/>
                <w:color w:val="000000"/>
                <w:sz w:val="18"/>
              </w:rPr>
              <w:t>1.336.502</w:t>
            </w:r>
          </w:p>
        </w:tc>
        <w:tc>
          <w:tcPr>
            <w:tcW w:w="1943" w:type="dxa"/>
            <w:tcBorders>
              <w:top w:val="nil"/>
              <w:left w:val="nil"/>
              <w:bottom w:val="single" w:sz="4" w:space="0" w:color="auto"/>
              <w:right w:val="single" w:sz="4" w:space="0" w:color="auto"/>
            </w:tcBorders>
            <w:shd w:val="clear" w:color="auto" w:fill="auto"/>
            <w:vAlign w:val="center"/>
          </w:tcPr>
          <w:p w14:paraId="1C73FA91" w14:textId="70DD52E6"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5,5%</w:t>
            </w:r>
          </w:p>
        </w:tc>
      </w:tr>
      <w:tr w:rsidR="006154C9" w:rsidRPr="00163085" w14:paraId="78BF7663" w14:textId="28604F83"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77BE89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4</w:t>
            </w:r>
          </w:p>
        </w:tc>
        <w:tc>
          <w:tcPr>
            <w:tcW w:w="1515" w:type="dxa"/>
            <w:tcBorders>
              <w:top w:val="nil"/>
              <w:left w:val="nil"/>
              <w:bottom w:val="single" w:sz="4" w:space="0" w:color="auto"/>
              <w:right w:val="single" w:sz="4" w:space="0" w:color="auto"/>
            </w:tcBorders>
            <w:shd w:val="clear" w:color="auto" w:fill="auto"/>
            <w:noWrap/>
            <w:vAlign w:val="center"/>
            <w:hideMark/>
          </w:tcPr>
          <w:p w14:paraId="67978954"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Palma aceitera</w:t>
            </w:r>
          </w:p>
        </w:tc>
        <w:tc>
          <w:tcPr>
            <w:tcW w:w="1537" w:type="dxa"/>
            <w:tcBorders>
              <w:top w:val="nil"/>
              <w:left w:val="nil"/>
              <w:bottom w:val="single" w:sz="4" w:space="0" w:color="auto"/>
              <w:right w:val="single" w:sz="4" w:space="0" w:color="auto"/>
            </w:tcBorders>
            <w:shd w:val="clear" w:color="auto" w:fill="auto"/>
            <w:noWrap/>
            <w:vAlign w:val="center"/>
            <w:hideMark/>
          </w:tcPr>
          <w:p w14:paraId="3B7C41A5" w14:textId="5C196043" w:rsidR="006154C9" w:rsidRPr="00163085" w:rsidRDefault="006154C9" w:rsidP="00730722">
            <w:pPr>
              <w:jc w:val="center"/>
              <w:rPr>
                <w:rFonts w:asciiTheme="minorHAnsi" w:hAnsiTheme="minorHAnsi" w:cstheme="minorHAnsi"/>
                <w:color w:val="000000"/>
                <w:sz w:val="18"/>
                <w:szCs w:val="18"/>
              </w:rPr>
            </w:pPr>
            <w:r>
              <w:rPr>
                <w:rFonts w:asciiTheme="minorHAnsi" w:hAnsiTheme="minorHAnsi"/>
                <w:color w:val="000000"/>
                <w:sz w:val="18"/>
              </w:rPr>
              <w:t>256.854</w:t>
            </w:r>
          </w:p>
        </w:tc>
        <w:tc>
          <w:tcPr>
            <w:tcW w:w="1470" w:type="dxa"/>
            <w:tcBorders>
              <w:top w:val="nil"/>
              <w:left w:val="single" w:sz="4" w:space="0" w:color="auto"/>
              <w:bottom w:val="single" w:sz="4" w:space="0" w:color="auto"/>
              <w:right w:val="single" w:sz="4" w:space="0" w:color="auto"/>
            </w:tcBorders>
            <w:shd w:val="clear" w:color="auto" w:fill="auto"/>
            <w:vAlign w:val="center"/>
          </w:tcPr>
          <w:p w14:paraId="4E1FEBC2" w14:textId="047DCD33"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11,3%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8EF2086" w14:textId="29A65284"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2.446.312</w:t>
            </w:r>
          </w:p>
        </w:tc>
        <w:tc>
          <w:tcPr>
            <w:tcW w:w="1943" w:type="dxa"/>
            <w:tcBorders>
              <w:top w:val="nil"/>
              <w:left w:val="nil"/>
              <w:bottom w:val="single" w:sz="4" w:space="0" w:color="auto"/>
              <w:right w:val="single" w:sz="4" w:space="0" w:color="auto"/>
            </w:tcBorders>
            <w:shd w:val="clear" w:color="auto" w:fill="auto"/>
            <w:vAlign w:val="center"/>
          </w:tcPr>
          <w:p w14:paraId="11D72F55" w14:textId="6705DB9B"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10,0%</w:t>
            </w:r>
          </w:p>
        </w:tc>
      </w:tr>
      <w:tr w:rsidR="006154C9" w:rsidRPr="00163085" w14:paraId="66226A42" w14:textId="073F8216"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42DBFA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5</w:t>
            </w:r>
          </w:p>
        </w:tc>
        <w:tc>
          <w:tcPr>
            <w:tcW w:w="1515" w:type="dxa"/>
            <w:tcBorders>
              <w:top w:val="nil"/>
              <w:left w:val="nil"/>
              <w:bottom w:val="single" w:sz="4" w:space="0" w:color="auto"/>
              <w:right w:val="single" w:sz="4" w:space="0" w:color="auto"/>
            </w:tcBorders>
            <w:shd w:val="clear" w:color="auto" w:fill="auto"/>
            <w:noWrap/>
            <w:vAlign w:val="center"/>
            <w:hideMark/>
          </w:tcPr>
          <w:p w14:paraId="4A1D738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Banano</w:t>
            </w:r>
          </w:p>
        </w:tc>
        <w:tc>
          <w:tcPr>
            <w:tcW w:w="1537" w:type="dxa"/>
            <w:tcBorders>
              <w:top w:val="nil"/>
              <w:left w:val="nil"/>
              <w:bottom w:val="single" w:sz="4" w:space="0" w:color="auto"/>
              <w:right w:val="single" w:sz="4" w:space="0" w:color="auto"/>
            </w:tcBorders>
            <w:shd w:val="clear" w:color="auto" w:fill="auto"/>
            <w:noWrap/>
            <w:vAlign w:val="center"/>
            <w:hideMark/>
          </w:tcPr>
          <w:p w14:paraId="66E50AE8" w14:textId="5C6F13AA" w:rsidR="006154C9" w:rsidRPr="00163085" w:rsidRDefault="006154C9" w:rsidP="00730722">
            <w:pPr>
              <w:jc w:val="center"/>
              <w:rPr>
                <w:rFonts w:asciiTheme="minorHAnsi" w:hAnsiTheme="minorHAnsi" w:cstheme="minorHAnsi"/>
                <w:color w:val="000000"/>
                <w:sz w:val="18"/>
                <w:szCs w:val="18"/>
              </w:rPr>
            </w:pPr>
            <w:r>
              <w:rPr>
                <w:rFonts w:asciiTheme="minorHAnsi" w:hAnsiTheme="minorHAnsi"/>
                <w:color w:val="000000"/>
                <w:sz w:val="18"/>
              </w:rPr>
              <w:t>165.080</w:t>
            </w:r>
          </w:p>
        </w:tc>
        <w:tc>
          <w:tcPr>
            <w:tcW w:w="1470" w:type="dxa"/>
            <w:tcBorders>
              <w:top w:val="nil"/>
              <w:left w:val="single" w:sz="4" w:space="0" w:color="auto"/>
              <w:bottom w:val="single" w:sz="4" w:space="0" w:color="auto"/>
              <w:right w:val="single" w:sz="4" w:space="0" w:color="auto"/>
            </w:tcBorders>
            <w:shd w:val="clear" w:color="auto" w:fill="auto"/>
            <w:vAlign w:val="center"/>
          </w:tcPr>
          <w:p w14:paraId="6E5D5A6F" w14:textId="47BA9790"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7,2%</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BE04776" w14:textId="635BEFA2"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6.023.390</w:t>
            </w:r>
          </w:p>
        </w:tc>
        <w:tc>
          <w:tcPr>
            <w:tcW w:w="1943" w:type="dxa"/>
            <w:tcBorders>
              <w:top w:val="nil"/>
              <w:left w:val="nil"/>
              <w:bottom w:val="single" w:sz="4" w:space="0" w:color="auto"/>
              <w:right w:val="single" w:sz="4" w:space="0" w:color="auto"/>
            </w:tcBorders>
            <w:shd w:val="clear" w:color="auto" w:fill="auto"/>
            <w:vAlign w:val="center"/>
          </w:tcPr>
          <w:p w14:paraId="2A6E2DEE" w14:textId="5C26584D"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24,6%</w:t>
            </w:r>
          </w:p>
        </w:tc>
      </w:tr>
      <w:tr w:rsidR="006154C9" w:rsidRPr="00163085" w14:paraId="1ADF0A6A" w14:textId="5FE4D62E"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153517F"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6</w:t>
            </w:r>
          </w:p>
        </w:tc>
        <w:tc>
          <w:tcPr>
            <w:tcW w:w="1515" w:type="dxa"/>
            <w:tcBorders>
              <w:top w:val="nil"/>
              <w:left w:val="nil"/>
              <w:bottom w:val="single" w:sz="4" w:space="0" w:color="auto"/>
              <w:right w:val="single" w:sz="4" w:space="0" w:color="auto"/>
            </w:tcBorders>
            <w:shd w:val="clear" w:color="auto" w:fill="auto"/>
            <w:noWrap/>
            <w:vAlign w:val="center"/>
            <w:hideMark/>
          </w:tcPr>
          <w:p w14:paraId="046A6815" w14:textId="161ADA5B"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Banano</w:t>
            </w:r>
            <w:r w:rsidR="00D23868">
              <w:rPr>
                <w:rFonts w:asciiTheme="minorHAnsi" w:hAnsiTheme="minorHAnsi"/>
                <w:color w:val="000000"/>
                <w:sz w:val="18"/>
              </w:rPr>
              <w:t xml:space="preserve"> (plátano)</w:t>
            </w:r>
          </w:p>
        </w:tc>
        <w:tc>
          <w:tcPr>
            <w:tcW w:w="1537" w:type="dxa"/>
            <w:tcBorders>
              <w:top w:val="nil"/>
              <w:left w:val="nil"/>
              <w:bottom w:val="single" w:sz="4" w:space="0" w:color="auto"/>
              <w:right w:val="single" w:sz="4" w:space="0" w:color="auto"/>
            </w:tcBorders>
            <w:shd w:val="clear" w:color="auto" w:fill="auto"/>
            <w:noWrap/>
            <w:vAlign w:val="center"/>
            <w:hideMark/>
          </w:tcPr>
          <w:p w14:paraId="0127932C" w14:textId="6E75B983"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145.501</w:t>
            </w:r>
          </w:p>
        </w:tc>
        <w:tc>
          <w:tcPr>
            <w:tcW w:w="1470" w:type="dxa"/>
            <w:tcBorders>
              <w:top w:val="nil"/>
              <w:left w:val="single" w:sz="4" w:space="0" w:color="auto"/>
              <w:bottom w:val="single" w:sz="4" w:space="0" w:color="auto"/>
              <w:right w:val="single" w:sz="4" w:space="0" w:color="auto"/>
            </w:tcBorders>
            <w:shd w:val="clear" w:color="auto" w:fill="auto"/>
            <w:vAlign w:val="center"/>
          </w:tcPr>
          <w:p w14:paraId="0F61A240" w14:textId="4E8DF2B8"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6,4%</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645B288" w14:textId="3069E36D"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722.298</w:t>
            </w:r>
          </w:p>
        </w:tc>
        <w:tc>
          <w:tcPr>
            <w:tcW w:w="1943" w:type="dxa"/>
            <w:tcBorders>
              <w:top w:val="nil"/>
              <w:left w:val="nil"/>
              <w:bottom w:val="single" w:sz="4" w:space="0" w:color="auto"/>
              <w:right w:val="single" w:sz="4" w:space="0" w:color="auto"/>
            </w:tcBorders>
            <w:shd w:val="clear" w:color="auto" w:fill="auto"/>
            <w:vAlign w:val="center"/>
          </w:tcPr>
          <w:p w14:paraId="68F990EE" w14:textId="5EC20EC4"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3,0%</w:t>
            </w:r>
          </w:p>
        </w:tc>
      </w:tr>
      <w:tr w:rsidR="006154C9" w:rsidRPr="00163085" w14:paraId="56B48108" w14:textId="4939DBB8"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99F3EE0"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7</w:t>
            </w:r>
          </w:p>
        </w:tc>
        <w:tc>
          <w:tcPr>
            <w:tcW w:w="1515" w:type="dxa"/>
            <w:tcBorders>
              <w:top w:val="nil"/>
              <w:left w:val="nil"/>
              <w:bottom w:val="single" w:sz="4" w:space="0" w:color="auto"/>
              <w:right w:val="single" w:sz="4" w:space="0" w:color="auto"/>
            </w:tcBorders>
            <w:shd w:val="clear" w:color="auto" w:fill="auto"/>
            <w:noWrap/>
            <w:vAlign w:val="center"/>
            <w:hideMark/>
          </w:tcPr>
          <w:p w14:paraId="6D3C045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Caña de azúcar</w:t>
            </w:r>
          </w:p>
        </w:tc>
        <w:tc>
          <w:tcPr>
            <w:tcW w:w="1537" w:type="dxa"/>
            <w:tcBorders>
              <w:top w:val="nil"/>
              <w:left w:val="nil"/>
              <w:bottom w:val="single" w:sz="4" w:space="0" w:color="auto"/>
              <w:right w:val="single" w:sz="4" w:space="0" w:color="auto"/>
            </w:tcBorders>
            <w:shd w:val="clear" w:color="auto" w:fill="auto"/>
            <w:noWrap/>
            <w:vAlign w:val="center"/>
            <w:hideMark/>
          </w:tcPr>
          <w:p w14:paraId="327E9BD3" w14:textId="7725EFF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142.010</w:t>
            </w:r>
          </w:p>
        </w:tc>
        <w:tc>
          <w:tcPr>
            <w:tcW w:w="1470" w:type="dxa"/>
            <w:tcBorders>
              <w:top w:val="nil"/>
              <w:left w:val="single" w:sz="4" w:space="0" w:color="auto"/>
              <w:bottom w:val="single" w:sz="4" w:space="0" w:color="auto"/>
              <w:right w:val="single" w:sz="4" w:space="0" w:color="auto"/>
            </w:tcBorders>
            <w:shd w:val="clear" w:color="auto" w:fill="auto"/>
            <w:vAlign w:val="center"/>
          </w:tcPr>
          <w:p w14:paraId="48405C94" w14:textId="0131BB48"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6,2%</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E2CC5FE" w14:textId="3A4B36F1"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11.016.167</w:t>
            </w:r>
          </w:p>
        </w:tc>
        <w:tc>
          <w:tcPr>
            <w:tcW w:w="1943" w:type="dxa"/>
            <w:tcBorders>
              <w:top w:val="nil"/>
              <w:left w:val="nil"/>
              <w:bottom w:val="single" w:sz="4" w:space="0" w:color="auto"/>
              <w:right w:val="single" w:sz="4" w:space="0" w:color="auto"/>
            </w:tcBorders>
            <w:shd w:val="clear" w:color="auto" w:fill="auto"/>
            <w:vAlign w:val="center"/>
          </w:tcPr>
          <w:p w14:paraId="4BAEF2D7" w14:textId="64A7B2EF"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45,1%</w:t>
            </w:r>
          </w:p>
        </w:tc>
      </w:tr>
      <w:tr w:rsidR="006154C9" w:rsidRPr="00163085" w14:paraId="0F1FE077" w14:textId="11A70982"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5C6EEFD"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8</w:t>
            </w:r>
          </w:p>
        </w:tc>
        <w:tc>
          <w:tcPr>
            <w:tcW w:w="1515" w:type="dxa"/>
            <w:tcBorders>
              <w:top w:val="nil"/>
              <w:left w:val="nil"/>
              <w:bottom w:val="single" w:sz="4" w:space="0" w:color="auto"/>
              <w:right w:val="single" w:sz="4" w:space="0" w:color="auto"/>
            </w:tcBorders>
            <w:shd w:val="clear" w:color="auto" w:fill="auto"/>
            <w:noWrap/>
            <w:vAlign w:val="center"/>
            <w:hideMark/>
          </w:tcPr>
          <w:p w14:paraId="1BCB4D02"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Maíz suave seco</w:t>
            </w:r>
          </w:p>
        </w:tc>
        <w:tc>
          <w:tcPr>
            <w:tcW w:w="1537" w:type="dxa"/>
            <w:tcBorders>
              <w:top w:val="nil"/>
              <w:left w:val="nil"/>
              <w:bottom w:val="single" w:sz="4" w:space="0" w:color="auto"/>
              <w:right w:val="single" w:sz="4" w:space="0" w:color="auto"/>
            </w:tcBorders>
            <w:shd w:val="clear" w:color="auto" w:fill="auto"/>
            <w:noWrap/>
            <w:vAlign w:val="center"/>
            <w:hideMark/>
          </w:tcPr>
          <w:p w14:paraId="61560B2F" w14:textId="59AD3579"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58.513</w:t>
            </w:r>
          </w:p>
        </w:tc>
        <w:tc>
          <w:tcPr>
            <w:tcW w:w="1470" w:type="dxa"/>
            <w:tcBorders>
              <w:top w:val="nil"/>
              <w:left w:val="single" w:sz="4" w:space="0" w:color="auto"/>
              <w:bottom w:val="single" w:sz="4" w:space="0" w:color="auto"/>
              <w:right w:val="single" w:sz="4" w:space="0" w:color="auto"/>
            </w:tcBorders>
            <w:shd w:val="clear" w:color="auto" w:fill="auto"/>
            <w:vAlign w:val="center"/>
          </w:tcPr>
          <w:p w14:paraId="0B2840D2" w14:textId="1D8F7AEC"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2,6%</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CF7F286" w14:textId="5416AA8C"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88.594</w:t>
            </w:r>
          </w:p>
        </w:tc>
        <w:tc>
          <w:tcPr>
            <w:tcW w:w="1943" w:type="dxa"/>
            <w:tcBorders>
              <w:top w:val="nil"/>
              <w:left w:val="nil"/>
              <w:bottom w:val="single" w:sz="4" w:space="0" w:color="auto"/>
              <w:right w:val="single" w:sz="4" w:space="0" w:color="auto"/>
            </w:tcBorders>
            <w:shd w:val="clear" w:color="auto" w:fill="auto"/>
            <w:vAlign w:val="center"/>
          </w:tcPr>
          <w:p w14:paraId="50248D2D" w14:textId="46CD96F7"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0,4%</w:t>
            </w:r>
          </w:p>
        </w:tc>
      </w:tr>
      <w:tr w:rsidR="006154C9" w:rsidRPr="00163085" w14:paraId="2A96C838" w14:textId="2548E618"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4F2EA47"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9</w:t>
            </w:r>
          </w:p>
        </w:tc>
        <w:tc>
          <w:tcPr>
            <w:tcW w:w="1515" w:type="dxa"/>
            <w:tcBorders>
              <w:top w:val="nil"/>
              <w:left w:val="nil"/>
              <w:bottom w:val="single" w:sz="4" w:space="0" w:color="auto"/>
              <w:right w:val="single" w:sz="4" w:space="0" w:color="auto"/>
            </w:tcBorders>
            <w:shd w:val="clear" w:color="auto" w:fill="auto"/>
            <w:noWrap/>
            <w:vAlign w:val="center"/>
            <w:hideMark/>
          </w:tcPr>
          <w:p w14:paraId="061296B7"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Café</w:t>
            </w:r>
          </w:p>
        </w:tc>
        <w:tc>
          <w:tcPr>
            <w:tcW w:w="1537" w:type="dxa"/>
            <w:tcBorders>
              <w:top w:val="nil"/>
              <w:left w:val="nil"/>
              <w:bottom w:val="single" w:sz="4" w:space="0" w:color="auto"/>
              <w:right w:val="single" w:sz="4" w:space="0" w:color="auto"/>
            </w:tcBorders>
            <w:shd w:val="clear" w:color="auto" w:fill="auto"/>
            <w:noWrap/>
            <w:vAlign w:val="center"/>
            <w:hideMark/>
          </w:tcPr>
          <w:p w14:paraId="122C93B2" w14:textId="66352898"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34.789</w:t>
            </w:r>
          </w:p>
        </w:tc>
        <w:tc>
          <w:tcPr>
            <w:tcW w:w="1470" w:type="dxa"/>
            <w:tcBorders>
              <w:top w:val="nil"/>
              <w:left w:val="single" w:sz="4" w:space="0" w:color="auto"/>
              <w:bottom w:val="single" w:sz="4" w:space="0" w:color="auto"/>
              <w:right w:val="single" w:sz="4" w:space="0" w:color="auto"/>
            </w:tcBorders>
            <w:shd w:val="clear" w:color="auto" w:fill="auto"/>
            <w:vAlign w:val="center"/>
          </w:tcPr>
          <w:p w14:paraId="45380FEE" w14:textId="46E69EFF"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1,5%</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32AC364" w14:textId="12796B3D"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5.280</w:t>
            </w:r>
          </w:p>
        </w:tc>
        <w:tc>
          <w:tcPr>
            <w:tcW w:w="1943" w:type="dxa"/>
            <w:tcBorders>
              <w:top w:val="nil"/>
              <w:left w:val="nil"/>
              <w:bottom w:val="single" w:sz="4" w:space="0" w:color="auto"/>
              <w:right w:val="single" w:sz="4" w:space="0" w:color="auto"/>
            </w:tcBorders>
            <w:shd w:val="clear" w:color="auto" w:fill="auto"/>
            <w:vAlign w:val="center"/>
          </w:tcPr>
          <w:p w14:paraId="78AFEC06" w14:textId="161FC29C"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0,02%</w:t>
            </w:r>
          </w:p>
        </w:tc>
      </w:tr>
      <w:tr w:rsidR="006154C9" w:rsidRPr="00163085" w14:paraId="050106D3" w14:textId="0FFEA30F"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58BCD9A"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10</w:t>
            </w:r>
          </w:p>
        </w:tc>
        <w:tc>
          <w:tcPr>
            <w:tcW w:w="1515" w:type="dxa"/>
            <w:tcBorders>
              <w:top w:val="nil"/>
              <w:left w:val="nil"/>
              <w:bottom w:val="single" w:sz="4" w:space="0" w:color="auto"/>
              <w:right w:val="single" w:sz="4" w:space="0" w:color="auto"/>
            </w:tcBorders>
            <w:shd w:val="clear" w:color="auto" w:fill="auto"/>
            <w:noWrap/>
            <w:vAlign w:val="center"/>
            <w:hideMark/>
          </w:tcPr>
          <w:p w14:paraId="0F5B952B" w14:textId="0914F1A5" w:rsidR="006154C9" w:rsidRPr="00163085" w:rsidRDefault="00C55480" w:rsidP="006154C9">
            <w:pPr>
              <w:rPr>
                <w:rFonts w:asciiTheme="minorHAnsi" w:hAnsiTheme="minorHAnsi" w:cstheme="minorHAnsi"/>
                <w:color w:val="000000"/>
                <w:sz w:val="18"/>
                <w:szCs w:val="18"/>
              </w:rPr>
            </w:pPr>
            <w:r>
              <w:rPr>
                <w:rFonts w:asciiTheme="minorHAnsi" w:hAnsiTheme="minorHAnsi"/>
                <w:color w:val="000000"/>
                <w:sz w:val="18"/>
              </w:rPr>
              <w:t>Papa</w:t>
            </w:r>
          </w:p>
        </w:tc>
        <w:tc>
          <w:tcPr>
            <w:tcW w:w="1537" w:type="dxa"/>
            <w:tcBorders>
              <w:top w:val="nil"/>
              <w:left w:val="nil"/>
              <w:bottom w:val="single" w:sz="4" w:space="0" w:color="auto"/>
              <w:right w:val="single" w:sz="4" w:space="0" w:color="auto"/>
            </w:tcBorders>
            <w:shd w:val="clear" w:color="auto" w:fill="auto"/>
            <w:noWrap/>
            <w:vAlign w:val="center"/>
            <w:hideMark/>
          </w:tcPr>
          <w:p w14:paraId="47764ECA" w14:textId="19B1B907"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25.924</w:t>
            </w:r>
          </w:p>
        </w:tc>
        <w:tc>
          <w:tcPr>
            <w:tcW w:w="1470" w:type="dxa"/>
            <w:tcBorders>
              <w:top w:val="nil"/>
              <w:left w:val="single" w:sz="4" w:space="0" w:color="auto"/>
              <w:bottom w:val="single" w:sz="4" w:space="0" w:color="auto"/>
              <w:right w:val="single" w:sz="4" w:space="0" w:color="auto"/>
            </w:tcBorders>
            <w:shd w:val="clear" w:color="auto" w:fill="auto"/>
            <w:vAlign w:val="center"/>
          </w:tcPr>
          <w:p w14:paraId="1F04D884" w14:textId="60457DAE"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0B96FC1" w14:textId="2AC557B7"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408.313</w:t>
            </w:r>
          </w:p>
        </w:tc>
        <w:tc>
          <w:tcPr>
            <w:tcW w:w="1943" w:type="dxa"/>
            <w:tcBorders>
              <w:top w:val="nil"/>
              <w:left w:val="nil"/>
              <w:bottom w:val="single" w:sz="4" w:space="0" w:color="auto"/>
              <w:right w:val="single" w:sz="4" w:space="0" w:color="auto"/>
            </w:tcBorders>
            <w:shd w:val="clear" w:color="auto" w:fill="auto"/>
            <w:vAlign w:val="center"/>
          </w:tcPr>
          <w:p w14:paraId="36C23A1C" w14:textId="19E64D9C"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1,7%</w:t>
            </w:r>
          </w:p>
        </w:tc>
      </w:tr>
      <w:tr w:rsidR="006154C9" w:rsidRPr="00163085" w14:paraId="46DFFF89" w14:textId="543C1ED6"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36F799D"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11</w:t>
            </w:r>
          </w:p>
        </w:tc>
        <w:tc>
          <w:tcPr>
            <w:tcW w:w="1515" w:type="dxa"/>
            <w:tcBorders>
              <w:top w:val="nil"/>
              <w:left w:val="nil"/>
              <w:bottom w:val="single" w:sz="4" w:space="0" w:color="auto"/>
              <w:right w:val="single" w:sz="4" w:space="0" w:color="auto"/>
            </w:tcBorders>
            <w:shd w:val="clear" w:color="auto" w:fill="auto"/>
            <w:noWrap/>
            <w:vAlign w:val="center"/>
            <w:hideMark/>
          </w:tcPr>
          <w:p w14:paraId="36992EEA"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Soya</w:t>
            </w:r>
          </w:p>
        </w:tc>
        <w:tc>
          <w:tcPr>
            <w:tcW w:w="1537" w:type="dxa"/>
            <w:tcBorders>
              <w:top w:val="nil"/>
              <w:left w:val="nil"/>
              <w:bottom w:val="single" w:sz="4" w:space="0" w:color="auto"/>
              <w:right w:val="single" w:sz="4" w:space="0" w:color="auto"/>
            </w:tcBorders>
            <w:shd w:val="clear" w:color="auto" w:fill="auto"/>
            <w:noWrap/>
            <w:vAlign w:val="center"/>
            <w:hideMark/>
          </w:tcPr>
          <w:p w14:paraId="2DA9874C" w14:textId="61A03E84"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20.922</w:t>
            </w:r>
          </w:p>
        </w:tc>
        <w:tc>
          <w:tcPr>
            <w:tcW w:w="1470" w:type="dxa"/>
            <w:tcBorders>
              <w:top w:val="nil"/>
              <w:left w:val="single" w:sz="4" w:space="0" w:color="auto"/>
              <w:bottom w:val="single" w:sz="4" w:space="0" w:color="auto"/>
              <w:right w:val="single" w:sz="4" w:space="0" w:color="auto"/>
            </w:tcBorders>
            <w:shd w:val="clear" w:color="auto" w:fill="auto"/>
            <w:vAlign w:val="center"/>
          </w:tcPr>
          <w:p w14:paraId="5E353759" w14:textId="6A55130F"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0,9%</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BB8429A" w14:textId="2084ACE6"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27.238</w:t>
            </w:r>
          </w:p>
        </w:tc>
        <w:tc>
          <w:tcPr>
            <w:tcW w:w="1943" w:type="dxa"/>
            <w:tcBorders>
              <w:top w:val="nil"/>
              <w:left w:val="nil"/>
              <w:bottom w:val="single" w:sz="4" w:space="0" w:color="auto"/>
              <w:right w:val="single" w:sz="4" w:space="0" w:color="auto"/>
            </w:tcBorders>
            <w:shd w:val="clear" w:color="auto" w:fill="auto"/>
            <w:vAlign w:val="center"/>
          </w:tcPr>
          <w:p w14:paraId="2177C957" w14:textId="30BD2F19"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r>
      <w:tr w:rsidR="006154C9" w:rsidRPr="00163085" w14:paraId="231BFF6E" w14:textId="0B73E108"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A5B12B3"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12</w:t>
            </w:r>
          </w:p>
        </w:tc>
        <w:tc>
          <w:tcPr>
            <w:tcW w:w="1515" w:type="dxa"/>
            <w:tcBorders>
              <w:top w:val="nil"/>
              <w:left w:val="nil"/>
              <w:bottom w:val="single" w:sz="4" w:space="0" w:color="auto"/>
              <w:right w:val="single" w:sz="4" w:space="0" w:color="auto"/>
            </w:tcBorders>
            <w:shd w:val="clear" w:color="auto" w:fill="auto"/>
            <w:noWrap/>
            <w:vAlign w:val="center"/>
            <w:hideMark/>
          </w:tcPr>
          <w:p w14:paraId="32E90E08"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Granos secos</w:t>
            </w:r>
          </w:p>
        </w:tc>
        <w:tc>
          <w:tcPr>
            <w:tcW w:w="1537" w:type="dxa"/>
            <w:tcBorders>
              <w:top w:val="nil"/>
              <w:left w:val="nil"/>
              <w:bottom w:val="single" w:sz="4" w:space="0" w:color="auto"/>
              <w:right w:val="single" w:sz="4" w:space="0" w:color="auto"/>
            </w:tcBorders>
            <w:shd w:val="clear" w:color="auto" w:fill="auto"/>
            <w:noWrap/>
            <w:vAlign w:val="center"/>
            <w:hideMark/>
          </w:tcPr>
          <w:p w14:paraId="31CC1ACE" w14:textId="0462C9D8"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19.094</w:t>
            </w:r>
          </w:p>
        </w:tc>
        <w:tc>
          <w:tcPr>
            <w:tcW w:w="1470" w:type="dxa"/>
            <w:tcBorders>
              <w:top w:val="nil"/>
              <w:left w:val="single" w:sz="4" w:space="0" w:color="auto"/>
              <w:bottom w:val="single" w:sz="4" w:space="0" w:color="auto"/>
              <w:right w:val="single" w:sz="4" w:space="0" w:color="auto"/>
            </w:tcBorders>
            <w:shd w:val="clear" w:color="auto" w:fill="auto"/>
            <w:vAlign w:val="center"/>
          </w:tcPr>
          <w:p w14:paraId="2281587E" w14:textId="29F9BC11"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E2D18C3" w14:textId="4A80322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11.873</w:t>
            </w:r>
          </w:p>
        </w:tc>
        <w:tc>
          <w:tcPr>
            <w:tcW w:w="1943" w:type="dxa"/>
            <w:tcBorders>
              <w:top w:val="nil"/>
              <w:left w:val="nil"/>
              <w:bottom w:val="single" w:sz="4" w:space="0" w:color="auto"/>
              <w:right w:val="single" w:sz="4" w:space="0" w:color="auto"/>
            </w:tcBorders>
            <w:shd w:val="clear" w:color="auto" w:fill="auto"/>
            <w:vAlign w:val="center"/>
          </w:tcPr>
          <w:p w14:paraId="778C9BE3" w14:textId="66244400"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0,0%</w:t>
            </w:r>
          </w:p>
        </w:tc>
      </w:tr>
      <w:tr w:rsidR="006154C9" w:rsidRPr="00163085" w14:paraId="570B3598" w14:textId="68454534"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422EBE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13</w:t>
            </w:r>
          </w:p>
        </w:tc>
        <w:tc>
          <w:tcPr>
            <w:tcW w:w="1515" w:type="dxa"/>
            <w:tcBorders>
              <w:top w:val="nil"/>
              <w:left w:val="nil"/>
              <w:bottom w:val="single" w:sz="4" w:space="0" w:color="auto"/>
              <w:right w:val="single" w:sz="4" w:space="0" w:color="auto"/>
            </w:tcBorders>
            <w:shd w:val="clear" w:color="auto" w:fill="auto"/>
            <w:noWrap/>
            <w:vAlign w:val="center"/>
            <w:hideMark/>
          </w:tcPr>
          <w:p w14:paraId="4AC13863"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Mango</w:t>
            </w:r>
          </w:p>
        </w:tc>
        <w:tc>
          <w:tcPr>
            <w:tcW w:w="1537" w:type="dxa"/>
            <w:tcBorders>
              <w:top w:val="nil"/>
              <w:left w:val="nil"/>
              <w:bottom w:val="single" w:sz="4" w:space="0" w:color="auto"/>
              <w:right w:val="single" w:sz="4" w:space="0" w:color="auto"/>
            </w:tcBorders>
            <w:shd w:val="clear" w:color="auto" w:fill="auto"/>
            <w:noWrap/>
            <w:vAlign w:val="center"/>
            <w:hideMark/>
          </w:tcPr>
          <w:p w14:paraId="719D19A2" w14:textId="03052857"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18.528</w:t>
            </w:r>
          </w:p>
        </w:tc>
        <w:tc>
          <w:tcPr>
            <w:tcW w:w="1470" w:type="dxa"/>
            <w:tcBorders>
              <w:top w:val="nil"/>
              <w:left w:val="single" w:sz="4" w:space="0" w:color="auto"/>
              <w:bottom w:val="single" w:sz="4" w:space="0" w:color="auto"/>
              <w:right w:val="single" w:sz="4" w:space="0" w:color="auto"/>
            </w:tcBorders>
            <w:shd w:val="clear" w:color="auto" w:fill="auto"/>
            <w:vAlign w:val="center"/>
          </w:tcPr>
          <w:p w14:paraId="666C9CCE" w14:textId="51DDD2CC"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2ED5CBB" w14:textId="3ADD7AB4"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80.422</w:t>
            </w:r>
          </w:p>
        </w:tc>
        <w:tc>
          <w:tcPr>
            <w:tcW w:w="1943" w:type="dxa"/>
            <w:tcBorders>
              <w:top w:val="nil"/>
              <w:left w:val="nil"/>
              <w:bottom w:val="single" w:sz="4" w:space="0" w:color="auto"/>
              <w:right w:val="single" w:sz="4" w:space="0" w:color="auto"/>
            </w:tcBorders>
            <w:shd w:val="clear" w:color="auto" w:fill="auto"/>
            <w:vAlign w:val="center"/>
          </w:tcPr>
          <w:p w14:paraId="447CD1E7" w14:textId="1110A55A"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0,3%</w:t>
            </w:r>
          </w:p>
        </w:tc>
      </w:tr>
      <w:tr w:rsidR="006154C9" w:rsidRPr="00163085" w14:paraId="4ECD2701" w14:textId="038D67FC"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413E2E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14</w:t>
            </w:r>
          </w:p>
        </w:tc>
        <w:tc>
          <w:tcPr>
            <w:tcW w:w="1515" w:type="dxa"/>
            <w:tcBorders>
              <w:top w:val="nil"/>
              <w:left w:val="nil"/>
              <w:bottom w:val="single" w:sz="4" w:space="0" w:color="auto"/>
              <w:right w:val="single" w:sz="4" w:space="0" w:color="auto"/>
            </w:tcBorders>
            <w:shd w:val="clear" w:color="auto" w:fill="auto"/>
            <w:noWrap/>
            <w:vAlign w:val="center"/>
            <w:hideMark/>
          </w:tcPr>
          <w:p w14:paraId="69F3C9B2"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Naranja</w:t>
            </w:r>
          </w:p>
        </w:tc>
        <w:tc>
          <w:tcPr>
            <w:tcW w:w="1537" w:type="dxa"/>
            <w:tcBorders>
              <w:top w:val="nil"/>
              <w:left w:val="nil"/>
              <w:bottom w:val="single" w:sz="4" w:space="0" w:color="auto"/>
              <w:right w:val="single" w:sz="4" w:space="0" w:color="auto"/>
            </w:tcBorders>
            <w:shd w:val="clear" w:color="auto" w:fill="auto"/>
            <w:noWrap/>
            <w:vAlign w:val="center"/>
            <w:hideMark/>
          </w:tcPr>
          <w:p w14:paraId="488DAA73" w14:textId="48FDFFF8"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16.120</w:t>
            </w:r>
          </w:p>
        </w:tc>
        <w:tc>
          <w:tcPr>
            <w:tcW w:w="1470" w:type="dxa"/>
            <w:tcBorders>
              <w:top w:val="nil"/>
              <w:left w:val="single" w:sz="4" w:space="0" w:color="auto"/>
              <w:bottom w:val="single" w:sz="4" w:space="0" w:color="auto"/>
              <w:right w:val="single" w:sz="4" w:space="0" w:color="auto"/>
            </w:tcBorders>
            <w:shd w:val="clear" w:color="auto" w:fill="auto"/>
            <w:vAlign w:val="center"/>
          </w:tcPr>
          <w:p w14:paraId="76B3E80B" w14:textId="255D7954"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DD0D01F" w14:textId="1FC83D49"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146.159</w:t>
            </w:r>
          </w:p>
        </w:tc>
        <w:tc>
          <w:tcPr>
            <w:tcW w:w="1943" w:type="dxa"/>
            <w:tcBorders>
              <w:top w:val="nil"/>
              <w:left w:val="nil"/>
              <w:bottom w:val="single" w:sz="4" w:space="0" w:color="auto"/>
              <w:right w:val="single" w:sz="4" w:space="0" w:color="auto"/>
            </w:tcBorders>
            <w:shd w:val="clear" w:color="auto" w:fill="auto"/>
            <w:vAlign w:val="center"/>
          </w:tcPr>
          <w:p w14:paraId="62DAD296" w14:textId="2162C91E"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0,6%</w:t>
            </w:r>
          </w:p>
        </w:tc>
      </w:tr>
      <w:tr w:rsidR="006154C9" w:rsidRPr="00163085" w14:paraId="0AA515F9" w14:textId="7FCDAC7D"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F5E2103"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15</w:t>
            </w:r>
          </w:p>
        </w:tc>
        <w:tc>
          <w:tcPr>
            <w:tcW w:w="1515" w:type="dxa"/>
            <w:tcBorders>
              <w:top w:val="nil"/>
              <w:left w:val="nil"/>
              <w:bottom w:val="single" w:sz="4" w:space="0" w:color="auto"/>
              <w:right w:val="single" w:sz="4" w:space="0" w:color="auto"/>
            </w:tcBorders>
            <w:shd w:val="clear" w:color="auto" w:fill="auto"/>
            <w:noWrap/>
            <w:vAlign w:val="center"/>
            <w:hideMark/>
          </w:tcPr>
          <w:p w14:paraId="49254D27"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Maíz suave</w:t>
            </w:r>
          </w:p>
        </w:tc>
        <w:tc>
          <w:tcPr>
            <w:tcW w:w="1537" w:type="dxa"/>
            <w:tcBorders>
              <w:top w:val="nil"/>
              <w:left w:val="nil"/>
              <w:bottom w:val="single" w:sz="4" w:space="0" w:color="auto"/>
              <w:right w:val="single" w:sz="4" w:space="0" w:color="auto"/>
            </w:tcBorders>
            <w:shd w:val="clear" w:color="auto" w:fill="auto"/>
            <w:noWrap/>
            <w:vAlign w:val="center"/>
            <w:hideMark/>
          </w:tcPr>
          <w:p w14:paraId="370D9B93" w14:textId="7FE82033"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15.505</w:t>
            </w:r>
          </w:p>
        </w:tc>
        <w:tc>
          <w:tcPr>
            <w:tcW w:w="1470" w:type="dxa"/>
            <w:tcBorders>
              <w:top w:val="nil"/>
              <w:left w:val="single" w:sz="4" w:space="0" w:color="auto"/>
              <w:bottom w:val="single" w:sz="4" w:space="0" w:color="auto"/>
              <w:right w:val="single" w:sz="4" w:space="0" w:color="auto"/>
            </w:tcBorders>
            <w:shd w:val="clear" w:color="auto" w:fill="auto"/>
            <w:vAlign w:val="center"/>
          </w:tcPr>
          <w:p w14:paraId="357D9B5A" w14:textId="59946706"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016180B" w14:textId="426CD69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53.741</w:t>
            </w:r>
          </w:p>
        </w:tc>
        <w:tc>
          <w:tcPr>
            <w:tcW w:w="1943" w:type="dxa"/>
            <w:tcBorders>
              <w:top w:val="nil"/>
              <w:left w:val="nil"/>
              <w:bottom w:val="single" w:sz="4" w:space="0" w:color="auto"/>
              <w:right w:val="single" w:sz="4" w:space="0" w:color="auto"/>
            </w:tcBorders>
            <w:shd w:val="clear" w:color="auto" w:fill="auto"/>
            <w:vAlign w:val="center"/>
          </w:tcPr>
          <w:p w14:paraId="105F3C1D" w14:textId="11A09767"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0,2%</w:t>
            </w:r>
          </w:p>
        </w:tc>
      </w:tr>
      <w:tr w:rsidR="006154C9" w:rsidRPr="00163085" w14:paraId="707E164C" w14:textId="3091CC06"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A4898DE"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16</w:t>
            </w:r>
          </w:p>
        </w:tc>
        <w:tc>
          <w:tcPr>
            <w:tcW w:w="1515" w:type="dxa"/>
            <w:tcBorders>
              <w:top w:val="nil"/>
              <w:left w:val="nil"/>
              <w:bottom w:val="single" w:sz="4" w:space="0" w:color="auto"/>
              <w:right w:val="single" w:sz="4" w:space="0" w:color="auto"/>
            </w:tcBorders>
            <w:shd w:val="clear" w:color="auto" w:fill="auto"/>
            <w:noWrap/>
            <w:vAlign w:val="center"/>
            <w:hideMark/>
          </w:tcPr>
          <w:p w14:paraId="4E1D6B5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Yuca</w:t>
            </w:r>
          </w:p>
        </w:tc>
        <w:tc>
          <w:tcPr>
            <w:tcW w:w="1537" w:type="dxa"/>
            <w:tcBorders>
              <w:top w:val="nil"/>
              <w:left w:val="nil"/>
              <w:bottom w:val="single" w:sz="4" w:space="0" w:color="auto"/>
              <w:right w:val="single" w:sz="4" w:space="0" w:color="auto"/>
            </w:tcBorders>
            <w:shd w:val="clear" w:color="auto" w:fill="auto"/>
            <w:noWrap/>
            <w:vAlign w:val="center"/>
            <w:hideMark/>
          </w:tcPr>
          <w:p w14:paraId="59AAE734" w14:textId="2BBCAFE5"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15.410</w:t>
            </w:r>
          </w:p>
        </w:tc>
        <w:tc>
          <w:tcPr>
            <w:tcW w:w="1470" w:type="dxa"/>
            <w:tcBorders>
              <w:top w:val="nil"/>
              <w:left w:val="single" w:sz="4" w:space="0" w:color="auto"/>
              <w:bottom w:val="single" w:sz="4" w:space="0" w:color="auto"/>
              <w:right w:val="single" w:sz="4" w:space="0" w:color="auto"/>
            </w:tcBorders>
            <w:shd w:val="clear" w:color="auto" w:fill="auto"/>
            <w:vAlign w:val="center"/>
          </w:tcPr>
          <w:p w14:paraId="3856FA8D" w14:textId="38782C5A"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C749B7F" w14:textId="758DAA12"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64.273</w:t>
            </w:r>
          </w:p>
        </w:tc>
        <w:tc>
          <w:tcPr>
            <w:tcW w:w="1943" w:type="dxa"/>
            <w:tcBorders>
              <w:top w:val="nil"/>
              <w:left w:val="nil"/>
              <w:bottom w:val="single" w:sz="4" w:space="0" w:color="auto"/>
              <w:right w:val="single" w:sz="4" w:space="0" w:color="auto"/>
            </w:tcBorders>
            <w:shd w:val="clear" w:color="auto" w:fill="auto"/>
            <w:vAlign w:val="center"/>
          </w:tcPr>
          <w:p w14:paraId="644CD174" w14:textId="7B4E5760"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0,3%</w:t>
            </w:r>
          </w:p>
        </w:tc>
      </w:tr>
      <w:tr w:rsidR="006154C9" w:rsidRPr="00163085" w14:paraId="4A767A2A" w14:textId="720C2FB8"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02A6689"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17</w:t>
            </w:r>
          </w:p>
        </w:tc>
        <w:tc>
          <w:tcPr>
            <w:tcW w:w="1515" w:type="dxa"/>
            <w:tcBorders>
              <w:top w:val="nil"/>
              <w:left w:val="nil"/>
              <w:bottom w:val="single" w:sz="4" w:space="0" w:color="auto"/>
              <w:right w:val="single" w:sz="4" w:space="0" w:color="auto"/>
            </w:tcBorders>
            <w:shd w:val="clear" w:color="auto" w:fill="auto"/>
            <w:noWrap/>
            <w:vAlign w:val="center"/>
            <w:hideMark/>
          </w:tcPr>
          <w:p w14:paraId="65AC523C"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Maracuyá</w:t>
            </w:r>
          </w:p>
        </w:tc>
        <w:tc>
          <w:tcPr>
            <w:tcW w:w="1537" w:type="dxa"/>
            <w:tcBorders>
              <w:top w:val="nil"/>
              <w:left w:val="nil"/>
              <w:bottom w:val="single" w:sz="4" w:space="0" w:color="auto"/>
              <w:right w:val="single" w:sz="4" w:space="0" w:color="auto"/>
            </w:tcBorders>
            <w:shd w:val="clear" w:color="auto" w:fill="auto"/>
            <w:noWrap/>
            <w:vAlign w:val="center"/>
            <w:hideMark/>
          </w:tcPr>
          <w:p w14:paraId="1EDBB80B" w14:textId="2C985C5F"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13.264</w:t>
            </w:r>
          </w:p>
        </w:tc>
        <w:tc>
          <w:tcPr>
            <w:tcW w:w="1470" w:type="dxa"/>
            <w:tcBorders>
              <w:top w:val="nil"/>
              <w:left w:val="single" w:sz="4" w:space="0" w:color="auto"/>
              <w:bottom w:val="single" w:sz="4" w:space="0" w:color="auto"/>
              <w:right w:val="single" w:sz="4" w:space="0" w:color="auto"/>
            </w:tcBorders>
            <w:shd w:val="clear" w:color="auto" w:fill="auto"/>
            <w:vAlign w:val="center"/>
          </w:tcPr>
          <w:p w14:paraId="7A3AF3D8" w14:textId="3CB80130"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0,6%</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E303537" w14:textId="7C75B53C"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48.379</w:t>
            </w:r>
          </w:p>
        </w:tc>
        <w:tc>
          <w:tcPr>
            <w:tcW w:w="1943" w:type="dxa"/>
            <w:tcBorders>
              <w:top w:val="nil"/>
              <w:left w:val="nil"/>
              <w:bottom w:val="single" w:sz="4" w:space="0" w:color="auto"/>
              <w:right w:val="single" w:sz="4" w:space="0" w:color="auto"/>
            </w:tcBorders>
            <w:shd w:val="clear" w:color="auto" w:fill="auto"/>
            <w:vAlign w:val="center"/>
          </w:tcPr>
          <w:p w14:paraId="588FAB37" w14:textId="300496A2"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0,2%</w:t>
            </w:r>
          </w:p>
        </w:tc>
      </w:tr>
      <w:tr w:rsidR="006154C9" w:rsidRPr="00163085" w14:paraId="40A4B4C9" w14:textId="1AA8431C"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E396869"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18</w:t>
            </w:r>
          </w:p>
        </w:tc>
        <w:tc>
          <w:tcPr>
            <w:tcW w:w="1515" w:type="dxa"/>
            <w:tcBorders>
              <w:top w:val="nil"/>
              <w:left w:val="nil"/>
              <w:bottom w:val="single" w:sz="4" w:space="0" w:color="auto"/>
              <w:right w:val="single" w:sz="4" w:space="0" w:color="auto"/>
            </w:tcBorders>
            <w:shd w:val="clear" w:color="auto" w:fill="auto"/>
            <w:noWrap/>
            <w:vAlign w:val="center"/>
            <w:hideMark/>
          </w:tcPr>
          <w:p w14:paraId="3B67651A"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Cebada</w:t>
            </w:r>
          </w:p>
        </w:tc>
        <w:tc>
          <w:tcPr>
            <w:tcW w:w="1537" w:type="dxa"/>
            <w:tcBorders>
              <w:top w:val="nil"/>
              <w:left w:val="nil"/>
              <w:bottom w:val="single" w:sz="4" w:space="0" w:color="auto"/>
              <w:right w:val="single" w:sz="4" w:space="0" w:color="auto"/>
            </w:tcBorders>
            <w:shd w:val="clear" w:color="auto" w:fill="auto"/>
            <w:noWrap/>
            <w:vAlign w:val="center"/>
            <w:hideMark/>
          </w:tcPr>
          <w:p w14:paraId="089E71F0" w14:textId="18FE9F32"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11.634</w:t>
            </w:r>
          </w:p>
        </w:tc>
        <w:tc>
          <w:tcPr>
            <w:tcW w:w="1470" w:type="dxa"/>
            <w:tcBorders>
              <w:top w:val="nil"/>
              <w:left w:val="single" w:sz="4" w:space="0" w:color="auto"/>
              <w:bottom w:val="single" w:sz="4" w:space="0" w:color="auto"/>
              <w:right w:val="single" w:sz="4" w:space="0" w:color="auto"/>
            </w:tcBorders>
            <w:shd w:val="clear" w:color="auto" w:fill="auto"/>
            <w:vAlign w:val="center"/>
          </w:tcPr>
          <w:p w14:paraId="000397B8" w14:textId="2D76D1A4"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0,5%</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4185AF59" w14:textId="5D26B310"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14.107</w:t>
            </w:r>
          </w:p>
        </w:tc>
        <w:tc>
          <w:tcPr>
            <w:tcW w:w="1943" w:type="dxa"/>
            <w:tcBorders>
              <w:top w:val="nil"/>
              <w:left w:val="nil"/>
              <w:bottom w:val="single" w:sz="4" w:space="0" w:color="auto"/>
              <w:right w:val="single" w:sz="4" w:space="0" w:color="auto"/>
            </w:tcBorders>
            <w:shd w:val="clear" w:color="auto" w:fill="auto"/>
            <w:vAlign w:val="center"/>
          </w:tcPr>
          <w:p w14:paraId="442352C0" w14:textId="558349D6"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r>
      <w:tr w:rsidR="006154C9" w:rsidRPr="00163085" w14:paraId="3C6ED517" w14:textId="1A2A77D4"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9B8597E"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19</w:t>
            </w:r>
          </w:p>
        </w:tc>
        <w:tc>
          <w:tcPr>
            <w:tcW w:w="1515" w:type="dxa"/>
            <w:tcBorders>
              <w:top w:val="nil"/>
              <w:left w:val="nil"/>
              <w:bottom w:val="single" w:sz="4" w:space="0" w:color="auto"/>
              <w:right w:val="single" w:sz="4" w:space="0" w:color="auto"/>
            </w:tcBorders>
            <w:shd w:val="clear" w:color="auto" w:fill="auto"/>
            <w:noWrap/>
            <w:vAlign w:val="center"/>
            <w:hideMark/>
          </w:tcPr>
          <w:p w14:paraId="004DDB6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Brócoli</w:t>
            </w:r>
          </w:p>
        </w:tc>
        <w:tc>
          <w:tcPr>
            <w:tcW w:w="1537" w:type="dxa"/>
            <w:tcBorders>
              <w:top w:val="nil"/>
              <w:left w:val="nil"/>
              <w:bottom w:val="single" w:sz="4" w:space="0" w:color="auto"/>
              <w:right w:val="single" w:sz="4" w:space="0" w:color="auto"/>
            </w:tcBorders>
            <w:shd w:val="clear" w:color="auto" w:fill="auto"/>
            <w:noWrap/>
            <w:vAlign w:val="center"/>
            <w:hideMark/>
          </w:tcPr>
          <w:p w14:paraId="45E74487" w14:textId="2F1FF175"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10.136</w:t>
            </w:r>
          </w:p>
        </w:tc>
        <w:tc>
          <w:tcPr>
            <w:tcW w:w="1470" w:type="dxa"/>
            <w:tcBorders>
              <w:top w:val="nil"/>
              <w:left w:val="single" w:sz="4" w:space="0" w:color="auto"/>
              <w:bottom w:val="single" w:sz="4" w:space="0" w:color="auto"/>
              <w:right w:val="single" w:sz="4" w:space="0" w:color="auto"/>
            </w:tcBorders>
            <w:shd w:val="clear" w:color="auto" w:fill="auto"/>
            <w:vAlign w:val="center"/>
          </w:tcPr>
          <w:p w14:paraId="46932B24" w14:textId="5E0A9D18"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0,4%</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43CD2C6" w14:textId="76E956F2"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183.175</w:t>
            </w:r>
          </w:p>
        </w:tc>
        <w:tc>
          <w:tcPr>
            <w:tcW w:w="1943" w:type="dxa"/>
            <w:tcBorders>
              <w:top w:val="nil"/>
              <w:left w:val="nil"/>
              <w:bottom w:val="single" w:sz="4" w:space="0" w:color="auto"/>
              <w:right w:val="single" w:sz="4" w:space="0" w:color="auto"/>
            </w:tcBorders>
            <w:shd w:val="clear" w:color="auto" w:fill="auto"/>
            <w:vAlign w:val="center"/>
          </w:tcPr>
          <w:p w14:paraId="6A43BEF4" w14:textId="14C4EB2C"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0,7%</w:t>
            </w:r>
          </w:p>
        </w:tc>
      </w:tr>
      <w:tr w:rsidR="006154C9" w:rsidRPr="00163085" w14:paraId="053BA51B" w14:textId="440186A9"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2F1A10F"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20</w:t>
            </w:r>
          </w:p>
        </w:tc>
        <w:tc>
          <w:tcPr>
            <w:tcW w:w="1515" w:type="dxa"/>
            <w:tcBorders>
              <w:top w:val="nil"/>
              <w:left w:val="nil"/>
              <w:bottom w:val="single" w:sz="4" w:space="0" w:color="auto"/>
              <w:right w:val="single" w:sz="4" w:space="0" w:color="auto"/>
            </w:tcBorders>
            <w:shd w:val="clear" w:color="auto" w:fill="auto"/>
            <w:noWrap/>
            <w:vAlign w:val="center"/>
            <w:hideMark/>
          </w:tcPr>
          <w:p w14:paraId="0ABC7DCA"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Granos tiernos</w:t>
            </w:r>
          </w:p>
        </w:tc>
        <w:tc>
          <w:tcPr>
            <w:tcW w:w="1537" w:type="dxa"/>
            <w:tcBorders>
              <w:top w:val="nil"/>
              <w:left w:val="nil"/>
              <w:bottom w:val="single" w:sz="4" w:space="0" w:color="auto"/>
              <w:right w:val="single" w:sz="4" w:space="0" w:color="auto"/>
            </w:tcBorders>
            <w:shd w:val="clear" w:color="auto" w:fill="auto"/>
            <w:noWrap/>
            <w:vAlign w:val="center"/>
            <w:hideMark/>
          </w:tcPr>
          <w:p w14:paraId="7C3270D8" w14:textId="573E87D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7.591</w:t>
            </w:r>
          </w:p>
        </w:tc>
        <w:tc>
          <w:tcPr>
            <w:tcW w:w="1470" w:type="dxa"/>
            <w:tcBorders>
              <w:top w:val="nil"/>
              <w:left w:val="single" w:sz="4" w:space="0" w:color="auto"/>
              <w:bottom w:val="single" w:sz="4" w:space="0" w:color="auto"/>
              <w:right w:val="single" w:sz="4" w:space="0" w:color="auto"/>
            </w:tcBorders>
            <w:shd w:val="clear" w:color="auto" w:fill="auto"/>
            <w:vAlign w:val="center"/>
          </w:tcPr>
          <w:p w14:paraId="4CF28F43" w14:textId="34847DBD"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62003B9" w14:textId="18EF5CFE"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12.152</w:t>
            </w:r>
          </w:p>
        </w:tc>
        <w:tc>
          <w:tcPr>
            <w:tcW w:w="1943" w:type="dxa"/>
            <w:tcBorders>
              <w:top w:val="nil"/>
              <w:left w:val="nil"/>
              <w:bottom w:val="single" w:sz="4" w:space="0" w:color="auto"/>
              <w:right w:val="single" w:sz="4" w:space="0" w:color="auto"/>
            </w:tcBorders>
            <w:shd w:val="clear" w:color="auto" w:fill="auto"/>
            <w:vAlign w:val="center"/>
          </w:tcPr>
          <w:p w14:paraId="0997CA14" w14:textId="2DB4E741"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0,05%</w:t>
            </w:r>
          </w:p>
        </w:tc>
      </w:tr>
      <w:tr w:rsidR="006154C9" w:rsidRPr="00163085" w14:paraId="7C43F25C" w14:textId="1F301C16"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C39A89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21</w:t>
            </w:r>
          </w:p>
        </w:tc>
        <w:tc>
          <w:tcPr>
            <w:tcW w:w="1515" w:type="dxa"/>
            <w:tcBorders>
              <w:top w:val="nil"/>
              <w:left w:val="nil"/>
              <w:bottom w:val="single" w:sz="4" w:space="0" w:color="auto"/>
              <w:right w:val="single" w:sz="4" w:space="0" w:color="auto"/>
            </w:tcBorders>
            <w:shd w:val="clear" w:color="auto" w:fill="auto"/>
            <w:noWrap/>
            <w:vAlign w:val="center"/>
            <w:hideMark/>
          </w:tcPr>
          <w:p w14:paraId="2B049F83"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Trigo</w:t>
            </w:r>
          </w:p>
        </w:tc>
        <w:tc>
          <w:tcPr>
            <w:tcW w:w="1537" w:type="dxa"/>
            <w:tcBorders>
              <w:top w:val="nil"/>
              <w:left w:val="nil"/>
              <w:bottom w:val="single" w:sz="4" w:space="0" w:color="auto"/>
              <w:right w:val="single" w:sz="4" w:space="0" w:color="auto"/>
            </w:tcBorders>
            <w:shd w:val="clear" w:color="auto" w:fill="auto"/>
            <w:noWrap/>
            <w:vAlign w:val="center"/>
            <w:hideMark/>
          </w:tcPr>
          <w:p w14:paraId="6B684073" w14:textId="222657C4"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6.880</w:t>
            </w:r>
          </w:p>
        </w:tc>
        <w:tc>
          <w:tcPr>
            <w:tcW w:w="1470" w:type="dxa"/>
            <w:tcBorders>
              <w:top w:val="nil"/>
              <w:left w:val="single" w:sz="4" w:space="0" w:color="auto"/>
              <w:bottom w:val="single" w:sz="4" w:space="0" w:color="auto"/>
              <w:right w:val="single" w:sz="4" w:space="0" w:color="auto"/>
            </w:tcBorders>
            <w:shd w:val="clear" w:color="auto" w:fill="auto"/>
            <w:vAlign w:val="center"/>
          </w:tcPr>
          <w:p w14:paraId="09D6F3A4" w14:textId="615FCA09"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97D7025" w14:textId="787DFB58"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14.647</w:t>
            </w:r>
          </w:p>
        </w:tc>
        <w:tc>
          <w:tcPr>
            <w:tcW w:w="1943" w:type="dxa"/>
            <w:tcBorders>
              <w:top w:val="nil"/>
              <w:left w:val="nil"/>
              <w:bottom w:val="single" w:sz="4" w:space="0" w:color="auto"/>
              <w:right w:val="single" w:sz="4" w:space="0" w:color="auto"/>
            </w:tcBorders>
            <w:shd w:val="clear" w:color="auto" w:fill="auto"/>
            <w:vAlign w:val="center"/>
          </w:tcPr>
          <w:p w14:paraId="13B24206" w14:textId="24FC13FF"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r>
      <w:tr w:rsidR="006154C9" w:rsidRPr="00163085" w14:paraId="5CCEBE42" w14:textId="389BA557"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5B5B918"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22</w:t>
            </w:r>
          </w:p>
        </w:tc>
        <w:tc>
          <w:tcPr>
            <w:tcW w:w="1515" w:type="dxa"/>
            <w:tcBorders>
              <w:top w:val="nil"/>
              <w:left w:val="nil"/>
              <w:bottom w:val="single" w:sz="4" w:space="0" w:color="auto"/>
              <w:right w:val="single" w:sz="4" w:space="0" w:color="auto"/>
            </w:tcBorders>
            <w:shd w:val="clear" w:color="auto" w:fill="auto"/>
            <w:noWrap/>
            <w:vAlign w:val="center"/>
            <w:hideMark/>
          </w:tcPr>
          <w:p w14:paraId="378AA95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Granos suaves</w:t>
            </w:r>
          </w:p>
        </w:tc>
        <w:tc>
          <w:tcPr>
            <w:tcW w:w="1537" w:type="dxa"/>
            <w:tcBorders>
              <w:top w:val="nil"/>
              <w:left w:val="nil"/>
              <w:bottom w:val="single" w:sz="4" w:space="0" w:color="auto"/>
              <w:right w:val="single" w:sz="4" w:space="0" w:color="auto"/>
            </w:tcBorders>
            <w:shd w:val="clear" w:color="auto" w:fill="auto"/>
            <w:noWrap/>
            <w:vAlign w:val="center"/>
            <w:hideMark/>
          </w:tcPr>
          <w:p w14:paraId="5D8FE784" w14:textId="43DD4AEE"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5.995</w:t>
            </w:r>
          </w:p>
        </w:tc>
        <w:tc>
          <w:tcPr>
            <w:tcW w:w="1470" w:type="dxa"/>
            <w:tcBorders>
              <w:top w:val="nil"/>
              <w:left w:val="single" w:sz="4" w:space="0" w:color="auto"/>
              <w:bottom w:val="single" w:sz="4" w:space="0" w:color="auto"/>
              <w:right w:val="single" w:sz="4" w:space="0" w:color="auto"/>
            </w:tcBorders>
            <w:shd w:val="clear" w:color="auto" w:fill="auto"/>
            <w:vAlign w:val="center"/>
          </w:tcPr>
          <w:p w14:paraId="39ED6E23" w14:textId="72812706"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4B19C86" w14:textId="3849343C"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27.872</w:t>
            </w:r>
          </w:p>
        </w:tc>
        <w:tc>
          <w:tcPr>
            <w:tcW w:w="1943" w:type="dxa"/>
            <w:tcBorders>
              <w:top w:val="nil"/>
              <w:left w:val="nil"/>
              <w:bottom w:val="single" w:sz="4" w:space="0" w:color="auto"/>
              <w:right w:val="single" w:sz="4" w:space="0" w:color="auto"/>
            </w:tcBorders>
            <w:shd w:val="clear" w:color="auto" w:fill="auto"/>
            <w:vAlign w:val="center"/>
          </w:tcPr>
          <w:p w14:paraId="4622C72F" w14:textId="012CC353"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r>
      <w:tr w:rsidR="006154C9" w:rsidRPr="00163085" w14:paraId="377DD0CE" w14:textId="3F4021FA"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265D44E"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23</w:t>
            </w:r>
          </w:p>
        </w:tc>
        <w:tc>
          <w:tcPr>
            <w:tcW w:w="1515" w:type="dxa"/>
            <w:tcBorders>
              <w:top w:val="nil"/>
              <w:left w:val="nil"/>
              <w:bottom w:val="single" w:sz="4" w:space="0" w:color="auto"/>
              <w:right w:val="single" w:sz="4" w:space="0" w:color="auto"/>
            </w:tcBorders>
            <w:shd w:val="clear" w:color="auto" w:fill="auto"/>
            <w:noWrap/>
            <w:vAlign w:val="center"/>
            <w:hideMark/>
          </w:tcPr>
          <w:p w14:paraId="178E5E26"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Arveja</w:t>
            </w:r>
          </w:p>
        </w:tc>
        <w:tc>
          <w:tcPr>
            <w:tcW w:w="1537" w:type="dxa"/>
            <w:tcBorders>
              <w:top w:val="nil"/>
              <w:left w:val="nil"/>
              <w:bottom w:val="single" w:sz="4" w:space="0" w:color="auto"/>
              <w:right w:val="single" w:sz="4" w:space="0" w:color="auto"/>
            </w:tcBorders>
            <w:shd w:val="clear" w:color="auto" w:fill="auto"/>
            <w:noWrap/>
            <w:vAlign w:val="center"/>
            <w:hideMark/>
          </w:tcPr>
          <w:p w14:paraId="4BBE98EB" w14:textId="0BC2FFE4"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5.794</w:t>
            </w:r>
          </w:p>
        </w:tc>
        <w:tc>
          <w:tcPr>
            <w:tcW w:w="1470" w:type="dxa"/>
            <w:tcBorders>
              <w:top w:val="nil"/>
              <w:left w:val="single" w:sz="4" w:space="0" w:color="auto"/>
              <w:bottom w:val="single" w:sz="4" w:space="0" w:color="auto"/>
              <w:right w:val="single" w:sz="4" w:space="0" w:color="auto"/>
            </w:tcBorders>
            <w:shd w:val="clear" w:color="auto" w:fill="auto"/>
            <w:vAlign w:val="center"/>
          </w:tcPr>
          <w:p w14:paraId="75230F12" w14:textId="576DC625"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9FD5A4B" w14:textId="3569B597"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20.142</w:t>
            </w:r>
          </w:p>
        </w:tc>
        <w:tc>
          <w:tcPr>
            <w:tcW w:w="1943" w:type="dxa"/>
            <w:tcBorders>
              <w:top w:val="nil"/>
              <w:left w:val="nil"/>
              <w:bottom w:val="single" w:sz="4" w:space="0" w:color="auto"/>
              <w:right w:val="single" w:sz="4" w:space="0" w:color="auto"/>
            </w:tcBorders>
            <w:shd w:val="clear" w:color="auto" w:fill="auto"/>
            <w:vAlign w:val="center"/>
          </w:tcPr>
          <w:p w14:paraId="1A644DBD" w14:textId="21598D35"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r>
      <w:tr w:rsidR="006154C9" w:rsidRPr="00163085" w14:paraId="009431BD" w14:textId="1506FDF1"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0C03557"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24</w:t>
            </w:r>
          </w:p>
        </w:tc>
        <w:tc>
          <w:tcPr>
            <w:tcW w:w="1515" w:type="dxa"/>
            <w:tcBorders>
              <w:top w:val="nil"/>
              <w:left w:val="nil"/>
              <w:bottom w:val="single" w:sz="4" w:space="0" w:color="auto"/>
              <w:right w:val="single" w:sz="4" w:space="0" w:color="auto"/>
            </w:tcBorders>
            <w:shd w:val="clear" w:color="auto" w:fill="auto"/>
            <w:noWrap/>
            <w:vAlign w:val="center"/>
            <w:hideMark/>
          </w:tcPr>
          <w:p w14:paraId="18CB47E3"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 xml:space="preserve">Maíz duro </w:t>
            </w:r>
          </w:p>
        </w:tc>
        <w:tc>
          <w:tcPr>
            <w:tcW w:w="1537" w:type="dxa"/>
            <w:tcBorders>
              <w:top w:val="nil"/>
              <w:left w:val="nil"/>
              <w:bottom w:val="single" w:sz="4" w:space="0" w:color="auto"/>
              <w:right w:val="single" w:sz="4" w:space="0" w:color="auto"/>
            </w:tcBorders>
            <w:shd w:val="clear" w:color="auto" w:fill="auto"/>
            <w:noWrap/>
            <w:vAlign w:val="center"/>
            <w:hideMark/>
          </w:tcPr>
          <w:p w14:paraId="49919DEA" w14:textId="661C803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4.939</w:t>
            </w:r>
          </w:p>
        </w:tc>
        <w:tc>
          <w:tcPr>
            <w:tcW w:w="1470" w:type="dxa"/>
            <w:tcBorders>
              <w:top w:val="nil"/>
              <w:left w:val="single" w:sz="4" w:space="0" w:color="auto"/>
              <w:bottom w:val="single" w:sz="4" w:space="0" w:color="auto"/>
              <w:right w:val="single" w:sz="4" w:space="0" w:color="auto"/>
            </w:tcBorders>
            <w:shd w:val="clear" w:color="auto" w:fill="auto"/>
            <w:vAlign w:val="center"/>
          </w:tcPr>
          <w:p w14:paraId="4C846291" w14:textId="15C3E719"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0,2%</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263FAAA" w14:textId="4098EF68"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16.059</w:t>
            </w:r>
          </w:p>
        </w:tc>
        <w:tc>
          <w:tcPr>
            <w:tcW w:w="1943" w:type="dxa"/>
            <w:tcBorders>
              <w:top w:val="nil"/>
              <w:left w:val="nil"/>
              <w:bottom w:val="single" w:sz="4" w:space="0" w:color="auto"/>
              <w:right w:val="single" w:sz="4" w:space="0" w:color="auto"/>
            </w:tcBorders>
            <w:shd w:val="clear" w:color="auto" w:fill="auto"/>
            <w:vAlign w:val="center"/>
          </w:tcPr>
          <w:p w14:paraId="4848B575" w14:textId="66CEA397"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r>
      <w:tr w:rsidR="006154C9" w:rsidRPr="00163085" w14:paraId="58899722" w14:textId="2866181B"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044DB61"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25</w:t>
            </w:r>
          </w:p>
        </w:tc>
        <w:tc>
          <w:tcPr>
            <w:tcW w:w="1515" w:type="dxa"/>
            <w:tcBorders>
              <w:top w:val="nil"/>
              <w:left w:val="nil"/>
              <w:bottom w:val="single" w:sz="4" w:space="0" w:color="auto"/>
              <w:right w:val="single" w:sz="4" w:space="0" w:color="auto"/>
            </w:tcBorders>
            <w:shd w:val="clear" w:color="auto" w:fill="auto"/>
            <w:noWrap/>
            <w:vAlign w:val="center"/>
            <w:hideMark/>
          </w:tcPr>
          <w:p w14:paraId="7CA0E929" w14:textId="2C1892C2"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Tomate (riñón)</w:t>
            </w:r>
          </w:p>
        </w:tc>
        <w:tc>
          <w:tcPr>
            <w:tcW w:w="1537" w:type="dxa"/>
            <w:tcBorders>
              <w:top w:val="nil"/>
              <w:left w:val="nil"/>
              <w:bottom w:val="single" w:sz="4" w:space="0" w:color="auto"/>
              <w:right w:val="single" w:sz="4" w:space="0" w:color="auto"/>
            </w:tcBorders>
            <w:shd w:val="clear" w:color="auto" w:fill="auto"/>
            <w:noWrap/>
            <w:vAlign w:val="center"/>
            <w:hideMark/>
          </w:tcPr>
          <w:p w14:paraId="441DB5CB" w14:textId="5DCC4261"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2.653</w:t>
            </w:r>
          </w:p>
        </w:tc>
        <w:tc>
          <w:tcPr>
            <w:tcW w:w="1470" w:type="dxa"/>
            <w:tcBorders>
              <w:top w:val="nil"/>
              <w:left w:val="single" w:sz="4" w:space="0" w:color="auto"/>
              <w:bottom w:val="single" w:sz="4" w:space="0" w:color="auto"/>
              <w:right w:val="single" w:sz="4" w:space="0" w:color="auto"/>
            </w:tcBorders>
            <w:shd w:val="clear" w:color="auto" w:fill="auto"/>
            <w:vAlign w:val="center"/>
          </w:tcPr>
          <w:p w14:paraId="093AD560" w14:textId="7573C550"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42D3F5CD" w14:textId="1CCA72D6"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38.438</w:t>
            </w:r>
          </w:p>
        </w:tc>
        <w:tc>
          <w:tcPr>
            <w:tcW w:w="1943" w:type="dxa"/>
            <w:tcBorders>
              <w:top w:val="nil"/>
              <w:left w:val="nil"/>
              <w:bottom w:val="single" w:sz="4" w:space="0" w:color="auto"/>
              <w:right w:val="single" w:sz="4" w:space="0" w:color="auto"/>
            </w:tcBorders>
            <w:shd w:val="clear" w:color="auto" w:fill="auto"/>
            <w:vAlign w:val="center"/>
          </w:tcPr>
          <w:p w14:paraId="6FB78C09" w14:textId="65DE62FB"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0,2%</w:t>
            </w:r>
          </w:p>
        </w:tc>
      </w:tr>
      <w:tr w:rsidR="006154C9" w:rsidRPr="00163085" w14:paraId="39A76A4C" w14:textId="6F84395E"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177CF24"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26</w:t>
            </w:r>
          </w:p>
        </w:tc>
        <w:tc>
          <w:tcPr>
            <w:tcW w:w="1515" w:type="dxa"/>
            <w:tcBorders>
              <w:top w:val="nil"/>
              <w:left w:val="nil"/>
              <w:bottom w:val="single" w:sz="4" w:space="0" w:color="auto"/>
              <w:right w:val="single" w:sz="4" w:space="0" w:color="auto"/>
            </w:tcBorders>
            <w:shd w:val="clear" w:color="auto" w:fill="auto"/>
            <w:noWrap/>
            <w:vAlign w:val="center"/>
            <w:hideMark/>
          </w:tcPr>
          <w:p w14:paraId="5C525F1C" w14:textId="52AD622C"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Tomate (de árbol)</w:t>
            </w:r>
          </w:p>
        </w:tc>
        <w:tc>
          <w:tcPr>
            <w:tcW w:w="1537" w:type="dxa"/>
            <w:tcBorders>
              <w:top w:val="nil"/>
              <w:left w:val="nil"/>
              <w:bottom w:val="single" w:sz="4" w:space="0" w:color="auto"/>
              <w:right w:val="single" w:sz="4" w:space="0" w:color="auto"/>
            </w:tcBorders>
            <w:shd w:val="clear" w:color="auto" w:fill="auto"/>
            <w:noWrap/>
            <w:vAlign w:val="center"/>
            <w:hideMark/>
          </w:tcPr>
          <w:p w14:paraId="5F179681" w14:textId="3957E5B1"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1.944</w:t>
            </w:r>
          </w:p>
        </w:tc>
        <w:tc>
          <w:tcPr>
            <w:tcW w:w="1470" w:type="dxa"/>
            <w:tcBorders>
              <w:top w:val="nil"/>
              <w:left w:val="single" w:sz="4" w:space="0" w:color="auto"/>
              <w:bottom w:val="single" w:sz="4" w:space="0" w:color="auto"/>
              <w:right w:val="single" w:sz="4" w:space="0" w:color="auto"/>
            </w:tcBorders>
            <w:shd w:val="clear" w:color="auto" w:fill="auto"/>
            <w:vAlign w:val="center"/>
          </w:tcPr>
          <w:p w14:paraId="13B2DD58" w14:textId="521E4EE6"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6F5AAD5" w14:textId="3F49C24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10.605</w:t>
            </w:r>
          </w:p>
        </w:tc>
        <w:tc>
          <w:tcPr>
            <w:tcW w:w="1943" w:type="dxa"/>
            <w:tcBorders>
              <w:top w:val="nil"/>
              <w:left w:val="nil"/>
              <w:bottom w:val="single" w:sz="4" w:space="0" w:color="auto"/>
              <w:right w:val="single" w:sz="4" w:space="0" w:color="auto"/>
            </w:tcBorders>
            <w:shd w:val="clear" w:color="auto" w:fill="auto"/>
            <w:vAlign w:val="center"/>
          </w:tcPr>
          <w:p w14:paraId="3E99ADFB" w14:textId="4836CB70"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0,04%</w:t>
            </w:r>
          </w:p>
        </w:tc>
      </w:tr>
      <w:tr w:rsidR="006154C9" w:rsidRPr="00163085" w14:paraId="3AA621C7" w14:textId="28B44024"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6A5B2EF"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27</w:t>
            </w:r>
          </w:p>
        </w:tc>
        <w:tc>
          <w:tcPr>
            <w:tcW w:w="1515" w:type="dxa"/>
            <w:tcBorders>
              <w:top w:val="nil"/>
              <w:left w:val="nil"/>
              <w:bottom w:val="single" w:sz="4" w:space="0" w:color="auto"/>
              <w:right w:val="single" w:sz="4" w:space="0" w:color="auto"/>
            </w:tcBorders>
            <w:shd w:val="clear" w:color="auto" w:fill="auto"/>
            <w:noWrap/>
            <w:vAlign w:val="center"/>
            <w:hideMark/>
          </w:tcPr>
          <w:p w14:paraId="7DCE660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Habas secas</w:t>
            </w:r>
          </w:p>
        </w:tc>
        <w:tc>
          <w:tcPr>
            <w:tcW w:w="1537" w:type="dxa"/>
            <w:tcBorders>
              <w:top w:val="nil"/>
              <w:left w:val="nil"/>
              <w:bottom w:val="single" w:sz="4" w:space="0" w:color="auto"/>
              <w:right w:val="single" w:sz="4" w:space="0" w:color="auto"/>
            </w:tcBorders>
            <w:shd w:val="clear" w:color="auto" w:fill="auto"/>
            <w:noWrap/>
            <w:vAlign w:val="center"/>
            <w:hideMark/>
          </w:tcPr>
          <w:p w14:paraId="722DB16C" w14:textId="13584D4C"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1.943</w:t>
            </w:r>
          </w:p>
        </w:tc>
        <w:tc>
          <w:tcPr>
            <w:tcW w:w="1470" w:type="dxa"/>
            <w:tcBorders>
              <w:top w:val="nil"/>
              <w:left w:val="single" w:sz="4" w:space="0" w:color="auto"/>
              <w:bottom w:val="single" w:sz="4" w:space="0" w:color="auto"/>
              <w:right w:val="single" w:sz="4" w:space="0" w:color="auto"/>
            </w:tcBorders>
            <w:shd w:val="clear" w:color="auto" w:fill="auto"/>
            <w:vAlign w:val="center"/>
          </w:tcPr>
          <w:p w14:paraId="32CD0337" w14:textId="3A8B21D4"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DFC7F22" w14:textId="65EE323C"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1.059</w:t>
            </w:r>
          </w:p>
        </w:tc>
        <w:tc>
          <w:tcPr>
            <w:tcW w:w="1943" w:type="dxa"/>
            <w:tcBorders>
              <w:top w:val="nil"/>
              <w:left w:val="nil"/>
              <w:bottom w:val="single" w:sz="4" w:space="0" w:color="auto"/>
              <w:right w:val="single" w:sz="4" w:space="0" w:color="auto"/>
            </w:tcBorders>
            <w:shd w:val="clear" w:color="auto" w:fill="auto"/>
            <w:vAlign w:val="center"/>
          </w:tcPr>
          <w:p w14:paraId="260D6345" w14:textId="799B49C5"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0,004%</w:t>
            </w:r>
          </w:p>
        </w:tc>
      </w:tr>
      <w:tr w:rsidR="006154C9" w:rsidRPr="00163085" w14:paraId="7C1777A6" w14:textId="6AA61EC3"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26AB4C0"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28</w:t>
            </w:r>
          </w:p>
        </w:tc>
        <w:tc>
          <w:tcPr>
            <w:tcW w:w="1515" w:type="dxa"/>
            <w:tcBorders>
              <w:top w:val="nil"/>
              <w:left w:val="nil"/>
              <w:bottom w:val="single" w:sz="4" w:space="0" w:color="auto"/>
              <w:right w:val="single" w:sz="4" w:space="0" w:color="auto"/>
            </w:tcBorders>
            <w:shd w:val="clear" w:color="auto" w:fill="auto"/>
            <w:noWrap/>
            <w:vAlign w:val="center"/>
            <w:hideMark/>
          </w:tcPr>
          <w:p w14:paraId="22A4DAF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Arveja seca</w:t>
            </w:r>
          </w:p>
        </w:tc>
        <w:tc>
          <w:tcPr>
            <w:tcW w:w="1537" w:type="dxa"/>
            <w:tcBorders>
              <w:top w:val="nil"/>
              <w:left w:val="nil"/>
              <w:bottom w:val="single" w:sz="4" w:space="0" w:color="auto"/>
              <w:right w:val="single" w:sz="4" w:space="0" w:color="auto"/>
            </w:tcBorders>
            <w:shd w:val="clear" w:color="auto" w:fill="auto"/>
            <w:noWrap/>
            <w:vAlign w:val="center"/>
            <w:hideMark/>
          </w:tcPr>
          <w:p w14:paraId="29718FA0" w14:textId="5CD4D1BA"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1.532</w:t>
            </w:r>
          </w:p>
        </w:tc>
        <w:tc>
          <w:tcPr>
            <w:tcW w:w="1470" w:type="dxa"/>
            <w:tcBorders>
              <w:top w:val="nil"/>
              <w:left w:val="single" w:sz="4" w:space="0" w:color="auto"/>
              <w:bottom w:val="single" w:sz="4" w:space="0" w:color="auto"/>
              <w:right w:val="single" w:sz="4" w:space="0" w:color="auto"/>
            </w:tcBorders>
            <w:shd w:val="clear" w:color="auto" w:fill="auto"/>
            <w:vAlign w:val="center"/>
          </w:tcPr>
          <w:p w14:paraId="0EFAD9A1" w14:textId="63BC5CE8"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49FA8B2" w14:textId="7E01327D" w:rsidR="006154C9" w:rsidRPr="00163085"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881</w:t>
            </w:r>
          </w:p>
        </w:tc>
        <w:tc>
          <w:tcPr>
            <w:tcW w:w="1943" w:type="dxa"/>
            <w:tcBorders>
              <w:top w:val="nil"/>
              <w:left w:val="nil"/>
              <w:bottom w:val="single" w:sz="4" w:space="0" w:color="auto"/>
              <w:right w:val="single" w:sz="4" w:space="0" w:color="auto"/>
            </w:tcBorders>
            <w:shd w:val="clear" w:color="auto" w:fill="auto"/>
            <w:vAlign w:val="center"/>
          </w:tcPr>
          <w:p w14:paraId="01F710BC" w14:textId="5D0CDD44" w:rsidR="006154C9" w:rsidRPr="006154C9" w:rsidRDefault="006154C9" w:rsidP="006154C9">
            <w:pPr>
              <w:jc w:val="center"/>
              <w:rPr>
                <w:rFonts w:asciiTheme="minorHAnsi" w:hAnsiTheme="minorHAnsi" w:cstheme="minorHAnsi"/>
                <w:color w:val="000000"/>
                <w:sz w:val="18"/>
                <w:szCs w:val="18"/>
              </w:rPr>
            </w:pPr>
            <w:r>
              <w:rPr>
                <w:rFonts w:asciiTheme="minorHAnsi" w:hAnsiTheme="minorHAnsi"/>
                <w:color w:val="000000"/>
                <w:sz w:val="18"/>
              </w:rPr>
              <w:t>0,004%</w:t>
            </w:r>
          </w:p>
        </w:tc>
      </w:tr>
      <w:tr w:rsidR="006154C9" w:rsidRPr="00163085" w14:paraId="69F6382B" w14:textId="7E49B35E" w:rsidTr="00DD0949">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B5603FB" w14:textId="77777777" w:rsidR="006154C9" w:rsidRPr="00163085" w:rsidRDefault="006154C9" w:rsidP="006154C9">
            <w:pPr>
              <w:rPr>
                <w:rFonts w:asciiTheme="minorHAnsi" w:hAnsiTheme="minorHAnsi" w:cstheme="minorHAnsi"/>
                <w:color w:val="000000"/>
                <w:sz w:val="18"/>
                <w:szCs w:val="18"/>
              </w:rPr>
            </w:pPr>
            <w:r>
              <w:rPr>
                <w:rFonts w:asciiTheme="minorHAnsi" w:hAnsiTheme="minorHAnsi"/>
                <w:color w:val="000000"/>
                <w:sz w:val="18"/>
              </w:rPr>
              <w:t> </w:t>
            </w:r>
          </w:p>
        </w:tc>
        <w:tc>
          <w:tcPr>
            <w:tcW w:w="1515" w:type="dxa"/>
            <w:tcBorders>
              <w:top w:val="nil"/>
              <w:left w:val="nil"/>
              <w:bottom w:val="single" w:sz="4" w:space="0" w:color="auto"/>
              <w:right w:val="single" w:sz="4" w:space="0" w:color="auto"/>
            </w:tcBorders>
            <w:shd w:val="clear" w:color="auto" w:fill="auto"/>
            <w:noWrap/>
            <w:vAlign w:val="center"/>
            <w:hideMark/>
          </w:tcPr>
          <w:p w14:paraId="1DE38496" w14:textId="6712316C" w:rsidR="006154C9" w:rsidRPr="00163085" w:rsidRDefault="006154C9" w:rsidP="006154C9">
            <w:pPr>
              <w:rPr>
                <w:rFonts w:asciiTheme="minorHAnsi" w:hAnsiTheme="minorHAnsi" w:cstheme="minorHAnsi"/>
                <w:b/>
                <w:bCs/>
                <w:color w:val="000000"/>
                <w:sz w:val="18"/>
                <w:szCs w:val="18"/>
              </w:rPr>
            </w:pPr>
            <w:r>
              <w:rPr>
                <w:rFonts w:asciiTheme="minorHAnsi" w:hAnsiTheme="minorHAnsi"/>
                <w:color w:val="000000"/>
                <w:sz w:val="18"/>
              </w:rPr>
              <w:t> </w:t>
            </w:r>
            <w:r>
              <w:rPr>
                <w:rFonts w:asciiTheme="minorHAnsi" w:hAnsiTheme="minorHAnsi"/>
                <w:b/>
                <w:color w:val="000000"/>
                <w:sz w:val="18"/>
              </w:rPr>
              <w:t>Total</w:t>
            </w:r>
          </w:p>
        </w:tc>
        <w:tc>
          <w:tcPr>
            <w:tcW w:w="1537" w:type="dxa"/>
            <w:tcBorders>
              <w:top w:val="nil"/>
              <w:left w:val="nil"/>
              <w:bottom w:val="single" w:sz="4" w:space="0" w:color="auto"/>
              <w:right w:val="single" w:sz="4" w:space="0" w:color="auto"/>
            </w:tcBorders>
            <w:shd w:val="clear" w:color="auto" w:fill="auto"/>
            <w:noWrap/>
            <w:vAlign w:val="center"/>
            <w:hideMark/>
          </w:tcPr>
          <w:p w14:paraId="3C621E26" w14:textId="2409753D" w:rsidR="006154C9" w:rsidRPr="00163085" w:rsidRDefault="006154C9" w:rsidP="006154C9">
            <w:pPr>
              <w:jc w:val="center"/>
              <w:rPr>
                <w:rFonts w:asciiTheme="minorHAnsi" w:hAnsiTheme="minorHAnsi" w:cstheme="minorHAnsi"/>
                <w:b/>
                <w:bCs/>
                <w:color w:val="000000"/>
                <w:sz w:val="18"/>
                <w:szCs w:val="18"/>
              </w:rPr>
            </w:pPr>
            <w:bookmarkStart w:id="9" w:name="OLE_LINK2"/>
            <w:r>
              <w:rPr>
                <w:rFonts w:asciiTheme="minorHAnsi" w:hAnsiTheme="minorHAnsi"/>
                <w:b/>
                <w:color w:val="000000"/>
                <w:sz w:val="18"/>
              </w:rPr>
              <w:t>2.279.882</w:t>
            </w:r>
            <w:bookmarkEnd w:id="9"/>
          </w:p>
        </w:tc>
        <w:tc>
          <w:tcPr>
            <w:tcW w:w="1470" w:type="dxa"/>
            <w:tcBorders>
              <w:top w:val="single" w:sz="4" w:space="0" w:color="auto"/>
              <w:left w:val="nil"/>
              <w:bottom w:val="single" w:sz="4" w:space="0" w:color="auto"/>
              <w:right w:val="single" w:sz="4" w:space="0" w:color="auto"/>
            </w:tcBorders>
            <w:vAlign w:val="center"/>
          </w:tcPr>
          <w:p w14:paraId="497B6F82" w14:textId="77777777" w:rsidR="006154C9" w:rsidRPr="006154C9" w:rsidRDefault="006154C9" w:rsidP="006154C9">
            <w:pPr>
              <w:jc w:val="center"/>
              <w:rPr>
                <w:rFonts w:asciiTheme="minorHAnsi" w:hAnsiTheme="minorHAnsi" w:cstheme="minorHAnsi"/>
                <w:b/>
                <w:bCs/>
                <w:color w:val="000000"/>
                <w:sz w:val="18"/>
                <w:szCs w:val="18"/>
              </w:rPr>
            </w:pP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B2B5F5D" w14:textId="7673E6C3" w:rsidR="006154C9" w:rsidRPr="00163085" w:rsidRDefault="006154C9" w:rsidP="006154C9">
            <w:pPr>
              <w:jc w:val="center"/>
              <w:rPr>
                <w:rFonts w:asciiTheme="minorHAnsi" w:hAnsiTheme="minorHAnsi" w:cstheme="minorHAnsi"/>
                <w:b/>
                <w:bCs/>
                <w:color w:val="000000"/>
                <w:sz w:val="18"/>
                <w:szCs w:val="18"/>
              </w:rPr>
            </w:pPr>
            <w:r>
              <w:rPr>
                <w:rFonts w:asciiTheme="minorHAnsi" w:hAnsiTheme="minorHAnsi"/>
                <w:b/>
                <w:color w:val="000000"/>
                <w:sz w:val="18"/>
              </w:rPr>
              <w:t>24.450.865</w:t>
            </w:r>
          </w:p>
        </w:tc>
        <w:tc>
          <w:tcPr>
            <w:tcW w:w="1943" w:type="dxa"/>
            <w:tcBorders>
              <w:top w:val="nil"/>
              <w:left w:val="single" w:sz="4" w:space="0" w:color="auto"/>
              <w:bottom w:val="single" w:sz="4" w:space="0" w:color="auto"/>
              <w:right w:val="single" w:sz="4" w:space="0" w:color="auto"/>
            </w:tcBorders>
            <w:vAlign w:val="center"/>
          </w:tcPr>
          <w:p w14:paraId="6C730A65" w14:textId="77777777" w:rsidR="006154C9" w:rsidRPr="006154C9" w:rsidRDefault="006154C9" w:rsidP="006154C9">
            <w:pPr>
              <w:jc w:val="center"/>
              <w:rPr>
                <w:rFonts w:asciiTheme="minorHAnsi" w:hAnsiTheme="minorHAnsi" w:cstheme="minorHAnsi"/>
                <w:b/>
                <w:bCs/>
                <w:color w:val="000000"/>
                <w:sz w:val="18"/>
                <w:szCs w:val="18"/>
              </w:rPr>
            </w:pPr>
          </w:p>
        </w:tc>
      </w:tr>
    </w:tbl>
    <w:p w14:paraId="213E8098" w14:textId="77777777" w:rsidR="00A73D43" w:rsidRPr="006641A6" w:rsidRDefault="00A73D43" w:rsidP="00A73D43">
      <w:pPr>
        <w:spacing w:after="120"/>
        <w:rPr>
          <w:rFonts w:asciiTheme="minorHAnsi" w:hAnsiTheme="minorHAnsi" w:cstheme="minorHAnsi"/>
          <w:sz w:val="18"/>
          <w:szCs w:val="18"/>
        </w:rPr>
      </w:pPr>
      <w:r>
        <w:rPr>
          <w:rFonts w:asciiTheme="minorHAnsi" w:hAnsiTheme="minorHAnsi"/>
          <w:sz w:val="18"/>
        </w:rPr>
        <w:t>Fuente: Sistema de Información Pública Agrícola (SIPA)</w:t>
      </w:r>
    </w:p>
    <w:p w14:paraId="2A1052A9" w14:textId="541D94B3" w:rsidR="006045C3" w:rsidRDefault="00B37E47" w:rsidP="00903E2E">
      <w:pPr>
        <w:pStyle w:val="NormalWeb"/>
        <w:spacing w:before="0" w:beforeAutospacing="0" w:after="120" w:afterAutospacing="0"/>
        <w:rPr>
          <w:rFonts w:asciiTheme="minorHAnsi" w:eastAsia="Times New Roman" w:hAnsiTheme="minorHAnsi" w:cstheme="minorHAnsi"/>
          <w:sz w:val="20"/>
          <w:szCs w:val="20"/>
        </w:rPr>
      </w:pPr>
      <w:r>
        <w:rPr>
          <w:rFonts w:asciiTheme="minorHAnsi" w:hAnsiTheme="minorHAnsi"/>
          <w:sz w:val="20"/>
        </w:rPr>
        <w:t>La producción agrícola del país se destina tanto al consumo local como a la exportación. Los cultivos que se producen principalmente para consumo interno son: cítricos, caña de azúcar, granos, arroz, papa, tomates y maíz. Los cultivos destinados a la exportación son: banano, flores, cacao y café.</w:t>
      </w:r>
    </w:p>
    <w:p w14:paraId="6AB5D933" w14:textId="514FC933" w:rsidR="006045C3" w:rsidRDefault="006045C3" w:rsidP="00903E2E">
      <w:pPr>
        <w:pStyle w:val="NormalWeb"/>
        <w:spacing w:before="0" w:beforeAutospacing="0" w:after="120" w:afterAutospacing="0"/>
        <w:rPr>
          <w:rFonts w:asciiTheme="minorHAnsi" w:eastAsia="Times New Roman" w:hAnsiTheme="minorHAnsi" w:cstheme="minorHAnsi"/>
          <w:sz w:val="20"/>
          <w:szCs w:val="20"/>
        </w:rPr>
      </w:pPr>
      <w:r>
        <w:rPr>
          <w:rFonts w:asciiTheme="minorHAnsi" w:hAnsiTheme="minorHAnsi"/>
          <w:sz w:val="20"/>
        </w:rPr>
        <w:t xml:space="preserve">El cultivo de rosas es uno de los rubros más representativos en la economía de Ecuador, siendo el segundo exportador de rosas a nivel mundial, gracias al aprovechamiento de condiciones climáticas que constituyen una ventaja competitiva para el sector. Las rosas ocupan alrededor de 5.581 hectáreas, distribuidas en 6 provincias de la región andina (Pichincha, Cotopaxi, Carchi, Imbabura, Cañar y Tungurahua); en conjunto superan una producción anual de 3.600 millones de tallos de rosas, donde aproximadamente 63 mil personas participan en el proceso productivo; de las cuales, el 90% son trabajadores asalariados permanentes. </w:t>
      </w:r>
    </w:p>
    <w:p w14:paraId="296BCEDA" w14:textId="1B494408" w:rsidR="00A13F50" w:rsidRPr="00474AE4" w:rsidRDefault="00006870" w:rsidP="00903E2E">
      <w:pPr>
        <w:spacing w:after="120"/>
        <w:jc w:val="both"/>
        <w:rPr>
          <w:rFonts w:ascii="Calibri" w:hAnsi="Calibri" w:cs="Calibri"/>
          <w:iCs/>
          <w:color w:val="000000" w:themeColor="text1"/>
          <w:sz w:val="20"/>
          <w:szCs w:val="20"/>
        </w:rPr>
      </w:pPr>
      <w:r>
        <w:rPr>
          <w:rFonts w:ascii="Calibri" w:hAnsi="Calibri"/>
          <w:color w:val="000000" w:themeColor="text1"/>
          <w:sz w:val="20"/>
        </w:rPr>
        <w:t xml:space="preserve">En Ecuador los plaguicidas se utilizan habitualmente en la producción de cultivos para controlar plagas, enfermedades y hierbas malas que causarían enormes pérdidas si no se controlaran, pero los estrictos requisitos de calidad junto con el monocultivo extensivo y otros factores están provocando una dependencia cada vez mayor de estas sustancias. Estos plaguicidas se importan principalmente de los siguientes países: Rusia, China, Colombia, Estados Unidos, España, Reino Unido y México. </w:t>
      </w:r>
      <w:r>
        <w:rPr>
          <w:rFonts w:asciiTheme="minorHAnsi" w:hAnsiTheme="minorHAnsi"/>
          <w:sz w:val="20"/>
        </w:rPr>
        <w:t xml:space="preserve">Durante 2021, se importaron legalmente al país </w:t>
      </w:r>
      <w:r>
        <w:rPr>
          <w:rFonts w:asciiTheme="minorHAnsi" w:hAnsiTheme="minorHAnsi"/>
          <w:color w:val="000000" w:themeColor="text1"/>
          <w:sz w:val="20"/>
        </w:rPr>
        <w:t xml:space="preserve">52.642 </w:t>
      </w:r>
      <w:r>
        <w:rPr>
          <w:rFonts w:asciiTheme="minorHAnsi" w:hAnsiTheme="minorHAnsi"/>
          <w:sz w:val="20"/>
        </w:rPr>
        <w:t xml:space="preserve">toneladas de pesticidas, incluidos fungicidas, herbicidas e insecticidas, entre otros. </w:t>
      </w:r>
      <w:r>
        <w:rPr>
          <w:rFonts w:ascii="Calibri" w:hAnsi="Calibri"/>
          <w:color w:val="000000" w:themeColor="text1"/>
          <w:sz w:val="20"/>
        </w:rPr>
        <w:t>La siguiente tabla muestra las cantidades de plaguicidas importadas en los últimos años, así como los principios activos y las principales empresas importadoras relacionadas.</w:t>
      </w:r>
    </w:p>
    <w:p w14:paraId="6833290A" w14:textId="135472EA" w:rsidR="00507E8D" w:rsidRPr="002E25F1" w:rsidRDefault="002E25F1" w:rsidP="002E25F1">
      <w:pPr>
        <w:pStyle w:val="Descripcin"/>
        <w:keepNext/>
        <w:rPr>
          <w:rFonts w:asciiTheme="minorHAnsi" w:hAnsiTheme="minorHAnsi" w:cstheme="minorHAnsi"/>
          <w:sz w:val="18"/>
          <w:szCs w:val="18"/>
        </w:rPr>
      </w:pPr>
      <w:bookmarkStart w:id="10" w:name="_Toc114650452"/>
      <w:r>
        <w:rPr>
          <w:rFonts w:asciiTheme="minorHAnsi" w:hAnsiTheme="minorHAnsi"/>
          <w:sz w:val="18"/>
        </w:rPr>
        <w:t xml:space="preserve">Tabla </w:t>
      </w:r>
      <w:r w:rsidRPr="002E25F1">
        <w:rPr>
          <w:rFonts w:asciiTheme="minorHAnsi" w:hAnsiTheme="minorHAnsi" w:cstheme="minorHAnsi"/>
          <w:sz w:val="18"/>
        </w:rPr>
        <w:fldChar w:fldCharType="begin"/>
      </w:r>
      <w:r w:rsidRPr="002E25F1">
        <w:rPr>
          <w:rFonts w:asciiTheme="minorHAnsi" w:hAnsiTheme="minorHAnsi" w:cstheme="minorHAnsi"/>
          <w:sz w:val="18"/>
        </w:rPr>
        <w:instrText xml:space="preserve"> SEQ Table \* ARABIC </w:instrText>
      </w:r>
      <w:r w:rsidRPr="002E25F1">
        <w:rPr>
          <w:rFonts w:asciiTheme="minorHAnsi" w:hAnsiTheme="minorHAnsi" w:cstheme="minorHAnsi"/>
          <w:sz w:val="18"/>
        </w:rPr>
        <w:fldChar w:fldCharType="separate"/>
      </w:r>
      <w:r w:rsidR="004D0AC8">
        <w:rPr>
          <w:rFonts w:asciiTheme="minorHAnsi" w:hAnsiTheme="minorHAnsi" w:cstheme="minorHAnsi"/>
          <w:noProof/>
          <w:sz w:val="18"/>
        </w:rPr>
        <w:t>2</w:t>
      </w:r>
      <w:r w:rsidRPr="002E25F1">
        <w:rPr>
          <w:rFonts w:asciiTheme="minorHAnsi" w:hAnsiTheme="minorHAnsi" w:cstheme="minorHAnsi"/>
          <w:sz w:val="18"/>
        </w:rPr>
        <w:fldChar w:fldCharType="end"/>
      </w:r>
      <w:r>
        <w:rPr>
          <w:rFonts w:asciiTheme="minorHAnsi" w:hAnsiTheme="minorHAnsi"/>
          <w:sz w:val="18"/>
        </w:rPr>
        <w:t>: Importaciones de productos agroquímicos en Ecuador</w:t>
      </w:r>
      <w:bookmarkEnd w:id="10"/>
    </w:p>
    <w:tbl>
      <w:tblPr>
        <w:tblStyle w:val="Tablaconcuadrcula"/>
        <w:tblW w:w="10485" w:type="dxa"/>
        <w:tblLook w:val="04A0" w:firstRow="1" w:lastRow="0" w:firstColumn="1" w:lastColumn="0" w:noHBand="0" w:noVBand="1"/>
      </w:tblPr>
      <w:tblGrid>
        <w:gridCol w:w="1281"/>
        <w:gridCol w:w="1033"/>
        <w:gridCol w:w="1034"/>
        <w:gridCol w:w="1034"/>
        <w:gridCol w:w="1034"/>
        <w:gridCol w:w="1034"/>
        <w:gridCol w:w="1034"/>
        <w:gridCol w:w="3001"/>
      </w:tblGrid>
      <w:tr w:rsidR="00395C1E" w:rsidRPr="00C14232" w14:paraId="5234EF82" w14:textId="03F45D1E" w:rsidTr="00395C1E">
        <w:tc>
          <w:tcPr>
            <w:tcW w:w="1250" w:type="dxa"/>
          </w:tcPr>
          <w:p w14:paraId="453A6364" w14:textId="43AF87FA" w:rsidR="00395C1E" w:rsidRPr="00C14232" w:rsidRDefault="00BE3F00" w:rsidP="00E66271">
            <w:pPr>
              <w:rPr>
                <w:rFonts w:asciiTheme="minorHAnsi" w:hAnsiTheme="minorHAnsi" w:cstheme="minorHAnsi"/>
                <w:b/>
                <w:bCs/>
                <w:iCs/>
                <w:sz w:val="18"/>
                <w:szCs w:val="18"/>
              </w:rPr>
            </w:pPr>
            <w:r>
              <w:rPr>
                <w:rFonts w:asciiTheme="minorHAnsi" w:hAnsiTheme="minorHAnsi"/>
                <w:b/>
                <w:sz w:val="18"/>
              </w:rPr>
              <w:t>Producto/Año</w:t>
            </w:r>
          </w:p>
        </w:tc>
        <w:tc>
          <w:tcPr>
            <w:tcW w:w="1035" w:type="dxa"/>
          </w:tcPr>
          <w:p w14:paraId="6C03D662" w14:textId="456BDE40" w:rsidR="00395C1E" w:rsidRPr="00C14232" w:rsidRDefault="00395C1E" w:rsidP="00630981">
            <w:pPr>
              <w:jc w:val="center"/>
              <w:rPr>
                <w:rFonts w:asciiTheme="minorHAnsi" w:hAnsiTheme="minorHAnsi" w:cstheme="minorHAnsi"/>
                <w:b/>
                <w:bCs/>
                <w:iCs/>
                <w:sz w:val="18"/>
                <w:szCs w:val="18"/>
              </w:rPr>
            </w:pPr>
            <w:r>
              <w:rPr>
                <w:rFonts w:asciiTheme="minorHAnsi" w:hAnsiTheme="minorHAnsi"/>
                <w:b/>
                <w:sz w:val="18"/>
              </w:rPr>
              <w:t>2016</w:t>
            </w:r>
          </w:p>
        </w:tc>
        <w:tc>
          <w:tcPr>
            <w:tcW w:w="1035" w:type="dxa"/>
          </w:tcPr>
          <w:p w14:paraId="6A444C62" w14:textId="3BD7F1EC" w:rsidR="00395C1E" w:rsidRPr="00C14232" w:rsidRDefault="00395C1E" w:rsidP="00630981">
            <w:pPr>
              <w:jc w:val="center"/>
              <w:rPr>
                <w:rFonts w:asciiTheme="minorHAnsi" w:hAnsiTheme="minorHAnsi" w:cstheme="minorHAnsi"/>
                <w:b/>
                <w:bCs/>
                <w:iCs/>
                <w:sz w:val="18"/>
                <w:szCs w:val="18"/>
              </w:rPr>
            </w:pPr>
            <w:r>
              <w:rPr>
                <w:rFonts w:asciiTheme="minorHAnsi" w:hAnsiTheme="minorHAnsi"/>
                <w:b/>
                <w:sz w:val="18"/>
              </w:rPr>
              <w:t>2017</w:t>
            </w:r>
          </w:p>
        </w:tc>
        <w:tc>
          <w:tcPr>
            <w:tcW w:w="1035" w:type="dxa"/>
          </w:tcPr>
          <w:p w14:paraId="59334343" w14:textId="471493E1" w:rsidR="00395C1E" w:rsidRPr="00C14232" w:rsidRDefault="00395C1E" w:rsidP="00630981">
            <w:pPr>
              <w:jc w:val="center"/>
              <w:rPr>
                <w:rFonts w:asciiTheme="minorHAnsi" w:hAnsiTheme="minorHAnsi" w:cstheme="minorHAnsi"/>
                <w:b/>
                <w:bCs/>
                <w:iCs/>
                <w:sz w:val="18"/>
                <w:szCs w:val="18"/>
              </w:rPr>
            </w:pPr>
            <w:r>
              <w:rPr>
                <w:rFonts w:asciiTheme="minorHAnsi" w:hAnsiTheme="minorHAnsi"/>
                <w:b/>
                <w:sz w:val="18"/>
              </w:rPr>
              <w:t>2018</w:t>
            </w:r>
          </w:p>
        </w:tc>
        <w:tc>
          <w:tcPr>
            <w:tcW w:w="1035" w:type="dxa"/>
          </w:tcPr>
          <w:p w14:paraId="1EA83E41" w14:textId="4F002F07" w:rsidR="00395C1E" w:rsidRPr="00C14232" w:rsidRDefault="00395C1E" w:rsidP="00630981">
            <w:pPr>
              <w:jc w:val="center"/>
              <w:rPr>
                <w:rFonts w:asciiTheme="minorHAnsi" w:hAnsiTheme="minorHAnsi" w:cstheme="minorHAnsi"/>
                <w:b/>
                <w:bCs/>
                <w:iCs/>
                <w:sz w:val="18"/>
                <w:szCs w:val="18"/>
              </w:rPr>
            </w:pPr>
            <w:r>
              <w:rPr>
                <w:rFonts w:asciiTheme="minorHAnsi" w:hAnsiTheme="minorHAnsi"/>
                <w:b/>
                <w:sz w:val="18"/>
              </w:rPr>
              <w:t>2019</w:t>
            </w:r>
          </w:p>
        </w:tc>
        <w:tc>
          <w:tcPr>
            <w:tcW w:w="1035" w:type="dxa"/>
          </w:tcPr>
          <w:p w14:paraId="37690015" w14:textId="5D2D31C9" w:rsidR="00395C1E" w:rsidRPr="00C14232" w:rsidRDefault="00395C1E" w:rsidP="00630981">
            <w:pPr>
              <w:jc w:val="center"/>
              <w:rPr>
                <w:rFonts w:asciiTheme="minorHAnsi" w:hAnsiTheme="minorHAnsi" w:cstheme="minorHAnsi"/>
                <w:b/>
                <w:bCs/>
                <w:iCs/>
                <w:sz w:val="18"/>
                <w:szCs w:val="18"/>
              </w:rPr>
            </w:pPr>
            <w:r>
              <w:rPr>
                <w:rFonts w:asciiTheme="minorHAnsi" w:hAnsiTheme="minorHAnsi"/>
                <w:b/>
                <w:sz w:val="18"/>
              </w:rPr>
              <w:t xml:space="preserve">2020 </w:t>
            </w:r>
          </w:p>
        </w:tc>
        <w:tc>
          <w:tcPr>
            <w:tcW w:w="1035" w:type="dxa"/>
          </w:tcPr>
          <w:p w14:paraId="63C08853" w14:textId="3032635F" w:rsidR="00395C1E" w:rsidRPr="00C14232" w:rsidRDefault="00395C1E" w:rsidP="005F693D">
            <w:pPr>
              <w:jc w:val="center"/>
              <w:rPr>
                <w:rFonts w:asciiTheme="minorHAnsi" w:hAnsiTheme="minorHAnsi" w:cstheme="minorHAnsi"/>
                <w:b/>
                <w:bCs/>
                <w:iCs/>
                <w:sz w:val="18"/>
                <w:szCs w:val="18"/>
              </w:rPr>
            </w:pPr>
            <w:r>
              <w:rPr>
                <w:rFonts w:asciiTheme="minorHAnsi" w:hAnsiTheme="minorHAnsi"/>
                <w:b/>
                <w:sz w:val="18"/>
              </w:rPr>
              <w:t>2021</w:t>
            </w:r>
          </w:p>
        </w:tc>
        <w:tc>
          <w:tcPr>
            <w:tcW w:w="3025" w:type="dxa"/>
          </w:tcPr>
          <w:p w14:paraId="50A4E798" w14:textId="68FC3D2A" w:rsidR="00395C1E" w:rsidRPr="00C14232" w:rsidRDefault="00395C1E" w:rsidP="00E66271">
            <w:pPr>
              <w:rPr>
                <w:rFonts w:asciiTheme="minorHAnsi" w:hAnsiTheme="minorHAnsi" w:cstheme="minorHAnsi"/>
                <w:b/>
                <w:bCs/>
                <w:iCs/>
                <w:sz w:val="18"/>
                <w:szCs w:val="18"/>
              </w:rPr>
            </w:pPr>
            <w:r>
              <w:rPr>
                <w:rFonts w:asciiTheme="minorHAnsi" w:hAnsiTheme="minorHAnsi"/>
                <w:b/>
                <w:sz w:val="18"/>
              </w:rPr>
              <w:t>Compañías</w:t>
            </w:r>
            <w:r w:rsidRPr="00C14232">
              <w:rPr>
                <w:rStyle w:val="Refdenotaalpie"/>
                <w:rFonts w:asciiTheme="minorHAnsi" w:hAnsiTheme="minorHAnsi" w:cstheme="minorHAnsi"/>
                <w:b/>
                <w:bCs/>
                <w:iCs/>
                <w:szCs w:val="18"/>
              </w:rPr>
              <w:footnoteReference w:id="11"/>
            </w:r>
          </w:p>
        </w:tc>
      </w:tr>
      <w:tr w:rsidR="00395C1E" w:rsidRPr="00E751A7" w14:paraId="7317297F" w14:textId="615585B0" w:rsidTr="00395C1E">
        <w:tc>
          <w:tcPr>
            <w:tcW w:w="1250" w:type="dxa"/>
            <w:vAlign w:val="center"/>
          </w:tcPr>
          <w:p w14:paraId="53D52BD0" w14:textId="6477E210" w:rsidR="00395C1E" w:rsidRPr="00E751A7" w:rsidRDefault="00395C1E" w:rsidP="00A13F50">
            <w:pPr>
              <w:rPr>
                <w:rFonts w:asciiTheme="minorHAnsi" w:hAnsiTheme="minorHAnsi" w:cstheme="minorHAnsi"/>
                <w:iCs/>
                <w:sz w:val="18"/>
                <w:szCs w:val="18"/>
              </w:rPr>
            </w:pPr>
            <w:r>
              <w:rPr>
                <w:rFonts w:asciiTheme="minorHAnsi" w:hAnsiTheme="minorHAnsi"/>
                <w:sz w:val="18"/>
              </w:rPr>
              <w:t>Pesticidas: Fungicidas</w:t>
            </w:r>
          </w:p>
        </w:tc>
        <w:tc>
          <w:tcPr>
            <w:tcW w:w="1035" w:type="dxa"/>
            <w:vAlign w:val="center"/>
          </w:tcPr>
          <w:p w14:paraId="33FE9F62" w14:textId="30ECCD71"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15.694,85</w:t>
            </w:r>
          </w:p>
        </w:tc>
        <w:tc>
          <w:tcPr>
            <w:tcW w:w="1035" w:type="dxa"/>
            <w:vAlign w:val="center"/>
          </w:tcPr>
          <w:p w14:paraId="4A353DC1" w14:textId="1F847B95"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15.582,83</w:t>
            </w:r>
          </w:p>
        </w:tc>
        <w:tc>
          <w:tcPr>
            <w:tcW w:w="1035" w:type="dxa"/>
            <w:vAlign w:val="center"/>
          </w:tcPr>
          <w:p w14:paraId="778EF611" w14:textId="26397839"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16.341,48</w:t>
            </w:r>
          </w:p>
        </w:tc>
        <w:tc>
          <w:tcPr>
            <w:tcW w:w="1035" w:type="dxa"/>
            <w:vAlign w:val="center"/>
          </w:tcPr>
          <w:p w14:paraId="4282EC07" w14:textId="6A713465"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19.989,46</w:t>
            </w:r>
          </w:p>
        </w:tc>
        <w:tc>
          <w:tcPr>
            <w:tcW w:w="1035" w:type="dxa"/>
            <w:vAlign w:val="center"/>
          </w:tcPr>
          <w:p w14:paraId="33A59A24" w14:textId="7A86C8D4"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17.824,66</w:t>
            </w:r>
          </w:p>
        </w:tc>
        <w:tc>
          <w:tcPr>
            <w:tcW w:w="1035" w:type="dxa"/>
            <w:vAlign w:val="center"/>
          </w:tcPr>
          <w:p w14:paraId="27997798" w14:textId="10C5999A" w:rsidR="00395C1E" w:rsidRPr="00507E8D" w:rsidRDefault="00395C1E" w:rsidP="00A13F50">
            <w:pPr>
              <w:rPr>
                <w:rFonts w:asciiTheme="minorHAnsi" w:hAnsiTheme="minorHAnsi" w:cstheme="minorHAnsi"/>
                <w:iCs/>
                <w:sz w:val="18"/>
                <w:szCs w:val="18"/>
              </w:rPr>
            </w:pPr>
            <w:r>
              <w:rPr>
                <w:rFonts w:ascii="Calibri" w:hAnsi="Calibri"/>
                <w:color w:val="000000"/>
                <w:sz w:val="18"/>
              </w:rPr>
              <w:t>18.099,69</w:t>
            </w:r>
          </w:p>
        </w:tc>
        <w:tc>
          <w:tcPr>
            <w:tcW w:w="3025" w:type="dxa"/>
          </w:tcPr>
          <w:p w14:paraId="28F6981E" w14:textId="19D1FFE6" w:rsidR="00395C1E" w:rsidRPr="00E751A7" w:rsidRDefault="00395C1E" w:rsidP="00A13F50">
            <w:pPr>
              <w:rPr>
                <w:rFonts w:asciiTheme="minorHAnsi" w:hAnsiTheme="minorHAnsi" w:cstheme="minorHAnsi"/>
                <w:iCs/>
                <w:sz w:val="18"/>
                <w:szCs w:val="18"/>
              </w:rPr>
            </w:pPr>
            <w:r>
              <w:rPr>
                <w:rFonts w:asciiTheme="minorHAnsi" w:hAnsiTheme="minorHAnsi"/>
                <w:sz w:val="18"/>
              </w:rPr>
              <w:t>Ecuaquímica C.A., BASF Ecuatoriana S.A., Bayer S.A</w:t>
            </w:r>
            <w:r w:rsidR="003B4CB4">
              <w:rPr>
                <w:rFonts w:asciiTheme="minorHAnsi" w:hAnsiTheme="minorHAnsi"/>
                <w:sz w:val="18"/>
              </w:rPr>
              <w:t>.</w:t>
            </w:r>
            <w:r>
              <w:rPr>
                <w:rFonts w:asciiTheme="minorHAnsi" w:hAnsiTheme="minorHAnsi"/>
                <w:sz w:val="18"/>
              </w:rPr>
              <w:t>, Agripac S.A., Adama Andina B.V</w:t>
            </w:r>
            <w:r w:rsidR="003B4CB4">
              <w:rPr>
                <w:rFonts w:asciiTheme="minorHAnsi" w:hAnsiTheme="minorHAnsi"/>
                <w:sz w:val="18"/>
              </w:rPr>
              <w:t>.</w:t>
            </w:r>
            <w:r>
              <w:rPr>
                <w:rFonts w:asciiTheme="minorHAnsi" w:hAnsiTheme="minorHAnsi"/>
                <w:sz w:val="18"/>
              </w:rPr>
              <w:t>, Interoc S.A</w:t>
            </w:r>
            <w:r w:rsidR="003B4CB4">
              <w:rPr>
                <w:rFonts w:asciiTheme="minorHAnsi" w:hAnsiTheme="minorHAnsi"/>
                <w:sz w:val="18"/>
              </w:rPr>
              <w:t>.</w:t>
            </w:r>
            <w:r>
              <w:rPr>
                <w:rFonts w:asciiTheme="minorHAnsi" w:hAnsiTheme="minorHAnsi"/>
                <w:sz w:val="18"/>
              </w:rPr>
              <w:t>, Afecor S.A., Inmonte S.A., Solagro S.A., Farmagro S.A.</w:t>
            </w:r>
          </w:p>
        </w:tc>
      </w:tr>
      <w:tr w:rsidR="00395C1E" w:rsidRPr="00E751A7" w14:paraId="6077E316" w14:textId="17366EF3" w:rsidTr="00395C1E">
        <w:tc>
          <w:tcPr>
            <w:tcW w:w="1250" w:type="dxa"/>
            <w:vAlign w:val="center"/>
          </w:tcPr>
          <w:p w14:paraId="3A742DA8" w14:textId="0DDE68B4" w:rsidR="00395C1E" w:rsidRPr="00E751A7" w:rsidRDefault="00395C1E" w:rsidP="00A13F50">
            <w:pPr>
              <w:rPr>
                <w:rFonts w:asciiTheme="minorHAnsi" w:hAnsiTheme="minorHAnsi" w:cstheme="minorHAnsi"/>
                <w:iCs/>
                <w:sz w:val="18"/>
                <w:szCs w:val="18"/>
              </w:rPr>
            </w:pPr>
            <w:r>
              <w:rPr>
                <w:rFonts w:asciiTheme="minorHAnsi" w:hAnsiTheme="minorHAnsi"/>
                <w:sz w:val="18"/>
              </w:rPr>
              <w:t>Pesticidas: Herbicid</w:t>
            </w:r>
            <w:r w:rsidR="003B4CB4">
              <w:rPr>
                <w:rFonts w:asciiTheme="minorHAnsi" w:hAnsiTheme="minorHAnsi"/>
                <w:sz w:val="18"/>
              </w:rPr>
              <w:t>a</w:t>
            </w:r>
            <w:r>
              <w:rPr>
                <w:rFonts w:asciiTheme="minorHAnsi" w:hAnsiTheme="minorHAnsi"/>
                <w:sz w:val="18"/>
              </w:rPr>
              <w:t>s</w:t>
            </w:r>
          </w:p>
        </w:tc>
        <w:tc>
          <w:tcPr>
            <w:tcW w:w="1035" w:type="dxa"/>
            <w:vAlign w:val="center"/>
          </w:tcPr>
          <w:p w14:paraId="16086292" w14:textId="6A88E9AA"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14.385,69</w:t>
            </w:r>
          </w:p>
        </w:tc>
        <w:tc>
          <w:tcPr>
            <w:tcW w:w="1035" w:type="dxa"/>
            <w:vAlign w:val="center"/>
          </w:tcPr>
          <w:p w14:paraId="5ABA3B07" w14:textId="7A07103D"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17.148,67</w:t>
            </w:r>
          </w:p>
        </w:tc>
        <w:tc>
          <w:tcPr>
            <w:tcW w:w="1035" w:type="dxa"/>
            <w:vAlign w:val="center"/>
          </w:tcPr>
          <w:p w14:paraId="35775A07" w14:textId="5A0F2917"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17.364,18</w:t>
            </w:r>
          </w:p>
        </w:tc>
        <w:tc>
          <w:tcPr>
            <w:tcW w:w="1035" w:type="dxa"/>
            <w:vAlign w:val="center"/>
          </w:tcPr>
          <w:p w14:paraId="3EC59A41" w14:textId="057EB8D8"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20.437,81</w:t>
            </w:r>
          </w:p>
        </w:tc>
        <w:tc>
          <w:tcPr>
            <w:tcW w:w="1035" w:type="dxa"/>
            <w:vAlign w:val="center"/>
          </w:tcPr>
          <w:p w14:paraId="3DBB960A" w14:textId="140A4A34"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23.934,87</w:t>
            </w:r>
          </w:p>
        </w:tc>
        <w:tc>
          <w:tcPr>
            <w:tcW w:w="1035" w:type="dxa"/>
            <w:vAlign w:val="center"/>
          </w:tcPr>
          <w:p w14:paraId="6E56FC15" w14:textId="1A1412D0" w:rsidR="00395C1E" w:rsidRPr="00507E8D" w:rsidRDefault="00395C1E" w:rsidP="00A13F50">
            <w:pPr>
              <w:rPr>
                <w:rFonts w:asciiTheme="minorHAnsi" w:hAnsiTheme="minorHAnsi" w:cstheme="minorHAnsi"/>
                <w:iCs/>
                <w:sz w:val="18"/>
                <w:szCs w:val="18"/>
              </w:rPr>
            </w:pPr>
            <w:r>
              <w:rPr>
                <w:rFonts w:ascii="Calibri" w:hAnsi="Calibri"/>
                <w:color w:val="000000"/>
                <w:sz w:val="18"/>
              </w:rPr>
              <w:t>24.321,61</w:t>
            </w:r>
          </w:p>
        </w:tc>
        <w:tc>
          <w:tcPr>
            <w:tcW w:w="3025" w:type="dxa"/>
          </w:tcPr>
          <w:p w14:paraId="1E4B0EA9" w14:textId="3C832256" w:rsidR="00395C1E" w:rsidRPr="00E751A7" w:rsidRDefault="00395C1E" w:rsidP="00A13F50">
            <w:pPr>
              <w:rPr>
                <w:rFonts w:asciiTheme="minorHAnsi" w:hAnsiTheme="minorHAnsi" w:cstheme="minorHAnsi"/>
                <w:iCs/>
                <w:sz w:val="18"/>
                <w:szCs w:val="18"/>
              </w:rPr>
            </w:pPr>
            <w:r>
              <w:rPr>
                <w:rFonts w:asciiTheme="minorHAnsi" w:hAnsiTheme="minorHAnsi"/>
                <w:sz w:val="18"/>
              </w:rPr>
              <w:t>Agripac S.A., Adama Andina B.V</w:t>
            </w:r>
            <w:r w:rsidR="003B4CB4">
              <w:rPr>
                <w:rFonts w:asciiTheme="minorHAnsi" w:hAnsiTheme="minorHAnsi"/>
                <w:sz w:val="18"/>
              </w:rPr>
              <w:t>.</w:t>
            </w:r>
            <w:r>
              <w:rPr>
                <w:rFonts w:asciiTheme="minorHAnsi" w:hAnsiTheme="minorHAnsi"/>
                <w:sz w:val="18"/>
              </w:rPr>
              <w:t>, Ecuaquímica C.A., Inmonte S.A., Dupocsa S.A., Farmagro S.A., Interoc S.A., Solagro S.A., Afecor S.A., Nederagro S.A.</w:t>
            </w:r>
          </w:p>
        </w:tc>
      </w:tr>
      <w:tr w:rsidR="00395C1E" w:rsidRPr="00E751A7" w14:paraId="4CC61934" w14:textId="407E2D94" w:rsidTr="00395C1E">
        <w:tc>
          <w:tcPr>
            <w:tcW w:w="1250" w:type="dxa"/>
            <w:vAlign w:val="center"/>
          </w:tcPr>
          <w:p w14:paraId="5A9FE5D8" w14:textId="708112F2" w:rsidR="00395C1E" w:rsidRPr="00E751A7" w:rsidRDefault="00395C1E" w:rsidP="00A13F50">
            <w:pPr>
              <w:rPr>
                <w:rFonts w:asciiTheme="minorHAnsi" w:hAnsiTheme="minorHAnsi" w:cstheme="minorHAnsi"/>
                <w:iCs/>
                <w:sz w:val="18"/>
                <w:szCs w:val="18"/>
              </w:rPr>
            </w:pPr>
            <w:r>
              <w:rPr>
                <w:rFonts w:asciiTheme="minorHAnsi" w:hAnsiTheme="minorHAnsi"/>
                <w:sz w:val="18"/>
              </w:rPr>
              <w:t>Plaguicidas Insecticidas</w:t>
            </w:r>
          </w:p>
        </w:tc>
        <w:tc>
          <w:tcPr>
            <w:tcW w:w="1035" w:type="dxa"/>
            <w:vAlign w:val="center"/>
          </w:tcPr>
          <w:p w14:paraId="43418149" w14:textId="31F988C0"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4.145,65</w:t>
            </w:r>
          </w:p>
        </w:tc>
        <w:tc>
          <w:tcPr>
            <w:tcW w:w="1035" w:type="dxa"/>
            <w:vAlign w:val="center"/>
          </w:tcPr>
          <w:p w14:paraId="4309A3FD" w14:textId="266F4B41"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4.511,9</w:t>
            </w:r>
          </w:p>
        </w:tc>
        <w:tc>
          <w:tcPr>
            <w:tcW w:w="1035" w:type="dxa"/>
            <w:vAlign w:val="center"/>
          </w:tcPr>
          <w:p w14:paraId="63E4EBE9" w14:textId="491C6F98"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4.794,69</w:t>
            </w:r>
          </w:p>
        </w:tc>
        <w:tc>
          <w:tcPr>
            <w:tcW w:w="1035" w:type="dxa"/>
            <w:vAlign w:val="center"/>
          </w:tcPr>
          <w:p w14:paraId="603B4307" w14:textId="4E41B07C"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4.947,1</w:t>
            </w:r>
          </w:p>
        </w:tc>
        <w:tc>
          <w:tcPr>
            <w:tcW w:w="1035" w:type="dxa"/>
            <w:vAlign w:val="center"/>
          </w:tcPr>
          <w:p w14:paraId="5C874745" w14:textId="4688DE4D" w:rsidR="00395C1E" w:rsidRPr="00E751A7" w:rsidRDefault="00395C1E" w:rsidP="00A13F50">
            <w:pPr>
              <w:jc w:val="center"/>
              <w:rPr>
                <w:rFonts w:asciiTheme="minorHAnsi" w:hAnsiTheme="minorHAnsi" w:cstheme="minorHAnsi"/>
                <w:iCs/>
                <w:sz w:val="18"/>
                <w:szCs w:val="18"/>
              </w:rPr>
            </w:pPr>
            <w:r>
              <w:rPr>
                <w:rFonts w:ascii="Calibri" w:hAnsi="Calibri"/>
                <w:color w:val="000000"/>
                <w:sz w:val="18"/>
              </w:rPr>
              <w:t>5.678,65</w:t>
            </w:r>
          </w:p>
        </w:tc>
        <w:tc>
          <w:tcPr>
            <w:tcW w:w="1035" w:type="dxa"/>
            <w:vAlign w:val="center"/>
          </w:tcPr>
          <w:p w14:paraId="349DC197" w14:textId="3E339C7D" w:rsidR="00395C1E" w:rsidRPr="00507E8D" w:rsidRDefault="00395C1E" w:rsidP="00A13F50">
            <w:pPr>
              <w:jc w:val="both"/>
              <w:rPr>
                <w:rFonts w:asciiTheme="minorHAnsi" w:hAnsiTheme="minorHAnsi" w:cstheme="minorHAnsi"/>
                <w:iCs/>
                <w:sz w:val="18"/>
                <w:szCs w:val="18"/>
              </w:rPr>
            </w:pPr>
            <w:r>
              <w:rPr>
                <w:rFonts w:ascii="Calibri" w:hAnsi="Calibri"/>
                <w:color w:val="000000"/>
                <w:sz w:val="18"/>
              </w:rPr>
              <w:t>5.892,99</w:t>
            </w:r>
          </w:p>
        </w:tc>
        <w:tc>
          <w:tcPr>
            <w:tcW w:w="3025" w:type="dxa"/>
          </w:tcPr>
          <w:p w14:paraId="43A76BD8" w14:textId="46D14737" w:rsidR="00395C1E" w:rsidRPr="00E751A7" w:rsidRDefault="00395C1E" w:rsidP="00A13F50">
            <w:pPr>
              <w:rPr>
                <w:rFonts w:asciiTheme="minorHAnsi" w:hAnsiTheme="minorHAnsi" w:cstheme="minorHAnsi"/>
                <w:iCs/>
                <w:sz w:val="18"/>
                <w:szCs w:val="18"/>
              </w:rPr>
            </w:pPr>
            <w:r>
              <w:rPr>
                <w:rFonts w:asciiTheme="minorHAnsi" w:hAnsiTheme="minorHAnsi"/>
                <w:sz w:val="18"/>
              </w:rPr>
              <w:t>Ecuaquímica C.A</w:t>
            </w:r>
            <w:r w:rsidR="003B4CB4">
              <w:rPr>
                <w:rFonts w:asciiTheme="minorHAnsi" w:hAnsiTheme="minorHAnsi"/>
                <w:sz w:val="18"/>
              </w:rPr>
              <w:t>.</w:t>
            </w:r>
            <w:r>
              <w:rPr>
                <w:rFonts w:asciiTheme="minorHAnsi" w:hAnsiTheme="minorHAnsi"/>
                <w:sz w:val="18"/>
              </w:rPr>
              <w:t>, Interoc S.A., Agripac S.A., Farmagro S.A., Adama Andina B.V</w:t>
            </w:r>
            <w:r w:rsidR="009A09F6">
              <w:rPr>
                <w:rFonts w:asciiTheme="minorHAnsi" w:hAnsiTheme="minorHAnsi"/>
                <w:sz w:val="18"/>
              </w:rPr>
              <w:t>.</w:t>
            </w:r>
            <w:r>
              <w:rPr>
                <w:rFonts w:asciiTheme="minorHAnsi" w:hAnsiTheme="minorHAnsi"/>
                <w:sz w:val="18"/>
              </w:rPr>
              <w:t>, Solagro S.A., Inmonte S.A., Trilex C.A., Bayer S.A., Dupocsa S.A.</w:t>
            </w:r>
          </w:p>
        </w:tc>
      </w:tr>
      <w:tr w:rsidR="00395C1E" w:rsidRPr="00395C1E" w14:paraId="7A4F4195" w14:textId="3E63350B" w:rsidTr="00395C1E">
        <w:tc>
          <w:tcPr>
            <w:tcW w:w="1250" w:type="dxa"/>
            <w:vAlign w:val="center"/>
          </w:tcPr>
          <w:p w14:paraId="27456944" w14:textId="19E62CC2" w:rsidR="00395C1E" w:rsidRPr="00A249AD" w:rsidRDefault="00395C1E" w:rsidP="00A13F50">
            <w:pPr>
              <w:rPr>
                <w:rFonts w:asciiTheme="minorHAnsi" w:hAnsiTheme="minorHAnsi" w:cstheme="minorHAnsi"/>
                <w:iCs/>
                <w:sz w:val="18"/>
                <w:szCs w:val="18"/>
              </w:rPr>
            </w:pPr>
            <w:r>
              <w:rPr>
                <w:rFonts w:asciiTheme="minorHAnsi" w:hAnsiTheme="minorHAnsi"/>
                <w:sz w:val="18"/>
              </w:rPr>
              <w:t>Otros pesticidas</w:t>
            </w:r>
          </w:p>
        </w:tc>
        <w:tc>
          <w:tcPr>
            <w:tcW w:w="1035" w:type="dxa"/>
            <w:vAlign w:val="center"/>
          </w:tcPr>
          <w:p w14:paraId="2CE42068" w14:textId="44C000BD" w:rsidR="00395C1E" w:rsidRPr="00A249AD" w:rsidRDefault="00395C1E" w:rsidP="00A13F50">
            <w:pPr>
              <w:jc w:val="center"/>
              <w:rPr>
                <w:rFonts w:asciiTheme="minorHAnsi" w:hAnsiTheme="minorHAnsi" w:cstheme="minorHAnsi"/>
                <w:iCs/>
                <w:sz w:val="18"/>
                <w:szCs w:val="18"/>
              </w:rPr>
            </w:pPr>
            <w:r>
              <w:rPr>
                <w:rFonts w:ascii="Calibri" w:hAnsi="Calibri"/>
                <w:color w:val="000000"/>
                <w:sz w:val="18"/>
              </w:rPr>
              <w:t>1.922,56</w:t>
            </w:r>
          </w:p>
        </w:tc>
        <w:tc>
          <w:tcPr>
            <w:tcW w:w="1035" w:type="dxa"/>
            <w:vAlign w:val="center"/>
          </w:tcPr>
          <w:p w14:paraId="46BC134B" w14:textId="24880C14" w:rsidR="00395C1E" w:rsidRPr="00A249AD" w:rsidRDefault="00395C1E" w:rsidP="00A13F50">
            <w:pPr>
              <w:jc w:val="center"/>
              <w:rPr>
                <w:rFonts w:asciiTheme="minorHAnsi" w:hAnsiTheme="minorHAnsi" w:cstheme="minorHAnsi"/>
                <w:iCs/>
                <w:sz w:val="18"/>
                <w:szCs w:val="18"/>
              </w:rPr>
            </w:pPr>
            <w:r>
              <w:rPr>
                <w:rFonts w:ascii="Calibri" w:hAnsi="Calibri"/>
                <w:color w:val="000000"/>
                <w:sz w:val="18"/>
              </w:rPr>
              <w:t>2.463,55</w:t>
            </w:r>
          </w:p>
        </w:tc>
        <w:tc>
          <w:tcPr>
            <w:tcW w:w="1035" w:type="dxa"/>
            <w:vAlign w:val="center"/>
          </w:tcPr>
          <w:p w14:paraId="383CF219" w14:textId="5E9B1DE3" w:rsidR="00395C1E" w:rsidRPr="00A249AD" w:rsidRDefault="00395C1E" w:rsidP="00A13F50">
            <w:pPr>
              <w:jc w:val="center"/>
              <w:rPr>
                <w:rFonts w:asciiTheme="minorHAnsi" w:hAnsiTheme="minorHAnsi" w:cstheme="minorHAnsi"/>
                <w:iCs/>
                <w:sz w:val="18"/>
                <w:szCs w:val="18"/>
              </w:rPr>
            </w:pPr>
            <w:r>
              <w:rPr>
                <w:rFonts w:ascii="Calibri" w:hAnsi="Calibri"/>
                <w:color w:val="000000"/>
                <w:sz w:val="18"/>
              </w:rPr>
              <w:t>2.665,99</w:t>
            </w:r>
          </w:p>
        </w:tc>
        <w:tc>
          <w:tcPr>
            <w:tcW w:w="1035" w:type="dxa"/>
            <w:vAlign w:val="center"/>
          </w:tcPr>
          <w:p w14:paraId="1520785C" w14:textId="3373420C" w:rsidR="00395C1E" w:rsidRPr="00A249AD" w:rsidRDefault="00395C1E" w:rsidP="00A13F50">
            <w:pPr>
              <w:jc w:val="center"/>
              <w:rPr>
                <w:rFonts w:asciiTheme="minorHAnsi" w:hAnsiTheme="minorHAnsi" w:cstheme="minorHAnsi"/>
                <w:iCs/>
                <w:sz w:val="18"/>
                <w:szCs w:val="18"/>
              </w:rPr>
            </w:pPr>
            <w:r>
              <w:rPr>
                <w:rFonts w:ascii="Calibri" w:hAnsi="Calibri"/>
                <w:color w:val="000000"/>
                <w:sz w:val="18"/>
              </w:rPr>
              <w:t>2.631,4</w:t>
            </w:r>
          </w:p>
        </w:tc>
        <w:tc>
          <w:tcPr>
            <w:tcW w:w="1035" w:type="dxa"/>
            <w:vAlign w:val="center"/>
          </w:tcPr>
          <w:p w14:paraId="19B61BA5" w14:textId="1FF5D09C" w:rsidR="00395C1E" w:rsidRPr="00A249AD" w:rsidRDefault="00395C1E" w:rsidP="00A13F50">
            <w:pPr>
              <w:jc w:val="center"/>
              <w:rPr>
                <w:rFonts w:asciiTheme="minorHAnsi" w:hAnsiTheme="minorHAnsi" w:cstheme="minorHAnsi"/>
                <w:iCs/>
                <w:sz w:val="18"/>
                <w:szCs w:val="18"/>
              </w:rPr>
            </w:pPr>
            <w:r>
              <w:rPr>
                <w:rFonts w:ascii="Calibri" w:hAnsi="Calibri"/>
                <w:color w:val="000000"/>
                <w:sz w:val="18"/>
              </w:rPr>
              <w:t>2.336,89</w:t>
            </w:r>
          </w:p>
        </w:tc>
        <w:tc>
          <w:tcPr>
            <w:tcW w:w="1035" w:type="dxa"/>
            <w:vAlign w:val="center"/>
          </w:tcPr>
          <w:p w14:paraId="01F6340A" w14:textId="0307C47D" w:rsidR="00395C1E" w:rsidRPr="00C14232" w:rsidRDefault="00395C1E" w:rsidP="00A13F50">
            <w:pPr>
              <w:rPr>
                <w:rFonts w:asciiTheme="minorHAnsi" w:hAnsiTheme="minorHAnsi" w:cstheme="minorHAnsi"/>
                <w:iCs/>
                <w:sz w:val="18"/>
                <w:szCs w:val="18"/>
              </w:rPr>
            </w:pPr>
            <w:r>
              <w:rPr>
                <w:rFonts w:ascii="Calibri" w:hAnsi="Calibri"/>
                <w:color w:val="000000"/>
                <w:sz w:val="18"/>
              </w:rPr>
              <w:t>4.327,76</w:t>
            </w:r>
          </w:p>
        </w:tc>
        <w:tc>
          <w:tcPr>
            <w:tcW w:w="3025" w:type="dxa"/>
          </w:tcPr>
          <w:p w14:paraId="7EF6BB96" w14:textId="3039FCCF" w:rsidR="00395C1E" w:rsidRPr="00C14232" w:rsidRDefault="00395C1E" w:rsidP="00A13F50">
            <w:pPr>
              <w:rPr>
                <w:rFonts w:asciiTheme="minorHAnsi" w:hAnsiTheme="minorHAnsi" w:cstheme="minorHAnsi"/>
                <w:iCs/>
                <w:sz w:val="18"/>
                <w:szCs w:val="18"/>
              </w:rPr>
            </w:pPr>
            <w:r>
              <w:rPr>
                <w:rFonts w:asciiTheme="minorHAnsi" w:hAnsiTheme="minorHAnsi"/>
                <w:sz w:val="18"/>
              </w:rPr>
              <w:t>Interoc S.A., Farmagro S.A., Cretar S.A., Semidor, Bayer S.A., Agripac S.A., Ecuaquímica C.A</w:t>
            </w:r>
            <w:r w:rsidR="009A09F6">
              <w:rPr>
                <w:rFonts w:asciiTheme="minorHAnsi" w:hAnsiTheme="minorHAnsi"/>
                <w:sz w:val="18"/>
              </w:rPr>
              <w:t>.</w:t>
            </w:r>
            <w:r>
              <w:rPr>
                <w:rFonts w:asciiTheme="minorHAnsi" w:hAnsiTheme="minorHAnsi"/>
                <w:sz w:val="18"/>
              </w:rPr>
              <w:t>, Agroreprain S.A.,  Summit Agro South America SPA, Incoagro Cia. Ltda.</w:t>
            </w:r>
          </w:p>
        </w:tc>
      </w:tr>
      <w:tr w:rsidR="00395C1E" w:rsidRPr="00E751A7" w14:paraId="3B97C4D6" w14:textId="5A876C77" w:rsidTr="00395C1E">
        <w:tc>
          <w:tcPr>
            <w:tcW w:w="1250" w:type="dxa"/>
          </w:tcPr>
          <w:p w14:paraId="559FF6F5" w14:textId="0A2878CB" w:rsidR="00395C1E" w:rsidRPr="00E751A7" w:rsidRDefault="00395C1E" w:rsidP="00A13F50">
            <w:pPr>
              <w:rPr>
                <w:rFonts w:asciiTheme="minorHAnsi" w:hAnsiTheme="minorHAnsi" w:cstheme="minorHAnsi"/>
                <w:b/>
                <w:bCs/>
                <w:iCs/>
                <w:sz w:val="18"/>
                <w:szCs w:val="18"/>
              </w:rPr>
            </w:pPr>
            <w:r>
              <w:rPr>
                <w:rFonts w:asciiTheme="minorHAnsi" w:hAnsiTheme="minorHAnsi"/>
                <w:b/>
                <w:sz w:val="18"/>
              </w:rPr>
              <w:t>TOTAL (ton)</w:t>
            </w:r>
          </w:p>
        </w:tc>
        <w:tc>
          <w:tcPr>
            <w:tcW w:w="1035" w:type="dxa"/>
            <w:vAlign w:val="center"/>
          </w:tcPr>
          <w:p w14:paraId="74D1E566" w14:textId="7DC85B86" w:rsidR="00395C1E" w:rsidRPr="00767FDA" w:rsidRDefault="00395C1E" w:rsidP="00A13F50">
            <w:pPr>
              <w:jc w:val="center"/>
              <w:rPr>
                <w:rFonts w:asciiTheme="minorHAnsi" w:hAnsiTheme="minorHAnsi" w:cstheme="minorHAnsi"/>
                <w:b/>
                <w:bCs/>
                <w:iCs/>
                <w:sz w:val="18"/>
                <w:szCs w:val="18"/>
              </w:rPr>
            </w:pPr>
            <w:r>
              <w:rPr>
                <w:rFonts w:asciiTheme="minorHAnsi" w:hAnsiTheme="minorHAnsi"/>
                <w:color w:val="000000"/>
                <w:sz w:val="18"/>
              </w:rPr>
              <w:t>36.148,75</w:t>
            </w:r>
          </w:p>
        </w:tc>
        <w:tc>
          <w:tcPr>
            <w:tcW w:w="1035" w:type="dxa"/>
            <w:vAlign w:val="center"/>
          </w:tcPr>
          <w:p w14:paraId="335A7670" w14:textId="3611911E" w:rsidR="00395C1E" w:rsidRPr="00D31921" w:rsidRDefault="00395C1E" w:rsidP="00A13F50">
            <w:pPr>
              <w:jc w:val="center"/>
              <w:rPr>
                <w:rFonts w:asciiTheme="minorHAnsi" w:hAnsiTheme="minorHAnsi" w:cstheme="minorHAnsi"/>
                <w:b/>
                <w:bCs/>
                <w:iCs/>
                <w:sz w:val="18"/>
                <w:szCs w:val="18"/>
              </w:rPr>
            </w:pPr>
            <w:r>
              <w:rPr>
                <w:rFonts w:ascii="Calibri" w:hAnsi="Calibri"/>
                <w:color w:val="000000"/>
                <w:sz w:val="18"/>
              </w:rPr>
              <w:t>39.706,96</w:t>
            </w:r>
          </w:p>
        </w:tc>
        <w:tc>
          <w:tcPr>
            <w:tcW w:w="1035" w:type="dxa"/>
            <w:vAlign w:val="center"/>
          </w:tcPr>
          <w:p w14:paraId="307E6E3F" w14:textId="29B685DF" w:rsidR="00395C1E" w:rsidRPr="00D31921" w:rsidRDefault="00395C1E" w:rsidP="00A13F50">
            <w:pPr>
              <w:jc w:val="center"/>
              <w:rPr>
                <w:rFonts w:asciiTheme="minorHAnsi" w:hAnsiTheme="minorHAnsi" w:cstheme="minorHAnsi"/>
                <w:b/>
                <w:bCs/>
                <w:iCs/>
                <w:sz w:val="18"/>
                <w:szCs w:val="18"/>
              </w:rPr>
            </w:pPr>
            <w:r>
              <w:rPr>
                <w:rFonts w:ascii="Calibri" w:hAnsi="Calibri"/>
                <w:color w:val="000000"/>
                <w:sz w:val="18"/>
              </w:rPr>
              <w:t>41.166,33</w:t>
            </w:r>
          </w:p>
        </w:tc>
        <w:tc>
          <w:tcPr>
            <w:tcW w:w="1035" w:type="dxa"/>
            <w:vAlign w:val="center"/>
          </w:tcPr>
          <w:p w14:paraId="7D582C44" w14:textId="37B24307" w:rsidR="00395C1E" w:rsidRPr="00D31921" w:rsidRDefault="00395C1E" w:rsidP="00A13F50">
            <w:pPr>
              <w:jc w:val="center"/>
              <w:rPr>
                <w:rFonts w:asciiTheme="minorHAnsi" w:hAnsiTheme="minorHAnsi" w:cstheme="minorHAnsi"/>
                <w:b/>
                <w:bCs/>
                <w:iCs/>
                <w:sz w:val="18"/>
                <w:szCs w:val="18"/>
              </w:rPr>
            </w:pPr>
            <w:r>
              <w:rPr>
                <w:rFonts w:ascii="Calibri" w:hAnsi="Calibri"/>
                <w:color w:val="000000"/>
                <w:sz w:val="18"/>
              </w:rPr>
              <w:t>48.005,76</w:t>
            </w:r>
          </w:p>
        </w:tc>
        <w:tc>
          <w:tcPr>
            <w:tcW w:w="1035" w:type="dxa"/>
            <w:vAlign w:val="center"/>
          </w:tcPr>
          <w:p w14:paraId="3AA7348C" w14:textId="398DDFC7" w:rsidR="00395C1E" w:rsidRPr="00D31921" w:rsidRDefault="00395C1E" w:rsidP="00A13F50">
            <w:pPr>
              <w:jc w:val="center"/>
              <w:rPr>
                <w:rFonts w:asciiTheme="minorHAnsi" w:hAnsiTheme="minorHAnsi" w:cstheme="minorHAnsi"/>
                <w:b/>
                <w:bCs/>
                <w:iCs/>
                <w:sz w:val="18"/>
                <w:szCs w:val="18"/>
              </w:rPr>
            </w:pPr>
            <w:r>
              <w:rPr>
                <w:rFonts w:ascii="Calibri" w:hAnsi="Calibri"/>
                <w:color w:val="000000"/>
                <w:sz w:val="18"/>
              </w:rPr>
              <w:t>49.775,07</w:t>
            </w:r>
          </w:p>
        </w:tc>
        <w:tc>
          <w:tcPr>
            <w:tcW w:w="1035" w:type="dxa"/>
          </w:tcPr>
          <w:p w14:paraId="231A1A65" w14:textId="210E2040" w:rsidR="00395C1E" w:rsidRPr="00D31921" w:rsidRDefault="00395C1E" w:rsidP="00A13F50">
            <w:pPr>
              <w:rPr>
                <w:rFonts w:asciiTheme="minorHAnsi" w:hAnsiTheme="minorHAnsi" w:cstheme="minorHAnsi"/>
                <w:b/>
                <w:bCs/>
                <w:iCs/>
                <w:sz w:val="18"/>
                <w:szCs w:val="18"/>
              </w:rPr>
            </w:pPr>
            <w:r>
              <w:rPr>
                <w:rFonts w:ascii="Calibri" w:hAnsi="Calibri"/>
                <w:color w:val="000000"/>
                <w:sz w:val="18"/>
              </w:rPr>
              <w:t>52.642,06</w:t>
            </w:r>
          </w:p>
        </w:tc>
        <w:tc>
          <w:tcPr>
            <w:tcW w:w="3025" w:type="dxa"/>
          </w:tcPr>
          <w:p w14:paraId="1858FE8E" w14:textId="494B3863" w:rsidR="00395C1E" w:rsidRPr="00E751A7" w:rsidRDefault="00395C1E" w:rsidP="00A13F50">
            <w:pPr>
              <w:rPr>
                <w:rFonts w:asciiTheme="minorHAnsi" w:hAnsiTheme="minorHAnsi" w:cstheme="minorHAnsi"/>
                <w:b/>
                <w:bCs/>
                <w:iCs/>
                <w:sz w:val="18"/>
                <w:szCs w:val="18"/>
              </w:rPr>
            </w:pPr>
          </w:p>
        </w:tc>
      </w:tr>
    </w:tbl>
    <w:p w14:paraId="2C2ACE98" w14:textId="2863746B" w:rsidR="00A13F50" w:rsidRPr="00854F6F" w:rsidRDefault="00A02971" w:rsidP="006638B9">
      <w:pPr>
        <w:spacing w:after="120"/>
        <w:rPr>
          <w:rFonts w:ascii="Calibri" w:hAnsi="Calibri" w:cs="Calibri"/>
          <w:iCs/>
          <w:sz w:val="18"/>
          <w:szCs w:val="18"/>
        </w:rPr>
      </w:pPr>
      <w:r>
        <w:rPr>
          <w:rFonts w:ascii="Calibri" w:hAnsi="Calibri"/>
          <w:sz w:val="18"/>
        </w:rPr>
        <w:t>Fuente: Equipo PPG basado en los registros de SENAE</w:t>
      </w:r>
    </w:p>
    <w:p w14:paraId="5E76FF6B" w14:textId="677A26C2" w:rsidR="007263F9" w:rsidRPr="007263F9" w:rsidRDefault="00364239" w:rsidP="00903E2E">
      <w:pPr>
        <w:spacing w:after="120"/>
        <w:jc w:val="both"/>
        <w:rPr>
          <w:rFonts w:ascii="Calibri" w:hAnsi="Calibri" w:cs="Calibri"/>
          <w:iCs/>
          <w:color w:val="000000" w:themeColor="text1"/>
          <w:sz w:val="20"/>
          <w:szCs w:val="20"/>
        </w:rPr>
      </w:pPr>
      <w:r>
        <w:rPr>
          <w:rFonts w:ascii="Calibri" w:hAnsi="Calibri"/>
          <w:color w:val="000000" w:themeColor="text1"/>
          <w:sz w:val="20"/>
        </w:rPr>
        <w:t>Si se analizan en detalle las cantidades importadas, se observa que anualmente entran y se utilizan en el país plaguicidas altamente peligrosos (1a-1b). En especial, cabe destacar la entrada de Paraquat y Clorpirifos, siendo el Clorpirifos una sustancia que actualmente está propuesta para ser incluida en la lista de plaguicidas COP en el marco del Convenio de Estocolmo. En el siguiente cuadro se detallan las cantidades importadas de estas sustancias:</w:t>
      </w:r>
    </w:p>
    <w:p w14:paraId="41D6DA0E" w14:textId="38B75F9E" w:rsidR="00BA0765" w:rsidRPr="002E25F1" w:rsidRDefault="002E25F1" w:rsidP="002E25F1">
      <w:pPr>
        <w:pStyle w:val="Descripcin"/>
        <w:keepNext/>
        <w:jc w:val="both"/>
        <w:rPr>
          <w:rFonts w:asciiTheme="minorHAnsi" w:hAnsiTheme="minorHAnsi" w:cstheme="minorHAnsi"/>
          <w:sz w:val="18"/>
          <w:szCs w:val="18"/>
        </w:rPr>
      </w:pPr>
      <w:bookmarkStart w:id="11" w:name="_Toc114650453"/>
      <w:r>
        <w:rPr>
          <w:rFonts w:asciiTheme="minorHAnsi" w:hAnsiTheme="minorHAnsi"/>
          <w:sz w:val="18"/>
        </w:rPr>
        <w:t xml:space="preserve">Tabla </w:t>
      </w:r>
      <w:r w:rsidRPr="002E25F1">
        <w:rPr>
          <w:rFonts w:asciiTheme="minorHAnsi" w:hAnsiTheme="minorHAnsi" w:cstheme="minorHAnsi"/>
          <w:sz w:val="18"/>
        </w:rPr>
        <w:fldChar w:fldCharType="begin"/>
      </w:r>
      <w:r w:rsidRPr="002E25F1">
        <w:rPr>
          <w:rFonts w:asciiTheme="minorHAnsi" w:hAnsiTheme="minorHAnsi" w:cstheme="minorHAnsi"/>
          <w:sz w:val="18"/>
        </w:rPr>
        <w:instrText xml:space="preserve"> SEQ Table \* ARABIC </w:instrText>
      </w:r>
      <w:r w:rsidRPr="002E25F1">
        <w:rPr>
          <w:rFonts w:asciiTheme="minorHAnsi" w:hAnsiTheme="minorHAnsi" w:cstheme="minorHAnsi"/>
          <w:sz w:val="18"/>
        </w:rPr>
        <w:fldChar w:fldCharType="separate"/>
      </w:r>
      <w:r w:rsidR="004D0AC8">
        <w:rPr>
          <w:rFonts w:asciiTheme="minorHAnsi" w:hAnsiTheme="minorHAnsi" w:cstheme="minorHAnsi"/>
          <w:noProof/>
          <w:sz w:val="18"/>
        </w:rPr>
        <w:t>3</w:t>
      </w:r>
      <w:r w:rsidRPr="002E25F1">
        <w:rPr>
          <w:rFonts w:asciiTheme="minorHAnsi" w:hAnsiTheme="minorHAnsi" w:cstheme="minorHAnsi"/>
          <w:sz w:val="18"/>
        </w:rPr>
        <w:fldChar w:fldCharType="end"/>
      </w:r>
      <w:r>
        <w:rPr>
          <w:rFonts w:asciiTheme="minorHAnsi" w:hAnsiTheme="minorHAnsi"/>
          <w:sz w:val="18"/>
        </w:rPr>
        <w:t>: Importaciones de PAPs, Clorpirifos y Paraquat en Ecuador</w:t>
      </w:r>
      <w:bookmarkEnd w:id="11"/>
    </w:p>
    <w:tbl>
      <w:tblPr>
        <w:tblStyle w:val="Tablaconcuadrcula"/>
        <w:tblW w:w="0" w:type="auto"/>
        <w:tblLook w:val="04A0" w:firstRow="1" w:lastRow="0" w:firstColumn="1" w:lastColumn="0" w:noHBand="0" w:noVBand="1"/>
      </w:tblPr>
      <w:tblGrid>
        <w:gridCol w:w="1401"/>
        <w:gridCol w:w="1353"/>
        <w:gridCol w:w="1353"/>
        <w:gridCol w:w="1349"/>
        <w:gridCol w:w="1353"/>
        <w:gridCol w:w="1353"/>
        <w:gridCol w:w="1188"/>
      </w:tblGrid>
      <w:tr w:rsidR="009C301B" w:rsidRPr="008C6A6D" w14:paraId="112DEA51" w14:textId="70F349D8" w:rsidTr="00914C84">
        <w:tc>
          <w:tcPr>
            <w:tcW w:w="1401" w:type="dxa"/>
          </w:tcPr>
          <w:p w14:paraId="057DCA6F" w14:textId="256FAE44" w:rsidR="0015590D" w:rsidRPr="008C6A6D" w:rsidRDefault="0015590D" w:rsidP="00E66271">
            <w:pPr>
              <w:rPr>
                <w:rFonts w:ascii="Calibri" w:hAnsi="Calibri" w:cs="Calibri"/>
                <w:b/>
                <w:bCs/>
                <w:iCs/>
                <w:sz w:val="18"/>
                <w:szCs w:val="18"/>
              </w:rPr>
            </w:pPr>
            <w:r>
              <w:rPr>
                <w:rFonts w:ascii="Calibri" w:hAnsi="Calibri"/>
                <w:b/>
                <w:sz w:val="18"/>
              </w:rPr>
              <w:t>Principio activo</w:t>
            </w:r>
          </w:p>
        </w:tc>
        <w:tc>
          <w:tcPr>
            <w:tcW w:w="1353" w:type="dxa"/>
          </w:tcPr>
          <w:p w14:paraId="45CBA8F7" w14:textId="7F1E8BD4" w:rsidR="0015590D" w:rsidRPr="008C6A6D" w:rsidRDefault="0015590D" w:rsidP="008C6A6D">
            <w:pPr>
              <w:jc w:val="center"/>
              <w:rPr>
                <w:rFonts w:ascii="Calibri" w:hAnsi="Calibri" w:cs="Calibri"/>
                <w:b/>
                <w:bCs/>
                <w:iCs/>
                <w:sz w:val="18"/>
                <w:szCs w:val="18"/>
              </w:rPr>
            </w:pPr>
            <w:r>
              <w:rPr>
                <w:rFonts w:ascii="Calibri" w:hAnsi="Calibri"/>
                <w:b/>
                <w:sz w:val="18"/>
              </w:rPr>
              <w:t>2016</w:t>
            </w:r>
          </w:p>
        </w:tc>
        <w:tc>
          <w:tcPr>
            <w:tcW w:w="1353" w:type="dxa"/>
          </w:tcPr>
          <w:p w14:paraId="311DDEC1" w14:textId="76898381" w:rsidR="0015590D" w:rsidRPr="008C6A6D" w:rsidRDefault="0015590D" w:rsidP="008C6A6D">
            <w:pPr>
              <w:jc w:val="center"/>
              <w:rPr>
                <w:rFonts w:ascii="Calibri" w:hAnsi="Calibri" w:cs="Calibri"/>
                <w:b/>
                <w:bCs/>
                <w:iCs/>
                <w:sz w:val="18"/>
                <w:szCs w:val="18"/>
              </w:rPr>
            </w:pPr>
            <w:r>
              <w:rPr>
                <w:rFonts w:ascii="Calibri" w:hAnsi="Calibri"/>
                <w:b/>
                <w:sz w:val="18"/>
              </w:rPr>
              <w:t>2017</w:t>
            </w:r>
          </w:p>
        </w:tc>
        <w:tc>
          <w:tcPr>
            <w:tcW w:w="1349" w:type="dxa"/>
          </w:tcPr>
          <w:p w14:paraId="61F74F7A" w14:textId="65BC86C5" w:rsidR="0015590D" w:rsidRPr="008C6A6D" w:rsidRDefault="0015590D" w:rsidP="008C6A6D">
            <w:pPr>
              <w:jc w:val="center"/>
              <w:rPr>
                <w:rFonts w:ascii="Calibri" w:hAnsi="Calibri" w:cs="Calibri"/>
                <w:b/>
                <w:bCs/>
                <w:iCs/>
                <w:sz w:val="18"/>
                <w:szCs w:val="18"/>
              </w:rPr>
            </w:pPr>
            <w:r>
              <w:rPr>
                <w:rFonts w:ascii="Calibri" w:hAnsi="Calibri"/>
                <w:b/>
                <w:sz w:val="18"/>
              </w:rPr>
              <w:t>2018</w:t>
            </w:r>
          </w:p>
        </w:tc>
        <w:tc>
          <w:tcPr>
            <w:tcW w:w="1353" w:type="dxa"/>
          </w:tcPr>
          <w:p w14:paraId="67B0F274" w14:textId="67ECAA69" w:rsidR="0015590D" w:rsidRPr="008C6A6D" w:rsidRDefault="0015590D" w:rsidP="008C6A6D">
            <w:pPr>
              <w:jc w:val="center"/>
              <w:rPr>
                <w:rFonts w:ascii="Calibri" w:hAnsi="Calibri" w:cs="Calibri"/>
                <w:b/>
                <w:bCs/>
                <w:iCs/>
                <w:sz w:val="18"/>
                <w:szCs w:val="18"/>
              </w:rPr>
            </w:pPr>
            <w:r>
              <w:rPr>
                <w:rFonts w:ascii="Calibri" w:hAnsi="Calibri"/>
                <w:b/>
                <w:sz w:val="18"/>
              </w:rPr>
              <w:t>2019</w:t>
            </w:r>
          </w:p>
        </w:tc>
        <w:tc>
          <w:tcPr>
            <w:tcW w:w="1353" w:type="dxa"/>
          </w:tcPr>
          <w:p w14:paraId="0A524501" w14:textId="68358F04" w:rsidR="0015590D" w:rsidRPr="008C6A6D" w:rsidRDefault="0015590D" w:rsidP="008C6A6D">
            <w:pPr>
              <w:jc w:val="center"/>
              <w:rPr>
                <w:rFonts w:ascii="Calibri" w:hAnsi="Calibri" w:cs="Calibri"/>
                <w:b/>
                <w:bCs/>
                <w:iCs/>
                <w:sz w:val="18"/>
                <w:szCs w:val="18"/>
              </w:rPr>
            </w:pPr>
            <w:r>
              <w:rPr>
                <w:rFonts w:ascii="Calibri" w:hAnsi="Calibri"/>
                <w:b/>
                <w:sz w:val="18"/>
              </w:rPr>
              <w:t>2020</w:t>
            </w:r>
          </w:p>
        </w:tc>
        <w:tc>
          <w:tcPr>
            <w:tcW w:w="1188" w:type="dxa"/>
          </w:tcPr>
          <w:p w14:paraId="4064D729" w14:textId="1B44159D" w:rsidR="0015590D" w:rsidRPr="008C6A6D" w:rsidRDefault="0015590D" w:rsidP="008C6A6D">
            <w:pPr>
              <w:jc w:val="center"/>
              <w:rPr>
                <w:rFonts w:ascii="Calibri" w:hAnsi="Calibri" w:cs="Calibri"/>
                <w:b/>
                <w:bCs/>
                <w:iCs/>
                <w:sz w:val="18"/>
                <w:szCs w:val="18"/>
              </w:rPr>
            </w:pPr>
            <w:r>
              <w:rPr>
                <w:rFonts w:ascii="Calibri" w:hAnsi="Calibri"/>
                <w:b/>
                <w:sz w:val="18"/>
              </w:rPr>
              <w:t>2021</w:t>
            </w:r>
          </w:p>
        </w:tc>
      </w:tr>
      <w:tr w:rsidR="00914C84" w:rsidRPr="00BA0765" w14:paraId="3B3F0F95" w14:textId="779F04C0" w:rsidTr="00914C84">
        <w:tc>
          <w:tcPr>
            <w:tcW w:w="1401" w:type="dxa"/>
          </w:tcPr>
          <w:p w14:paraId="2982ECAF" w14:textId="7C4B730F" w:rsidR="00914C84" w:rsidRPr="00BA0765" w:rsidRDefault="00914C84" w:rsidP="00914C84">
            <w:pPr>
              <w:rPr>
                <w:rFonts w:ascii="Calibri" w:hAnsi="Calibri" w:cs="Calibri"/>
                <w:iCs/>
                <w:sz w:val="18"/>
                <w:szCs w:val="18"/>
              </w:rPr>
            </w:pPr>
            <w:r>
              <w:rPr>
                <w:rFonts w:ascii="Calibri" w:hAnsi="Calibri"/>
                <w:sz w:val="18"/>
              </w:rPr>
              <w:t>PAPs  (1a-1b)</w:t>
            </w:r>
          </w:p>
        </w:tc>
        <w:tc>
          <w:tcPr>
            <w:tcW w:w="1353" w:type="dxa"/>
            <w:vAlign w:val="center"/>
          </w:tcPr>
          <w:p w14:paraId="1EBEC573" w14:textId="6E18D297"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2.164,96</w:t>
            </w:r>
          </w:p>
        </w:tc>
        <w:tc>
          <w:tcPr>
            <w:tcW w:w="1353" w:type="dxa"/>
            <w:vAlign w:val="center"/>
          </w:tcPr>
          <w:p w14:paraId="17A99862" w14:textId="149A158D"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2.227,49</w:t>
            </w:r>
          </w:p>
        </w:tc>
        <w:tc>
          <w:tcPr>
            <w:tcW w:w="1349" w:type="dxa"/>
            <w:vAlign w:val="center"/>
          </w:tcPr>
          <w:p w14:paraId="6047A5A4" w14:textId="04D621F5"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2.176,12</w:t>
            </w:r>
          </w:p>
        </w:tc>
        <w:tc>
          <w:tcPr>
            <w:tcW w:w="1353" w:type="dxa"/>
            <w:vAlign w:val="center"/>
          </w:tcPr>
          <w:p w14:paraId="37AA6DB4" w14:textId="740AB460"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2.071,52</w:t>
            </w:r>
          </w:p>
        </w:tc>
        <w:tc>
          <w:tcPr>
            <w:tcW w:w="1353" w:type="dxa"/>
            <w:vAlign w:val="center"/>
          </w:tcPr>
          <w:p w14:paraId="203F662A" w14:textId="511092A8"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2.576,21</w:t>
            </w:r>
          </w:p>
        </w:tc>
        <w:tc>
          <w:tcPr>
            <w:tcW w:w="1188" w:type="dxa"/>
            <w:vAlign w:val="center"/>
          </w:tcPr>
          <w:p w14:paraId="2A86372E" w14:textId="18D0DB5C"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4.363,69</w:t>
            </w:r>
          </w:p>
        </w:tc>
      </w:tr>
      <w:tr w:rsidR="00914C84" w:rsidRPr="00BA0765" w14:paraId="5350CF38" w14:textId="79FFBC3F" w:rsidTr="00914C84">
        <w:tc>
          <w:tcPr>
            <w:tcW w:w="1401" w:type="dxa"/>
          </w:tcPr>
          <w:p w14:paraId="7D45950D" w14:textId="78A23D4E" w:rsidR="00914C84" w:rsidRPr="00BA0765" w:rsidRDefault="00914C84" w:rsidP="00914C84">
            <w:pPr>
              <w:rPr>
                <w:rFonts w:ascii="Calibri" w:hAnsi="Calibri" w:cs="Calibri"/>
                <w:iCs/>
                <w:sz w:val="18"/>
                <w:szCs w:val="18"/>
              </w:rPr>
            </w:pPr>
            <w:r>
              <w:rPr>
                <w:rFonts w:asciiTheme="minorHAnsi" w:hAnsiTheme="minorHAnsi"/>
                <w:sz w:val="18"/>
              </w:rPr>
              <w:t>Clorpirifos</w:t>
            </w:r>
          </w:p>
        </w:tc>
        <w:tc>
          <w:tcPr>
            <w:tcW w:w="1353" w:type="dxa"/>
            <w:vAlign w:val="center"/>
          </w:tcPr>
          <w:p w14:paraId="71741053" w14:textId="700A8603"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674,38</w:t>
            </w:r>
          </w:p>
        </w:tc>
        <w:tc>
          <w:tcPr>
            <w:tcW w:w="1353" w:type="dxa"/>
            <w:vAlign w:val="center"/>
          </w:tcPr>
          <w:p w14:paraId="0CA3430E" w14:textId="01DC7C7C"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787,36</w:t>
            </w:r>
          </w:p>
        </w:tc>
        <w:tc>
          <w:tcPr>
            <w:tcW w:w="1349" w:type="dxa"/>
            <w:vAlign w:val="center"/>
          </w:tcPr>
          <w:p w14:paraId="6E503026" w14:textId="5A9B3894"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880,52</w:t>
            </w:r>
          </w:p>
        </w:tc>
        <w:tc>
          <w:tcPr>
            <w:tcW w:w="1353" w:type="dxa"/>
            <w:vAlign w:val="center"/>
          </w:tcPr>
          <w:p w14:paraId="15540743" w14:textId="30716635"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549,35</w:t>
            </w:r>
          </w:p>
        </w:tc>
        <w:tc>
          <w:tcPr>
            <w:tcW w:w="1353" w:type="dxa"/>
            <w:vAlign w:val="center"/>
          </w:tcPr>
          <w:p w14:paraId="53A746B7" w14:textId="5EA212BB"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872,00</w:t>
            </w:r>
          </w:p>
        </w:tc>
        <w:tc>
          <w:tcPr>
            <w:tcW w:w="1188" w:type="dxa"/>
            <w:vAlign w:val="center"/>
          </w:tcPr>
          <w:p w14:paraId="62E5A33D" w14:textId="753D4416"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910,36</w:t>
            </w:r>
          </w:p>
        </w:tc>
      </w:tr>
      <w:tr w:rsidR="00914C84" w:rsidRPr="00BA0765" w14:paraId="252FC587" w14:textId="1EB439CC" w:rsidTr="00914C84">
        <w:tc>
          <w:tcPr>
            <w:tcW w:w="1401" w:type="dxa"/>
          </w:tcPr>
          <w:p w14:paraId="5E2A7108" w14:textId="72F340C6" w:rsidR="00914C84" w:rsidRPr="00BA0765" w:rsidRDefault="00914C84" w:rsidP="00914C84">
            <w:pPr>
              <w:rPr>
                <w:rFonts w:ascii="Calibri" w:hAnsi="Calibri" w:cs="Calibri"/>
                <w:iCs/>
                <w:sz w:val="18"/>
                <w:szCs w:val="18"/>
              </w:rPr>
            </w:pPr>
            <w:r>
              <w:rPr>
                <w:rFonts w:ascii="Calibri" w:hAnsi="Calibri"/>
                <w:sz w:val="18"/>
              </w:rPr>
              <w:t>Paraquat</w:t>
            </w:r>
          </w:p>
        </w:tc>
        <w:tc>
          <w:tcPr>
            <w:tcW w:w="1353" w:type="dxa"/>
            <w:vAlign w:val="center"/>
          </w:tcPr>
          <w:p w14:paraId="1D3F2A02" w14:textId="0C8A2E9F"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2.614,36</w:t>
            </w:r>
          </w:p>
        </w:tc>
        <w:tc>
          <w:tcPr>
            <w:tcW w:w="1353" w:type="dxa"/>
            <w:vAlign w:val="center"/>
          </w:tcPr>
          <w:p w14:paraId="1B3B49FF" w14:textId="690015CF"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2.883,89</w:t>
            </w:r>
          </w:p>
        </w:tc>
        <w:tc>
          <w:tcPr>
            <w:tcW w:w="1349" w:type="dxa"/>
            <w:vAlign w:val="center"/>
          </w:tcPr>
          <w:p w14:paraId="4C92891D" w14:textId="722A0D63"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4.045,66</w:t>
            </w:r>
          </w:p>
        </w:tc>
        <w:tc>
          <w:tcPr>
            <w:tcW w:w="1353" w:type="dxa"/>
            <w:vAlign w:val="center"/>
          </w:tcPr>
          <w:p w14:paraId="2CA2F055" w14:textId="71F2EDA0"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3.630,66</w:t>
            </w:r>
          </w:p>
        </w:tc>
        <w:tc>
          <w:tcPr>
            <w:tcW w:w="1353" w:type="dxa"/>
            <w:vAlign w:val="center"/>
          </w:tcPr>
          <w:p w14:paraId="01EABBB5" w14:textId="757A35CC" w:rsidR="00914C84" w:rsidRPr="006A257A" w:rsidRDefault="00914C84" w:rsidP="00914C84">
            <w:pPr>
              <w:jc w:val="center"/>
              <w:rPr>
                <w:rFonts w:asciiTheme="minorHAnsi" w:hAnsiTheme="minorHAnsi" w:cstheme="minorHAnsi"/>
                <w:iCs/>
                <w:sz w:val="18"/>
                <w:szCs w:val="18"/>
              </w:rPr>
            </w:pPr>
            <w:r>
              <w:rPr>
                <w:rFonts w:asciiTheme="minorHAnsi" w:hAnsiTheme="minorHAnsi"/>
                <w:color w:val="000000"/>
                <w:sz w:val="18"/>
              </w:rPr>
              <w:t>5.895,67</w:t>
            </w:r>
          </w:p>
        </w:tc>
        <w:tc>
          <w:tcPr>
            <w:tcW w:w="1188" w:type="dxa"/>
            <w:vAlign w:val="center"/>
          </w:tcPr>
          <w:p w14:paraId="031A0A66" w14:textId="64FD66DA" w:rsidR="00914C84" w:rsidRPr="006A257A" w:rsidRDefault="00914C84" w:rsidP="00914C84">
            <w:pPr>
              <w:jc w:val="center"/>
              <w:rPr>
                <w:rFonts w:asciiTheme="minorHAnsi" w:hAnsiTheme="minorHAnsi" w:cstheme="minorHAnsi"/>
                <w:sz w:val="18"/>
                <w:szCs w:val="18"/>
              </w:rPr>
            </w:pPr>
            <w:r>
              <w:rPr>
                <w:rFonts w:asciiTheme="minorHAnsi" w:hAnsiTheme="minorHAnsi"/>
                <w:color w:val="000000"/>
                <w:sz w:val="18"/>
              </w:rPr>
              <w:t>8.395,65</w:t>
            </w:r>
          </w:p>
        </w:tc>
      </w:tr>
      <w:tr w:rsidR="00914C84" w:rsidRPr="008C6A6D" w14:paraId="6C35EAD9" w14:textId="190DA2E1" w:rsidTr="00914C84">
        <w:tc>
          <w:tcPr>
            <w:tcW w:w="1401" w:type="dxa"/>
          </w:tcPr>
          <w:p w14:paraId="51824787" w14:textId="42A005FA" w:rsidR="00914C84" w:rsidRPr="00914C84" w:rsidRDefault="00914C84" w:rsidP="00914C84">
            <w:pPr>
              <w:rPr>
                <w:rFonts w:asciiTheme="minorHAnsi" w:hAnsiTheme="minorHAnsi" w:cstheme="minorHAnsi"/>
                <w:b/>
                <w:bCs/>
                <w:iCs/>
                <w:sz w:val="18"/>
                <w:szCs w:val="18"/>
              </w:rPr>
            </w:pPr>
            <w:r>
              <w:rPr>
                <w:rFonts w:asciiTheme="minorHAnsi" w:hAnsiTheme="minorHAnsi"/>
                <w:b/>
                <w:sz w:val="18"/>
              </w:rPr>
              <w:t>Total (ton)</w:t>
            </w:r>
          </w:p>
        </w:tc>
        <w:tc>
          <w:tcPr>
            <w:tcW w:w="1353" w:type="dxa"/>
            <w:vAlign w:val="bottom"/>
          </w:tcPr>
          <w:p w14:paraId="0DFEF1DE" w14:textId="29F66624" w:rsidR="00914C84" w:rsidRPr="00914C84" w:rsidRDefault="00914C84" w:rsidP="00914C84">
            <w:pPr>
              <w:jc w:val="center"/>
              <w:rPr>
                <w:rFonts w:asciiTheme="minorHAnsi" w:hAnsiTheme="minorHAnsi" w:cstheme="minorHAnsi"/>
                <w:b/>
                <w:bCs/>
                <w:iCs/>
                <w:sz w:val="18"/>
                <w:szCs w:val="18"/>
              </w:rPr>
            </w:pPr>
            <w:r>
              <w:rPr>
                <w:rFonts w:ascii="Calibri" w:hAnsi="Calibri"/>
                <w:b/>
                <w:color w:val="000000"/>
                <w:sz w:val="18"/>
              </w:rPr>
              <w:t>5.453,71</w:t>
            </w:r>
          </w:p>
        </w:tc>
        <w:tc>
          <w:tcPr>
            <w:tcW w:w="1353" w:type="dxa"/>
            <w:vAlign w:val="bottom"/>
          </w:tcPr>
          <w:p w14:paraId="089193BD" w14:textId="57FDAF9C" w:rsidR="00914C84" w:rsidRPr="00914C84" w:rsidRDefault="00914C84" w:rsidP="00914C84">
            <w:pPr>
              <w:jc w:val="center"/>
              <w:rPr>
                <w:rFonts w:asciiTheme="minorHAnsi" w:hAnsiTheme="minorHAnsi" w:cstheme="minorHAnsi"/>
                <w:b/>
                <w:bCs/>
                <w:iCs/>
                <w:sz w:val="18"/>
                <w:szCs w:val="18"/>
              </w:rPr>
            </w:pPr>
            <w:r>
              <w:rPr>
                <w:rFonts w:ascii="Calibri" w:hAnsi="Calibri"/>
                <w:b/>
                <w:color w:val="000000"/>
                <w:sz w:val="18"/>
              </w:rPr>
              <w:t>5.898,74</w:t>
            </w:r>
          </w:p>
        </w:tc>
        <w:tc>
          <w:tcPr>
            <w:tcW w:w="1349" w:type="dxa"/>
            <w:vAlign w:val="bottom"/>
          </w:tcPr>
          <w:p w14:paraId="53DD7514" w14:textId="797FD2DC" w:rsidR="00914C84" w:rsidRPr="00914C84" w:rsidRDefault="00914C84" w:rsidP="00914C84">
            <w:pPr>
              <w:jc w:val="center"/>
              <w:rPr>
                <w:rFonts w:asciiTheme="minorHAnsi" w:hAnsiTheme="minorHAnsi" w:cstheme="minorHAnsi"/>
                <w:b/>
                <w:bCs/>
                <w:iCs/>
                <w:sz w:val="18"/>
                <w:szCs w:val="18"/>
              </w:rPr>
            </w:pPr>
            <w:r>
              <w:rPr>
                <w:rFonts w:ascii="Calibri" w:hAnsi="Calibri"/>
                <w:b/>
                <w:color w:val="000000"/>
                <w:sz w:val="18"/>
              </w:rPr>
              <w:t>7.102,3</w:t>
            </w:r>
          </w:p>
        </w:tc>
        <w:tc>
          <w:tcPr>
            <w:tcW w:w="1353" w:type="dxa"/>
            <w:vAlign w:val="bottom"/>
          </w:tcPr>
          <w:p w14:paraId="71E15BAD" w14:textId="1FD4C9EE" w:rsidR="00914C84" w:rsidRPr="00914C84" w:rsidRDefault="00914C84" w:rsidP="00914C84">
            <w:pPr>
              <w:jc w:val="center"/>
              <w:rPr>
                <w:rFonts w:asciiTheme="minorHAnsi" w:hAnsiTheme="minorHAnsi" w:cstheme="minorHAnsi"/>
                <w:b/>
                <w:bCs/>
                <w:iCs/>
                <w:sz w:val="18"/>
                <w:szCs w:val="18"/>
              </w:rPr>
            </w:pPr>
            <w:r>
              <w:rPr>
                <w:rFonts w:ascii="Calibri" w:hAnsi="Calibri"/>
                <w:b/>
                <w:color w:val="000000"/>
                <w:sz w:val="18"/>
              </w:rPr>
              <w:t>6.251,53</w:t>
            </w:r>
          </w:p>
        </w:tc>
        <w:tc>
          <w:tcPr>
            <w:tcW w:w="1353" w:type="dxa"/>
            <w:vAlign w:val="bottom"/>
          </w:tcPr>
          <w:p w14:paraId="6D86ECC3" w14:textId="091D579D" w:rsidR="00914C84" w:rsidRPr="00914C84" w:rsidRDefault="00914C84" w:rsidP="00914C84">
            <w:pPr>
              <w:jc w:val="center"/>
              <w:rPr>
                <w:rFonts w:asciiTheme="minorHAnsi" w:hAnsiTheme="minorHAnsi" w:cstheme="minorHAnsi"/>
                <w:b/>
                <w:bCs/>
                <w:iCs/>
                <w:sz w:val="18"/>
                <w:szCs w:val="18"/>
              </w:rPr>
            </w:pPr>
            <w:r>
              <w:rPr>
                <w:rFonts w:ascii="Calibri" w:hAnsi="Calibri"/>
                <w:b/>
                <w:color w:val="000000"/>
                <w:sz w:val="18"/>
              </w:rPr>
              <w:t>9.343,89</w:t>
            </w:r>
          </w:p>
        </w:tc>
        <w:tc>
          <w:tcPr>
            <w:tcW w:w="1188" w:type="dxa"/>
            <w:vAlign w:val="bottom"/>
          </w:tcPr>
          <w:p w14:paraId="3B2E5195" w14:textId="5F452803" w:rsidR="00914C84" w:rsidRPr="00914C84" w:rsidRDefault="00914C84" w:rsidP="00914C84">
            <w:pPr>
              <w:jc w:val="center"/>
              <w:rPr>
                <w:rFonts w:asciiTheme="minorHAnsi" w:hAnsiTheme="minorHAnsi" w:cstheme="minorHAnsi"/>
                <w:b/>
                <w:bCs/>
                <w:sz w:val="18"/>
                <w:szCs w:val="18"/>
              </w:rPr>
            </w:pPr>
            <w:r>
              <w:rPr>
                <w:rFonts w:ascii="Calibri" w:hAnsi="Calibri"/>
                <w:b/>
                <w:color w:val="000000"/>
                <w:sz w:val="18"/>
              </w:rPr>
              <w:t>13.669,69</w:t>
            </w:r>
          </w:p>
        </w:tc>
      </w:tr>
    </w:tbl>
    <w:p w14:paraId="2CBF79D4" w14:textId="6B2EB9D5" w:rsidR="005F303C" w:rsidRDefault="005F303C" w:rsidP="00CF7943">
      <w:pPr>
        <w:spacing w:after="120"/>
        <w:rPr>
          <w:rFonts w:ascii="Calibri" w:hAnsi="Calibri" w:cs="Calibri"/>
          <w:iCs/>
          <w:sz w:val="18"/>
          <w:szCs w:val="18"/>
        </w:rPr>
      </w:pPr>
      <w:r>
        <w:rPr>
          <w:rFonts w:ascii="Calibri" w:hAnsi="Calibri"/>
          <w:sz w:val="18"/>
        </w:rPr>
        <w:t>Fuente: Equipo PPG</w:t>
      </w:r>
    </w:p>
    <w:p w14:paraId="2605A94F" w14:textId="7A9C12B7" w:rsidR="007963EF" w:rsidRPr="006F7EDF" w:rsidRDefault="003804DB" w:rsidP="00903E2E">
      <w:pPr>
        <w:spacing w:after="120"/>
        <w:jc w:val="both"/>
        <w:rPr>
          <w:rFonts w:asciiTheme="minorHAnsi" w:hAnsiTheme="minorHAnsi" w:cstheme="minorHAnsi"/>
          <w:iCs/>
          <w:color w:val="000000" w:themeColor="text1"/>
          <w:sz w:val="20"/>
          <w:szCs w:val="20"/>
        </w:rPr>
      </w:pPr>
      <w:r>
        <w:rPr>
          <w:rFonts w:ascii="Calibri" w:hAnsi="Calibri"/>
          <w:color w:val="000000" w:themeColor="text1"/>
          <w:sz w:val="20"/>
        </w:rPr>
        <w:t xml:space="preserve">La Dirección de Registro de Insumos Agropecuarios (AGROCALIDAD) informa que hasta febrero de 2022 hay registrados 2.832 ingredientes activos de plaguicidas en Ecuador, de los cuales 35 pertenecen a las categorías altamente y extremadamente peligrosos (Categoría 1a y 1b). Asimismo, 1.068 son moderadamente peligrosas (categoría II), 1.496 son ligeramente peligrosas (categoría III) y 233 no suelen ser peligrosas (categoría IV). </w:t>
      </w:r>
      <w:r>
        <w:rPr>
          <w:rFonts w:asciiTheme="minorHAnsi" w:hAnsiTheme="minorHAnsi"/>
          <w:color w:val="000000" w:themeColor="text1"/>
          <w:sz w:val="20"/>
        </w:rPr>
        <w:t>Dada la limitada capacidad del departamento gubernamental responsable del registro de plaguicidas, a menudo se retrasa el registro de nuevos productos químicos, lo que da lugar a que los productos químicos más antiguos y peligrosos sean los únicos disponibles.</w:t>
      </w:r>
    </w:p>
    <w:p w14:paraId="7E68AC34" w14:textId="77835E70" w:rsidR="00FE3A94" w:rsidRDefault="00A249AD" w:rsidP="00903E2E">
      <w:pPr>
        <w:spacing w:after="120"/>
        <w:jc w:val="both"/>
        <w:rPr>
          <w:rFonts w:ascii="Calibri" w:hAnsi="Calibri" w:cs="Calibri"/>
          <w:iCs/>
          <w:color w:val="000000" w:themeColor="text1"/>
          <w:sz w:val="20"/>
          <w:szCs w:val="20"/>
        </w:rPr>
      </w:pPr>
      <w:r>
        <w:rPr>
          <w:rFonts w:ascii="Calibri" w:hAnsi="Calibri"/>
          <w:color w:val="000000" w:themeColor="text1"/>
          <w:sz w:val="20"/>
        </w:rPr>
        <w:t xml:space="preserve">Con base en la información oficializada por AGROCALIDAD, para mayo de 2022 el número de empresas de abastecimiento agropecuario registradas asciende a 302 (en estado actual). Asimismo, los almacenes de insumos agrícolas autorizados y registrados son el vínculo que tienen los productores para adquirir todo tipo de insumos, y en abril de 2022 el número de almacenes de insumos agrícolas registrados asciende a 6,101 en todo el territorio. </w:t>
      </w:r>
    </w:p>
    <w:p w14:paraId="5787499D" w14:textId="65C65CE7" w:rsidR="00F639D9" w:rsidRDefault="00013A7E" w:rsidP="00903E2E">
      <w:pPr>
        <w:spacing w:after="120"/>
        <w:jc w:val="both"/>
        <w:rPr>
          <w:rFonts w:ascii="Calibri" w:hAnsi="Calibri" w:cs="Calibri"/>
          <w:iCs/>
          <w:sz w:val="20"/>
          <w:szCs w:val="20"/>
        </w:rPr>
      </w:pPr>
      <w:r>
        <w:rPr>
          <w:rFonts w:ascii="Calibri" w:hAnsi="Calibri"/>
          <w:sz w:val="20"/>
        </w:rPr>
        <w:t xml:space="preserve">Al analizar el uso de insumos químicos en los cultivos, la Encuesta de Superficie y Producción Agropecuaria Continua (ESPAC) muestra como resultado que en 2020 se ha utilizado algún tipo de insumo químico en el 56,8% de la superficie de cultivos permanentes y en el 78,24% de la superficie de cultivos transitorios. Del mismo modo, se evidenció la aplicación de plaguicidas extremadamente/altamente peligrosos según la clasificación de la Organización Mundial de la Salud (OMS) tanto en cultivos permanentes como transitorios. </w:t>
      </w:r>
      <w:r w:rsidR="009A09F6">
        <w:rPr>
          <w:rFonts w:ascii="Calibri" w:hAnsi="Calibri"/>
          <w:sz w:val="20"/>
        </w:rPr>
        <w:t>E</w:t>
      </w:r>
      <w:r>
        <w:rPr>
          <w:rFonts w:ascii="Calibri" w:hAnsi="Calibri"/>
          <w:sz w:val="20"/>
        </w:rPr>
        <w:t>s interesante señalar que existe un porcentaje de los agricultores consultados que desconoce el grado de toxicidad del producto que aplica. En el cuadro siguiente se pueden observar más detalles:</w:t>
      </w:r>
    </w:p>
    <w:p w14:paraId="54706E62" w14:textId="00F65BEB" w:rsidR="00AE5F6E" w:rsidRPr="00B94689" w:rsidRDefault="00B94689" w:rsidP="00B94689">
      <w:pPr>
        <w:pStyle w:val="Descripcin"/>
        <w:keepNext/>
        <w:rPr>
          <w:rFonts w:asciiTheme="minorHAnsi" w:hAnsiTheme="minorHAnsi" w:cstheme="minorHAnsi"/>
          <w:sz w:val="18"/>
          <w:szCs w:val="18"/>
        </w:rPr>
      </w:pPr>
      <w:bookmarkStart w:id="12" w:name="_Toc114650454"/>
      <w:r>
        <w:rPr>
          <w:rFonts w:asciiTheme="minorHAnsi" w:hAnsiTheme="minorHAnsi"/>
          <w:sz w:val="18"/>
        </w:rPr>
        <w:t xml:space="preserve">Tabla </w:t>
      </w:r>
      <w:r w:rsidRPr="00B94689">
        <w:rPr>
          <w:rFonts w:asciiTheme="minorHAnsi" w:hAnsiTheme="minorHAnsi" w:cstheme="minorHAnsi"/>
          <w:sz w:val="18"/>
        </w:rPr>
        <w:fldChar w:fldCharType="begin"/>
      </w:r>
      <w:r w:rsidRPr="00B94689">
        <w:rPr>
          <w:rFonts w:asciiTheme="minorHAnsi" w:hAnsiTheme="minorHAnsi" w:cstheme="minorHAnsi"/>
          <w:sz w:val="18"/>
        </w:rPr>
        <w:instrText xml:space="preserve"> SEQ Table \* ARABIC </w:instrText>
      </w:r>
      <w:r w:rsidRPr="00B94689">
        <w:rPr>
          <w:rFonts w:asciiTheme="minorHAnsi" w:hAnsiTheme="minorHAnsi" w:cstheme="minorHAnsi"/>
          <w:sz w:val="18"/>
        </w:rPr>
        <w:fldChar w:fldCharType="separate"/>
      </w:r>
      <w:r w:rsidR="004D0AC8">
        <w:rPr>
          <w:rFonts w:asciiTheme="minorHAnsi" w:hAnsiTheme="minorHAnsi" w:cstheme="minorHAnsi"/>
          <w:noProof/>
          <w:sz w:val="18"/>
        </w:rPr>
        <w:t>4</w:t>
      </w:r>
      <w:r w:rsidRPr="00B94689">
        <w:rPr>
          <w:rFonts w:asciiTheme="minorHAnsi" w:hAnsiTheme="minorHAnsi" w:cstheme="minorHAnsi"/>
          <w:sz w:val="18"/>
        </w:rPr>
        <w:fldChar w:fldCharType="end"/>
      </w:r>
      <w:r>
        <w:rPr>
          <w:rFonts w:asciiTheme="minorHAnsi" w:hAnsiTheme="minorHAnsi"/>
          <w:sz w:val="18"/>
        </w:rPr>
        <w:t xml:space="preserve">: </w:t>
      </w:r>
      <w:r w:rsidR="00206AD8">
        <w:rPr>
          <w:rFonts w:asciiTheme="minorHAnsi" w:hAnsiTheme="minorHAnsi"/>
          <w:sz w:val="18"/>
        </w:rPr>
        <w:t>Área</w:t>
      </w:r>
      <w:r>
        <w:rPr>
          <w:rFonts w:asciiTheme="minorHAnsi" w:hAnsiTheme="minorHAnsi"/>
          <w:sz w:val="18"/>
        </w:rPr>
        <w:t xml:space="preserve"> y toxicidad de los insumos químicos utilizados en los cultivos</w:t>
      </w:r>
      <w:bookmarkEnd w:id="12"/>
    </w:p>
    <w:tbl>
      <w:tblPr>
        <w:tblStyle w:val="Tablaconcuadrcula"/>
        <w:tblW w:w="9445" w:type="dxa"/>
        <w:tblLook w:val="04A0" w:firstRow="1" w:lastRow="0" w:firstColumn="1" w:lastColumn="0" w:noHBand="0" w:noVBand="1"/>
      </w:tblPr>
      <w:tblGrid>
        <w:gridCol w:w="2305"/>
        <w:gridCol w:w="915"/>
        <w:gridCol w:w="992"/>
        <w:gridCol w:w="913"/>
        <w:gridCol w:w="1028"/>
        <w:gridCol w:w="915"/>
        <w:gridCol w:w="992"/>
        <w:gridCol w:w="913"/>
        <w:gridCol w:w="1028"/>
      </w:tblGrid>
      <w:tr w:rsidR="001A5D90" w:rsidRPr="00BB7905" w14:paraId="717E58ED" w14:textId="65C3615B" w:rsidTr="008E5765">
        <w:trPr>
          <w:trHeight w:val="416"/>
        </w:trPr>
        <w:tc>
          <w:tcPr>
            <w:tcW w:w="2136" w:type="dxa"/>
          </w:tcPr>
          <w:p w14:paraId="23B4240E" w14:textId="77777777" w:rsidR="001A5D90" w:rsidRPr="002152FE" w:rsidRDefault="001A5D90" w:rsidP="00FE3A94">
            <w:pPr>
              <w:rPr>
                <w:rFonts w:asciiTheme="minorHAnsi" w:hAnsiTheme="minorHAnsi" w:cstheme="minorHAnsi"/>
                <w:iCs/>
                <w:sz w:val="18"/>
                <w:szCs w:val="18"/>
                <w:lang w:val="es-EC"/>
              </w:rPr>
            </w:pPr>
          </w:p>
        </w:tc>
        <w:tc>
          <w:tcPr>
            <w:tcW w:w="3607" w:type="dxa"/>
            <w:gridSpan w:val="4"/>
            <w:vAlign w:val="center"/>
          </w:tcPr>
          <w:p w14:paraId="02F51618" w14:textId="41928E16" w:rsidR="001A5D90" w:rsidRPr="00BB7905" w:rsidRDefault="00963A06" w:rsidP="007B47CE">
            <w:pPr>
              <w:jc w:val="center"/>
              <w:rPr>
                <w:rFonts w:asciiTheme="minorHAnsi" w:hAnsiTheme="minorHAnsi" w:cstheme="minorHAnsi"/>
                <w:iCs/>
                <w:sz w:val="18"/>
                <w:szCs w:val="18"/>
              </w:rPr>
            </w:pPr>
            <w:r>
              <w:rPr>
                <w:rFonts w:asciiTheme="minorHAnsi" w:hAnsiTheme="minorHAnsi"/>
                <w:sz w:val="18"/>
              </w:rPr>
              <w:t>Cultivos permanentes</w:t>
            </w:r>
          </w:p>
        </w:tc>
        <w:tc>
          <w:tcPr>
            <w:tcW w:w="3702" w:type="dxa"/>
            <w:gridSpan w:val="4"/>
            <w:vAlign w:val="center"/>
          </w:tcPr>
          <w:p w14:paraId="137AC5AA" w14:textId="31F48594" w:rsidR="001A5D90" w:rsidRPr="00BB7905" w:rsidRDefault="00963A06" w:rsidP="007B47CE">
            <w:pPr>
              <w:jc w:val="center"/>
              <w:rPr>
                <w:rFonts w:asciiTheme="minorHAnsi" w:hAnsiTheme="minorHAnsi" w:cstheme="minorHAnsi"/>
                <w:iCs/>
                <w:sz w:val="18"/>
                <w:szCs w:val="18"/>
              </w:rPr>
            </w:pPr>
            <w:r>
              <w:rPr>
                <w:rFonts w:asciiTheme="minorHAnsi" w:hAnsiTheme="minorHAnsi"/>
                <w:sz w:val="18"/>
              </w:rPr>
              <w:t>Cultivos transitorios</w:t>
            </w:r>
          </w:p>
        </w:tc>
      </w:tr>
      <w:tr w:rsidR="000117B5" w:rsidRPr="000117B5" w14:paraId="162DF7F2" w14:textId="77777777" w:rsidTr="008E5765">
        <w:trPr>
          <w:trHeight w:val="416"/>
        </w:trPr>
        <w:tc>
          <w:tcPr>
            <w:tcW w:w="2136" w:type="dxa"/>
            <w:vMerge w:val="restart"/>
            <w:vAlign w:val="center"/>
          </w:tcPr>
          <w:p w14:paraId="5050215A" w14:textId="05E704A8" w:rsidR="000117B5" w:rsidRPr="000117B5" w:rsidRDefault="000117B5" w:rsidP="00E823A8">
            <w:pPr>
              <w:rPr>
                <w:rFonts w:asciiTheme="minorHAnsi" w:hAnsiTheme="minorHAnsi" w:cstheme="minorHAnsi"/>
                <w:iCs/>
                <w:sz w:val="18"/>
                <w:szCs w:val="18"/>
              </w:rPr>
            </w:pPr>
            <w:r>
              <w:rPr>
                <w:rFonts w:asciiTheme="minorHAnsi" w:hAnsiTheme="minorHAnsi"/>
                <w:sz w:val="18"/>
              </w:rPr>
              <w:t>% Superficie de cultivo en la que se han utilizado insumos químicos</w:t>
            </w:r>
            <w:r>
              <w:rPr>
                <w:rStyle w:val="Refdenotaalpie"/>
                <w:rFonts w:cstheme="minorHAnsi"/>
                <w:iCs/>
                <w:szCs w:val="18"/>
                <w:lang w:val="en-US"/>
              </w:rPr>
              <w:footnoteReference w:id="12"/>
            </w:r>
          </w:p>
        </w:tc>
        <w:tc>
          <w:tcPr>
            <w:tcW w:w="3607" w:type="dxa"/>
            <w:gridSpan w:val="4"/>
            <w:vAlign w:val="center"/>
          </w:tcPr>
          <w:p w14:paraId="28A29D39" w14:textId="5E7D4E83" w:rsidR="000117B5" w:rsidRPr="000117B5" w:rsidRDefault="000117B5" w:rsidP="001D7634">
            <w:pPr>
              <w:jc w:val="center"/>
              <w:rPr>
                <w:rFonts w:asciiTheme="minorHAnsi" w:hAnsiTheme="minorHAnsi" w:cstheme="minorHAnsi"/>
                <w:iCs/>
                <w:sz w:val="18"/>
                <w:szCs w:val="18"/>
              </w:rPr>
            </w:pPr>
            <w:r>
              <w:rPr>
                <w:rFonts w:asciiTheme="minorHAnsi" w:hAnsiTheme="minorHAnsi"/>
                <w:sz w:val="18"/>
              </w:rPr>
              <w:t>56,8</w:t>
            </w:r>
          </w:p>
        </w:tc>
        <w:tc>
          <w:tcPr>
            <w:tcW w:w="3702" w:type="dxa"/>
            <w:gridSpan w:val="4"/>
            <w:vAlign w:val="center"/>
          </w:tcPr>
          <w:p w14:paraId="439A6BFF" w14:textId="41C9A801" w:rsidR="000117B5" w:rsidRPr="000117B5" w:rsidRDefault="000117B5" w:rsidP="007B47CE">
            <w:pPr>
              <w:jc w:val="center"/>
              <w:rPr>
                <w:rFonts w:asciiTheme="minorHAnsi" w:hAnsiTheme="minorHAnsi" w:cstheme="minorHAnsi"/>
                <w:iCs/>
                <w:sz w:val="18"/>
                <w:szCs w:val="18"/>
              </w:rPr>
            </w:pPr>
            <w:r>
              <w:rPr>
                <w:rFonts w:asciiTheme="minorHAnsi" w:hAnsiTheme="minorHAnsi"/>
                <w:sz w:val="18"/>
              </w:rPr>
              <w:t>79,0</w:t>
            </w:r>
          </w:p>
        </w:tc>
      </w:tr>
      <w:tr w:rsidR="000117B5" w:rsidRPr="00BB7905" w14:paraId="322D5CBF" w14:textId="67FDC9EC" w:rsidTr="008E5765">
        <w:tc>
          <w:tcPr>
            <w:tcW w:w="2136" w:type="dxa"/>
            <w:vMerge/>
            <w:vAlign w:val="center"/>
          </w:tcPr>
          <w:p w14:paraId="155E665B" w14:textId="77777777" w:rsidR="000117B5" w:rsidRPr="000117B5" w:rsidRDefault="000117B5" w:rsidP="00E823A8">
            <w:pPr>
              <w:rPr>
                <w:rFonts w:asciiTheme="minorHAnsi" w:hAnsiTheme="minorHAnsi" w:cstheme="minorHAnsi"/>
                <w:iCs/>
                <w:sz w:val="18"/>
                <w:szCs w:val="18"/>
                <w:lang w:val="en-US"/>
              </w:rPr>
            </w:pPr>
          </w:p>
        </w:tc>
        <w:tc>
          <w:tcPr>
            <w:tcW w:w="859" w:type="dxa"/>
            <w:vAlign w:val="center"/>
          </w:tcPr>
          <w:p w14:paraId="61897158" w14:textId="710C660C" w:rsidR="000117B5" w:rsidRPr="00BB7905" w:rsidRDefault="000117B5" w:rsidP="001D7634">
            <w:pPr>
              <w:jc w:val="center"/>
              <w:rPr>
                <w:rFonts w:asciiTheme="minorHAnsi" w:hAnsiTheme="minorHAnsi" w:cstheme="minorHAnsi"/>
                <w:iCs/>
                <w:sz w:val="18"/>
                <w:szCs w:val="18"/>
              </w:rPr>
            </w:pPr>
            <w:r>
              <w:rPr>
                <w:rFonts w:asciiTheme="minorHAnsi" w:hAnsiTheme="minorHAnsi"/>
                <w:sz w:val="18"/>
              </w:rPr>
              <w:t>Herbicida</w:t>
            </w:r>
          </w:p>
        </w:tc>
        <w:tc>
          <w:tcPr>
            <w:tcW w:w="929" w:type="dxa"/>
            <w:vAlign w:val="center"/>
          </w:tcPr>
          <w:p w14:paraId="5D54853D" w14:textId="22176334" w:rsidR="000117B5" w:rsidRPr="00BB7905" w:rsidRDefault="000117B5" w:rsidP="001D7634">
            <w:pPr>
              <w:jc w:val="center"/>
              <w:rPr>
                <w:rFonts w:asciiTheme="minorHAnsi" w:hAnsiTheme="minorHAnsi" w:cstheme="minorHAnsi"/>
                <w:iCs/>
                <w:sz w:val="18"/>
                <w:szCs w:val="18"/>
              </w:rPr>
            </w:pPr>
            <w:r>
              <w:rPr>
                <w:rFonts w:asciiTheme="minorHAnsi" w:hAnsiTheme="minorHAnsi"/>
                <w:sz w:val="18"/>
              </w:rPr>
              <w:t>Insecticida</w:t>
            </w:r>
          </w:p>
        </w:tc>
        <w:tc>
          <w:tcPr>
            <w:tcW w:w="857" w:type="dxa"/>
            <w:vAlign w:val="center"/>
          </w:tcPr>
          <w:p w14:paraId="0478929C" w14:textId="626980AC" w:rsidR="000117B5" w:rsidRPr="00BB7905" w:rsidRDefault="000117B5" w:rsidP="001D7634">
            <w:pPr>
              <w:jc w:val="center"/>
              <w:rPr>
                <w:rFonts w:asciiTheme="minorHAnsi" w:hAnsiTheme="minorHAnsi" w:cstheme="minorHAnsi"/>
                <w:iCs/>
                <w:sz w:val="18"/>
                <w:szCs w:val="18"/>
              </w:rPr>
            </w:pPr>
            <w:r>
              <w:rPr>
                <w:rFonts w:asciiTheme="minorHAnsi" w:hAnsiTheme="minorHAnsi"/>
                <w:sz w:val="18"/>
              </w:rPr>
              <w:t>Fungicida</w:t>
            </w:r>
          </w:p>
        </w:tc>
        <w:tc>
          <w:tcPr>
            <w:tcW w:w="962" w:type="dxa"/>
            <w:vAlign w:val="center"/>
          </w:tcPr>
          <w:p w14:paraId="06566FFA" w14:textId="3BF13425" w:rsidR="000117B5" w:rsidRPr="00BB7905" w:rsidRDefault="000117B5" w:rsidP="001D7634">
            <w:pPr>
              <w:jc w:val="center"/>
              <w:rPr>
                <w:rFonts w:asciiTheme="minorHAnsi" w:hAnsiTheme="minorHAnsi" w:cstheme="minorHAnsi"/>
                <w:iCs/>
                <w:sz w:val="18"/>
                <w:szCs w:val="18"/>
              </w:rPr>
            </w:pPr>
            <w:r>
              <w:rPr>
                <w:rFonts w:asciiTheme="minorHAnsi" w:hAnsiTheme="minorHAnsi"/>
                <w:sz w:val="18"/>
              </w:rPr>
              <w:t>Otros plaguicidas</w:t>
            </w:r>
          </w:p>
        </w:tc>
        <w:tc>
          <w:tcPr>
            <w:tcW w:w="859" w:type="dxa"/>
            <w:vAlign w:val="center"/>
          </w:tcPr>
          <w:p w14:paraId="70CE3753" w14:textId="5D7E9314" w:rsidR="000117B5" w:rsidRPr="00BB7905" w:rsidRDefault="000117B5" w:rsidP="007B47CE">
            <w:pPr>
              <w:jc w:val="center"/>
              <w:rPr>
                <w:rFonts w:asciiTheme="minorHAnsi" w:hAnsiTheme="minorHAnsi" w:cstheme="minorHAnsi"/>
                <w:iCs/>
                <w:sz w:val="18"/>
                <w:szCs w:val="18"/>
              </w:rPr>
            </w:pPr>
            <w:r>
              <w:rPr>
                <w:rFonts w:asciiTheme="minorHAnsi" w:hAnsiTheme="minorHAnsi"/>
                <w:sz w:val="18"/>
              </w:rPr>
              <w:t>Herbicida</w:t>
            </w:r>
          </w:p>
        </w:tc>
        <w:tc>
          <w:tcPr>
            <w:tcW w:w="929" w:type="dxa"/>
            <w:vAlign w:val="center"/>
          </w:tcPr>
          <w:p w14:paraId="1BA89F06" w14:textId="56356C56" w:rsidR="000117B5" w:rsidRPr="00BB7905" w:rsidRDefault="000117B5" w:rsidP="007B47CE">
            <w:pPr>
              <w:jc w:val="center"/>
              <w:rPr>
                <w:rFonts w:asciiTheme="minorHAnsi" w:hAnsiTheme="minorHAnsi" w:cstheme="minorHAnsi"/>
                <w:iCs/>
                <w:sz w:val="18"/>
                <w:szCs w:val="18"/>
              </w:rPr>
            </w:pPr>
            <w:r>
              <w:rPr>
                <w:rFonts w:asciiTheme="minorHAnsi" w:hAnsiTheme="minorHAnsi"/>
                <w:sz w:val="18"/>
              </w:rPr>
              <w:t>Insecticida</w:t>
            </w:r>
          </w:p>
        </w:tc>
        <w:tc>
          <w:tcPr>
            <w:tcW w:w="857" w:type="dxa"/>
            <w:vAlign w:val="center"/>
          </w:tcPr>
          <w:p w14:paraId="6BABCB0F" w14:textId="7B1CA12D" w:rsidR="000117B5" w:rsidRPr="00BB7905" w:rsidRDefault="000117B5" w:rsidP="007B47CE">
            <w:pPr>
              <w:jc w:val="center"/>
              <w:rPr>
                <w:rFonts w:asciiTheme="minorHAnsi" w:hAnsiTheme="minorHAnsi" w:cstheme="minorHAnsi"/>
                <w:iCs/>
                <w:sz w:val="18"/>
                <w:szCs w:val="18"/>
              </w:rPr>
            </w:pPr>
            <w:r>
              <w:rPr>
                <w:rFonts w:asciiTheme="minorHAnsi" w:hAnsiTheme="minorHAnsi"/>
                <w:sz w:val="18"/>
              </w:rPr>
              <w:t>Fungicida</w:t>
            </w:r>
          </w:p>
        </w:tc>
        <w:tc>
          <w:tcPr>
            <w:tcW w:w="1057" w:type="dxa"/>
            <w:vAlign w:val="center"/>
          </w:tcPr>
          <w:p w14:paraId="0E38414C" w14:textId="56530313" w:rsidR="000117B5" w:rsidRPr="00BB7905" w:rsidRDefault="000117B5" w:rsidP="007B47CE">
            <w:pPr>
              <w:jc w:val="center"/>
              <w:rPr>
                <w:rFonts w:asciiTheme="minorHAnsi" w:hAnsiTheme="minorHAnsi" w:cstheme="minorHAnsi"/>
                <w:iCs/>
                <w:sz w:val="18"/>
                <w:szCs w:val="18"/>
              </w:rPr>
            </w:pPr>
            <w:r>
              <w:rPr>
                <w:rFonts w:asciiTheme="minorHAnsi" w:hAnsiTheme="minorHAnsi"/>
                <w:sz w:val="18"/>
              </w:rPr>
              <w:t>Otros plaguicidas</w:t>
            </w:r>
          </w:p>
        </w:tc>
      </w:tr>
      <w:tr w:rsidR="00BB7905" w:rsidRPr="00BB7905" w14:paraId="1178C65A" w14:textId="1F2DBCEE" w:rsidTr="008E5765">
        <w:tc>
          <w:tcPr>
            <w:tcW w:w="2136" w:type="dxa"/>
            <w:vAlign w:val="center"/>
          </w:tcPr>
          <w:p w14:paraId="17268080" w14:textId="3CA8A172" w:rsidR="001A5D90" w:rsidRPr="002072E9" w:rsidRDefault="00911C69" w:rsidP="00E823A8">
            <w:pPr>
              <w:rPr>
                <w:rFonts w:asciiTheme="minorHAnsi" w:hAnsiTheme="minorHAnsi" w:cstheme="minorHAnsi"/>
                <w:iCs/>
                <w:sz w:val="18"/>
                <w:szCs w:val="18"/>
              </w:rPr>
            </w:pPr>
            <w:r>
              <w:rPr>
                <w:rFonts w:asciiTheme="minorHAnsi" w:hAnsiTheme="minorHAnsi"/>
                <w:sz w:val="18"/>
              </w:rPr>
              <w:t>Extremadamente/altamente peligroso (1a-1b)</w:t>
            </w:r>
          </w:p>
        </w:tc>
        <w:tc>
          <w:tcPr>
            <w:tcW w:w="859" w:type="dxa"/>
            <w:vAlign w:val="center"/>
          </w:tcPr>
          <w:p w14:paraId="3B1C607A" w14:textId="1242C8F9" w:rsidR="001A5D90" w:rsidRPr="00BB7905" w:rsidRDefault="00995E6D" w:rsidP="001D7634">
            <w:pPr>
              <w:jc w:val="center"/>
              <w:rPr>
                <w:rFonts w:asciiTheme="minorHAnsi" w:hAnsiTheme="minorHAnsi" w:cstheme="minorHAnsi"/>
                <w:iCs/>
                <w:sz w:val="18"/>
                <w:szCs w:val="18"/>
              </w:rPr>
            </w:pPr>
            <w:r>
              <w:rPr>
                <w:rFonts w:asciiTheme="minorHAnsi" w:hAnsiTheme="minorHAnsi"/>
                <w:sz w:val="18"/>
              </w:rPr>
              <w:t>4,49</w:t>
            </w:r>
          </w:p>
        </w:tc>
        <w:tc>
          <w:tcPr>
            <w:tcW w:w="929" w:type="dxa"/>
            <w:vAlign w:val="center"/>
          </w:tcPr>
          <w:p w14:paraId="774969F1" w14:textId="797FBA4E"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3,29</w:t>
            </w:r>
          </w:p>
        </w:tc>
        <w:tc>
          <w:tcPr>
            <w:tcW w:w="857" w:type="dxa"/>
            <w:vAlign w:val="center"/>
          </w:tcPr>
          <w:p w14:paraId="46BA080E" w14:textId="55ED34FC"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2,24</w:t>
            </w:r>
          </w:p>
        </w:tc>
        <w:tc>
          <w:tcPr>
            <w:tcW w:w="962" w:type="dxa"/>
            <w:vAlign w:val="center"/>
          </w:tcPr>
          <w:p w14:paraId="072A37A2" w14:textId="6FBA8196"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26,45</w:t>
            </w:r>
          </w:p>
        </w:tc>
        <w:tc>
          <w:tcPr>
            <w:tcW w:w="859" w:type="dxa"/>
            <w:vAlign w:val="center"/>
          </w:tcPr>
          <w:p w14:paraId="4AAE0814" w14:textId="7D462D2C"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6,20</w:t>
            </w:r>
          </w:p>
        </w:tc>
        <w:tc>
          <w:tcPr>
            <w:tcW w:w="929" w:type="dxa"/>
            <w:vAlign w:val="center"/>
          </w:tcPr>
          <w:p w14:paraId="4C96C80B" w14:textId="03C05599"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6,29</w:t>
            </w:r>
          </w:p>
        </w:tc>
        <w:tc>
          <w:tcPr>
            <w:tcW w:w="857" w:type="dxa"/>
            <w:vAlign w:val="center"/>
          </w:tcPr>
          <w:p w14:paraId="04753952" w14:textId="19DB9C00"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3,42</w:t>
            </w:r>
          </w:p>
        </w:tc>
        <w:tc>
          <w:tcPr>
            <w:tcW w:w="1057" w:type="dxa"/>
            <w:vAlign w:val="center"/>
          </w:tcPr>
          <w:p w14:paraId="38B5B268" w14:textId="2ECA33C6" w:rsidR="001A5D90" w:rsidRPr="00BB7905" w:rsidRDefault="00644A8E" w:rsidP="007B47CE">
            <w:pPr>
              <w:jc w:val="center"/>
              <w:rPr>
                <w:rFonts w:asciiTheme="minorHAnsi" w:hAnsiTheme="minorHAnsi" w:cstheme="minorHAnsi"/>
                <w:iCs/>
                <w:sz w:val="18"/>
                <w:szCs w:val="18"/>
              </w:rPr>
            </w:pPr>
            <w:r>
              <w:rPr>
                <w:rFonts w:asciiTheme="minorHAnsi" w:hAnsiTheme="minorHAnsi"/>
                <w:sz w:val="18"/>
              </w:rPr>
              <w:t>9,19</w:t>
            </w:r>
          </w:p>
        </w:tc>
      </w:tr>
      <w:tr w:rsidR="00BB7905" w:rsidRPr="00BB7905" w14:paraId="0276B6B9" w14:textId="2D89FF3F" w:rsidTr="008E5765">
        <w:tc>
          <w:tcPr>
            <w:tcW w:w="2136" w:type="dxa"/>
            <w:vAlign w:val="center"/>
          </w:tcPr>
          <w:p w14:paraId="615E316D" w14:textId="6B7F944C" w:rsidR="001A5D90" w:rsidRPr="00BB7905" w:rsidRDefault="002072E9" w:rsidP="00E823A8">
            <w:pPr>
              <w:rPr>
                <w:rFonts w:asciiTheme="minorHAnsi" w:hAnsiTheme="minorHAnsi" w:cstheme="minorHAnsi"/>
                <w:iCs/>
                <w:sz w:val="18"/>
                <w:szCs w:val="18"/>
              </w:rPr>
            </w:pPr>
            <w:r>
              <w:rPr>
                <w:rFonts w:asciiTheme="minorHAnsi" w:hAnsiTheme="minorHAnsi"/>
                <w:sz w:val="18"/>
              </w:rPr>
              <w:t>Moderadamente peligroso</w:t>
            </w:r>
          </w:p>
        </w:tc>
        <w:tc>
          <w:tcPr>
            <w:tcW w:w="859" w:type="dxa"/>
            <w:vAlign w:val="center"/>
          </w:tcPr>
          <w:p w14:paraId="759B0E6B" w14:textId="4734E6DB" w:rsidR="001A5D90" w:rsidRPr="00BB7905" w:rsidRDefault="00995E6D" w:rsidP="001D7634">
            <w:pPr>
              <w:jc w:val="center"/>
              <w:rPr>
                <w:rFonts w:asciiTheme="minorHAnsi" w:hAnsiTheme="minorHAnsi" w:cstheme="minorHAnsi"/>
                <w:iCs/>
                <w:sz w:val="18"/>
                <w:szCs w:val="18"/>
              </w:rPr>
            </w:pPr>
            <w:r>
              <w:rPr>
                <w:rFonts w:asciiTheme="minorHAnsi" w:hAnsiTheme="minorHAnsi"/>
                <w:sz w:val="18"/>
              </w:rPr>
              <w:t>26,12</w:t>
            </w:r>
          </w:p>
        </w:tc>
        <w:tc>
          <w:tcPr>
            <w:tcW w:w="929" w:type="dxa"/>
            <w:vAlign w:val="center"/>
          </w:tcPr>
          <w:p w14:paraId="7F13F4A8" w14:textId="16446954"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33,72</w:t>
            </w:r>
          </w:p>
        </w:tc>
        <w:tc>
          <w:tcPr>
            <w:tcW w:w="857" w:type="dxa"/>
            <w:vAlign w:val="center"/>
          </w:tcPr>
          <w:p w14:paraId="7E65F492" w14:textId="65D29D94"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21,28</w:t>
            </w:r>
          </w:p>
        </w:tc>
        <w:tc>
          <w:tcPr>
            <w:tcW w:w="962" w:type="dxa"/>
            <w:vAlign w:val="center"/>
          </w:tcPr>
          <w:p w14:paraId="48A3A658" w14:textId="64771D8C"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20,25</w:t>
            </w:r>
          </w:p>
        </w:tc>
        <w:tc>
          <w:tcPr>
            <w:tcW w:w="859" w:type="dxa"/>
            <w:vAlign w:val="center"/>
          </w:tcPr>
          <w:p w14:paraId="58850752" w14:textId="1648A4E1"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21,92</w:t>
            </w:r>
          </w:p>
        </w:tc>
        <w:tc>
          <w:tcPr>
            <w:tcW w:w="929" w:type="dxa"/>
            <w:vAlign w:val="center"/>
          </w:tcPr>
          <w:p w14:paraId="437B4139" w14:textId="1E5977B9"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33,54</w:t>
            </w:r>
          </w:p>
        </w:tc>
        <w:tc>
          <w:tcPr>
            <w:tcW w:w="857" w:type="dxa"/>
            <w:vAlign w:val="center"/>
          </w:tcPr>
          <w:p w14:paraId="380BEC94" w14:textId="285175AE"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22,87</w:t>
            </w:r>
          </w:p>
        </w:tc>
        <w:tc>
          <w:tcPr>
            <w:tcW w:w="1057" w:type="dxa"/>
            <w:vAlign w:val="center"/>
          </w:tcPr>
          <w:p w14:paraId="2211E7F5" w14:textId="57095E2C" w:rsidR="001A5D90" w:rsidRPr="00BB7905" w:rsidRDefault="00644A8E" w:rsidP="007B47CE">
            <w:pPr>
              <w:jc w:val="center"/>
              <w:rPr>
                <w:rFonts w:asciiTheme="minorHAnsi" w:hAnsiTheme="minorHAnsi" w:cstheme="minorHAnsi"/>
                <w:iCs/>
                <w:sz w:val="18"/>
                <w:szCs w:val="18"/>
              </w:rPr>
            </w:pPr>
            <w:r>
              <w:rPr>
                <w:rFonts w:asciiTheme="minorHAnsi" w:hAnsiTheme="minorHAnsi"/>
                <w:sz w:val="18"/>
              </w:rPr>
              <w:t>22,49</w:t>
            </w:r>
          </w:p>
        </w:tc>
      </w:tr>
      <w:tr w:rsidR="00BB7905" w:rsidRPr="00BB7905" w14:paraId="6F68FB49" w14:textId="23FC7434" w:rsidTr="008E5765">
        <w:trPr>
          <w:trHeight w:val="395"/>
        </w:trPr>
        <w:tc>
          <w:tcPr>
            <w:tcW w:w="2136" w:type="dxa"/>
            <w:vAlign w:val="center"/>
          </w:tcPr>
          <w:p w14:paraId="1F4C9A32" w14:textId="51CCFA73" w:rsidR="001A5D90" w:rsidRPr="00BB7905" w:rsidRDefault="00B40DE9" w:rsidP="00E823A8">
            <w:pPr>
              <w:rPr>
                <w:rFonts w:asciiTheme="minorHAnsi" w:hAnsiTheme="minorHAnsi" w:cstheme="minorHAnsi"/>
                <w:iCs/>
                <w:sz w:val="18"/>
                <w:szCs w:val="18"/>
              </w:rPr>
            </w:pPr>
            <w:r>
              <w:rPr>
                <w:rFonts w:asciiTheme="minorHAnsi" w:hAnsiTheme="minorHAnsi"/>
                <w:sz w:val="18"/>
              </w:rPr>
              <w:t>Ligeramente peligroso</w:t>
            </w:r>
          </w:p>
        </w:tc>
        <w:tc>
          <w:tcPr>
            <w:tcW w:w="859" w:type="dxa"/>
            <w:vAlign w:val="center"/>
          </w:tcPr>
          <w:p w14:paraId="58C4327A" w14:textId="519CD90A" w:rsidR="001A5D90" w:rsidRPr="00BB7905" w:rsidRDefault="00995E6D" w:rsidP="001D7634">
            <w:pPr>
              <w:jc w:val="center"/>
              <w:rPr>
                <w:rFonts w:asciiTheme="minorHAnsi" w:hAnsiTheme="minorHAnsi" w:cstheme="minorHAnsi"/>
                <w:iCs/>
                <w:sz w:val="18"/>
                <w:szCs w:val="18"/>
              </w:rPr>
            </w:pPr>
            <w:r>
              <w:rPr>
                <w:rFonts w:asciiTheme="minorHAnsi" w:hAnsiTheme="minorHAnsi"/>
                <w:sz w:val="18"/>
              </w:rPr>
              <w:t>20,16</w:t>
            </w:r>
          </w:p>
        </w:tc>
        <w:tc>
          <w:tcPr>
            <w:tcW w:w="929" w:type="dxa"/>
            <w:vAlign w:val="center"/>
          </w:tcPr>
          <w:p w14:paraId="037F5DED" w14:textId="0ADDDC25"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22,53</w:t>
            </w:r>
          </w:p>
        </w:tc>
        <w:tc>
          <w:tcPr>
            <w:tcW w:w="857" w:type="dxa"/>
            <w:vAlign w:val="center"/>
          </w:tcPr>
          <w:p w14:paraId="312DA64E" w14:textId="4052B7C5"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32,90</w:t>
            </w:r>
          </w:p>
        </w:tc>
        <w:tc>
          <w:tcPr>
            <w:tcW w:w="962" w:type="dxa"/>
            <w:vAlign w:val="center"/>
          </w:tcPr>
          <w:p w14:paraId="02DA8AB5" w14:textId="7456657A"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21,49</w:t>
            </w:r>
          </w:p>
        </w:tc>
        <w:tc>
          <w:tcPr>
            <w:tcW w:w="859" w:type="dxa"/>
            <w:vAlign w:val="center"/>
          </w:tcPr>
          <w:p w14:paraId="79D159A5" w14:textId="5CFEBAFC"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21,02</w:t>
            </w:r>
          </w:p>
        </w:tc>
        <w:tc>
          <w:tcPr>
            <w:tcW w:w="929" w:type="dxa"/>
            <w:vAlign w:val="center"/>
          </w:tcPr>
          <w:p w14:paraId="18B02777" w14:textId="696B69DB"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21,86</w:t>
            </w:r>
          </w:p>
        </w:tc>
        <w:tc>
          <w:tcPr>
            <w:tcW w:w="857" w:type="dxa"/>
            <w:vAlign w:val="center"/>
          </w:tcPr>
          <w:p w14:paraId="0AFBD471" w14:textId="51DFA6A0"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27,17</w:t>
            </w:r>
          </w:p>
        </w:tc>
        <w:tc>
          <w:tcPr>
            <w:tcW w:w="1057" w:type="dxa"/>
            <w:vAlign w:val="center"/>
          </w:tcPr>
          <w:p w14:paraId="2702AC55" w14:textId="3A836021" w:rsidR="001A5D90" w:rsidRPr="00BB7905" w:rsidRDefault="00644A8E" w:rsidP="007B47CE">
            <w:pPr>
              <w:jc w:val="center"/>
              <w:rPr>
                <w:rFonts w:asciiTheme="minorHAnsi" w:hAnsiTheme="minorHAnsi" w:cstheme="minorHAnsi"/>
                <w:iCs/>
                <w:sz w:val="18"/>
                <w:szCs w:val="18"/>
              </w:rPr>
            </w:pPr>
            <w:r>
              <w:rPr>
                <w:rFonts w:asciiTheme="minorHAnsi" w:hAnsiTheme="minorHAnsi"/>
                <w:sz w:val="18"/>
              </w:rPr>
              <w:t>27,44</w:t>
            </w:r>
          </w:p>
        </w:tc>
      </w:tr>
      <w:tr w:rsidR="00BB7905" w:rsidRPr="00BB7905" w14:paraId="61B1A86A" w14:textId="2C9A109F" w:rsidTr="008E5765">
        <w:tc>
          <w:tcPr>
            <w:tcW w:w="2136" w:type="dxa"/>
            <w:vAlign w:val="center"/>
          </w:tcPr>
          <w:p w14:paraId="297D1289" w14:textId="08B54F89" w:rsidR="001A5D90" w:rsidRPr="00BB7905" w:rsidRDefault="00B40DE9" w:rsidP="00E823A8">
            <w:pPr>
              <w:rPr>
                <w:rFonts w:asciiTheme="minorHAnsi" w:hAnsiTheme="minorHAnsi" w:cstheme="minorHAnsi"/>
                <w:iCs/>
                <w:sz w:val="18"/>
                <w:szCs w:val="18"/>
              </w:rPr>
            </w:pPr>
            <w:r>
              <w:rPr>
                <w:rFonts w:asciiTheme="minorHAnsi" w:hAnsiTheme="minorHAnsi"/>
                <w:sz w:val="18"/>
              </w:rPr>
              <w:t>Normalmente no peligroso</w:t>
            </w:r>
          </w:p>
        </w:tc>
        <w:tc>
          <w:tcPr>
            <w:tcW w:w="859" w:type="dxa"/>
            <w:vAlign w:val="center"/>
          </w:tcPr>
          <w:p w14:paraId="3E3CE4B7" w14:textId="564E7BFE" w:rsidR="001A5D90" w:rsidRPr="00BB7905" w:rsidRDefault="00995E6D" w:rsidP="001D7634">
            <w:pPr>
              <w:jc w:val="center"/>
              <w:rPr>
                <w:rFonts w:asciiTheme="minorHAnsi" w:hAnsiTheme="minorHAnsi" w:cstheme="minorHAnsi"/>
                <w:iCs/>
                <w:sz w:val="18"/>
                <w:szCs w:val="18"/>
              </w:rPr>
            </w:pPr>
            <w:r>
              <w:rPr>
                <w:rFonts w:asciiTheme="minorHAnsi" w:hAnsiTheme="minorHAnsi"/>
                <w:sz w:val="18"/>
              </w:rPr>
              <w:t>39,91</w:t>
            </w:r>
          </w:p>
        </w:tc>
        <w:tc>
          <w:tcPr>
            <w:tcW w:w="929" w:type="dxa"/>
            <w:vAlign w:val="center"/>
          </w:tcPr>
          <w:p w14:paraId="3579B391" w14:textId="1D043229"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31,27</w:t>
            </w:r>
          </w:p>
        </w:tc>
        <w:tc>
          <w:tcPr>
            <w:tcW w:w="857" w:type="dxa"/>
            <w:vAlign w:val="center"/>
          </w:tcPr>
          <w:p w14:paraId="425AA275" w14:textId="5E235F67"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32,81</w:t>
            </w:r>
          </w:p>
        </w:tc>
        <w:tc>
          <w:tcPr>
            <w:tcW w:w="962" w:type="dxa"/>
            <w:vAlign w:val="center"/>
          </w:tcPr>
          <w:p w14:paraId="6B1E83B6" w14:textId="132A5729"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26,45</w:t>
            </w:r>
          </w:p>
        </w:tc>
        <w:tc>
          <w:tcPr>
            <w:tcW w:w="859" w:type="dxa"/>
            <w:vAlign w:val="center"/>
          </w:tcPr>
          <w:p w14:paraId="411F1D3E" w14:textId="2BB47275"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36,41</w:t>
            </w:r>
          </w:p>
        </w:tc>
        <w:tc>
          <w:tcPr>
            <w:tcW w:w="929" w:type="dxa"/>
            <w:vAlign w:val="center"/>
          </w:tcPr>
          <w:p w14:paraId="0715A695" w14:textId="2EB57F46"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26,22</w:t>
            </w:r>
          </w:p>
        </w:tc>
        <w:tc>
          <w:tcPr>
            <w:tcW w:w="857" w:type="dxa"/>
            <w:vAlign w:val="center"/>
          </w:tcPr>
          <w:p w14:paraId="14FFDA42" w14:textId="2D796482"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33,16</w:t>
            </w:r>
          </w:p>
        </w:tc>
        <w:tc>
          <w:tcPr>
            <w:tcW w:w="1057" w:type="dxa"/>
            <w:vAlign w:val="center"/>
          </w:tcPr>
          <w:p w14:paraId="2D7C7223" w14:textId="246CAE72" w:rsidR="001A5D90" w:rsidRPr="00BB7905" w:rsidRDefault="00644A8E" w:rsidP="007B47CE">
            <w:pPr>
              <w:jc w:val="center"/>
              <w:rPr>
                <w:rFonts w:asciiTheme="minorHAnsi" w:hAnsiTheme="minorHAnsi" w:cstheme="minorHAnsi"/>
                <w:iCs/>
                <w:sz w:val="18"/>
                <w:szCs w:val="18"/>
              </w:rPr>
            </w:pPr>
            <w:r>
              <w:rPr>
                <w:rFonts w:asciiTheme="minorHAnsi" w:hAnsiTheme="minorHAnsi"/>
                <w:sz w:val="18"/>
              </w:rPr>
              <w:t>25,13</w:t>
            </w:r>
          </w:p>
        </w:tc>
      </w:tr>
      <w:tr w:rsidR="00BB7905" w:rsidRPr="00BB7905" w14:paraId="73FB0014" w14:textId="1A338268" w:rsidTr="008E5765">
        <w:trPr>
          <w:trHeight w:val="393"/>
        </w:trPr>
        <w:tc>
          <w:tcPr>
            <w:tcW w:w="2136" w:type="dxa"/>
            <w:vAlign w:val="center"/>
          </w:tcPr>
          <w:p w14:paraId="30C8641A" w14:textId="29A3ABC8" w:rsidR="001A5D90" w:rsidRPr="00BB7905" w:rsidRDefault="00B40DE9" w:rsidP="00E823A8">
            <w:pPr>
              <w:rPr>
                <w:rFonts w:asciiTheme="minorHAnsi" w:hAnsiTheme="minorHAnsi" w:cstheme="minorHAnsi"/>
                <w:iCs/>
                <w:sz w:val="18"/>
                <w:szCs w:val="18"/>
              </w:rPr>
            </w:pPr>
            <w:r>
              <w:rPr>
                <w:rFonts w:asciiTheme="minorHAnsi" w:hAnsiTheme="minorHAnsi"/>
                <w:sz w:val="18"/>
              </w:rPr>
              <w:t>Desconocido</w:t>
            </w:r>
          </w:p>
        </w:tc>
        <w:tc>
          <w:tcPr>
            <w:tcW w:w="859" w:type="dxa"/>
            <w:vAlign w:val="center"/>
          </w:tcPr>
          <w:p w14:paraId="12B5135D" w14:textId="061E2F2D" w:rsidR="001A5D90" w:rsidRPr="00BB7905" w:rsidRDefault="00995E6D" w:rsidP="001D7634">
            <w:pPr>
              <w:jc w:val="center"/>
              <w:rPr>
                <w:rFonts w:asciiTheme="minorHAnsi" w:hAnsiTheme="minorHAnsi" w:cstheme="minorHAnsi"/>
                <w:iCs/>
                <w:sz w:val="18"/>
                <w:szCs w:val="18"/>
              </w:rPr>
            </w:pPr>
            <w:r>
              <w:rPr>
                <w:rFonts w:asciiTheme="minorHAnsi" w:hAnsiTheme="minorHAnsi"/>
                <w:sz w:val="18"/>
              </w:rPr>
              <w:t>9,32</w:t>
            </w:r>
          </w:p>
        </w:tc>
        <w:tc>
          <w:tcPr>
            <w:tcW w:w="929" w:type="dxa"/>
            <w:vAlign w:val="center"/>
          </w:tcPr>
          <w:p w14:paraId="660B6BDD" w14:textId="6BA34EE8"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9,20</w:t>
            </w:r>
          </w:p>
        </w:tc>
        <w:tc>
          <w:tcPr>
            <w:tcW w:w="857" w:type="dxa"/>
            <w:vAlign w:val="center"/>
          </w:tcPr>
          <w:p w14:paraId="5A921532" w14:textId="0EB4564F"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10,77</w:t>
            </w:r>
          </w:p>
        </w:tc>
        <w:tc>
          <w:tcPr>
            <w:tcW w:w="962" w:type="dxa"/>
            <w:vAlign w:val="center"/>
          </w:tcPr>
          <w:p w14:paraId="50F88E0D" w14:textId="74F86F9F" w:rsidR="001A5D90" w:rsidRPr="00BB7905" w:rsidRDefault="001A5D90" w:rsidP="001D7634">
            <w:pPr>
              <w:jc w:val="center"/>
              <w:rPr>
                <w:rFonts w:asciiTheme="minorHAnsi" w:hAnsiTheme="minorHAnsi" w:cstheme="minorHAnsi"/>
                <w:iCs/>
                <w:sz w:val="18"/>
                <w:szCs w:val="18"/>
              </w:rPr>
            </w:pPr>
            <w:r>
              <w:rPr>
                <w:rFonts w:asciiTheme="minorHAnsi" w:hAnsiTheme="minorHAnsi"/>
                <w:sz w:val="18"/>
              </w:rPr>
              <w:t>5,37</w:t>
            </w:r>
          </w:p>
        </w:tc>
        <w:tc>
          <w:tcPr>
            <w:tcW w:w="859" w:type="dxa"/>
            <w:vAlign w:val="center"/>
          </w:tcPr>
          <w:p w14:paraId="47B48910" w14:textId="0AC708D7" w:rsidR="001A5D90" w:rsidRPr="00BB7905" w:rsidRDefault="00370D8A" w:rsidP="007B47CE">
            <w:pPr>
              <w:jc w:val="center"/>
              <w:rPr>
                <w:rFonts w:asciiTheme="minorHAnsi" w:hAnsiTheme="minorHAnsi" w:cstheme="minorHAnsi"/>
                <w:iCs/>
                <w:sz w:val="18"/>
                <w:szCs w:val="18"/>
              </w:rPr>
            </w:pPr>
            <w:r>
              <w:rPr>
                <w:rFonts w:asciiTheme="minorHAnsi" w:hAnsiTheme="minorHAnsi"/>
                <w:sz w:val="18"/>
              </w:rPr>
              <w:t>14,45</w:t>
            </w:r>
          </w:p>
        </w:tc>
        <w:tc>
          <w:tcPr>
            <w:tcW w:w="929" w:type="dxa"/>
            <w:vAlign w:val="center"/>
          </w:tcPr>
          <w:p w14:paraId="1066621F" w14:textId="552441B9"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12,10</w:t>
            </w:r>
          </w:p>
        </w:tc>
        <w:tc>
          <w:tcPr>
            <w:tcW w:w="857" w:type="dxa"/>
            <w:vAlign w:val="center"/>
          </w:tcPr>
          <w:p w14:paraId="53B97700" w14:textId="31B8010A" w:rsidR="001A5D90" w:rsidRPr="00BB7905" w:rsidRDefault="00BB456D" w:rsidP="007B47CE">
            <w:pPr>
              <w:jc w:val="center"/>
              <w:rPr>
                <w:rFonts w:asciiTheme="minorHAnsi" w:hAnsiTheme="minorHAnsi" w:cstheme="minorHAnsi"/>
                <w:iCs/>
                <w:sz w:val="18"/>
                <w:szCs w:val="18"/>
              </w:rPr>
            </w:pPr>
            <w:r>
              <w:rPr>
                <w:rFonts w:asciiTheme="minorHAnsi" w:hAnsiTheme="minorHAnsi"/>
                <w:sz w:val="18"/>
              </w:rPr>
              <w:t>13,38</w:t>
            </w:r>
          </w:p>
        </w:tc>
        <w:tc>
          <w:tcPr>
            <w:tcW w:w="1057" w:type="dxa"/>
            <w:vAlign w:val="center"/>
          </w:tcPr>
          <w:p w14:paraId="451E9384" w14:textId="0E12C219" w:rsidR="001A5D90" w:rsidRPr="00BB7905" w:rsidRDefault="00644A8E" w:rsidP="007B47CE">
            <w:pPr>
              <w:jc w:val="center"/>
              <w:rPr>
                <w:rFonts w:asciiTheme="minorHAnsi" w:hAnsiTheme="minorHAnsi" w:cstheme="minorHAnsi"/>
                <w:iCs/>
                <w:sz w:val="18"/>
                <w:szCs w:val="18"/>
              </w:rPr>
            </w:pPr>
            <w:r>
              <w:rPr>
                <w:rFonts w:asciiTheme="minorHAnsi" w:hAnsiTheme="minorHAnsi"/>
                <w:sz w:val="18"/>
              </w:rPr>
              <w:t>15,75</w:t>
            </w:r>
          </w:p>
        </w:tc>
      </w:tr>
    </w:tbl>
    <w:p w14:paraId="26A342D7" w14:textId="77777777" w:rsidR="00A12180" w:rsidRPr="009877C0" w:rsidRDefault="00794D3C" w:rsidP="009C05D7">
      <w:pPr>
        <w:spacing w:after="120"/>
        <w:rPr>
          <w:rFonts w:ascii="Calibri" w:hAnsi="Calibri" w:cs="Calibri"/>
          <w:iCs/>
          <w:sz w:val="18"/>
          <w:szCs w:val="18"/>
        </w:rPr>
      </w:pPr>
      <w:r>
        <w:rPr>
          <w:rFonts w:ascii="Calibri" w:hAnsi="Calibri"/>
          <w:sz w:val="18"/>
        </w:rPr>
        <w:t>Fuente: Encuesta de Superficie y Producción Agropecuaria Continua (ESPAC)</w:t>
      </w:r>
    </w:p>
    <w:p w14:paraId="7D66EC9B" w14:textId="57DE3C26" w:rsidR="009C05D7" w:rsidRDefault="000E5132" w:rsidP="00903E2E">
      <w:pPr>
        <w:shd w:val="clear" w:color="auto" w:fill="FFFFFF"/>
        <w:spacing w:after="120"/>
        <w:jc w:val="both"/>
        <w:rPr>
          <w:rFonts w:ascii="Calibri" w:hAnsi="Calibri" w:cs="Calibri"/>
          <w:iCs/>
          <w:sz w:val="20"/>
          <w:szCs w:val="20"/>
        </w:rPr>
      </w:pPr>
      <w:r>
        <w:rPr>
          <w:rFonts w:ascii="Calibri" w:hAnsi="Calibri"/>
          <w:sz w:val="20"/>
        </w:rPr>
        <w:t>Además, cuando se consultó a los agricultores sobre los atributos que tienen en cuenta a la hora de comprar pesticidas, cerca del 48% indicó que lo hacen por su eficacia en el control de plagas. En segundo lugar, con un 24% debido a la sugerencia técnica (esta respuesta fue directamente proporcional al nivel educativo del agricultor) y las respuestas siguientes corresponden al precio (15%), menor peligrosidad (11%) y sugerencia de terceros (2%).</w:t>
      </w:r>
    </w:p>
    <w:p w14:paraId="011DEBF7" w14:textId="40C13032" w:rsidR="00D45DB7" w:rsidRDefault="00DC608F" w:rsidP="00903E2E">
      <w:pPr>
        <w:shd w:val="clear" w:color="auto" w:fill="FFFFFF"/>
        <w:spacing w:after="120"/>
        <w:jc w:val="both"/>
        <w:rPr>
          <w:rFonts w:ascii="Calibri" w:hAnsi="Calibri" w:cs="Calibri"/>
          <w:iCs/>
          <w:sz w:val="20"/>
          <w:szCs w:val="20"/>
        </w:rPr>
      </w:pPr>
      <w:r>
        <w:rPr>
          <w:rFonts w:ascii="Calibri" w:hAnsi="Calibri"/>
          <w:sz w:val="20"/>
        </w:rPr>
        <w:t xml:space="preserve">También se detectaron plaguicidas que superaban el límite máximo de residuos en distintas regiones y cultivos del país. Con base en información oficial de AGROCALIDAD, entre 2013 y 2016 se tomaron 2,294 muestras. Los resultados evidenciaron que 159 muestras superaban el límite máximo. Los pesticidas encontrados eran en total 39, de los cuales 12 no están registrados en el país. Entre ellos se encontraron plaguicidas COP (clordano, endosulfán), </w:t>
      </w:r>
      <w:r w:rsidR="00C30E70">
        <w:rPr>
          <w:rFonts w:ascii="Calibri" w:hAnsi="Calibri"/>
          <w:sz w:val="20"/>
        </w:rPr>
        <w:t>C</w:t>
      </w:r>
      <w:r>
        <w:rPr>
          <w:rFonts w:ascii="Calibri" w:hAnsi="Calibri"/>
          <w:sz w:val="20"/>
        </w:rPr>
        <w:t xml:space="preserve">lorpirifos (propuesto a incluirse en la lista de plaguicidas COP) y otros </w:t>
      </w:r>
      <w:r w:rsidR="00B8675F">
        <w:rPr>
          <w:rFonts w:asciiTheme="minorHAnsi" w:hAnsiTheme="minorHAnsi"/>
          <w:sz w:val="20"/>
        </w:rPr>
        <w:t>p</w:t>
      </w:r>
      <w:r>
        <w:rPr>
          <w:rFonts w:asciiTheme="minorHAnsi" w:hAnsiTheme="minorHAnsi"/>
          <w:sz w:val="20"/>
        </w:rPr>
        <w:t>laguicidas extremadamente peligrosos (1a-1b) (Carbofurano, Demeton, Metamidofos, Metomilo, Oxamilo, Fosmet). En el cuadro siguiente se pueden observar más detalles:</w:t>
      </w:r>
    </w:p>
    <w:p w14:paraId="31AF2B55" w14:textId="67865B88" w:rsidR="00F553C2" w:rsidRPr="00F83257" w:rsidRDefault="00F83257" w:rsidP="00F83257">
      <w:pPr>
        <w:pStyle w:val="Descripcin"/>
        <w:keepNext/>
        <w:jc w:val="both"/>
        <w:rPr>
          <w:rFonts w:ascii="Calibri" w:hAnsi="Calibri" w:cs="Calibri"/>
          <w:sz w:val="18"/>
          <w:szCs w:val="18"/>
        </w:rPr>
      </w:pPr>
      <w:bookmarkStart w:id="13" w:name="_Toc114650455"/>
      <w:r>
        <w:rPr>
          <w:rFonts w:ascii="Calibri" w:hAnsi="Calibri"/>
          <w:sz w:val="18"/>
        </w:rPr>
        <w:t xml:space="preserve">Tabla </w:t>
      </w:r>
      <w:r w:rsidRPr="00F83257">
        <w:rPr>
          <w:rFonts w:ascii="Calibri" w:hAnsi="Calibri" w:cs="Calibri"/>
          <w:sz w:val="18"/>
        </w:rPr>
        <w:fldChar w:fldCharType="begin"/>
      </w:r>
      <w:r w:rsidRPr="00F83257">
        <w:rPr>
          <w:rFonts w:ascii="Calibri" w:hAnsi="Calibri" w:cs="Calibri"/>
          <w:sz w:val="18"/>
        </w:rPr>
        <w:instrText xml:space="preserve"> SEQ Table \* ARABIC </w:instrText>
      </w:r>
      <w:r w:rsidRPr="00F83257">
        <w:rPr>
          <w:rFonts w:ascii="Calibri" w:hAnsi="Calibri" w:cs="Calibri"/>
          <w:sz w:val="18"/>
        </w:rPr>
        <w:fldChar w:fldCharType="separate"/>
      </w:r>
      <w:r w:rsidR="004D0AC8">
        <w:rPr>
          <w:rFonts w:ascii="Calibri" w:hAnsi="Calibri" w:cs="Calibri"/>
          <w:noProof/>
          <w:sz w:val="18"/>
        </w:rPr>
        <w:t>5</w:t>
      </w:r>
      <w:r w:rsidRPr="00F83257">
        <w:rPr>
          <w:rFonts w:ascii="Calibri" w:hAnsi="Calibri" w:cs="Calibri"/>
          <w:sz w:val="18"/>
        </w:rPr>
        <w:fldChar w:fldCharType="end"/>
      </w:r>
      <w:r>
        <w:rPr>
          <w:rFonts w:ascii="Calibri" w:hAnsi="Calibri"/>
          <w:sz w:val="18"/>
        </w:rPr>
        <w:t>: Residuos de plaguicidas en los cultivos</w:t>
      </w:r>
      <w:bookmarkEnd w:id="13"/>
    </w:p>
    <w:tbl>
      <w:tblPr>
        <w:tblStyle w:val="Tablaconcuadrcula"/>
        <w:tblW w:w="9384" w:type="dxa"/>
        <w:tblLook w:val="04A0" w:firstRow="1" w:lastRow="0" w:firstColumn="1" w:lastColumn="0" w:noHBand="0" w:noVBand="1"/>
      </w:tblPr>
      <w:tblGrid>
        <w:gridCol w:w="1362"/>
        <w:gridCol w:w="1883"/>
        <w:gridCol w:w="992"/>
        <w:gridCol w:w="2964"/>
        <w:gridCol w:w="2183"/>
      </w:tblGrid>
      <w:tr w:rsidR="003F0E9F" w:rsidRPr="003F0E9F" w14:paraId="70983A58" w14:textId="77777777" w:rsidTr="00D457F3">
        <w:trPr>
          <w:trHeight w:val="299"/>
        </w:trPr>
        <w:tc>
          <w:tcPr>
            <w:tcW w:w="1294" w:type="dxa"/>
            <w:noWrap/>
            <w:hideMark/>
          </w:tcPr>
          <w:p w14:paraId="475907C4" w14:textId="00589D9B" w:rsidR="003F0E9F" w:rsidRPr="003F0E9F" w:rsidRDefault="003F0E9F" w:rsidP="003F0E9F">
            <w:pPr>
              <w:shd w:val="clear" w:color="auto" w:fill="FFFFFF"/>
              <w:spacing w:after="120"/>
              <w:jc w:val="both"/>
              <w:rPr>
                <w:rFonts w:asciiTheme="minorHAnsi" w:hAnsiTheme="minorHAnsi" w:cstheme="minorHAnsi"/>
                <w:b/>
                <w:bCs/>
                <w:iCs/>
                <w:sz w:val="18"/>
                <w:szCs w:val="18"/>
              </w:rPr>
            </w:pPr>
            <w:r>
              <w:rPr>
                <w:rFonts w:asciiTheme="minorHAnsi" w:hAnsiTheme="minorHAnsi"/>
                <w:b/>
                <w:sz w:val="18"/>
              </w:rPr>
              <w:t>Plaguicida detectado</w:t>
            </w:r>
          </w:p>
        </w:tc>
        <w:tc>
          <w:tcPr>
            <w:tcW w:w="1883" w:type="dxa"/>
            <w:noWrap/>
            <w:hideMark/>
          </w:tcPr>
          <w:p w14:paraId="3D8BC1F2" w14:textId="77777777" w:rsidR="003F0E9F" w:rsidRPr="003F0E9F" w:rsidRDefault="003F0E9F" w:rsidP="003F0E9F">
            <w:pPr>
              <w:shd w:val="clear" w:color="auto" w:fill="FFFFFF"/>
              <w:spacing w:after="120"/>
              <w:jc w:val="both"/>
              <w:rPr>
                <w:rFonts w:asciiTheme="minorHAnsi" w:hAnsiTheme="minorHAnsi" w:cstheme="minorHAnsi"/>
                <w:b/>
                <w:bCs/>
                <w:iCs/>
                <w:sz w:val="18"/>
                <w:szCs w:val="18"/>
              </w:rPr>
            </w:pPr>
            <w:r>
              <w:rPr>
                <w:rFonts w:asciiTheme="minorHAnsi" w:hAnsiTheme="minorHAnsi"/>
                <w:b/>
                <w:sz w:val="18"/>
              </w:rPr>
              <w:t>Categoría Toxicológica</w:t>
            </w:r>
          </w:p>
        </w:tc>
        <w:tc>
          <w:tcPr>
            <w:tcW w:w="944" w:type="dxa"/>
            <w:noWrap/>
            <w:hideMark/>
          </w:tcPr>
          <w:p w14:paraId="359C2F4A" w14:textId="77777777" w:rsidR="003F0E9F" w:rsidRPr="003F0E9F" w:rsidRDefault="003F0E9F" w:rsidP="003F0E9F">
            <w:pPr>
              <w:shd w:val="clear" w:color="auto" w:fill="FFFFFF"/>
              <w:spacing w:after="120"/>
              <w:jc w:val="both"/>
              <w:rPr>
                <w:rFonts w:asciiTheme="minorHAnsi" w:hAnsiTheme="minorHAnsi" w:cstheme="minorHAnsi"/>
                <w:b/>
                <w:bCs/>
                <w:iCs/>
                <w:sz w:val="18"/>
                <w:szCs w:val="18"/>
              </w:rPr>
            </w:pPr>
            <w:r>
              <w:rPr>
                <w:rFonts w:asciiTheme="minorHAnsi" w:hAnsiTheme="minorHAnsi"/>
                <w:b/>
                <w:sz w:val="18"/>
              </w:rPr>
              <w:t>Tipo</w:t>
            </w:r>
          </w:p>
        </w:tc>
        <w:tc>
          <w:tcPr>
            <w:tcW w:w="3040" w:type="dxa"/>
            <w:hideMark/>
          </w:tcPr>
          <w:p w14:paraId="43CF0392" w14:textId="77777777" w:rsidR="003F0E9F" w:rsidRPr="003F0E9F" w:rsidRDefault="003F0E9F" w:rsidP="003F0E9F">
            <w:pPr>
              <w:shd w:val="clear" w:color="auto" w:fill="FFFFFF"/>
              <w:spacing w:after="120"/>
              <w:jc w:val="both"/>
              <w:rPr>
                <w:rFonts w:asciiTheme="minorHAnsi" w:hAnsiTheme="minorHAnsi" w:cstheme="minorHAnsi"/>
                <w:b/>
                <w:bCs/>
                <w:iCs/>
                <w:sz w:val="18"/>
                <w:szCs w:val="18"/>
              </w:rPr>
            </w:pPr>
            <w:r>
              <w:rPr>
                <w:rFonts w:asciiTheme="minorHAnsi" w:hAnsiTheme="minorHAnsi"/>
                <w:b/>
                <w:sz w:val="18"/>
              </w:rPr>
              <w:t>Cultivo</w:t>
            </w:r>
          </w:p>
        </w:tc>
        <w:tc>
          <w:tcPr>
            <w:tcW w:w="2223" w:type="dxa"/>
            <w:hideMark/>
          </w:tcPr>
          <w:p w14:paraId="77C8E222" w14:textId="77777777" w:rsidR="003F0E9F" w:rsidRPr="003F0E9F" w:rsidRDefault="003F0E9F" w:rsidP="003F0E9F">
            <w:pPr>
              <w:shd w:val="clear" w:color="auto" w:fill="FFFFFF"/>
              <w:spacing w:after="120"/>
              <w:jc w:val="both"/>
              <w:rPr>
                <w:rFonts w:asciiTheme="minorHAnsi" w:hAnsiTheme="minorHAnsi" w:cstheme="minorHAnsi"/>
                <w:b/>
                <w:bCs/>
                <w:iCs/>
                <w:sz w:val="18"/>
                <w:szCs w:val="18"/>
              </w:rPr>
            </w:pPr>
            <w:r>
              <w:rPr>
                <w:rFonts w:asciiTheme="minorHAnsi" w:hAnsiTheme="minorHAnsi"/>
                <w:b/>
                <w:sz w:val="18"/>
              </w:rPr>
              <w:t>Provincia</w:t>
            </w:r>
          </w:p>
        </w:tc>
      </w:tr>
      <w:tr w:rsidR="003F0E9F" w:rsidRPr="003F0E9F" w14:paraId="0EFE8274" w14:textId="77777777" w:rsidTr="00D457F3">
        <w:trPr>
          <w:trHeight w:val="299"/>
        </w:trPr>
        <w:tc>
          <w:tcPr>
            <w:tcW w:w="1294" w:type="dxa"/>
            <w:noWrap/>
            <w:hideMark/>
          </w:tcPr>
          <w:p w14:paraId="1B0335E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Acefato</w:t>
            </w:r>
          </w:p>
        </w:tc>
        <w:tc>
          <w:tcPr>
            <w:tcW w:w="1883" w:type="dxa"/>
            <w:noWrap/>
            <w:hideMark/>
          </w:tcPr>
          <w:p w14:paraId="6536F8F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08F9073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5496EF18" w14:textId="4E62C767"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(de árbol), tomate (riñón), manzana, pera</w:t>
            </w:r>
          </w:p>
        </w:tc>
        <w:tc>
          <w:tcPr>
            <w:tcW w:w="2223" w:type="dxa"/>
            <w:hideMark/>
          </w:tcPr>
          <w:p w14:paraId="3D5F604F" w14:textId="53D97FC5" w:rsidR="003F0E9F" w:rsidRPr="003F0E9F" w:rsidRDefault="00206AD8"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Imbabura</w:t>
            </w:r>
            <w:r w:rsidR="003F0E9F">
              <w:rPr>
                <w:rFonts w:asciiTheme="minorHAnsi" w:hAnsiTheme="minorHAnsi"/>
                <w:sz w:val="18"/>
              </w:rPr>
              <w:t>, Cotopaxi, Guayas</w:t>
            </w:r>
          </w:p>
        </w:tc>
      </w:tr>
      <w:tr w:rsidR="003F0E9F" w:rsidRPr="003F0E9F" w14:paraId="249428B0" w14:textId="77777777" w:rsidTr="00D457F3">
        <w:trPr>
          <w:trHeight w:val="299"/>
        </w:trPr>
        <w:tc>
          <w:tcPr>
            <w:tcW w:w="1294" w:type="dxa"/>
            <w:noWrap/>
            <w:hideMark/>
          </w:tcPr>
          <w:p w14:paraId="54DF681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Acetamiprid</w:t>
            </w:r>
          </w:p>
        </w:tc>
        <w:tc>
          <w:tcPr>
            <w:tcW w:w="1883" w:type="dxa"/>
            <w:noWrap/>
            <w:hideMark/>
          </w:tcPr>
          <w:p w14:paraId="19AA27C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2FC4F82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271ABFE" w14:textId="3E88A112"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(riñón)</w:t>
            </w:r>
          </w:p>
        </w:tc>
        <w:tc>
          <w:tcPr>
            <w:tcW w:w="2223" w:type="dxa"/>
            <w:hideMark/>
          </w:tcPr>
          <w:p w14:paraId="4DDFFA5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Manabí</w:t>
            </w:r>
          </w:p>
        </w:tc>
      </w:tr>
      <w:tr w:rsidR="003F0E9F" w:rsidRPr="003F0E9F" w14:paraId="5090CDEF" w14:textId="77777777" w:rsidTr="00D457F3">
        <w:trPr>
          <w:trHeight w:val="299"/>
        </w:trPr>
        <w:tc>
          <w:tcPr>
            <w:tcW w:w="1294" w:type="dxa"/>
            <w:noWrap/>
            <w:hideMark/>
          </w:tcPr>
          <w:p w14:paraId="62E9A12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Atrazina</w:t>
            </w:r>
          </w:p>
        </w:tc>
        <w:tc>
          <w:tcPr>
            <w:tcW w:w="1883" w:type="dxa"/>
            <w:noWrap/>
            <w:hideMark/>
          </w:tcPr>
          <w:p w14:paraId="37D9593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2840AEA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Herbicida</w:t>
            </w:r>
          </w:p>
        </w:tc>
        <w:tc>
          <w:tcPr>
            <w:tcW w:w="3040" w:type="dxa"/>
            <w:hideMark/>
          </w:tcPr>
          <w:p w14:paraId="547A3448" w14:textId="1A980389"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w:t>
            </w:r>
            <w:r w:rsidR="003F0E9F">
              <w:rPr>
                <w:rFonts w:asciiTheme="minorHAnsi" w:hAnsiTheme="minorHAnsi"/>
                <w:sz w:val="18"/>
              </w:rPr>
              <w:t>acao</w:t>
            </w:r>
          </w:p>
        </w:tc>
        <w:tc>
          <w:tcPr>
            <w:tcW w:w="2223" w:type="dxa"/>
            <w:hideMark/>
          </w:tcPr>
          <w:p w14:paraId="6F349DA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Manabí</w:t>
            </w:r>
          </w:p>
        </w:tc>
      </w:tr>
      <w:tr w:rsidR="003F0E9F" w:rsidRPr="003F0E9F" w14:paraId="0ACF8003" w14:textId="77777777" w:rsidTr="00D457F3">
        <w:trPr>
          <w:trHeight w:val="299"/>
        </w:trPr>
        <w:tc>
          <w:tcPr>
            <w:tcW w:w="1294" w:type="dxa"/>
            <w:noWrap/>
            <w:hideMark/>
          </w:tcPr>
          <w:p w14:paraId="5E39219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Caebendazim</w:t>
            </w:r>
          </w:p>
        </w:tc>
        <w:tc>
          <w:tcPr>
            <w:tcW w:w="1883" w:type="dxa"/>
            <w:noWrap/>
            <w:hideMark/>
          </w:tcPr>
          <w:p w14:paraId="50C9860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5E287A6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51ECF83E" w14:textId="54CC69FF"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w:t>
            </w:r>
            <w:r w:rsidR="003F0E9F">
              <w:rPr>
                <w:rFonts w:asciiTheme="minorHAnsi" w:hAnsiTheme="minorHAnsi"/>
                <w:sz w:val="18"/>
              </w:rPr>
              <w:t>rutilla</w:t>
            </w:r>
          </w:p>
        </w:tc>
        <w:tc>
          <w:tcPr>
            <w:tcW w:w="2223" w:type="dxa"/>
            <w:hideMark/>
          </w:tcPr>
          <w:p w14:paraId="0AFC442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Tungurahua</w:t>
            </w:r>
          </w:p>
        </w:tc>
      </w:tr>
      <w:tr w:rsidR="003F0E9F" w:rsidRPr="003F0E9F" w14:paraId="2920140A" w14:textId="77777777" w:rsidTr="00D457F3">
        <w:trPr>
          <w:trHeight w:val="299"/>
        </w:trPr>
        <w:tc>
          <w:tcPr>
            <w:tcW w:w="1294" w:type="dxa"/>
            <w:noWrap/>
            <w:hideMark/>
          </w:tcPr>
          <w:p w14:paraId="556E9F85"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Carbaril</w:t>
            </w:r>
          </w:p>
        </w:tc>
        <w:tc>
          <w:tcPr>
            <w:tcW w:w="1883" w:type="dxa"/>
            <w:noWrap/>
            <w:hideMark/>
          </w:tcPr>
          <w:p w14:paraId="0FEAA68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3802800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52F5515F" w14:textId="410B4390"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w:t>
            </w:r>
            <w:r w:rsidR="003F0E9F">
              <w:rPr>
                <w:rFonts w:asciiTheme="minorHAnsi" w:hAnsiTheme="minorHAnsi"/>
                <w:sz w:val="18"/>
              </w:rPr>
              <w:t>apa, tomate (riñón), naranja</w:t>
            </w:r>
          </w:p>
        </w:tc>
        <w:tc>
          <w:tcPr>
            <w:tcW w:w="2223" w:type="dxa"/>
            <w:hideMark/>
          </w:tcPr>
          <w:p w14:paraId="283F8D65"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Tungurahua, Manabí, Sucumbíos</w:t>
            </w:r>
          </w:p>
        </w:tc>
      </w:tr>
      <w:tr w:rsidR="003F0E9F" w:rsidRPr="003F0E9F" w14:paraId="1029A761" w14:textId="77777777" w:rsidTr="00D457F3">
        <w:trPr>
          <w:trHeight w:val="898"/>
        </w:trPr>
        <w:tc>
          <w:tcPr>
            <w:tcW w:w="1294" w:type="dxa"/>
            <w:noWrap/>
            <w:hideMark/>
          </w:tcPr>
          <w:p w14:paraId="4EAD8DE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Carbendazim</w:t>
            </w:r>
          </w:p>
        </w:tc>
        <w:tc>
          <w:tcPr>
            <w:tcW w:w="1883" w:type="dxa"/>
            <w:noWrap/>
            <w:hideMark/>
          </w:tcPr>
          <w:p w14:paraId="7329178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0A787CA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4B51ACDD" w14:textId="71D85F1B" w:rsidR="003F0E9F" w:rsidRPr="00CE692E"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ora, tomate (de árbol), frutilla, pimiento, naranja, cebolla, tomate (riñón), pepino, melón, cacao</w:t>
            </w:r>
          </w:p>
        </w:tc>
        <w:tc>
          <w:tcPr>
            <w:tcW w:w="2223" w:type="dxa"/>
            <w:hideMark/>
          </w:tcPr>
          <w:p w14:paraId="1761709B" w14:textId="4B278818"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Imbabura, P</w:t>
            </w:r>
            <w:r w:rsidR="00F6165C">
              <w:rPr>
                <w:rFonts w:asciiTheme="minorHAnsi" w:hAnsiTheme="minorHAnsi"/>
                <w:sz w:val="18"/>
              </w:rPr>
              <w:t>i</w:t>
            </w:r>
            <w:r>
              <w:rPr>
                <w:rFonts w:asciiTheme="minorHAnsi" w:hAnsiTheme="minorHAnsi"/>
                <w:sz w:val="18"/>
              </w:rPr>
              <w:t>chincha, Cotopaxi, Tungurahua, Chimborazo, Loja, Manabí, Santa Elena, Orellana, Napo</w:t>
            </w:r>
          </w:p>
        </w:tc>
      </w:tr>
      <w:tr w:rsidR="003F0E9F" w:rsidRPr="003F0E9F" w14:paraId="3FE3D4A5" w14:textId="77777777" w:rsidTr="00D457F3">
        <w:trPr>
          <w:trHeight w:val="299"/>
        </w:trPr>
        <w:tc>
          <w:tcPr>
            <w:tcW w:w="1294" w:type="dxa"/>
            <w:noWrap/>
            <w:hideMark/>
          </w:tcPr>
          <w:p w14:paraId="2906E92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Carbofurano</w:t>
            </w:r>
          </w:p>
        </w:tc>
        <w:tc>
          <w:tcPr>
            <w:tcW w:w="1883" w:type="dxa"/>
            <w:noWrap/>
            <w:hideMark/>
          </w:tcPr>
          <w:p w14:paraId="092AC6B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Muy peligroso 1b</w:t>
            </w:r>
          </w:p>
        </w:tc>
        <w:tc>
          <w:tcPr>
            <w:tcW w:w="944" w:type="dxa"/>
            <w:noWrap/>
            <w:hideMark/>
          </w:tcPr>
          <w:p w14:paraId="4915727B"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56D5AE07" w14:textId="14C57D1B"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(de árbol)</w:t>
            </w:r>
          </w:p>
        </w:tc>
        <w:tc>
          <w:tcPr>
            <w:tcW w:w="2223" w:type="dxa"/>
            <w:hideMark/>
          </w:tcPr>
          <w:p w14:paraId="5E82181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w:t>
            </w:r>
          </w:p>
        </w:tc>
      </w:tr>
      <w:tr w:rsidR="003F0E9F" w:rsidRPr="003F0E9F" w14:paraId="6DE13ED3" w14:textId="77777777" w:rsidTr="00D457F3">
        <w:trPr>
          <w:trHeight w:val="299"/>
        </w:trPr>
        <w:tc>
          <w:tcPr>
            <w:tcW w:w="1294" w:type="dxa"/>
            <w:noWrap/>
            <w:hideMark/>
          </w:tcPr>
          <w:p w14:paraId="22619C0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Ciprodinil</w:t>
            </w:r>
          </w:p>
        </w:tc>
        <w:tc>
          <w:tcPr>
            <w:tcW w:w="1883" w:type="dxa"/>
            <w:noWrap/>
            <w:hideMark/>
          </w:tcPr>
          <w:p w14:paraId="15AC7DF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568F4A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767F4E10" w14:textId="775D36AB"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anzana, durazno</w:t>
            </w:r>
          </w:p>
        </w:tc>
        <w:tc>
          <w:tcPr>
            <w:tcW w:w="2223" w:type="dxa"/>
            <w:hideMark/>
          </w:tcPr>
          <w:p w14:paraId="0CE2A50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El Oro</w:t>
            </w:r>
          </w:p>
        </w:tc>
      </w:tr>
      <w:tr w:rsidR="003F0E9F" w:rsidRPr="003F0E9F" w14:paraId="0196DF2D" w14:textId="77777777" w:rsidTr="00D457F3">
        <w:trPr>
          <w:trHeight w:val="299"/>
        </w:trPr>
        <w:tc>
          <w:tcPr>
            <w:tcW w:w="1294" w:type="dxa"/>
            <w:noWrap/>
            <w:hideMark/>
          </w:tcPr>
          <w:p w14:paraId="7534239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Cis Clordano</w:t>
            </w:r>
          </w:p>
        </w:tc>
        <w:tc>
          <w:tcPr>
            <w:tcW w:w="1883" w:type="dxa"/>
            <w:noWrap/>
            <w:hideMark/>
          </w:tcPr>
          <w:p w14:paraId="6C45D99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4EB8E37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25FC6C29" w14:textId="4E07315C"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aíz</w:t>
            </w:r>
          </w:p>
        </w:tc>
        <w:tc>
          <w:tcPr>
            <w:tcW w:w="2223" w:type="dxa"/>
            <w:hideMark/>
          </w:tcPr>
          <w:p w14:paraId="5FCE1F6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Santa Elena</w:t>
            </w:r>
          </w:p>
        </w:tc>
      </w:tr>
      <w:tr w:rsidR="003F0E9F" w:rsidRPr="003F0E9F" w14:paraId="51C05826" w14:textId="77777777" w:rsidTr="00D457F3">
        <w:trPr>
          <w:trHeight w:val="299"/>
        </w:trPr>
        <w:tc>
          <w:tcPr>
            <w:tcW w:w="1294" w:type="dxa"/>
            <w:noWrap/>
            <w:hideMark/>
          </w:tcPr>
          <w:p w14:paraId="13FC7C65"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Clorotalonilo</w:t>
            </w:r>
          </w:p>
        </w:tc>
        <w:tc>
          <w:tcPr>
            <w:tcW w:w="1883" w:type="dxa"/>
            <w:noWrap/>
            <w:hideMark/>
          </w:tcPr>
          <w:p w14:paraId="583CE74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3380E00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721E3C4F" w14:textId="04FD7E5A"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(de árbol), naranja</w:t>
            </w:r>
          </w:p>
        </w:tc>
        <w:tc>
          <w:tcPr>
            <w:tcW w:w="2223" w:type="dxa"/>
            <w:hideMark/>
          </w:tcPr>
          <w:p w14:paraId="0CFC9A8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Imbabura, Napo</w:t>
            </w:r>
          </w:p>
        </w:tc>
      </w:tr>
      <w:tr w:rsidR="003F0E9F" w:rsidRPr="003F0E9F" w14:paraId="77AACBFD" w14:textId="77777777" w:rsidTr="00D457F3">
        <w:trPr>
          <w:trHeight w:val="299"/>
        </w:trPr>
        <w:tc>
          <w:tcPr>
            <w:tcW w:w="1294" w:type="dxa"/>
            <w:noWrap/>
            <w:hideMark/>
          </w:tcPr>
          <w:p w14:paraId="5B028B5C" w14:textId="2BDC6925"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Clorpirifos</w:t>
            </w:r>
          </w:p>
        </w:tc>
        <w:tc>
          <w:tcPr>
            <w:tcW w:w="1883" w:type="dxa"/>
            <w:noWrap/>
            <w:hideMark/>
          </w:tcPr>
          <w:p w14:paraId="0BA9354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756E552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24C5FAB6" w14:textId="0BE4F3B4" w:rsidR="003F0E9F" w:rsidRPr="00393780"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aracuyá, cebolla, manzana, naranja</w:t>
            </w:r>
          </w:p>
        </w:tc>
        <w:tc>
          <w:tcPr>
            <w:tcW w:w="2223" w:type="dxa"/>
            <w:hideMark/>
          </w:tcPr>
          <w:p w14:paraId="5A2FD27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Azuay, El Oro, Napo</w:t>
            </w:r>
          </w:p>
        </w:tc>
      </w:tr>
      <w:tr w:rsidR="003F0E9F" w:rsidRPr="003F0E9F" w14:paraId="273F1560" w14:textId="77777777" w:rsidTr="00D457F3">
        <w:trPr>
          <w:trHeight w:val="299"/>
        </w:trPr>
        <w:tc>
          <w:tcPr>
            <w:tcW w:w="1294" w:type="dxa"/>
            <w:noWrap/>
            <w:hideMark/>
          </w:tcPr>
          <w:p w14:paraId="6E60AD28"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Cimoxanil</w:t>
            </w:r>
          </w:p>
        </w:tc>
        <w:tc>
          <w:tcPr>
            <w:tcW w:w="1883" w:type="dxa"/>
            <w:noWrap/>
            <w:hideMark/>
          </w:tcPr>
          <w:p w14:paraId="0DDFC84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5D13F3A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617865E0" w14:textId="6965EBEC"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ora, banano</w:t>
            </w:r>
          </w:p>
        </w:tc>
        <w:tc>
          <w:tcPr>
            <w:tcW w:w="2223" w:type="dxa"/>
            <w:hideMark/>
          </w:tcPr>
          <w:p w14:paraId="62E9326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Tungurahua, El Oro</w:t>
            </w:r>
          </w:p>
        </w:tc>
      </w:tr>
      <w:tr w:rsidR="003F0E9F" w:rsidRPr="001B17BF" w14:paraId="1B64683C" w14:textId="77777777" w:rsidTr="00D457F3">
        <w:trPr>
          <w:trHeight w:val="599"/>
        </w:trPr>
        <w:tc>
          <w:tcPr>
            <w:tcW w:w="1294" w:type="dxa"/>
            <w:noWrap/>
            <w:hideMark/>
          </w:tcPr>
          <w:p w14:paraId="3A23BEB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Demeton</w:t>
            </w:r>
          </w:p>
        </w:tc>
        <w:tc>
          <w:tcPr>
            <w:tcW w:w="1883" w:type="dxa"/>
            <w:noWrap/>
            <w:hideMark/>
          </w:tcPr>
          <w:p w14:paraId="08577CB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F577DD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7A82D43A" w14:textId="0618AB08" w:rsidR="003F0E9F" w:rsidRPr="003F0E9F"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(riñón), haba, cebolla, naranja, aguacate, cebolla, limón</w:t>
            </w:r>
          </w:p>
        </w:tc>
        <w:tc>
          <w:tcPr>
            <w:tcW w:w="2223" w:type="dxa"/>
            <w:hideMark/>
          </w:tcPr>
          <w:p w14:paraId="0814A757" w14:textId="64A9B73F" w:rsidR="003F0E9F" w:rsidRPr="00393780"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Carchi, </w:t>
            </w:r>
            <w:r w:rsidR="004B31DA">
              <w:rPr>
                <w:rFonts w:asciiTheme="minorHAnsi" w:hAnsiTheme="minorHAnsi"/>
                <w:sz w:val="18"/>
              </w:rPr>
              <w:t>P</w:t>
            </w:r>
            <w:r>
              <w:rPr>
                <w:rFonts w:asciiTheme="minorHAnsi" w:hAnsiTheme="minorHAnsi"/>
                <w:sz w:val="18"/>
              </w:rPr>
              <w:t xml:space="preserve">ichincha, </w:t>
            </w:r>
            <w:r w:rsidR="004B31DA">
              <w:rPr>
                <w:rFonts w:asciiTheme="minorHAnsi" w:hAnsiTheme="minorHAnsi"/>
                <w:sz w:val="18"/>
              </w:rPr>
              <w:t>C</w:t>
            </w:r>
            <w:r>
              <w:rPr>
                <w:rFonts w:asciiTheme="minorHAnsi" w:hAnsiTheme="minorHAnsi"/>
                <w:sz w:val="18"/>
              </w:rPr>
              <w:t xml:space="preserve">otopaxi, </w:t>
            </w:r>
            <w:r w:rsidR="004B31DA">
              <w:rPr>
                <w:rFonts w:asciiTheme="minorHAnsi" w:hAnsiTheme="minorHAnsi"/>
                <w:sz w:val="18"/>
              </w:rPr>
              <w:t>M</w:t>
            </w:r>
            <w:r>
              <w:rPr>
                <w:rFonts w:asciiTheme="minorHAnsi" w:hAnsiTheme="minorHAnsi"/>
                <w:sz w:val="18"/>
              </w:rPr>
              <w:t>anab</w:t>
            </w:r>
            <w:r w:rsidR="004B31DA">
              <w:rPr>
                <w:rFonts w:ascii="Arial" w:hAnsi="Arial" w:cs="Arial"/>
                <w:sz w:val="18"/>
              </w:rPr>
              <w:t>í</w:t>
            </w:r>
            <w:r>
              <w:rPr>
                <w:rFonts w:asciiTheme="minorHAnsi" w:hAnsiTheme="minorHAnsi"/>
                <w:sz w:val="18"/>
              </w:rPr>
              <w:t xml:space="preserve">, </w:t>
            </w:r>
            <w:r w:rsidR="004B31DA">
              <w:rPr>
                <w:rFonts w:asciiTheme="minorHAnsi" w:hAnsiTheme="minorHAnsi"/>
                <w:sz w:val="18"/>
              </w:rPr>
              <w:t>S</w:t>
            </w:r>
            <w:r>
              <w:rPr>
                <w:rFonts w:asciiTheme="minorHAnsi" w:hAnsiTheme="minorHAnsi"/>
                <w:sz w:val="18"/>
              </w:rPr>
              <w:t xml:space="preserve">anto </w:t>
            </w:r>
            <w:r w:rsidR="004B31DA">
              <w:rPr>
                <w:rFonts w:asciiTheme="minorHAnsi" w:hAnsiTheme="minorHAnsi"/>
                <w:sz w:val="18"/>
              </w:rPr>
              <w:t>D</w:t>
            </w:r>
            <w:r>
              <w:rPr>
                <w:rFonts w:asciiTheme="minorHAnsi" w:hAnsiTheme="minorHAnsi"/>
                <w:sz w:val="18"/>
              </w:rPr>
              <w:t>omingo</w:t>
            </w:r>
          </w:p>
        </w:tc>
      </w:tr>
      <w:tr w:rsidR="003F0E9F" w:rsidRPr="003F0E9F" w14:paraId="359112E2" w14:textId="77777777" w:rsidTr="00D457F3">
        <w:trPr>
          <w:trHeight w:val="599"/>
        </w:trPr>
        <w:tc>
          <w:tcPr>
            <w:tcW w:w="1294" w:type="dxa"/>
            <w:noWrap/>
            <w:hideMark/>
          </w:tcPr>
          <w:p w14:paraId="75FF7F0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Demeton S</w:t>
            </w:r>
          </w:p>
        </w:tc>
        <w:tc>
          <w:tcPr>
            <w:tcW w:w="1883" w:type="dxa"/>
            <w:noWrap/>
            <w:hideMark/>
          </w:tcPr>
          <w:p w14:paraId="65B99A2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Muy peligroso 1b</w:t>
            </w:r>
          </w:p>
        </w:tc>
        <w:tc>
          <w:tcPr>
            <w:tcW w:w="944" w:type="dxa"/>
            <w:noWrap/>
            <w:hideMark/>
          </w:tcPr>
          <w:p w14:paraId="1C5B4C7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75924973" w14:textId="5DE7DB14" w:rsidR="003F0E9F" w:rsidRPr="00CE692E" w:rsidRDefault="00F6165C"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ora, tomate (riñón), papa, mora, tomate (de árbol), piña, uva, manzana, naranja</w:t>
            </w:r>
          </w:p>
        </w:tc>
        <w:tc>
          <w:tcPr>
            <w:tcW w:w="2223" w:type="dxa"/>
            <w:hideMark/>
          </w:tcPr>
          <w:p w14:paraId="0818AC2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Imbabura, Cotopaxi, Tungurahua, Bolívar, Santo Domingo, Guayas, El Oro, Sucumbíos</w:t>
            </w:r>
          </w:p>
        </w:tc>
      </w:tr>
      <w:tr w:rsidR="003F0E9F" w:rsidRPr="003F0E9F" w14:paraId="5386E6D3" w14:textId="77777777" w:rsidTr="00D457F3">
        <w:trPr>
          <w:trHeight w:val="299"/>
        </w:trPr>
        <w:tc>
          <w:tcPr>
            <w:tcW w:w="1294" w:type="dxa"/>
            <w:noWrap/>
            <w:hideMark/>
          </w:tcPr>
          <w:p w14:paraId="198E4338"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Difenoconazol</w:t>
            </w:r>
          </w:p>
        </w:tc>
        <w:tc>
          <w:tcPr>
            <w:tcW w:w="1883" w:type="dxa"/>
            <w:noWrap/>
            <w:hideMark/>
          </w:tcPr>
          <w:p w14:paraId="01B56A0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27B1483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572D20C1" w14:textId="22CC7D63"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aracuyá, frutilla</w:t>
            </w:r>
          </w:p>
        </w:tc>
        <w:tc>
          <w:tcPr>
            <w:tcW w:w="2223" w:type="dxa"/>
            <w:hideMark/>
          </w:tcPr>
          <w:p w14:paraId="794E7FB9" w14:textId="19F300C1"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Imbabura, </w:t>
            </w:r>
            <w:r w:rsidR="004B31DA">
              <w:rPr>
                <w:rFonts w:asciiTheme="minorHAnsi" w:hAnsiTheme="minorHAnsi"/>
                <w:sz w:val="18"/>
              </w:rPr>
              <w:t>P</w:t>
            </w:r>
            <w:r>
              <w:rPr>
                <w:rFonts w:asciiTheme="minorHAnsi" w:hAnsiTheme="minorHAnsi"/>
                <w:sz w:val="18"/>
              </w:rPr>
              <w:t>ichincha</w:t>
            </w:r>
          </w:p>
        </w:tc>
      </w:tr>
      <w:tr w:rsidR="003F0E9F" w:rsidRPr="003F0E9F" w14:paraId="014A5A31" w14:textId="77777777" w:rsidTr="00D457F3">
        <w:trPr>
          <w:trHeight w:val="299"/>
        </w:trPr>
        <w:tc>
          <w:tcPr>
            <w:tcW w:w="1294" w:type="dxa"/>
            <w:noWrap/>
            <w:hideMark/>
          </w:tcPr>
          <w:p w14:paraId="795207F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Dimetenamida</w:t>
            </w:r>
          </w:p>
        </w:tc>
        <w:tc>
          <w:tcPr>
            <w:tcW w:w="1883" w:type="dxa"/>
            <w:noWrap/>
            <w:hideMark/>
          </w:tcPr>
          <w:p w14:paraId="5B095ED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188F1C5"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Herbicida</w:t>
            </w:r>
          </w:p>
        </w:tc>
        <w:tc>
          <w:tcPr>
            <w:tcW w:w="3040" w:type="dxa"/>
            <w:hideMark/>
          </w:tcPr>
          <w:p w14:paraId="4DAFCFDB" w14:textId="1A70B206"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w:t>
            </w:r>
            <w:r w:rsidR="003F0E9F">
              <w:rPr>
                <w:rFonts w:asciiTheme="minorHAnsi" w:hAnsiTheme="minorHAnsi"/>
                <w:sz w:val="18"/>
              </w:rPr>
              <w:t>apa, tomate (de árbol), cebolla</w:t>
            </w:r>
          </w:p>
        </w:tc>
        <w:tc>
          <w:tcPr>
            <w:tcW w:w="2223" w:type="dxa"/>
            <w:hideMark/>
          </w:tcPr>
          <w:p w14:paraId="6CC5F4B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Tungurahua, Chimborazo, El Oro</w:t>
            </w:r>
          </w:p>
        </w:tc>
      </w:tr>
      <w:tr w:rsidR="003F0E9F" w:rsidRPr="003F0E9F" w14:paraId="1EB7E6D2" w14:textId="77777777" w:rsidTr="00D457F3">
        <w:trPr>
          <w:trHeight w:val="599"/>
        </w:trPr>
        <w:tc>
          <w:tcPr>
            <w:tcW w:w="1294" w:type="dxa"/>
            <w:noWrap/>
            <w:hideMark/>
          </w:tcPr>
          <w:p w14:paraId="1C72BC61"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Dimetoato</w:t>
            </w:r>
          </w:p>
        </w:tc>
        <w:tc>
          <w:tcPr>
            <w:tcW w:w="1883" w:type="dxa"/>
            <w:noWrap/>
            <w:hideMark/>
          </w:tcPr>
          <w:p w14:paraId="78B1A00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5154A96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7F4DFD1" w14:textId="706A55B6" w:rsidR="003F0E9F" w:rsidRPr="00CE692E"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(de árbol), frutilla, tomate (de riñón), papa, pimiento, uva, manzana, cebolla, durazno, uva</w:t>
            </w:r>
          </w:p>
        </w:tc>
        <w:tc>
          <w:tcPr>
            <w:tcW w:w="2223" w:type="dxa"/>
            <w:hideMark/>
          </w:tcPr>
          <w:p w14:paraId="483B1C42" w14:textId="11E62684"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Imbabura, </w:t>
            </w:r>
            <w:r w:rsidR="004B31DA">
              <w:rPr>
                <w:rFonts w:asciiTheme="minorHAnsi" w:hAnsiTheme="minorHAnsi"/>
                <w:sz w:val="18"/>
              </w:rPr>
              <w:t>P</w:t>
            </w:r>
            <w:r>
              <w:rPr>
                <w:rFonts w:asciiTheme="minorHAnsi" w:hAnsiTheme="minorHAnsi"/>
                <w:sz w:val="18"/>
              </w:rPr>
              <w:t xml:space="preserve">ichincha </w:t>
            </w:r>
            <w:r w:rsidR="004B31DA">
              <w:rPr>
                <w:rFonts w:asciiTheme="minorHAnsi" w:hAnsiTheme="minorHAnsi"/>
                <w:sz w:val="18"/>
              </w:rPr>
              <w:t>C</w:t>
            </w:r>
            <w:r>
              <w:rPr>
                <w:rFonts w:asciiTheme="minorHAnsi" w:hAnsiTheme="minorHAnsi"/>
                <w:sz w:val="18"/>
              </w:rPr>
              <w:t xml:space="preserve">himborazo, </w:t>
            </w:r>
            <w:r w:rsidR="004B31DA">
              <w:rPr>
                <w:rFonts w:asciiTheme="minorHAnsi" w:hAnsiTheme="minorHAnsi"/>
                <w:sz w:val="18"/>
              </w:rPr>
              <w:t>L</w:t>
            </w:r>
            <w:r>
              <w:rPr>
                <w:rFonts w:asciiTheme="minorHAnsi" w:hAnsiTheme="minorHAnsi"/>
                <w:sz w:val="18"/>
              </w:rPr>
              <w:t xml:space="preserve">oja, </w:t>
            </w:r>
            <w:r w:rsidR="004B31DA">
              <w:rPr>
                <w:rFonts w:asciiTheme="minorHAnsi" w:hAnsiTheme="minorHAnsi"/>
                <w:sz w:val="18"/>
              </w:rPr>
              <w:t>M</w:t>
            </w:r>
            <w:r>
              <w:rPr>
                <w:rFonts w:asciiTheme="minorHAnsi" w:hAnsiTheme="minorHAnsi"/>
                <w:sz w:val="18"/>
              </w:rPr>
              <w:t>anab</w:t>
            </w:r>
            <w:r w:rsidR="004B31DA">
              <w:rPr>
                <w:rFonts w:asciiTheme="minorHAnsi" w:hAnsiTheme="minorHAnsi"/>
                <w:sz w:val="18"/>
              </w:rPr>
              <w:t>í</w:t>
            </w:r>
            <w:r>
              <w:rPr>
                <w:rFonts w:asciiTheme="minorHAnsi" w:hAnsiTheme="minorHAnsi"/>
                <w:sz w:val="18"/>
              </w:rPr>
              <w:t xml:space="preserve">, </w:t>
            </w:r>
            <w:r w:rsidR="004B31DA">
              <w:rPr>
                <w:rFonts w:asciiTheme="minorHAnsi" w:hAnsiTheme="minorHAnsi"/>
                <w:sz w:val="18"/>
              </w:rPr>
              <w:t>G</w:t>
            </w:r>
            <w:r>
              <w:rPr>
                <w:rFonts w:asciiTheme="minorHAnsi" w:hAnsiTheme="minorHAnsi"/>
                <w:sz w:val="18"/>
              </w:rPr>
              <w:t xml:space="preserve">uayas, </w:t>
            </w:r>
            <w:r w:rsidR="004B31DA">
              <w:rPr>
                <w:rFonts w:asciiTheme="minorHAnsi" w:hAnsiTheme="minorHAnsi"/>
                <w:sz w:val="18"/>
              </w:rPr>
              <w:t>E</w:t>
            </w:r>
            <w:r>
              <w:rPr>
                <w:rFonts w:asciiTheme="minorHAnsi" w:hAnsiTheme="minorHAnsi"/>
                <w:sz w:val="18"/>
              </w:rPr>
              <w:t xml:space="preserve">l </w:t>
            </w:r>
            <w:r w:rsidR="004B31DA">
              <w:rPr>
                <w:rFonts w:asciiTheme="minorHAnsi" w:hAnsiTheme="minorHAnsi"/>
                <w:sz w:val="18"/>
              </w:rPr>
              <w:t>O</w:t>
            </w:r>
            <w:r>
              <w:rPr>
                <w:rFonts w:asciiTheme="minorHAnsi" w:hAnsiTheme="minorHAnsi"/>
                <w:sz w:val="18"/>
              </w:rPr>
              <w:t>ro</w:t>
            </w:r>
          </w:p>
        </w:tc>
      </w:tr>
      <w:tr w:rsidR="003F0E9F" w:rsidRPr="003F0E9F" w14:paraId="6419A77A" w14:textId="77777777" w:rsidTr="00D457F3">
        <w:trPr>
          <w:trHeight w:val="299"/>
        </w:trPr>
        <w:tc>
          <w:tcPr>
            <w:tcW w:w="1294" w:type="dxa"/>
            <w:noWrap/>
            <w:hideMark/>
          </w:tcPr>
          <w:p w14:paraId="101ECDC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Diurón</w:t>
            </w:r>
          </w:p>
        </w:tc>
        <w:tc>
          <w:tcPr>
            <w:tcW w:w="1883" w:type="dxa"/>
            <w:noWrap/>
            <w:hideMark/>
          </w:tcPr>
          <w:p w14:paraId="08C8E35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DC68C9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Herbicida</w:t>
            </w:r>
          </w:p>
        </w:tc>
        <w:tc>
          <w:tcPr>
            <w:tcW w:w="3040" w:type="dxa"/>
            <w:hideMark/>
          </w:tcPr>
          <w:p w14:paraId="650BA291" w14:textId="45604934"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aíz</w:t>
            </w:r>
          </w:p>
        </w:tc>
        <w:tc>
          <w:tcPr>
            <w:tcW w:w="2223" w:type="dxa"/>
            <w:hideMark/>
          </w:tcPr>
          <w:p w14:paraId="0A68733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Guayas</w:t>
            </w:r>
          </w:p>
        </w:tc>
      </w:tr>
      <w:tr w:rsidR="003F0E9F" w:rsidRPr="003F0E9F" w14:paraId="4D778864" w14:textId="77777777" w:rsidTr="00D457F3">
        <w:trPr>
          <w:trHeight w:val="299"/>
        </w:trPr>
        <w:tc>
          <w:tcPr>
            <w:tcW w:w="1294" w:type="dxa"/>
            <w:noWrap/>
            <w:hideMark/>
          </w:tcPr>
          <w:p w14:paraId="473AD5A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Endosulfán</w:t>
            </w:r>
          </w:p>
        </w:tc>
        <w:tc>
          <w:tcPr>
            <w:tcW w:w="1883" w:type="dxa"/>
            <w:noWrap/>
            <w:hideMark/>
          </w:tcPr>
          <w:p w14:paraId="372240F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Altamente peligroso 1b</w:t>
            </w:r>
          </w:p>
        </w:tc>
        <w:tc>
          <w:tcPr>
            <w:tcW w:w="944" w:type="dxa"/>
            <w:noWrap/>
            <w:hideMark/>
          </w:tcPr>
          <w:p w14:paraId="3822A4B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2415AC51" w14:textId="19E53306"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w:t>
            </w:r>
            <w:r w:rsidR="003F0E9F">
              <w:rPr>
                <w:rFonts w:asciiTheme="minorHAnsi" w:hAnsiTheme="minorHAnsi"/>
                <w:sz w:val="18"/>
              </w:rPr>
              <w:t>rroz, maíz, cebolla</w:t>
            </w:r>
          </w:p>
        </w:tc>
        <w:tc>
          <w:tcPr>
            <w:tcW w:w="2223" w:type="dxa"/>
            <w:hideMark/>
          </w:tcPr>
          <w:p w14:paraId="6E805CD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Guayas, Santa Elena, El oro</w:t>
            </w:r>
          </w:p>
        </w:tc>
      </w:tr>
      <w:tr w:rsidR="003F0E9F" w:rsidRPr="003F0E9F" w14:paraId="44AFFD71" w14:textId="77777777" w:rsidTr="00D457F3">
        <w:trPr>
          <w:trHeight w:val="299"/>
        </w:trPr>
        <w:tc>
          <w:tcPr>
            <w:tcW w:w="1294" w:type="dxa"/>
            <w:noWrap/>
            <w:hideMark/>
          </w:tcPr>
          <w:p w14:paraId="7DB832C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Fenamidona</w:t>
            </w:r>
          </w:p>
        </w:tc>
        <w:tc>
          <w:tcPr>
            <w:tcW w:w="1883" w:type="dxa"/>
            <w:noWrap/>
            <w:hideMark/>
          </w:tcPr>
          <w:p w14:paraId="1E80DCF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50A93C6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077F2B5D" w14:textId="08E32C93"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w:t>
            </w:r>
            <w:r w:rsidR="003F0E9F">
              <w:rPr>
                <w:rFonts w:asciiTheme="minorHAnsi" w:hAnsiTheme="minorHAnsi"/>
                <w:sz w:val="18"/>
              </w:rPr>
              <w:t>imiento</w:t>
            </w:r>
          </w:p>
        </w:tc>
        <w:tc>
          <w:tcPr>
            <w:tcW w:w="2223" w:type="dxa"/>
            <w:hideMark/>
          </w:tcPr>
          <w:p w14:paraId="34AF508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Manabí</w:t>
            </w:r>
          </w:p>
        </w:tc>
      </w:tr>
      <w:tr w:rsidR="003F0E9F" w:rsidRPr="003F0E9F" w14:paraId="422C0B2F" w14:textId="77777777" w:rsidTr="00D457F3">
        <w:trPr>
          <w:trHeight w:val="299"/>
        </w:trPr>
        <w:tc>
          <w:tcPr>
            <w:tcW w:w="1294" w:type="dxa"/>
            <w:noWrap/>
            <w:hideMark/>
          </w:tcPr>
          <w:p w14:paraId="2E9AA1B5"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Imazalil</w:t>
            </w:r>
          </w:p>
        </w:tc>
        <w:tc>
          <w:tcPr>
            <w:tcW w:w="1883" w:type="dxa"/>
            <w:noWrap/>
            <w:hideMark/>
          </w:tcPr>
          <w:p w14:paraId="7D3A656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4452348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20B52955" w14:textId="0E31AA25"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w:t>
            </w:r>
            <w:r w:rsidR="003F0E9F">
              <w:rPr>
                <w:rFonts w:asciiTheme="minorHAnsi" w:hAnsiTheme="minorHAnsi"/>
                <w:sz w:val="18"/>
              </w:rPr>
              <w:t>ebolla, arroz</w:t>
            </w:r>
          </w:p>
        </w:tc>
        <w:tc>
          <w:tcPr>
            <w:tcW w:w="2223" w:type="dxa"/>
            <w:hideMark/>
          </w:tcPr>
          <w:p w14:paraId="60FF6E01" w14:textId="4AFDEF1F"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Tungurahua, </w:t>
            </w:r>
            <w:r w:rsidR="004B31DA">
              <w:rPr>
                <w:rFonts w:asciiTheme="minorHAnsi" w:hAnsiTheme="minorHAnsi"/>
                <w:sz w:val="18"/>
              </w:rPr>
              <w:t>C</w:t>
            </w:r>
            <w:r>
              <w:rPr>
                <w:rFonts w:asciiTheme="minorHAnsi" w:hAnsiTheme="minorHAnsi"/>
                <w:sz w:val="18"/>
              </w:rPr>
              <w:t xml:space="preserve">añar, </w:t>
            </w:r>
            <w:r w:rsidR="004B31DA">
              <w:rPr>
                <w:rFonts w:asciiTheme="minorHAnsi" w:hAnsiTheme="minorHAnsi"/>
                <w:sz w:val="18"/>
              </w:rPr>
              <w:t>G</w:t>
            </w:r>
            <w:r>
              <w:rPr>
                <w:rFonts w:asciiTheme="minorHAnsi" w:hAnsiTheme="minorHAnsi"/>
                <w:sz w:val="18"/>
              </w:rPr>
              <w:t>uayas</w:t>
            </w:r>
          </w:p>
        </w:tc>
      </w:tr>
      <w:tr w:rsidR="003F0E9F" w:rsidRPr="003F0E9F" w14:paraId="51E15E71" w14:textId="77777777" w:rsidTr="00D457F3">
        <w:trPr>
          <w:trHeight w:val="299"/>
        </w:trPr>
        <w:tc>
          <w:tcPr>
            <w:tcW w:w="1294" w:type="dxa"/>
            <w:noWrap/>
            <w:hideMark/>
          </w:tcPr>
          <w:p w14:paraId="2EB5D65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Imidacloprid</w:t>
            </w:r>
          </w:p>
        </w:tc>
        <w:tc>
          <w:tcPr>
            <w:tcW w:w="1883" w:type="dxa"/>
            <w:noWrap/>
            <w:hideMark/>
          </w:tcPr>
          <w:p w14:paraId="10ED111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71B5636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56B2CA78" w14:textId="0ACB5387"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(riñón), pimiento</w:t>
            </w:r>
          </w:p>
        </w:tc>
        <w:tc>
          <w:tcPr>
            <w:tcW w:w="2223" w:type="dxa"/>
            <w:hideMark/>
          </w:tcPr>
          <w:p w14:paraId="240E410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Pichincha, Manabí</w:t>
            </w:r>
          </w:p>
        </w:tc>
      </w:tr>
      <w:tr w:rsidR="003F0E9F" w:rsidRPr="003F0E9F" w14:paraId="388C70AB" w14:textId="77777777" w:rsidTr="00D457F3">
        <w:trPr>
          <w:trHeight w:val="299"/>
        </w:trPr>
        <w:tc>
          <w:tcPr>
            <w:tcW w:w="1294" w:type="dxa"/>
            <w:noWrap/>
            <w:hideMark/>
          </w:tcPr>
          <w:p w14:paraId="4DF0F808"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Malatión</w:t>
            </w:r>
          </w:p>
        </w:tc>
        <w:tc>
          <w:tcPr>
            <w:tcW w:w="1883" w:type="dxa"/>
            <w:noWrap/>
            <w:hideMark/>
          </w:tcPr>
          <w:p w14:paraId="306822B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2608E88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ECE3ECB" w14:textId="35501EA9"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w:t>
            </w:r>
            <w:r w:rsidR="003F0E9F">
              <w:rPr>
                <w:rFonts w:asciiTheme="minorHAnsi" w:hAnsiTheme="minorHAnsi"/>
                <w:sz w:val="18"/>
              </w:rPr>
              <w:t>acao</w:t>
            </w:r>
          </w:p>
        </w:tc>
        <w:tc>
          <w:tcPr>
            <w:tcW w:w="2223" w:type="dxa"/>
            <w:hideMark/>
          </w:tcPr>
          <w:p w14:paraId="094BB5D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Los Ríos</w:t>
            </w:r>
          </w:p>
        </w:tc>
      </w:tr>
      <w:tr w:rsidR="003F0E9F" w:rsidRPr="001B17BF" w14:paraId="50D1FE6B" w14:textId="77777777" w:rsidTr="00D457F3">
        <w:trPr>
          <w:trHeight w:val="599"/>
        </w:trPr>
        <w:tc>
          <w:tcPr>
            <w:tcW w:w="1294" w:type="dxa"/>
            <w:noWrap/>
            <w:hideMark/>
          </w:tcPr>
          <w:p w14:paraId="7ECB2F5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Metamidofos</w:t>
            </w:r>
          </w:p>
        </w:tc>
        <w:tc>
          <w:tcPr>
            <w:tcW w:w="1883" w:type="dxa"/>
            <w:noWrap/>
            <w:hideMark/>
          </w:tcPr>
          <w:p w14:paraId="53E48AB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Altamente peligroso 1b</w:t>
            </w:r>
          </w:p>
        </w:tc>
        <w:tc>
          <w:tcPr>
            <w:tcW w:w="944" w:type="dxa"/>
            <w:noWrap/>
            <w:hideMark/>
          </w:tcPr>
          <w:p w14:paraId="01AAE54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142B8BC0" w14:textId="5DB51136" w:rsidR="003F0E9F" w:rsidRPr="00CE692E"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N</w:t>
            </w:r>
            <w:r w:rsidR="003F0E9F">
              <w:rPr>
                <w:rFonts w:asciiTheme="minorHAnsi" w:hAnsiTheme="minorHAnsi"/>
                <w:sz w:val="18"/>
              </w:rPr>
              <w:t>aranja, tomate (de árbol), tomate (riñón), mora, pimiento, sandía</w:t>
            </w:r>
          </w:p>
        </w:tc>
        <w:tc>
          <w:tcPr>
            <w:tcW w:w="2223" w:type="dxa"/>
            <w:hideMark/>
          </w:tcPr>
          <w:p w14:paraId="659CF0E2" w14:textId="7C8AC7EF" w:rsidR="003F0E9F" w:rsidRPr="00393780"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Carchi, Imbabura, </w:t>
            </w:r>
            <w:r w:rsidR="004B31DA">
              <w:rPr>
                <w:rFonts w:asciiTheme="minorHAnsi" w:hAnsiTheme="minorHAnsi"/>
                <w:sz w:val="18"/>
              </w:rPr>
              <w:t>P</w:t>
            </w:r>
            <w:r>
              <w:rPr>
                <w:rFonts w:asciiTheme="minorHAnsi" w:hAnsiTheme="minorHAnsi"/>
                <w:sz w:val="18"/>
              </w:rPr>
              <w:t>ichincha, Cotopaxi, Tungurahua, Loja, Manab</w:t>
            </w:r>
            <w:r w:rsidR="004B31DA">
              <w:rPr>
                <w:rFonts w:asciiTheme="minorHAnsi" w:hAnsiTheme="minorHAnsi"/>
                <w:sz w:val="18"/>
              </w:rPr>
              <w:t>í</w:t>
            </w:r>
            <w:r>
              <w:rPr>
                <w:rFonts w:asciiTheme="minorHAnsi" w:hAnsiTheme="minorHAnsi"/>
                <w:sz w:val="18"/>
              </w:rPr>
              <w:t>, Santa Elena, Napo, Pastaza, Zamora Chinchipe</w:t>
            </w:r>
          </w:p>
        </w:tc>
      </w:tr>
      <w:tr w:rsidR="003F0E9F" w:rsidRPr="003F0E9F" w14:paraId="654CAD1E" w14:textId="77777777" w:rsidTr="00D457F3">
        <w:trPr>
          <w:trHeight w:val="299"/>
        </w:trPr>
        <w:tc>
          <w:tcPr>
            <w:tcW w:w="1294" w:type="dxa"/>
            <w:noWrap/>
            <w:hideMark/>
          </w:tcPr>
          <w:p w14:paraId="231A336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Metiadation</w:t>
            </w:r>
          </w:p>
        </w:tc>
        <w:tc>
          <w:tcPr>
            <w:tcW w:w="1883" w:type="dxa"/>
            <w:noWrap/>
            <w:hideMark/>
          </w:tcPr>
          <w:p w14:paraId="3F33AD4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3C8C082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63210426" w14:textId="7325064B"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ora, naranja</w:t>
            </w:r>
          </w:p>
        </w:tc>
        <w:tc>
          <w:tcPr>
            <w:tcW w:w="2223" w:type="dxa"/>
            <w:hideMark/>
          </w:tcPr>
          <w:p w14:paraId="04A9130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Tungurahua</w:t>
            </w:r>
          </w:p>
        </w:tc>
      </w:tr>
      <w:tr w:rsidR="003F0E9F" w:rsidRPr="003F0E9F" w14:paraId="130D0407" w14:textId="77777777" w:rsidTr="00D457F3">
        <w:trPr>
          <w:trHeight w:val="299"/>
        </w:trPr>
        <w:tc>
          <w:tcPr>
            <w:tcW w:w="1294" w:type="dxa"/>
            <w:noWrap/>
            <w:hideMark/>
          </w:tcPr>
          <w:p w14:paraId="499A381B"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Metiocarb</w:t>
            </w:r>
          </w:p>
        </w:tc>
        <w:tc>
          <w:tcPr>
            <w:tcW w:w="1883" w:type="dxa"/>
            <w:noWrap/>
            <w:hideMark/>
          </w:tcPr>
          <w:p w14:paraId="3C67465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61024BF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0297D87" w14:textId="6E6F6FCB"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w:t>
            </w:r>
            <w:r w:rsidR="003F0E9F">
              <w:rPr>
                <w:rFonts w:asciiTheme="minorHAnsi" w:hAnsiTheme="minorHAnsi"/>
                <w:sz w:val="18"/>
              </w:rPr>
              <w:t xml:space="preserve">rroz </w:t>
            </w:r>
          </w:p>
        </w:tc>
        <w:tc>
          <w:tcPr>
            <w:tcW w:w="2223" w:type="dxa"/>
            <w:hideMark/>
          </w:tcPr>
          <w:p w14:paraId="42C1775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Los Ríos</w:t>
            </w:r>
          </w:p>
        </w:tc>
      </w:tr>
      <w:tr w:rsidR="003F0E9F" w:rsidRPr="003F0E9F" w14:paraId="2DA0CAD7" w14:textId="77777777" w:rsidTr="00D457F3">
        <w:trPr>
          <w:trHeight w:val="299"/>
        </w:trPr>
        <w:tc>
          <w:tcPr>
            <w:tcW w:w="1294" w:type="dxa"/>
            <w:noWrap/>
            <w:hideMark/>
          </w:tcPr>
          <w:p w14:paraId="756040D4" w14:textId="462E482F"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Metomilo</w:t>
            </w:r>
          </w:p>
        </w:tc>
        <w:tc>
          <w:tcPr>
            <w:tcW w:w="1883" w:type="dxa"/>
            <w:noWrap/>
            <w:hideMark/>
          </w:tcPr>
          <w:p w14:paraId="08A3FF61"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Altamente peligroso 1b</w:t>
            </w:r>
          </w:p>
        </w:tc>
        <w:tc>
          <w:tcPr>
            <w:tcW w:w="944" w:type="dxa"/>
            <w:noWrap/>
            <w:hideMark/>
          </w:tcPr>
          <w:p w14:paraId="1688D12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19CD9A3F" w14:textId="4420A506" w:rsidR="003F0E9F" w:rsidRPr="00CE692E"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w:t>
            </w:r>
            <w:r w:rsidR="003F0E9F">
              <w:rPr>
                <w:rFonts w:asciiTheme="minorHAnsi" w:hAnsiTheme="minorHAnsi"/>
                <w:sz w:val="18"/>
              </w:rPr>
              <w:t>imiento, naranja, tomate (de árbol), papa, cebolla, pera</w:t>
            </w:r>
          </w:p>
        </w:tc>
        <w:tc>
          <w:tcPr>
            <w:tcW w:w="2223" w:type="dxa"/>
            <w:hideMark/>
          </w:tcPr>
          <w:p w14:paraId="7FA30FC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Imbabura, Cotopaxi, Azuay, Guayas, Napo</w:t>
            </w:r>
          </w:p>
        </w:tc>
      </w:tr>
      <w:tr w:rsidR="003F0E9F" w:rsidRPr="003F0E9F" w14:paraId="7D20CA9C" w14:textId="77777777" w:rsidTr="00D457F3">
        <w:trPr>
          <w:trHeight w:val="299"/>
        </w:trPr>
        <w:tc>
          <w:tcPr>
            <w:tcW w:w="1294" w:type="dxa"/>
            <w:noWrap/>
            <w:hideMark/>
          </w:tcPr>
          <w:p w14:paraId="0C925EAB"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Metoxifenozida</w:t>
            </w:r>
          </w:p>
        </w:tc>
        <w:tc>
          <w:tcPr>
            <w:tcW w:w="1883" w:type="dxa"/>
            <w:noWrap/>
            <w:hideMark/>
          </w:tcPr>
          <w:p w14:paraId="6646815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39DBC6E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F6B95BE" w14:textId="3367AEC6" w:rsidR="003F0E9F" w:rsidRPr="003F0E9F" w:rsidRDefault="00430183" w:rsidP="004B31DA">
            <w:pPr>
              <w:shd w:val="clear" w:color="auto" w:fill="FFFFFF"/>
              <w:spacing w:after="120"/>
              <w:jc w:val="both"/>
              <w:rPr>
                <w:rFonts w:asciiTheme="minorHAnsi" w:hAnsiTheme="minorHAnsi" w:cstheme="minorHAnsi"/>
                <w:iCs/>
                <w:sz w:val="18"/>
                <w:szCs w:val="18"/>
              </w:rPr>
            </w:pPr>
            <w:r>
              <w:rPr>
                <w:rFonts w:asciiTheme="minorHAnsi" w:hAnsiTheme="minorHAnsi"/>
                <w:sz w:val="18"/>
              </w:rPr>
              <w:t>B</w:t>
            </w:r>
            <w:r w:rsidR="004B31DA">
              <w:rPr>
                <w:rFonts w:asciiTheme="minorHAnsi" w:hAnsiTheme="minorHAnsi"/>
                <w:sz w:val="18"/>
              </w:rPr>
              <w:t>rócoli</w:t>
            </w:r>
            <w:r w:rsidR="003F0E9F">
              <w:rPr>
                <w:rFonts w:asciiTheme="minorHAnsi" w:hAnsiTheme="minorHAnsi"/>
                <w:sz w:val="18"/>
              </w:rPr>
              <w:t>, papa</w:t>
            </w:r>
          </w:p>
        </w:tc>
        <w:tc>
          <w:tcPr>
            <w:tcW w:w="2223" w:type="dxa"/>
            <w:hideMark/>
          </w:tcPr>
          <w:p w14:paraId="1D5C687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Pichincha, Cotopaxi</w:t>
            </w:r>
          </w:p>
        </w:tc>
      </w:tr>
      <w:tr w:rsidR="003F0E9F" w:rsidRPr="003F0E9F" w14:paraId="16655CCC" w14:textId="77777777" w:rsidTr="00D457F3">
        <w:trPr>
          <w:trHeight w:val="299"/>
        </w:trPr>
        <w:tc>
          <w:tcPr>
            <w:tcW w:w="1294" w:type="dxa"/>
            <w:noWrap/>
            <w:hideMark/>
          </w:tcPr>
          <w:p w14:paraId="6E09CF0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Ometoato</w:t>
            </w:r>
          </w:p>
        </w:tc>
        <w:tc>
          <w:tcPr>
            <w:tcW w:w="1883" w:type="dxa"/>
            <w:noWrap/>
            <w:hideMark/>
          </w:tcPr>
          <w:p w14:paraId="0957882D"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7E0FD0F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FD11496" w14:textId="2BA8A25F"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omate (de árbol), fresa, papa</w:t>
            </w:r>
          </w:p>
        </w:tc>
        <w:tc>
          <w:tcPr>
            <w:tcW w:w="2223" w:type="dxa"/>
            <w:hideMark/>
          </w:tcPr>
          <w:p w14:paraId="530F8B71" w14:textId="19AD329E"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Imbabura, </w:t>
            </w:r>
            <w:r w:rsidR="004B31DA">
              <w:rPr>
                <w:rFonts w:asciiTheme="minorHAnsi" w:hAnsiTheme="minorHAnsi"/>
                <w:sz w:val="18"/>
              </w:rPr>
              <w:t>P</w:t>
            </w:r>
            <w:r>
              <w:rPr>
                <w:rFonts w:asciiTheme="minorHAnsi" w:hAnsiTheme="minorHAnsi"/>
                <w:sz w:val="18"/>
              </w:rPr>
              <w:t xml:space="preserve">ichincha, </w:t>
            </w:r>
            <w:r w:rsidR="004B31DA">
              <w:rPr>
                <w:rFonts w:asciiTheme="minorHAnsi" w:hAnsiTheme="minorHAnsi"/>
                <w:sz w:val="18"/>
              </w:rPr>
              <w:t>C</w:t>
            </w:r>
            <w:r>
              <w:rPr>
                <w:rFonts w:asciiTheme="minorHAnsi" w:hAnsiTheme="minorHAnsi"/>
                <w:sz w:val="18"/>
              </w:rPr>
              <w:t>himborazo</w:t>
            </w:r>
          </w:p>
        </w:tc>
      </w:tr>
      <w:tr w:rsidR="003F0E9F" w:rsidRPr="003F0E9F" w14:paraId="417B025E" w14:textId="77777777" w:rsidTr="00D457F3">
        <w:trPr>
          <w:trHeight w:val="599"/>
        </w:trPr>
        <w:tc>
          <w:tcPr>
            <w:tcW w:w="1294" w:type="dxa"/>
            <w:noWrap/>
            <w:hideMark/>
          </w:tcPr>
          <w:p w14:paraId="49A5C36B" w14:textId="61C909CD"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Oxamyl</w:t>
            </w:r>
          </w:p>
        </w:tc>
        <w:tc>
          <w:tcPr>
            <w:tcW w:w="1883" w:type="dxa"/>
            <w:noWrap/>
            <w:hideMark/>
          </w:tcPr>
          <w:p w14:paraId="7746BA6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Extremadamente peligroso 1a</w:t>
            </w:r>
          </w:p>
        </w:tc>
        <w:tc>
          <w:tcPr>
            <w:tcW w:w="944" w:type="dxa"/>
            <w:noWrap/>
            <w:hideMark/>
          </w:tcPr>
          <w:p w14:paraId="6F692B9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30BB73DD" w14:textId="247B99DD" w:rsidR="003F0E9F" w:rsidRPr="00CE692E"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N</w:t>
            </w:r>
            <w:r w:rsidR="003F0E9F">
              <w:rPr>
                <w:rFonts w:asciiTheme="minorHAnsi" w:hAnsiTheme="minorHAnsi"/>
                <w:sz w:val="18"/>
              </w:rPr>
              <w:t>aranja, papa, pimiento, banano, tomate (riñón), cacao</w:t>
            </w:r>
          </w:p>
        </w:tc>
        <w:tc>
          <w:tcPr>
            <w:tcW w:w="2223" w:type="dxa"/>
            <w:hideMark/>
          </w:tcPr>
          <w:p w14:paraId="2258BDED" w14:textId="34CA6B2F"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Imbabura, Pichincha, Cotopaxi, Chimborazo, Loja, Manab</w:t>
            </w:r>
            <w:r w:rsidR="004B31DA">
              <w:rPr>
                <w:rFonts w:asciiTheme="minorHAnsi" w:hAnsiTheme="minorHAnsi"/>
                <w:sz w:val="18"/>
              </w:rPr>
              <w:t>í</w:t>
            </w:r>
            <w:r>
              <w:rPr>
                <w:rFonts w:asciiTheme="minorHAnsi" w:hAnsiTheme="minorHAnsi"/>
                <w:sz w:val="18"/>
              </w:rPr>
              <w:t>, Los Ríos, Napo, Pastaza</w:t>
            </w:r>
          </w:p>
        </w:tc>
      </w:tr>
      <w:tr w:rsidR="003F0E9F" w:rsidRPr="003F0E9F" w14:paraId="0D37EC44" w14:textId="77777777" w:rsidTr="00D457F3">
        <w:trPr>
          <w:trHeight w:val="299"/>
        </w:trPr>
        <w:tc>
          <w:tcPr>
            <w:tcW w:w="1294" w:type="dxa"/>
            <w:noWrap/>
            <w:hideMark/>
          </w:tcPr>
          <w:p w14:paraId="27169EC0"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Penconazol</w:t>
            </w:r>
          </w:p>
        </w:tc>
        <w:tc>
          <w:tcPr>
            <w:tcW w:w="1883" w:type="dxa"/>
            <w:noWrap/>
            <w:hideMark/>
          </w:tcPr>
          <w:p w14:paraId="29D4F3FC"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69A0C1EB"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573C3720" w14:textId="547EB0E1"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ora</w:t>
            </w:r>
          </w:p>
        </w:tc>
        <w:tc>
          <w:tcPr>
            <w:tcW w:w="2223" w:type="dxa"/>
            <w:hideMark/>
          </w:tcPr>
          <w:p w14:paraId="3C1BAFE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Tungurahua</w:t>
            </w:r>
          </w:p>
        </w:tc>
      </w:tr>
      <w:tr w:rsidR="003F0E9F" w:rsidRPr="003F0E9F" w14:paraId="7FD63653" w14:textId="77777777" w:rsidTr="00D457F3">
        <w:trPr>
          <w:trHeight w:val="299"/>
        </w:trPr>
        <w:tc>
          <w:tcPr>
            <w:tcW w:w="1294" w:type="dxa"/>
            <w:noWrap/>
            <w:hideMark/>
          </w:tcPr>
          <w:p w14:paraId="356F9AC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Phosmet</w:t>
            </w:r>
          </w:p>
        </w:tc>
        <w:tc>
          <w:tcPr>
            <w:tcW w:w="1883" w:type="dxa"/>
            <w:noWrap/>
            <w:hideMark/>
          </w:tcPr>
          <w:p w14:paraId="1591DFB2"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Altamente peligroso 1b</w:t>
            </w:r>
          </w:p>
        </w:tc>
        <w:tc>
          <w:tcPr>
            <w:tcW w:w="944" w:type="dxa"/>
            <w:noWrap/>
            <w:hideMark/>
          </w:tcPr>
          <w:p w14:paraId="183F7ED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56F2BDE6" w14:textId="1B549A88"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w:t>
            </w:r>
            <w:r w:rsidR="003F0E9F">
              <w:rPr>
                <w:rFonts w:asciiTheme="minorHAnsi" w:hAnsiTheme="minorHAnsi"/>
                <w:sz w:val="18"/>
              </w:rPr>
              <w:t>apa, manzana</w:t>
            </w:r>
          </w:p>
        </w:tc>
        <w:tc>
          <w:tcPr>
            <w:tcW w:w="2223" w:type="dxa"/>
            <w:hideMark/>
          </w:tcPr>
          <w:p w14:paraId="396C03A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Pichincha, Guayas</w:t>
            </w:r>
          </w:p>
        </w:tc>
      </w:tr>
      <w:tr w:rsidR="003F0E9F" w:rsidRPr="003F0E9F" w14:paraId="23C97C87" w14:textId="77777777" w:rsidTr="00D457F3">
        <w:trPr>
          <w:trHeight w:val="299"/>
        </w:trPr>
        <w:tc>
          <w:tcPr>
            <w:tcW w:w="1294" w:type="dxa"/>
            <w:noWrap/>
            <w:hideMark/>
          </w:tcPr>
          <w:p w14:paraId="57EF019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Piraclostrobin</w:t>
            </w:r>
          </w:p>
        </w:tc>
        <w:tc>
          <w:tcPr>
            <w:tcW w:w="1883" w:type="dxa"/>
            <w:noWrap/>
            <w:hideMark/>
          </w:tcPr>
          <w:p w14:paraId="071DE0CB"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20458FC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27A9C2CD" w14:textId="17B91160"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N</w:t>
            </w:r>
            <w:r w:rsidR="003F0E9F">
              <w:rPr>
                <w:rFonts w:asciiTheme="minorHAnsi" w:hAnsiTheme="minorHAnsi"/>
                <w:sz w:val="18"/>
              </w:rPr>
              <w:t>aranja, papaya</w:t>
            </w:r>
          </w:p>
        </w:tc>
        <w:tc>
          <w:tcPr>
            <w:tcW w:w="2223" w:type="dxa"/>
            <w:hideMark/>
          </w:tcPr>
          <w:p w14:paraId="36A2EF77"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Bolívar, Santo Domingo</w:t>
            </w:r>
          </w:p>
        </w:tc>
      </w:tr>
      <w:tr w:rsidR="003F0E9F" w:rsidRPr="003F0E9F" w14:paraId="3B89D093" w14:textId="77777777" w:rsidTr="00D457F3">
        <w:trPr>
          <w:trHeight w:val="299"/>
        </w:trPr>
        <w:tc>
          <w:tcPr>
            <w:tcW w:w="1294" w:type="dxa"/>
            <w:noWrap/>
            <w:hideMark/>
          </w:tcPr>
          <w:p w14:paraId="03BB07C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Piriproxifeno</w:t>
            </w:r>
          </w:p>
        </w:tc>
        <w:tc>
          <w:tcPr>
            <w:tcW w:w="1883" w:type="dxa"/>
            <w:noWrap/>
            <w:hideMark/>
          </w:tcPr>
          <w:p w14:paraId="39265B1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Moderadamente peligroso</w:t>
            </w:r>
          </w:p>
        </w:tc>
        <w:tc>
          <w:tcPr>
            <w:tcW w:w="944" w:type="dxa"/>
            <w:noWrap/>
            <w:hideMark/>
          </w:tcPr>
          <w:p w14:paraId="0F81A6F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7BEE7C16" w14:textId="31DC4BAB"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U</w:t>
            </w:r>
            <w:r w:rsidR="003F0E9F">
              <w:rPr>
                <w:rFonts w:asciiTheme="minorHAnsi" w:hAnsiTheme="minorHAnsi"/>
                <w:sz w:val="18"/>
              </w:rPr>
              <w:t>va</w:t>
            </w:r>
          </w:p>
        </w:tc>
        <w:tc>
          <w:tcPr>
            <w:tcW w:w="2223" w:type="dxa"/>
            <w:hideMark/>
          </w:tcPr>
          <w:p w14:paraId="071B409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El Oro</w:t>
            </w:r>
          </w:p>
        </w:tc>
      </w:tr>
      <w:tr w:rsidR="003F0E9F" w:rsidRPr="003F0E9F" w14:paraId="1E1C10BB" w14:textId="77777777" w:rsidTr="00D457F3">
        <w:trPr>
          <w:trHeight w:val="299"/>
        </w:trPr>
        <w:tc>
          <w:tcPr>
            <w:tcW w:w="1294" w:type="dxa"/>
            <w:noWrap/>
            <w:hideMark/>
          </w:tcPr>
          <w:p w14:paraId="31136A9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Procimidona</w:t>
            </w:r>
          </w:p>
        </w:tc>
        <w:tc>
          <w:tcPr>
            <w:tcW w:w="1883" w:type="dxa"/>
            <w:noWrap/>
            <w:hideMark/>
          </w:tcPr>
          <w:p w14:paraId="50EC54B4"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57A6C4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1498FFC5" w14:textId="6B4FB702"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M</w:t>
            </w:r>
            <w:r w:rsidR="003F0E9F">
              <w:rPr>
                <w:rFonts w:asciiTheme="minorHAnsi" w:hAnsiTheme="minorHAnsi"/>
                <w:sz w:val="18"/>
              </w:rPr>
              <w:t>ora, tomate (riñón), uva</w:t>
            </w:r>
          </w:p>
        </w:tc>
        <w:tc>
          <w:tcPr>
            <w:tcW w:w="2223" w:type="dxa"/>
            <w:hideMark/>
          </w:tcPr>
          <w:p w14:paraId="4C98D479"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Pichincha, El Oro</w:t>
            </w:r>
          </w:p>
        </w:tc>
      </w:tr>
      <w:tr w:rsidR="003F0E9F" w:rsidRPr="003F0E9F" w14:paraId="79B26612" w14:textId="77777777" w:rsidTr="00D457F3">
        <w:trPr>
          <w:trHeight w:val="299"/>
        </w:trPr>
        <w:tc>
          <w:tcPr>
            <w:tcW w:w="1294" w:type="dxa"/>
            <w:noWrap/>
            <w:hideMark/>
          </w:tcPr>
          <w:p w14:paraId="35BAA98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Propamocarb</w:t>
            </w:r>
          </w:p>
        </w:tc>
        <w:tc>
          <w:tcPr>
            <w:tcW w:w="1883" w:type="dxa"/>
            <w:noWrap/>
            <w:hideMark/>
          </w:tcPr>
          <w:p w14:paraId="55077B56"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B13686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529959A3" w14:textId="6C2CCA66"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w:t>
            </w:r>
            <w:r w:rsidR="003F0E9F">
              <w:rPr>
                <w:rFonts w:asciiTheme="minorHAnsi" w:hAnsiTheme="minorHAnsi"/>
                <w:sz w:val="18"/>
              </w:rPr>
              <w:t xml:space="preserve">omate (de árbol), frutilla </w:t>
            </w:r>
          </w:p>
        </w:tc>
        <w:tc>
          <w:tcPr>
            <w:tcW w:w="2223" w:type="dxa"/>
            <w:hideMark/>
          </w:tcPr>
          <w:p w14:paraId="6010A5B8"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Imbabura, Cotopaxi</w:t>
            </w:r>
          </w:p>
        </w:tc>
      </w:tr>
      <w:tr w:rsidR="003F0E9F" w:rsidRPr="003F0E9F" w14:paraId="009FFE53" w14:textId="77777777" w:rsidTr="00D457F3">
        <w:trPr>
          <w:trHeight w:val="299"/>
        </w:trPr>
        <w:tc>
          <w:tcPr>
            <w:tcW w:w="1294" w:type="dxa"/>
            <w:noWrap/>
            <w:hideMark/>
          </w:tcPr>
          <w:p w14:paraId="4C02C5C3"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Tebuconazol</w:t>
            </w:r>
          </w:p>
        </w:tc>
        <w:tc>
          <w:tcPr>
            <w:tcW w:w="1883" w:type="dxa"/>
            <w:noWrap/>
            <w:hideMark/>
          </w:tcPr>
          <w:p w14:paraId="2169A22F"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6C7F9E78"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76EF40AD" w14:textId="0D5DA2DE"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w:t>
            </w:r>
            <w:r w:rsidR="003F0E9F">
              <w:rPr>
                <w:rFonts w:asciiTheme="minorHAnsi" w:hAnsiTheme="minorHAnsi"/>
                <w:sz w:val="18"/>
              </w:rPr>
              <w:t>rutilla</w:t>
            </w:r>
          </w:p>
        </w:tc>
        <w:tc>
          <w:tcPr>
            <w:tcW w:w="2223" w:type="dxa"/>
            <w:hideMark/>
          </w:tcPr>
          <w:p w14:paraId="53911A04" w14:textId="5C3DE335"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 xml:space="preserve">Imbabura, </w:t>
            </w:r>
            <w:r w:rsidR="00F0204F">
              <w:rPr>
                <w:rFonts w:asciiTheme="minorHAnsi" w:hAnsiTheme="minorHAnsi"/>
                <w:sz w:val="18"/>
              </w:rPr>
              <w:t>P</w:t>
            </w:r>
            <w:r>
              <w:rPr>
                <w:rFonts w:asciiTheme="minorHAnsi" w:hAnsiTheme="minorHAnsi"/>
                <w:sz w:val="18"/>
              </w:rPr>
              <w:t>ichincha</w:t>
            </w:r>
          </w:p>
        </w:tc>
      </w:tr>
      <w:tr w:rsidR="003F0E9F" w:rsidRPr="003F0E9F" w14:paraId="21E5F26A" w14:textId="77777777" w:rsidTr="00D457F3">
        <w:trPr>
          <w:trHeight w:val="299"/>
        </w:trPr>
        <w:tc>
          <w:tcPr>
            <w:tcW w:w="1294" w:type="dxa"/>
            <w:noWrap/>
            <w:hideMark/>
          </w:tcPr>
          <w:p w14:paraId="14EC54B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Tiametoxam</w:t>
            </w:r>
          </w:p>
        </w:tc>
        <w:tc>
          <w:tcPr>
            <w:tcW w:w="1883" w:type="dxa"/>
            <w:noWrap/>
            <w:hideMark/>
          </w:tcPr>
          <w:p w14:paraId="497B1B3E"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12D0FD4B"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Insecticida</w:t>
            </w:r>
          </w:p>
        </w:tc>
        <w:tc>
          <w:tcPr>
            <w:tcW w:w="3040" w:type="dxa"/>
            <w:hideMark/>
          </w:tcPr>
          <w:p w14:paraId="7691E748" w14:textId="4D4249CF"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N</w:t>
            </w:r>
            <w:r w:rsidR="003F0E9F">
              <w:rPr>
                <w:rFonts w:asciiTheme="minorHAnsi" w:hAnsiTheme="minorHAnsi"/>
                <w:sz w:val="18"/>
              </w:rPr>
              <w:t>aranja, papaya</w:t>
            </w:r>
          </w:p>
        </w:tc>
        <w:tc>
          <w:tcPr>
            <w:tcW w:w="2223" w:type="dxa"/>
            <w:hideMark/>
          </w:tcPr>
          <w:p w14:paraId="5662A878"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Carchi, Pichincha, Guayas</w:t>
            </w:r>
          </w:p>
        </w:tc>
      </w:tr>
      <w:tr w:rsidR="003F0E9F" w:rsidRPr="003F0E9F" w14:paraId="5C8D0355" w14:textId="77777777" w:rsidTr="00D457F3">
        <w:trPr>
          <w:trHeight w:val="299"/>
        </w:trPr>
        <w:tc>
          <w:tcPr>
            <w:tcW w:w="1294" w:type="dxa"/>
            <w:noWrap/>
            <w:hideMark/>
          </w:tcPr>
          <w:p w14:paraId="0D9198C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Tiabendazol</w:t>
            </w:r>
          </w:p>
        </w:tc>
        <w:tc>
          <w:tcPr>
            <w:tcW w:w="1883" w:type="dxa"/>
            <w:noWrap/>
            <w:hideMark/>
          </w:tcPr>
          <w:p w14:paraId="259F2D6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Ligeramente peligroso</w:t>
            </w:r>
          </w:p>
        </w:tc>
        <w:tc>
          <w:tcPr>
            <w:tcW w:w="944" w:type="dxa"/>
            <w:noWrap/>
            <w:hideMark/>
          </w:tcPr>
          <w:p w14:paraId="669DFF8A" w14:textId="77777777"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Fungicida</w:t>
            </w:r>
          </w:p>
        </w:tc>
        <w:tc>
          <w:tcPr>
            <w:tcW w:w="3040" w:type="dxa"/>
            <w:hideMark/>
          </w:tcPr>
          <w:p w14:paraId="56614EA3" w14:textId="03167713" w:rsidR="003F0E9F" w:rsidRPr="003F0E9F" w:rsidRDefault="00430183"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C</w:t>
            </w:r>
            <w:r w:rsidR="003F0E9F">
              <w:rPr>
                <w:rFonts w:asciiTheme="minorHAnsi" w:hAnsiTheme="minorHAnsi"/>
                <w:sz w:val="18"/>
              </w:rPr>
              <w:t>acao</w:t>
            </w:r>
          </w:p>
        </w:tc>
        <w:tc>
          <w:tcPr>
            <w:tcW w:w="2223" w:type="dxa"/>
            <w:hideMark/>
          </w:tcPr>
          <w:p w14:paraId="6E12A691" w14:textId="0FE2C476" w:rsidR="003F0E9F" w:rsidRPr="003F0E9F" w:rsidRDefault="003F0E9F" w:rsidP="003F0E9F">
            <w:pPr>
              <w:shd w:val="clear" w:color="auto" w:fill="FFFFFF"/>
              <w:spacing w:after="120"/>
              <w:jc w:val="both"/>
              <w:rPr>
                <w:rFonts w:asciiTheme="minorHAnsi" w:hAnsiTheme="minorHAnsi" w:cstheme="minorHAnsi"/>
                <w:iCs/>
                <w:sz w:val="18"/>
                <w:szCs w:val="18"/>
              </w:rPr>
            </w:pPr>
            <w:r>
              <w:rPr>
                <w:rFonts w:asciiTheme="minorHAnsi" w:hAnsiTheme="minorHAnsi"/>
                <w:sz w:val="18"/>
              </w:rPr>
              <w:t>Sucumb</w:t>
            </w:r>
            <w:r w:rsidR="00430183">
              <w:rPr>
                <w:rFonts w:asciiTheme="minorHAnsi" w:hAnsiTheme="minorHAnsi"/>
                <w:sz w:val="18"/>
              </w:rPr>
              <w:t>í</w:t>
            </w:r>
            <w:r>
              <w:rPr>
                <w:rFonts w:asciiTheme="minorHAnsi" w:hAnsiTheme="minorHAnsi"/>
                <w:sz w:val="18"/>
              </w:rPr>
              <w:t>os</w:t>
            </w:r>
          </w:p>
        </w:tc>
      </w:tr>
    </w:tbl>
    <w:p w14:paraId="0BF13502" w14:textId="09978AF6" w:rsidR="009E6A02" w:rsidRPr="00903E2E" w:rsidRDefault="003F0E9F" w:rsidP="00015FFE">
      <w:pPr>
        <w:shd w:val="clear" w:color="auto" w:fill="FFFFFF"/>
        <w:spacing w:after="120"/>
        <w:jc w:val="both"/>
        <w:rPr>
          <w:rFonts w:ascii="Calibri" w:hAnsi="Calibri" w:cs="Calibri"/>
          <w:iCs/>
          <w:sz w:val="18"/>
          <w:szCs w:val="18"/>
        </w:rPr>
      </w:pPr>
      <w:r>
        <w:rPr>
          <w:rFonts w:ascii="Calibri" w:hAnsi="Calibri"/>
          <w:sz w:val="18"/>
        </w:rPr>
        <w:t>Fuente: AGROCALIDAD</w:t>
      </w:r>
    </w:p>
    <w:p w14:paraId="77FA79F7" w14:textId="352428E2" w:rsidR="009E6A02" w:rsidRDefault="00E815AB" w:rsidP="00903E2E">
      <w:pPr>
        <w:spacing w:after="120"/>
        <w:jc w:val="both"/>
        <w:rPr>
          <w:rFonts w:ascii="Calibri" w:hAnsi="Calibri" w:cs="Calibri"/>
          <w:iCs/>
          <w:color w:val="000000" w:themeColor="text1"/>
          <w:sz w:val="20"/>
          <w:szCs w:val="20"/>
        </w:rPr>
      </w:pPr>
      <w:r>
        <w:rPr>
          <w:rFonts w:ascii="Calibri" w:hAnsi="Calibri"/>
          <w:color w:val="000000" w:themeColor="text1"/>
          <w:sz w:val="20"/>
        </w:rPr>
        <w:t xml:space="preserve">El sistema nacional de emergencias ECU 911 informa de un número creciente de intoxicaciones con productos agroquímicos entre la población. Por otro lado, la información registrada a lo largo de los años en los </w:t>
      </w:r>
      <w:r w:rsidR="00F0204F">
        <w:rPr>
          <w:rFonts w:ascii="Calibri" w:hAnsi="Calibri"/>
          <w:color w:val="000000" w:themeColor="text1"/>
          <w:sz w:val="20"/>
        </w:rPr>
        <w:t>b</w:t>
      </w:r>
      <w:r>
        <w:rPr>
          <w:rFonts w:ascii="Calibri" w:hAnsi="Calibri"/>
          <w:color w:val="000000" w:themeColor="text1"/>
          <w:sz w:val="20"/>
        </w:rPr>
        <w:t xml:space="preserve">oletines </w:t>
      </w:r>
      <w:r w:rsidR="00F0204F">
        <w:rPr>
          <w:rFonts w:ascii="Calibri" w:hAnsi="Calibri"/>
          <w:color w:val="000000" w:themeColor="text1"/>
          <w:sz w:val="20"/>
        </w:rPr>
        <w:t>e</w:t>
      </w:r>
      <w:r>
        <w:rPr>
          <w:rFonts w:ascii="Calibri" w:hAnsi="Calibri"/>
          <w:color w:val="000000" w:themeColor="text1"/>
          <w:sz w:val="20"/>
        </w:rPr>
        <w:t>pidemiológicos del Sistema de Vigilancia Epidemiológica SIVE-Alerta no es consistente, mostrando los siguientes casos de intoxicación por plaguicidas:</w:t>
      </w:r>
    </w:p>
    <w:p w14:paraId="5F25F6AF" w14:textId="057D825A" w:rsidR="009E6A02" w:rsidRPr="007616EC" w:rsidRDefault="007616EC" w:rsidP="007616EC">
      <w:pPr>
        <w:pStyle w:val="Descripcin"/>
        <w:keepNext/>
        <w:rPr>
          <w:rFonts w:asciiTheme="minorHAnsi" w:hAnsiTheme="minorHAnsi" w:cstheme="minorHAnsi"/>
          <w:sz w:val="18"/>
          <w:szCs w:val="18"/>
        </w:rPr>
      </w:pPr>
      <w:bookmarkStart w:id="14" w:name="_Toc114650456"/>
      <w:r>
        <w:rPr>
          <w:rFonts w:asciiTheme="minorHAnsi" w:hAnsiTheme="minorHAnsi"/>
          <w:sz w:val="18"/>
        </w:rPr>
        <w:t xml:space="preserve">Tabla </w:t>
      </w:r>
      <w:r w:rsidRPr="007616EC">
        <w:rPr>
          <w:rFonts w:asciiTheme="minorHAnsi" w:hAnsiTheme="minorHAnsi" w:cstheme="minorHAnsi"/>
          <w:sz w:val="18"/>
        </w:rPr>
        <w:fldChar w:fldCharType="begin"/>
      </w:r>
      <w:r w:rsidRPr="007616EC">
        <w:rPr>
          <w:rFonts w:asciiTheme="minorHAnsi" w:hAnsiTheme="minorHAnsi" w:cstheme="minorHAnsi"/>
          <w:sz w:val="18"/>
        </w:rPr>
        <w:instrText xml:space="preserve"> SEQ Table \* ARABIC </w:instrText>
      </w:r>
      <w:r w:rsidRPr="007616EC">
        <w:rPr>
          <w:rFonts w:asciiTheme="minorHAnsi" w:hAnsiTheme="minorHAnsi" w:cstheme="minorHAnsi"/>
          <w:sz w:val="18"/>
        </w:rPr>
        <w:fldChar w:fldCharType="separate"/>
      </w:r>
      <w:r w:rsidR="004D0AC8">
        <w:rPr>
          <w:rFonts w:asciiTheme="minorHAnsi" w:hAnsiTheme="minorHAnsi" w:cstheme="minorHAnsi"/>
          <w:noProof/>
          <w:sz w:val="18"/>
        </w:rPr>
        <w:t>6</w:t>
      </w:r>
      <w:r w:rsidRPr="007616EC">
        <w:rPr>
          <w:rFonts w:asciiTheme="minorHAnsi" w:hAnsiTheme="minorHAnsi" w:cstheme="minorHAnsi"/>
          <w:sz w:val="18"/>
        </w:rPr>
        <w:fldChar w:fldCharType="end"/>
      </w:r>
      <w:r>
        <w:rPr>
          <w:rFonts w:asciiTheme="minorHAnsi" w:hAnsiTheme="minorHAnsi"/>
          <w:sz w:val="18"/>
        </w:rPr>
        <w:t>: Registros de intoxicaciones por productos agroquímicos</w:t>
      </w:r>
      <w:bookmarkEnd w:id="14"/>
    </w:p>
    <w:tbl>
      <w:tblPr>
        <w:tblStyle w:val="Tablaconcuadrcula"/>
        <w:tblW w:w="0" w:type="auto"/>
        <w:tblLook w:val="04A0" w:firstRow="1" w:lastRow="0" w:firstColumn="1" w:lastColumn="0" w:noHBand="0" w:noVBand="1"/>
      </w:tblPr>
      <w:tblGrid>
        <w:gridCol w:w="1538"/>
        <w:gridCol w:w="1171"/>
        <w:gridCol w:w="1171"/>
        <w:gridCol w:w="1172"/>
        <w:gridCol w:w="1172"/>
        <w:gridCol w:w="1065"/>
        <w:gridCol w:w="1065"/>
        <w:gridCol w:w="996"/>
      </w:tblGrid>
      <w:tr w:rsidR="009E6A02" w:rsidRPr="008019F8" w14:paraId="309998C8" w14:textId="77777777" w:rsidTr="00356C93">
        <w:trPr>
          <w:trHeight w:val="304"/>
        </w:trPr>
        <w:tc>
          <w:tcPr>
            <w:tcW w:w="1048" w:type="dxa"/>
          </w:tcPr>
          <w:p w14:paraId="4E757E73" w14:textId="77777777" w:rsidR="009E6A02" w:rsidRPr="002152FE" w:rsidRDefault="009E6A02" w:rsidP="00BA3DD6">
            <w:pPr>
              <w:rPr>
                <w:rFonts w:asciiTheme="minorHAnsi" w:hAnsiTheme="minorHAnsi" w:cstheme="minorHAnsi"/>
                <w:b/>
                <w:bCs/>
                <w:iCs/>
                <w:color w:val="000000" w:themeColor="text1"/>
                <w:sz w:val="18"/>
                <w:szCs w:val="18"/>
                <w:lang w:val="es-EC"/>
              </w:rPr>
            </w:pPr>
          </w:p>
        </w:tc>
        <w:tc>
          <w:tcPr>
            <w:tcW w:w="1249" w:type="dxa"/>
          </w:tcPr>
          <w:p w14:paraId="0C80EAAE"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2015</w:t>
            </w:r>
          </w:p>
        </w:tc>
        <w:tc>
          <w:tcPr>
            <w:tcW w:w="1249" w:type="dxa"/>
          </w:tcPr>
          <w:p w14:paraId="48B7D413"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2016</w:t>
            </w:r>
          </w:p>
        </w:tc>
        <w:tc>
          <w:tcPr>
            <w:tcW w:w="1249" w:type="dxa"/>
          </w:tcPr>
          <w:p w14:paraId="4F4FC5F4"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2017</w:t>
            </w:r>
          </w:p>
        </w:tc>
        <w:tc>
          <w:tcPr>
            <w:tcW w:w="1249" w:type="dxa"/>
          </w:tcPr>
          <w:p w14:paraId="4269EE71"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2018</w:t>
            </w:r>
          </w:p>
        </w:tc>
        <w:tc>
          <w:tcPr>
            <w:tcW w:w="1128" w:type="dxa"/>
          </w:tcPr>
          <w:p w14:paraId="74ED45DB"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2019</w:t>
            </w:r>
          </w:p>
        </w:tc>
        <w:tc>
          <w:tcPr>
            <w:tcW w:w="1128" w:type="dxa"/>
          </w:tcPr>
          <w:p w14:paraId="4D9DD679"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2020</w:t>
            </w:r>
          </w:p>
        </w:tc>
        <w:tc>
          <w:tcPr>
            <w:tcW w:w="1050" w:type="dxa"/>
          </w:tcPr>
          <w:p w14:paraId="3B39B9CC"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2021</w:t>
            </w:r>
          </w:p>
        </w:tc>
      </w:tr>
      <w:tr w:rsidR="009E6A02" w:rsidRPr="008019F8" w14:paraId="019BA608" w14:textId="77777777" w:rsidTr="00356C93">
        <w:trPr>
          <w:trHeight w:val="364"/>
        </w:trPr>
        <w:tc>
          <w:tcPr>
            <w:tcW w:w="1048" w:type="dxa"/>
          </w:tcPr>
          <w:p w14:paraId="0F870A0D" w14:textId="77777777" w:rsidR="009E6A02" w:rsidRPr="008019F8" w:rsidRDefault="009E6A02" w:rsidP="00BA3DD6">
            <w:pPr>
              <w:rPr>
                <w:rFonts w:asciiTheme="minorHAnsi" w:hAnsiTheme="minorHAnsi" w:cstheme="minorHAnsi"/>
                <w:b/>
                <w:bCs/>
                <w:iCs/>
                <w:color w:val="000000" w:themeColor="text1"/>
                <w:sz w:val="18"/>
                <w:szCs w:val="18"/>
              </w:rPr>
            </w:pPr>
            <w:r>
              <w:rPr>
                <w:rFonts w:asciiTheme="minorHAnsi" w:hAnsiTheme="minorHAnsi"/>
                <w:b/>
                <w:color w:val="000000" w:themeColor="text1"/>
                <w:sz w:val="18"/>
              </w:rPr>
              <w:t>Total</w:t>
            </w:r>
          </w:p>
        </w:tc>
        <w:tc>
          <w:tcPr>
            <w:tcW w:w="1249" w:type="dxa"/>
          </w:tcPr>
          <w:p w14:paraId="4A993C96"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782</w:t>
            </w:r>
          </w:p>
        </w:tc>
        <w:tc>
          <w:tcPr>
            <w:tcW w:w="1249" w:type="dxa"/>
          </w:tcPr>
          <w:p w14:paraId="73B6123E"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620</w:t>
            </w:r>
          </w:p>
        </w:tc>
        <w:tc>
          <w:tcPr>
            <w:tcW w:w="1249" w:type="dxa"/>
          </w:tcPr>
          <w:p w14:paraId="2AE6C6DE"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119</w:t>
            </w:r>
          </w:p>
        </w:tc>
        <w:tc>
          <w:tcPr>
            <w:tcW w:w="1249" w:type="dxa"/>
          </w:tcPr>
          <w:p w14:paraId="7267ED51"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425</w:t>
            </w:r>
          </w:p>
        </w:tc>
        <w:tc>
          <w:tcPr>
            <w:tcW w:w="1128" w:type="dxa"/>
          </w:tcPr>
          <w:p w14:paraId="18081EE2"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409</w:t>
            </w:r>
          </w:p>
        </w:tc>
        <w:tc>
          <w:tcPr>
            <w:tcW w:w="1128" w:type="dxa"/>
          </w:tcPr>
          <w:p w14:paraId="0A9591A8"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216</w:t>
            </w:r>
          </w:p>
        </w:tc>
        <w:tc>
          <w:tcPr>
            <w:tcW w:w="1050" w:type="dxa"/>
          </w:tcPr>
          <w:p w14:paraId="27018D6F" w14:textId="77777777" w:rsidR="009E6A02" w:rsidRPr="008019F8" w:rsidRDefault="009E6A02" w:rsidP="00BA3DD6">
            <w:pPr>
              <w:jc w:val="center"/>
              <w:rPr>
                <w:rFonts w:asciiTheme="minorHAnsi" w:hAnsiTheme="minorHAnsi" w:cstheme="minorHAnsi"/>
                <w:b/>
                <w:bCs/>
                <w:iCs/>
                <w:color w:val="000000" w:themeColor="text1"/>
                <w:sz w:val="18"/>
                <w:szCs w:val="18"/>
              </w:rPr>
            </w:pPr>
            <w:r>
              <w:rPr>
                <w:rFonts w:asciiTheme="minorHAnsi" w:hAnsiTheme="minorHAnsi"/>
                <w:b/>
                <w:color w:val="000000" w:themeColor="text1"/>
                <w:sz w:val="18"/>
              </w:rPr>
              <w:t>284</w:t>
            </w:r>
          </w:p>
        </w:tc>
      </w:tr>
      <w:tr w:rsidR="009E6A02" w:rsidRPr="008019F8" w14:paraId="30FC39C9" w14:textId="77777777" w:rsidTr="00BA3DD6">
        <w:tc>
          <w:tcPr>
            <w:tcW w:w="1048" w:type="dxa"/>
          </w:tcPr>
          <w:p w14:paraId="4B3D380E" w14:textId="77777777" w:rsidR="009E6A02" w:rsidRPr="008019F8" w:rsidRDefault="009E6A02" w:rsidP="00BA3DD6">
            <w:pPr>
              <w:rPr>
                <w:rFonts w:asciiTheme="minorHAnsi" w:hAnsiTheme="minorHAnsi" w:cstheme="minorHAnsi"/>
                <w:iCs/>
                <w:color w:val="000000" w:themeColor="text1"/>
                <w:sz w:val="18"/>
                <w:szCs w:val="18"/>
              </w:rPr>
            </w:pPr>
            <w:r>
              <w:rPr>
                <w:rFonts w:asciiTheme="minorHAnsi" w:hAnsiTheme="minorHAnsi"/>
                <w:color w:val="000000" w:themeColor="text1"/>
                <w:sz w:val="18"/>
              </w:rPr>
              <w:t>Organofosforados y carbamatos</w:t>
            </w:r>
          </w:p>
        </w:tc>
        <w:tc>
          <w:tcPr>
            <w:tcW w:w="1249" w:type="dxa"/>
          </w:tcPr>
          <w:p w14:paraId="069C3EF1"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350</w:t>
            </w:r>
          </w:p>
        </w:tc>
        <w:tc>
          <w:tcPr>
            <w:tcW w:w="1249" w:type="dxa"/>
          </w:tcPr>
          <w:p w14:paraId="332757ED"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228</w:t>
            </w:r>
          </w:p>
        </w:tc>
        <w:tc>
          <w:tcPr>
            <w:tcW w:w="1249" w:type="dxa"/>
          </w:tcPr>
          <w:p w14:paraId="0764F7A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48</w:t>
            </w:r>
          </w:p>
        </w:tc>
        <w:tc>
          <w:tcPr>
            <w:tcW w:w="1249" w:type="dxa"/>
          </w:tcPr>
          <w:p w14:paraId="477E030F"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193</w:t>
            </w:r>
          </w:p>
        </w:tc>
        <w:tc>
          <w:tcPr>
            <w:tcW w:w="1128" w:type="dxa"/>
          </w:tcPr>
          <w:p w14:paraId="4848292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141</w:t>
            </w:r>
          </w:p>
        </w:tc>
        <w:tc>
          <w:tcPr>
            <w:tcW w:w="1128" w:type="dxa"/>
          </w:tcPr>
          <w:p w14:paraId="136044D8"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58</w:t>
            </w:r>
          </w:p>
        </w:tc>
        <w:tc>
          <w:tcPr>
            <w:tcW w:w="1050" w:type="dxa"/>
          </w:tcPr>
          <w:p w14:paraId="6F3DCD5C"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53</w:t>
            </w:r>
          </w:p>
        </w:tc>
      </w:tr>
      <w:tr w:rsidR="009E6A02" w:rsidRPr="008019F8" w14:paraId="66C68280" w14:textId="77777777" w:rsidTr="00BA3DD6">
        <w:tc>
          <w:tcPr>
            <w:tcW w:w="1048" w:type="dxa"/>
          </w:tcPr>
          <w:p w14:paraId="57419522" w14:textId="77777777" w:rsidR="009E6A02" w:rsidRPr="008019F8" w:rsidRDefault="009E6A02" w:rsidP="00BA3DD6">
            <w:pPr>
              <w:rPr>
                <w:rFonts w:asciiTheme="minorHAnsi" w:hAnsiTheme="minorHAnsi" w:cstheme="minorHAnsi"/>
                <w:iCs/>
                <w:color w:val="000000" w:themeColor="text1"/>
                <w:sz w:val="18"/>
                <w:szCs w:val="18"/>
              </w:rPr>
            </w:pPr>
            <w:r>
              <w:rPr>
                <w:rFonts w:asciiTheme="minorHAnsi" w:hAnsiTheme="minorHAnsi"/>
                <w:color w:val="000000" w:themeColor="text1"/>
                <w:sz w:val="18"/>
              </w:rPr>
              <w:t>Herbicidas y fungicidas</w:t>
            </w:r>
          </w:p>
        </w:tc>
        <w:tc>
          <w:tcPr>
            <w:tcW w:w="1249" w:type="dxa"/>
          </w:tcPr>
          <w:p w14:paraId="0A030D46"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261</w:t>
            </w:r>
          </w:p>
        </w:tc>
        <w:tc>
          <w:tcPr>
            <w:tcW w:w="1249" w:type="dxa"/>
          </w:tcPr>
          <w:p w14:paraId="3220FAB1"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214</w:t>
            </w:r>
          </w:p>
        </w:tc>
        <w:tc>
          <w:tcPr>
            <w:tcW w:w="1249" w:type="dxa"/>
          </w:tcPr>
          <w:p w14:paraId="363E1DFC"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34</w:t>
            </w:r>
          </w:p>
        </w:tc>
        <w:tc>
          <w:tcPr>
            <w:tcW w:w="1249" w:type="dxa"/>
          </w:tcPr>
          <w:p w14:paraId="0811238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128</w:t>
            </w:r>
          </w:p>
        </w:tc>
        <w:tc>
          <w:tcPr>
            <w:tcW w:w="1128" w:type="dxa"/>
          </w:tcPr>
          <w:p w14:paraId="148D3A8E" w14:textId="77777777" w:rsidR="009E6A02" w:rsidRPr="008019F8" w:rsidRDefault="009E6A02" w:rsidP="00BA3DD6">
            <w:pPr>
              <w:jc w:val="center"/>
              <w:rPr>
                <w:rFonts w:asciiTheme="minorHAnsi" w:hAnsiTheme="minorHAnsi" w:cstheme="minorHAnsi"/>
                <w:sz w:val="18"/>
                <w:szCs w:val="18"/>
              </w:rPr>
            </w:pPr>
            <w:r>
              <w:rPr>
                <w:rFonts w:asciiTheme="minorHAnsi" w:hAnsiTheme="minorHAnsi"/>
                <w:sz w:val="18"/>
              </w:rPr>
              <w:t>138</w:t>
            </w:r>
          </w:p>
        </w:tc>
        <w:tc>
          <w:tcPr>
            <w:tcW w:w="1128" w:type="dxa"/>
          </w:tcPr>
          <w:p w14:paraId="090C0FC3"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102</w:t>
            </w:r>
          </w:p>
        </w:tc>
        <w:tc>
          <w:tcPr>
            <w:tcW w:w="1050" w:type="dxa"/>
          </w:tcPr>
          <w:p w14:paraId="2EC56BD4"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162</w:t>
            </w:r>
          </w:p>
        </w:tc>
      </w:tr>
      <w:tr w:rsidR="009E6A02" w:rsidRPr="008019F8" w14:paraId="75BB45C9" w14:textId="77777777" w:rsidTr="00BA3DD6">
        <w:tc>
          <w:tcPr>
            <w:tcW w:w="1048" w:type="dxa"/>
          </w:tcPr>
          <w:p w14:paraId="68894436" w14:textId="77777777" w:rsidR="009E6A02" w:rsidRPr="008019F8" w:rsidRDefault="009E6A02" w:rsidP="00BA3DD6">
            <w:pPr>
              <w:rPr>
                <w:rFonts w:asciiTheme="minorHAnsi" w:hAnsiTheme="minorHAnsi" w:cstheme="minorHAnsi"/>
                <w:iCs/>
                <w:color w:val="000000" w:themeColor="text1"/>
                <w:sz w:val="18"/>
                <w:szCs w:val="18"/>
              </w:rPr>
            </w:pPr>
            <w:r>
              <w:rPr>
                <w:rFonts w:asciiTheme="minorHAnsi" w:hAnsiTheme="minorHAnsi"/>
                <w:color w:val="000000" w:themeColor="text1"/>
                <w:sz w:val="18"/>
              </w:rPr>
              <w:t>Insecticidas (piretroides)</w:t>
            </w:r>
          </w:p>
        </w:tc>
        <w:tc>
          <w:tcPr>
            <w:tcW w:w="1249" w:type="dxa"/>
          </w:tcPr>
          <w:p w14:paraId="750AB20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116</w:t>
            </w:r>
          </w:p>
        </w:tc>
        <w:tc>
          <w:tcPr>
            <w:tcW w:w="1249" w:type="dxa"/>
          </w:tcPr>
          <w:p w14:paraId="365D3573"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99</w:t>
            </w:r>
          </w:p>
        </w:tc>
        <w:tc>
          <w:tcPr>
            <w:tcW w:w="1249" w:type="dxa"/>
          </w:tcPr>
          <w:p w14:paraId="30D85485"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23</w:t>
            </w:r>
          </w:p>
        </w:tc>
        <w:tc>
          <w:tcPr>
            <w:tcW w:w="1249" w:type="dxa"/>
          </w:tcPr>
          <w:p w14:paraId="762F40B0"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43</w:t>
            </w:r>
          </w:p>
        </w:tc>
        <w:tc>
          <w:tcPr>
            <w:tcW w:w="1128" w:type="dxa"/>
          </w:tcPr>
          <w:p w14:paraId="0DD19FFE"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83</w:t>
            </w:r>
          </w:p>
        </w:tc>
        <w:tc>
          <w:tcPr>
            <w:tcW w:w="1128" w:type="dxa"/>
          </w:tcPr>
          <w:p w14:paraId="3DF39716"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31</w:t>
            </w:r>
          </w:p>
        </w:tc>
        <w:tc>
          <w:tcPr>
            <w:tcW w:w="1050" w:type="dxa"/>
          </w:tcPr>
          <w:p w14:paraId="44F7E93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34</w:t>
            </w:r>
          </w:p>
        </w:tc>
      </w:tr>
      <w:tr w:rsidR="009E6A02" w:rsidRPr="008019F8" w14:paraId="2A8EA61D" w14:textId="77777777" w:rsidTr="00356C93">
        <w:trPr>
          <w:trHeight w:val="388"/>
        </w:trPr>
        <w:tc>
          <w:tcPr>
            <w:tcW w:w="1048" w:type="dxa"/>
          </w:tcPr>
          <w:p w14:paraId="2C71298E" w14:textId="77777777" w:rsidR="009E6A02" w:rsidRPr="008019F8" w:rsidRDefault="009E6A02" w:rsidP="00BA3DD6">
            <w:pPr>
              <w:rPr>
                <w:rFonts w:asciiTheme="minorHAnsi" w:hAnsiTheme="minorHAnsi" w:cstheme="minorHAnsi"/>
                <w:iCs/>
                <w:color w:val="000000" w:themeColor="text1"/>
                <w:sz w:val="18"/>
                <w:szCs w:val="18"/>
              </w:rPr>
            </w:pPr>
            <w:r>
              <w:rPr>
                <w:rFonts w:asciiTheme="minorHAnsi" w:hAnsiTheme="minorHAnsi"/>
                <w:color w:val="000000" w:themeColor="text1"/>
                <w:sz w:val="18"/>
              </w:rPr>
              <w:t>Halogenados</w:t>
            </w:r>
          </w:p>
        </w:tc>
        <w:tc>
          <w:tcPr>
            <w:tcW w:w="1249" w:type="dxa"/>
          </w:tcPr>
          <w:p w14:paraId="0C53F80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35</w:t>
            </w:r>
          </w:p>
        </w:tc>
        <w:tc>
          <w:tcPr>
            <w:tcW w:w="1249" w:type="dxa"/>
          </w:tcPr>
          <w:p w14:paraId="0C5F6E1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40</w:t>
            </w:r>
          </w:p>
        </w:tc>
        <w:tc>
          <w:tcPr>
            <w:tcW w:w="1249" w:type="dxa"/>
          </w:tcPr>
          <w:p w14:paraId="440FA673"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10</w:t>
            </w:r>
          </w:p>
        </w:tc>
        <w:tc>
          <w:tcPr>
            <w:tcW w:w="1249" w:type="dxa"/>
          </w:tcPr>
          <w:p w14:paraId="27715CCD"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26</w:t>
            </w:r>
          </w:p>
        </w:tc>
        <w:tc>
          <w:tcPr>
            <w:tcW w:w="1128" w:type="dxa"/>
          </w:tcPr>
          <w:p w14:paraId="4301E1D7"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23</w:t>
            </w:r>
          </w:p>
        </w:tc>
        <w:tc>
          <w:tcPr>
            <w:tcW w:w="1128" w:type="dxa"/>
          </w:tcPr>
          <w:p w14:paraId="3A41C5E1"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17</w:t>
            </w:r>
          </w:p>
        </w:tc>
        <w:tc>
          <w:tcPr>
            <w:tcW w:w="1050" w:type="dxa"/>
          </w:tcPr>
          <w:p w14:paraId="08511B3D"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14</w:t>
            </w:r>
          </w:p>
        </w:tc>
      </w:tr>
      <w:tr w:rsidR="009E6A02" w:rsidRPr="008019F8" w14:paraId="13971853" w14:textId="77777777" w:rsidTr="00356C93">
        <w:trPr>
          <w:trHeight w:val="307"/>
        </w:trPr>
        <w:tc>
          <w:tcPr>
            <w:tcW w:w="1048" w:type="dxa"/>
          </w:tcPr>
          <w:p w14:paraId="3D876DCB" w14:textId="77777777" w:rsidR="009E6A02" w:rsidRPr="008019F8" w:rsidRDefault="009E6A02" w:rsidP="00BA3DD6">
            <w:pPr>
              <w:rPr>
                <w:rFonts w:asciiTheme="minorHAnsi" w:hAnsiTheme="minorHAnsi" w:cstheme="minorHAnsi"/>
                <w:iCs/>
                <w:color w:val="000000" w:themeColor="text1"/>
                <w:sz w:val="18"/>
                <w:szCs w:val="18"/>
              </w:rPr>
            </w:pPr>
            <w:r>
              <w:rPr>
                <w:rFonts w:asciiTheme="minorHAnsi" w:hAnsiTheme="minorHAnsi"/>
                <w:color w:val="000000" w:themeColor="text1"/>
                <w:sz w:val="18"/>
              </w:rPr>
              <w:t>Raticidas</w:t>
            </w:r>
          </w:p>
        </w:tc>
        <w:tc>
          <w:tcPr>
            <w:tcW w:w="1249" w:type="dxa"/>
          </w:tcPr>
          <w:p w14:paraId="0F8BD49F"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20</w:t>
            </w:r>
          </w:p>
        </w:tc>
        <w:tc>
          <w:tcPr>
            <w:tcW w:w="1249" w:type="dxa"/>
          </w:tcPr>
          <w:p w14:paraId="0268A35E"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39</w:t>
            </w:r>
          </w:p>
        </w:tc>
        <w:tc>
          <w:tcPr>
            <w:tcW w:w="1249" w:type="dxa"/>
          </w:tcPr>
          <w:p w14:paraId="03500B31"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4</w:t>
            </w:r>
          </w:p>
        </w:tc>
        <w:tc>
          <w:tcPr>
            <w:tcW w:w="1249" w:type="dxa"/>
          </w:tcPr>
          <w:p w14:paraId="30CA1991"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19</w:t>
            </w:r>
          </w:p>
        </w:tc>
        <w:tc>
          <w:tcPr>
            <w:tcW w:w="1128" w:type="dxa"/>
          </w:tcPr>
          <w:p w14:paraId="54439414"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25</w:t>
            </w:r>
          </w:p>
        </w:tc>
        <w:tc>
          <w:tcPr>
            <w:tcW w:w="1128" w:type="dxa"/>
          </w:tcPr>
          <w:p w14:paraId="3F94B59B"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8</w:t>
            </w:r>
          </w:p>
        </w:tc>
        <w:tc>
          <w:tcPr>
            <w:tcW w:w="1050" w:type="dxa"/>
          </w:tcPr>
          <w:p w14:paraId="4707DC31" w14:textId="77777777" w:rsidR="009E6A02" w:rsidRPr="008019F8" w:rsidRDefault="009E6A02" w:rsidP="00BA3DD6">
            <w:pPr>
              <w:jc w:val="center"/>
              <w:rPr>
                <w:rFonts w:asciiTheme="minorHAnsi" w:hAnsiTheme="minorHAnsi" w:cstheme="minorHAnsi"/>
                <w:iCs/>
                <w:color w:val="000000" w:themeColor="text1"/>
                <w:sz w:val="18"/>
                <w:szCs w:val="18"/>
              </w:rPr>
            </w:pPr>
            <w:r>
              <w:rPr>
                <w:rFonts w:asciiTheme="minorHAnsi" w:hAnsiTheme="minorHAnsi"/>
                <w:color w:val="000000" w:themeColor="text1"/>
                <w:sz w:val="18"/>
              </w:rPr>
              <w:t>21</w:t>
            </w:r>
          </w:p>
        </w:tc>
      </w:tr>
    </w:tbl>
    <w:p w14:paraId="5C991654" w14:textId="2E97C2B4" w:rsidR="009E6A02" w:rsidRPr="009E6A02" w:rsidRDefault="009E6A02" w:rsidP="009E6A02">
      <w:pPr>
        <w:spacing w:after="120"/>
        <w:rPr>
          <w:rFonts w:ascii="Calibri" w:hAnsi="Calibri" w:cs="Calibri"/>
          <w:iCs/>
          <w:color w:val="000000" w:themeColor="text1"/>
          <w:sz w:val="20"/>
          <w:szCs w:val="20"/>
        </w:rPr>
      </w:pPr>
      <w:r>
        <w:rPr>
          <w:rFonts w:ascii="Calibri" w:hAnsi="Calibri"/>
          <w:color w:val="000000" w:themeColor="text1"/>
          <w:sz w:val="20"/>
        </w:rPr>
        <w:t xml:space="preserve">Fuente: Sistema de </w:t>
      </w:r>
      <w:r w:rsidR="00F0204F">
        <w:rPr>
          <w:rFonts w:ascii="Calibri" w:hAnsi="Calibri"/>
          <w:color w:val="000000" w:themeColor="text1"/>
          <w:sz w:val="20"/>
        </w:rPr>
        <w:t>V</w:t>
      </w:r>
      <w:r>
        <w:rPr>
          <w:rFonts w:ascii="Calibri" w:hAnsi="Calibri"/>
          <w:color w:val="000000" w:themeColor="text1"/>
          <w:sz w:val="20"/>
        </w:rPr>
        <w:t xml:space="preserve">igilancia </w:t>
      </w:r>
      <w:r w:rsidR="00F0204F">
        <w:rPr>
          <w:rFonts w:ascii="Calibri" w:hAnsi="Calibri"/>
          <w:color w:val="000000" w:themeColor="text1"/>
          <w:sz w:val="20"/>
        </w:rPr>
        <w:t>E</w:t>
      </w:r>
      <w:r>
        <w:rPr>
          <w:rFonts w:ascii="Calibri" w:hAnsi="Calibri"/>
          <w:color w:val="000000" w:themeColor="text1"/>
          <w:sz w:val="20"/>
        </w:rPr>
        <w:t>pidemiológica</w:t>
      </w:r>
    </w:p>
    <w:p w14:paraId="3513390D" w14:textId="5483B4DB" w:rsidR="004553CF" w:rsidRDefault="00AF3B0E" w:rsidP="00903E2E">
      <w:pPr>
        <w:spacing w:after="120"/>
        <w:jc w:val="both"/>
        <w:rPr>
          <w:rFonts w:ascii="Calibri" w:hAnsi="Calibri" w:cs="Calibri"/>
          <w:iCs/>
          <w:sz w:val="20"/>
          <w:szCs w:val="20"/>
        </w:rPr>
      </w:pPr>
      <w:r>
        <w:rPr>
          <w:rFonts w:ascii="Calibri" w:hAnsi="Calibri"/>
          <w:sz w:val="20"/>
        </w:rPr>
        <w:t xml:space="preserve">En cuanto a las </w:t>
      </w:r>
      <w:r w:rsidR="00257A99">
        <w:rPr>
          <w:rFonts w:ascii="Calibri" w:hAnsi="Calibri"/>
          <w:sz w:val="20"/>
        </w:rPr>
        <w:t>cantidades almacenadas</w:t>
      </w:r>
      <w:r>
        <w:rPr>
          <w:rFonts w:ascii="Calibri" w:hAnsi="Calibri"/>
          <w:sz w:val="20"/>
        </w:rPr>
        <w:t xml:space="preserve"> de pesticidas en el territorio, el proyecto PNUD/FMAM "Programa Nacional para la </w:t>
      </w:r>
      <w:r>
        <w:rPr>
          <w:rFonts w:ascii="Calibri" w:hAnsi="Calibri"/>
          <w:color w:val="000000" w:themeColor="text1"/>
          <w:sz w:val="20"/>
        </w:rPr>
        <w:t>Gestión Ambientalmente</w:t>
      </w:r>
      <w:r>
        <w:rPr>
          <w:rFonts w:ascii="Calibri" w:hAnsi="Calibri"/>
          <w:sz w:val="20"/>
        </w:rPr>
        <w:t xml:space="preserve"> Adecuada </w:t>
      </w:r>
      <w:r>
        <w:rPr>
          <w:rFonts w:ascii="Calibri" w:hAnsi="Calibri"/>
          <w:color w:val="000000" w:themeColor="text1"/>
          <w:sz w:val="20"/>
        </w:rPr>
        <w:t>de Sustancias Químicas en su Ciclo de Vida (PNGQ)" ha actualizado el inventario nacional de pesticidas obsoletos, con un total de 77,88 toneladas en almacenes privados, instituciones públicas y empresas privadas. Del total, 3,3 toneladas corresponden a PAPs. Es relevante destacar que el Ministerio de Salud Pública también ha informado de la existencia de 1,7 toneladas de DDT, pero debido a las malas condiciones de almacenamiento, esta cantidad asciende a 58 toneladas de residuos contaminados con DDT almacenados en una bodega de la ex Secretaría de Erradicación de la Malaria (SNEM) en Guayaquil.</w:t>
      </w:r>
    </w:p>
    <w:p w14:paraId="252F75C2" w14:textId="427E555B" w:rsidR="00D14FB1" w:rsidRPr="007616EC" w:rsidRDefault="007616EC" w:rsidP="007616EC">
      <w:pPr>
        <w:pStyle w:val="Descripcin"/>
        <w:rPr>
          <w:rFonts w:asciiTheme="minorHAnsi" w:hAnsiTheme="minorHAnsi" w:cstheme="minorHAnsi"/>
          <w:iCs/>
          <w:sz w:val="18"/>
          <w:szCs w:val="18"/>
        </w:rPr>
      </w:pPr>
      <w:bookmarkStart w:id="15" w:name="_Toc114650457"/>
      <w:r>
        <w:rPr>
          <w:rFonts w:asciiTheme="minorHAnsi" w:hAnsiTheme="minorHAnsi"/>
          <w:sz w:val="18"/>
        </w:rPr>
        <w:t xml:space="preserve">Tabla </w:t>
      </w:r>
      <w:r w:rsidRPr="007616EC">
        <w:rPr>
          <w:rFonts w:asciiTheme="minorHAnsi" w:hAnsiTheme="minorHAnsi" w:cstheme="minorHAnsi"/>
          <w:sz w:val="18"/>
        </w:rPr>
        <w:fldChar w:fldCharType="begin"/>
      </w:r>
      <w:r w:rsidRPr="007616EC">
        <w:rPr>
          <w:rFonts w:asciiTheme="minorHAnsi" w:hAnsiTheme="minorHAnsi" w:cstheme="minorHAnsi"/>
          <w:sz w:val="18"/>
        </w:rPr>
        <w:instrText xml:space="preserve"> SEQ Table \* ARABIC </w:instrText>
      </w:r>
      <w:r w:rsidRPr="007616EC">
        <w:rPr>
          <w:rFonts w:asciiTheme="minorHAnsi" w:hAnsiTheme="minorHAnsi" w:cstheme="minorHAnsi"/>
          <w:sz w:val="18"/>
        </w:rPr>
        <w:fldChar w:fldCharType="separate"/>
      </w:r>
      <w:r w:rsidR="004D0AC8">
        <w:rPr>
          <w:rFonts w:asciiTheme="minorHAnsi" w:hAnsiTheme="minorHAnsi" w:cstheme="minorHAnsi"/>
          <w:noProof/>
          <w:sz w:val="18"/>
        </w:rPr>
        <w:t>7</w:t>
      </w:r>
      <w:r w:rsidRPr="007616EC">
        <w:rPr>
          <w:rFonts w:asciiTheme="minorHAnsi" w:hAnsiTheme="minorHAnsi" w:cstheme="minorHAnsi"/>
          <w:sz w:val="18"/>
        </w:rPr>
        <w:fldChar w:fldCharType="end"/>
      </w:r>
      <w:r>
        <w:rPr>
          <w:rFonts w:asciiTheme="minorHAnsi" w:hAnsiTheme="minorHAnsi"/>
          <w:sz w:val="18"/>
        </w:rPr>
        <w:t>: Inventario de plaguicidas obsoletos</w:t>
      </w:r>
      <w:bookmarkEnd w:id="15"/>
    </w:p>
    <w:tbl>
      <w:tblPr>
        <w:tblStyle w:val="Tablaconcuadrcula"/>
        <w:tblW w:w="0" w:type="auto"/>
        <w:tblLook w:val="04A0" w:firstRow="1" w:lastRow="0" w:firstColumn="1" w:lastColumn="0" w:noHBand="0" w:noVBand="1"/>
      </w:tblPr>
      <w:tblGrid>
        <w:gridCol w:w="1516"/>
        <w:gridCol w:w="1461"/>
        <w:gridCol w:w="1523"/>
        <w:gridCol w:w="1511"/>
        <w:gridCol w:w="3339"/>
      </w:tblGrid>
      <w:tr w:rsidR="00ED16FB" w:rsidRPr="00ED16FB" w14:paraId="4E99E74C" w14:textId="7E84C755" w:rsidTr="00DB1AC6">
        <w:tc>
          <w:tcPr>
            <w:tcW w:w="1555" w:type="dxa"/>
          </w:tcPr>
          <w:p w14:paraId="48F47201" w14:textId="77777777" w:rsidR="00ED16FB" w:rsidRPr="00CF3B90" w:rsidRDefault="00ED16FB" w:rsidP="005845A1">
            <w:pPr>
              <w:jc w:val="both"/>
              <w:rPr>
                <w:rFonts w:ascii="Calibri" w:hAnsi="Calibri" w:cs="Calibri"/>
                <w:iCs/>
                <w:sz w:val="18"/>
                <w:szCs w:val="18"/>
              </w:rPr>
            </w:pPr>
          </w:p>
        </w:tc>
        <w:tc>
          <w:tcPr>
            <w:tcW w:w="1134" w:type="dxa"/>
            <w:vAlign w:val="center"/>
          </w:tcPr>
          <w:p w14:paraId="64C66195" w14:textId="7BFBFA2B" w:rsidR="00ED16FB" w:rsidRPr="00ED16FB" w:rsidRDefault="00ED16FB" w:rsidP="00043A23">
            <w:pPr>
              <w:jc w:val="center"/>
              <w:rPr>
                <w:rFonts w:ascii="Calibri" w:hAnsi="Calibri" w:cs="Calibri"/>
                <w:iCs/>
                <w:sz w:val="18"/>
                <w:szCs w:val="18"/>
              </w:rPr>
            </w:pPr>
            <w:r>
              <w:rPr>
                <w:rFonts w:ascii="Calibri" w:hAnsi="Calibri"/>
                <w:sz w:val="18"/>
              </w:rPr>
              <w:t># Nº de establecimientos inventariados</w:t>
            </w:r>
          </w:p>
        </w:tc>
        <w:tc>
          <w:tcPr>
            <w:tcW w:w="1559" w:type="dxa"/>
            <w:vAlign w:val="center"/>
          </w:tcPr>
          <w:p w14:paraId="299A8D70" w14:textId="1AB106D9" w:rsidR="00ED16FB" w:rsidRPr="00ED16FB" w:rsidRDefault="00ED16FB" w:rsidP="00043A23">
            <w:pPr>
              <w:jc w:val="center"/>
              <w:rPr>
                <w:rFonts w:ascii="Calibri" w:hAnsi="Calibri" w:cs="Calibri"/>
                <w:iCs/>
                <w:sz w:val="18"/>
                <w:szCs w:val="18"/>
              </w:rPr>
            </w:pPr>
            <w:r>
              <w:rPr>
                <w:rFonts w:ascii="Calibri" w:hAnsi="Calibri"/>
                <w:sz w:val="18"/>
              </w:rPr>
              <w:t># con plaguicidas obsoletos almacenados</w:t>
            </w:r>
          </w:p>
        </w:tc>
        <w:tc>
          <w:tcPr>
            <w:tcW w:w="1559" w:type="dxa"/>
            <w:vAlign w:val="center"/>
          </w:tcPr>
          <w:p w14:paraId="2930C247" w14:textId="72A45399" w:rsidR="00ED16FB" w:rsidRPr="00ED16FB" w:rsidRDefault="00ED16FB" w:rsidP="00043A23">
            <w:pPr>
              <w:jc w:val="center"/>
              <w:rPr>
                <w:rFonts w:ascii="Calibri" w:hAnsi="Calibri" w:cs="Calibri"/>
                <w:iCs/>
                <w:sz w:val="18"/>
                <w:szCs w:val="18"/>
              </w:rPr>
            </w:pPr>
            <w:r>
              <w:rPr>
                <w:rFonts w:ascii="Calibri" w:hAnsi="Calibri"/>
                <w:sz w:val="18"/>
              </w:rPr>
              <w:t>Toneladas de pesticidas obsoletos</w:t>
            </w:r>
            <w:r w:rsidR="00765424">
              <w:rPr>
                <w:rStyle w:val="Refdenotaalpie"/>
                <w:rFonts w:cs="Calibri"/>
                <w:iCs/>
                <w:szCs w:val="18"/>
                <w:lang w:val="en-US"/>
              </w:rPr>
              <w:footnoteReference w:id="13"/>
            </w:r>
          </w:p>
        </w:tc>
        <w:tc>
          <w:tcPr>
            <w:tcW w:w="3402" w:type="dxa"/>
          </w:tcPr>
          <w:p w14:paraId="47B7FBE0" w14:textId="17197FA4" w:rsidR="00ED16FB" w:rsidRPr="00ED16FB" w:rsidRDefault="00ED16FB" w:rsidP="005845A1">
            <w:pPr>
              <w:jc w:val="both"/>
              <w:rPr>
                <w:rFonts w:ascii="Calibri" w:hAnsi="Calibri" w:cs="Calibri"/>
                <w:iCs/>
                <w:sz w:val="18"/>
                <w:szCs w:val="18"/>
              </w:rPr>
            </w:pPr>
            <w:r>
              <w:rPr>
                <w:rFonts w:ascii="Calibri" w:hAnsi="Calibri"/>
                <w:sz w:val="18"/>
              </w:rPr>
              <w:t>Categoría Toxicológica</w:t>
            </w:r>
          </w:p>
        </w:tc>
      </w:tr>
      <w:tr w:rsidR="00ED16FB" w:rsidRPr="001B17BF" w14:paraId="00800098" w14:textId="1D496C71" w:rsidTr="00DB1AC6">
        <w:tc>
          <w:tcPr>
            <w:tcW w:w="1555" w:type="dxa"/>
            <w:vMerge w:val="restart"/>
            <w:vAlign w:val="center"/>
          </w:tcPr>
          <w:p w14:paraId="014B2FB8" w14:textId="01FAC845" w:rsidR="00ED16FB" w:rsidRPr="00ED16FB" w:rsidRDefault="00ED16FB" w:rsidP="007B1283">
            <w:pPr>
              <w:rPr>
                <w:rFonts w:ascii="Calibri" w:hAnsi="Calibri" w:cs="Calibri"/>
                <w:iCs/>
                <w:sz w:val="18"/>
                <w:szCs w:val="18"/>
              </w:rPr>
            </w:pPr>
            <w:r>
              <w:rPr>
                <w:rFonts w:ascii="Calibri" w:hAnsi="Calibri"/>
                <w:sz w:val="18"/>
              </w:rPr>
              <w:t>Bodegas</w:t>
            </w:r>
          </w:p>
        </w:tc>
        <w:tc>
          <w:tcPr>
            <w:tcW w:w="1134" w:type="dxa"/>
            <w:vMerge w:val="restart"/>
            <w:vAlign w:val="center"/>
          </w:tcPr>
          <w:p w14:paraId="3C7268E8" w14:textId="5EDCA5A7" w:rsidR="00ED16FB" w:rsidRPr="00ED16FB" w:rsidRDefault="00ED16FB" w:rsidP="00406FBB">
            <w:pPr>
              <w:jc w:val="center"/>
              <w:rPr>
                <w:rFonts w:ascii="Calibri" w:hAnsi="Calibri" w:cs="Calibri"/>
                <w:iCs/>
                <w:sz w:val="18"/>
                <w:szCs w:val="18"/>
              </w:rPr>
            </w:pPr>
            <w:r>
              <w:rPr>
                <w:rFonts w:ascii="Calibri" w:hAnsi="Calibri"/>
                <w:sz w:val="18"/>
              </w:rPr>
              <w:t>1.772</w:t>
            </w:r>
          </w:p>
        </w:tc>
        <w:tc>
          <w:tcPr>
            <w:tcW w:w="1559" w:type="dxa"/>
            <w:vMerge w:val="restart"/>
            <w:vAlign w:val="center"/>
          </w:tcPr>
          <w:p w14:paraId="0C2F5591" w14:textId="233C3DC4" w:rsidR="00ED16FB" w:rsidRPr="00ED16FB" w:rsidRDefault="00ED16FB" w:rsidP="00406FBB">
            <w:pPr>
              <w:jc w:val="center"/>
              <w:rPr>
                <w:rFonts w:ascii="Calibri" w:hAnsi="Calibri" w:cs="Calibri"/>
                <w:iCs/>
                <w:sz w:val="18"/>
                <w:szCs w:val="18"/>
              </w:rPr>
            </w:pPr>
            <w:r>
              <w:rPr>
                <w:rFonts w:ascii="Calibri" w:hAnsi="Calibri"/>
                <w:sz w:val="18"/>
              </w:rPr>
              <w:t>177</w:t>
            </w:r>
          </w:p>
        </w:tc>
        <w:tc>
          <w:tcPr>
            <w:tcW w:w="1559" w:type="dxa"/>
            <w:vMerge w:val="restart"/>
            <w:vAlign w:val="center"/>
          </w:tcPr>
          <w:p w14:paraId="0EF24CFB" w14:textId="59759802" w:rsidR="00ED16FB" w:rsidRPr="00ED16FB" w:rsidRDefault="00ED16FB" w:rsidP="00406FBB">
            <w:pPr>
              <w:jc w:val="center"/>
              <w:rPr>
                <w:rFonts w:ascii="Calibri" w:hAnsi="Calibri" w:cs="Calibri"/>
                <w:iCs/>
                <w:sz w:val="18"/>
                <w:szCs w:val="18"/>
              </w:rPr>
            </w:pPr>
            <w:r>
              <w:rPr>
                <w:rFonts w:ascii="Calibri" w:hAnsi="Calibri"/>
                <w:sz w:val="18"/>
              </w:rPr>
              <w:t>2,04</w:t>
            </w:r>
          </w:p>
        </w:tc>
        <w:tc>
          <w:tcPr>
            <w:tcW w:w="3402" w:type="dxa"/>
          </w:tcPr>
          <w:p w14:paraId="4618B2DA" w14:textId="48D92CC9" w:rsidR="00ED16FB" w:rsidRPr="00ED16FB" w:rsidRDefault="00ED16FB" w:rsidP="005845A1">
            <w:pPr>
              <w:jc w:val="both"/>
              <w:rPr>
                <w:rFonts w:ascii="Calibri" w:hAnsi="Calibri" w:cs="Calibri"/>
                <w:iCs/>
                <w:sz w:val="18"/>
                <w:szCs w:val="18"/>
              </w:rPr>
            </w:pPr>
            <w:r>
              <w:rPr>
                <w:rFonts w:asciiTheme="minorHAnsi" w:hAnsiTheme="minorHAnsi"/>
                <w:sz w:val="18"/>
              </w:rPr>
              <w:t>5% Extremadamente/altamente peligroso (1a-1b)</w:t>
            </w:r>
          </w:p>
        </w:tc>
      </w:tr>
      <w:tr w:rsidR="00ED16FB" w:rsidRPr="00ED16FB" w14:paraId="19B59691" w14:textId="77777777" w:rsidTr="00DB1AC6">
        <w:tc>
          <w:tcPr>
            <w:tcW w:w="1555" w:type="dxa"/>
            <w:vMerge/>
            <w:vAlign w:val="center"/>
          </w:tcPr>
          <w:p w14:paraId="307E24BA" w14:textId="77777777" w:rsidR="00ED16FB" w:rsidRPr="002152FE" w:rsidRDefault="00ED16FB" w:rsidP="007B1283">
            <w:pPr>
              <w:rPr>
                <w:rFonts w:ascii="Calibri" w:hAnsi="Calibri" w:cs="Calibri"/>
                <w:iCs/>
                <w:sz w:val="18"/>
                <w:szCs w:val="18"/>
                <w:lang w:val="es-EC"/>
              </w:rPr>
            </w:pPr>
          </w:p>
        </w:tc>
        <w:tc>
          <w:tcPr>
            <w:tcW w:w="1134" w:type="dxa"/>
            <w:vMerge/>
            <w:vAlign w:val="center"/>
          </w:tcPr>
          <w:p w14:paraId="7253B7D4" w14:textId="77777777" w:rsidR="00ED16FB" w:rsidRPr="002152FE" w:rsidRDefault="00ED16FB" w:rsidP="00406FBB">
            <w:pPr>
              <w:jc w:val="center"/>
              <w:rPr>
                <w:rFonts w:ascii="Calibri" w:hAnsi="Calibri" w:cs="Calibri"/>
                <w:iCs/>
                <w:sz w:val="18"/>
                <w:szCs w:val="18"/>
                <w:lang w:val="es-EC"/>
              </w:rPr>
            </w:pPr>
          </w:p>
        </w:tc>
        <w:tc>
          <w:tcPr>
            <w:tcW w:w="1559" w:type="dxa"/>
            <w:vMerge/>
            <w:vAlign w:val="center"/>
          </w:tcPr>
          <w:p w14:paraId="10C02C11" w14:textId="77777777" w:rsidR="00ED16FB" w:rsidRPr="002152FE" w:rsidRDefault="00ED16FB" w:rsidP="00406FBB">
            <w:pPr>
              <w:jc w:val="center"/>
              <w:rPr>
                <w:rFonts w:ascii="Calibri" w:hAnsi="Calibri" w:cs="Calibri"/>
                <w:iCs/>
                <w:sz w:val="18"/>
                <w:szCs w:val="18"/>
                <w:lang w:val="es-EC"/>
              </w:rPr>
            </w:pPr>
          </w:p>
        </w:tc>
        <w:tc>
          <w:tcPr>
            <w:tcW w:w="1559" w:type="dxa"/>
            <w:vMerge/>
            <w:vAlign w:val="center"/>
          </w:tcPr>
          <w:p w14:paraId="376738F4" w14:textId="77777777" w:rsidR="00ED16FB" w:rsidRPr="002152FE" w:rsidRDefault="00ED16FB" w:rsidP="00406FBB">
            <w:pPr>
              <w:jc w:val="center"/>
              <w:rPr>
                <w:rFonts w:ascii="Calibri" w:hAnsi="Calibri" w:cs="Calibri"/>
                <w:iCs/>
                <w:sz w:val="18"/>
                <w:szCs w:val="18"/>
                <w:lang w:val="es-EC"/>
              </w:rPr>
            </w:pPr>
          </w:p>
        </w:tc>
        <w:tc>
          <w:tcPr>
            <w:tcW w:w="3402" w:type="dxa"/>
          </w:tcPr>
          <w:p w14:paraId="0E00CC00" w14:textId="54FEE7C3" w:rsidR="00ED16FB" w:rsidRPr="00ED16FB" w:rsidRDefault="00ED16FB" w:rsidP="00582901">
            <w:pPr>
              <w:jc w:val="both"/>
              <w:rPr>
                <w:rFonts w:ascii="Calibri" w:hAnsi="Calibri" w:cs="Calibri"/>
                <w:iCs/>
                <w:sz w:val="18"/>
                <w:szCs w:val="18"/>
              </w:rPr>
            </w:pPr>
            <w:r>
              <w:rPr>
                <w:rFonts w:asciiTheme="minorHAnsi" w:hAnsiTheme="minorHAnsi"/>
                <w:sz w:val="18"/>
              </w:rPr>
              <w:t>32% Moderadamente peligroso</w:t>
            </w:r>
          </w:p>
        </w:tc>
      </w:tr>
      <w:tr w:rsidR="00ED16FB" w:rsidRPr="00ED16FB" w14:paraId="57A158CE" w14:textId="77777777" w:rsidTr="00DB1AC6">
        <w:tc>
          <w:tcPr>
            <w:tcW w:w="1555" w:type="dxa"/>
            <w:vMerge/>
            <w:vAlign w:val="center"/>
          </w:tcPr>
          <w:p w14:paraId="787ED5EF" w14:textId="77777777" w:rsidR="00ED16FB" w:rsidRPr="00ED16FB" w:rsidRDefault="00ED16FB" w:rsidP="007B1283">
            <w:pPr>
              <w:rPr>
                <w:rFonts w:ascii="Calibri" w:hAnsi="Calibri" w:cs="Calibri"/>
                <w:iCs/>
                <w:sz w:val="18"/>
                <w:szCs w:val="18"/>
                <w:lang w:val="en-US"/>
              </w:rPr>
            </w:pPr>
          </w:p>
        </w:tc>
        <w:tc>
          <w:tcPr>
            <w:tcW w:w="1134" w:type="dxa"/>
            <w:vMerge/>
            <w:vAlign w:val="center"/>
          </w:tcPr>
          <w:p w14:paraId="34E21ED9"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61C62965"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0A2EFB3C" w14:textId="77777777" w:rsidR="00ED16FB" w:rsidRPr="00ED16FB" w:rsidRDefault="00ED16FB" w:rsidP="00406FBB">
            <w:pPr>
              <w:jc w:val="center"/>
              <w:rPr>
                <w:rFonts w:ascii="Calibri" w:hAnsi="Calibri" w:cs="Calibri"/>
                <w:iCs/>
                <w:sz w:val="18"/>
                <w:szCs w:val="18"/>
                <w:lang w:val="en-US"/>
              </w:rPr>
            </w:pPr>
          </w:p>
        </w:tc>
        <w:tc>
          <w:tcPr>
            <w:tcW w:w="3402" w:type="dxa"/>
          </w:tcPr>
          <w:p w14:paraId="4768E3B8" w14:textId="2DFFB042" w:rsidR="00ED16FB" w:rsidRPr="00ED16FB" w:rsidRDefault="00ED16FB" w:rsidP="00582901">
            <w:pPr>
              <w:jc w:val="both"/>
              <w:rPr>
                <w:rFonts w:ascii="Calibri" w:hAnsi="Calibri" w:cs="Calibri"/>
                <w:iCs/>
                <w:sz w:val="18"/>
                <w:szCs w:val="18"/>
              </w:rPr>
            </w:pPr>
            <w:r>
              <w:rPr>
                <w:rFonts w:asciiTheme="minorHAnsi" w:hAnsiTheme="minorHAnsi"/>
                <w:sz w:val="18"/>
              </w:rPr>
              <w:t>44% Ligeramente peligroso</w:t>
            </w:r>
          </w:p>
        </w:tc>
      </w:tr>
      <w:tr w:rsidR="00ED16FB" w:rsidRPr="00ED16FB" w14:paraId="61106B30" w14:textId="77777777" w:rsidTr="00DB1AC6">
        <w:tc>
          <w:tcPr>
            <w:tcW w:w="1555" w:type="dxa"/>
            <w:vMerge/>
            <w:vAlign w:val="center"/>
          </w:tcPr>
          <w:p w14:paraId="2EE57649" w14:textId="77777777" w:rsidR="00ED16FB" w:rsidRPr="00ED16FB" w:rsidRDefault="00ED16FB" w:rsidP="007B1283">
            <w:pPr>
              <w:rPr>
                <w:rFonts w:ascii="Calibri" w:hAnsi="Calibri" w:cs="Calibri"/>
                <w:iCs/>
                <w:sz w:val="18"/>
                <w:szCs w:val="18"/>
                <w:lang w:val="en-US"/>
              </w:rPr>
            </w:pPr>
          </w:p>
        </w:tc>
        <w:tc>
          <w:tcPr>
            <w:tcW w:w="1134" w:type="dxa"/>
            <w:vMerge/>
            <w:vAlign w:val="center"/>
          </w:tcPr>
          <w:p w14:paraId="33F7A058"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3DCF10EF"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4BC966CF" w14:textId="77777777" w:rsidR="00ED16FB" w:rsidRPr="00ED16FB" w:rsidRDefault="00ED16FB" w:rsidP="00406FBB">
            <w:pPr>
              <w:jc w:val="center"/>
              <w:rPr>
                <w:rFonts w:ascii="Calibri" w:hAnsi="Calibri" w:cs="Calibri"/>
                <w:iCs/>
                <w:sz w:val="18"/>
                <w:szCs w:val="18"/>
                <w:lang w:val="en-US"/>
              </w:rPr>
            </w:pPr>
          </w:p>
        </w:tc>
        <w:tc>
          <w:tcPr>
            <w:tcW w:w="3402" w:type="dxa"/>
          </w:tcPr>
          <w:p w14:paraId="0879DFB4" w14:textId="5C8D6166" w:rsidR="00ED16FB" w:rsidRPr="00ED16FB" w:rsidRDefault="00ED16FB" w:rsidP="00582901">
            <w:pPr>
              <w:jc w:val="both"/>
              <w:rPr>
                <w:rFonts w:ascii="Calibri" w:hAnsi="Calibri" w:cs="Calibri"/>
                <w:iCs/>
                <w:sz w:val="18"/>
                <w:szCs w:val="18"/>
              </w:rPr>
            </w:pPr>
            <w:r>
              <w:rPr>
                <w:rFonts w:asciiTheme="minorHAnsi" w:hAnsiTheme="minorHAnsi"/>
                <w:sz w:val="18"/>
              </w:rPr>
              <w:t>19% Usualmente no peligroso</w:t>
            </w:r>
          </w:p>
        </w:tc>
      </w:tr>
      <w:tr w:rsidR="00ED16FB" w:rsidRPr="001B17BF" w14:paraId="2BCAF7D9" w14:textId="258BAD9A" w:rsidTr="00DB1AC6">
        <w:tc>
          <w:tcPr>
            <w:tcW w:w="1555" w:type="dxa"/>
            <w:vMerge w:val="restart"/>
            <w:vAlign w:val="center"/>
          </w:tcPr>
          <w:p w14:paraId="49A37EAA" w14:textId="731825CC" w:rsidR="00ED16FB" w:rsidRPr="00ED16FB" w:rsidRDefault="00ED16FB" w:rsidP="007B1283">
            <w:pPr>
              <w:rPr>
                <w:rFonts w:ascii="Calibri" w:hAnsi="Calibri" w:cs="Calibri"/>
                <w:iCs/>
                <w:sz w:val="18"/>
                <w:szCs w:val="18"/>
              </w:rPr>
            </w:pPr>
            <w:r>
              <w:rPr>
                <w:rFonts w:ascii="Calibri" w:hAnsi="Calibri"/>
                <w:sz w:val="18"/>
              </w:rPr>
              <w:t>Instituciones públicas</w:t>
            </w:r>
          </w:p>
        </w:tc>
        <w:tc>
          <w:tcPr>
            <w:tcW w:w="1134" w:type="dxa"/>
            <w:vMerge w:val="restart"/>
            <w:vAlign w:val="center"/>
          </w:tcPr>
          <w:p w14:paraId="203F297C" w14:textId="5BF6B15E" w:rsidR="00ED16FB" w:rsidRPr="00ED16FB" w:rsidRDefault="00ED16FB" w:rsidP="00406FBB">
            <w:pPr>
              <w:jc w:val="center"/>
              <w:rPr>
                <w:rFonts w:ascii="Calibri" w:hAnsi="Calibri" w:cs="Calibri"/>
                <w:iCs/>
                <w:sz w:val="18"/>
                <w:szCs w:val="18"/>
              </w:rPr>
            </w:pPr>
            <w:r>
              <w:rPr>
                <w:rFonts w:ascii="Calibri" w:hAnsi="Calibri"/>
                <w:sz w:val="18"/>
              </w:rPr>
              <w:t>34</w:t>
            </w:r>
          </w:p>
        </w:tc>
        <w:tc>
          <w:tcPr>
            <w:tcW w:w="1559" w:type="dxa"/>
            <w:vMerge w:val="restart"/>
            <w:vAlign w:val="center"/>
          </w:tcPr>
          <w:p w14:paraId="3227444D" w14:textId="5B404023" w:rsidR="00ED16FB" w:rsidRPr="00ED16FB" w:rsidRDefault="00ED16FB" w:rsidP="00406FBB">
            <w:pPr>
              <w:jc w:val="center"/>
              <w:rPr>
                <w:rFonts w:ascii="Calibri" w:hAnsi="Calibri" w:cs="Calibri"/>
                <w:iCs/>
                <w:sz w:val="18"/>
                <w:szCs w:val="18"/>
              </w:rPr>
            </w:pPr>
            <w:r>
              <w:rPr>
                <w:rFonts w:ascii="Calibri" w:hAnsi="Calibri"/>
                <w:sz w:val="18"/>
              </w:rPr>
              <w:t>29</w:t>
            </w:r>
          </w:p>
        </w:tc>
        <w:tc>
          <w:tcPr>
            <w:tcW w:w="1559" w:type="dxa"/>
            <w:vMerge w:val="restart"/>
            <w:vAlign w:val="center"/>
          </w:tcPr>
          <w:p w14:paraId="2774180A" w14:textId="4E777C10" w:rsidR="00ED16FB" w:rsidRPr="00ED16FB" w:rsidRDefault="00ED16FB" w:rsidP="00406FBB">
            <w:pPr>
              <w:jc w:val="center"/>
              <w:rPr>
                <w:rFonts w:ascii="Calibri" w:hAnsi="Calibri" w:cs="Calibri"/>
                <w:iCs/>
                <w:sz w:val="18"/>
                <w:szCs w:val="18"/>
              </w:rPr>
            </w:pPr>
            <w:r>
              <w:rPr>
                <w:rFonts w:ascii="Calibri" w:hAnsi="Calibri"/>
                <w:sz w:val="18"/>
              </w:rPr>
              <w:t>20,96</w:t>
            </w:r>
          </w:p>
        </w:tc>
        <w:tc>
          <w:tcPr>
            <w:tcW w:w="3402" w:type="dxa"/>
          </w:tcPr>
          <w:p w14:paraId="50BB6B94" w14:textId="443357CF" w:rsidR="00ED16FB" w:rsidRPr="00ED16FB" w:rsidRDefault="00ED16FB" w:rsidP="00935076">
            <w:pPr>
              <w:jc w:val="both"/>
              <w:rPr>
                <w:rFonts w:ascii="Calibri" w:hAnsi="Calibri" w:cs="Calibri"/>
                <w:iCs/>
                <w:sz w:val="18"/>
                <w:szCs w:val="18"/>
              </w:rPr>
            </w:pPr>
            <w:r>
              <w:rPr>
                <w:rFonts w:asciiTheme="minorHAnsi" w:hAnsiTheme="minorHAnsi"/>
                <w:sz w:val="18"/>
              </w:rPr>
              <w:t>11,4%Extremadamente/altamente peligroso (1a-1b)</w:t>
            </w:r>
          </w:p>
        </w:tc>
      </w:tr>
      <w:tr w:rsidR="00ED16FB" w:rsidRPr="00ED16FB" w14:paraId="6A95C535" w14:textId="77777777" w:rsidTr="00DB1AC6">
        <w:tc>
          <w:tcPr>
            <w:tcW w:w="1555" w:type="dxa"/>
            <w:vMerge/>
            <w:vAlign w:val="center"/>
          </w:tcPr>
          <w:p w14:paraId="74AE0FCD" w14:textId="77777777" w:rsidR="00ED16FB" w:rsidRPr="002152FE" w:rsidRDefault="00ED16FB" w:rsidP="007B1283">
            <w:pPr>
              <w:rPr>
                <w:rFonts w:ascii="Calibri" w:hAnsi="Calibri" w:cs="Calibri"/>
                <w:iCs/>
                <w:sz w:val="18"/>
                <w:szCs w:val="18"/>
                <w:lang w:val="es-EC"/>
              </w:rPr>
            </w:pPr>
          </w:p>
        </w:tc>
        <w:tc>
          <w:tcPr>
            <w:tcW w:w="1134" w:type="dxa"/>
            <w:vMerge/>
            <w:vAlign w:val="center"/>
          </w:tcPr>
          <w:p w14:paraId="54A11DD0" w14:textId="77777777" w:rsidR="00ED16FB" w:rsidRPr="002152FE" w:rsidRDefault="00ED16FB" w:rsidP="00406FBB">
            <w:pPr>
              <w:jc w:val="center"/>
              <w:rPr>
                <w:rFonts w:ascii="Calibri" w:hAnsi="Calibri" w:cs="Calibri"/>
                <w:iCs/>
                <w:sz w:val="18"/>
                <w:szCs w:val="18"/>
                <w:lang w:val="es-EC"/>
              </w:rPr>
            </w:pPr>
          </w:p>
        </w:tc>
        <w:tc>
          <w:tcPr>
            <w:tcW w:w="1559" w:type="dxa"/>
            <w:vMerge/>
            <w:vAlign w:val="center"/>
          </w:tcPr>
          <w:p w14:paraId="44019598" w14:textId="77777777" w:rsidR="00ED16FB" w:rsidRPr="002152FE" w:rsidRDefault="00ED16FB" w:rsidP="00406FBB">
            <w:pPr>
              <w:jc w:val="center"/>
              <w:rPr>
                <w:rFonts w:ascii="Calibri" w:hAnsi="Calibri" w:cs="Calibri"/>
                <w:iCs/>
                <w:sz w:val="18"/>
                <w:szCs w:val="18"/>
                <w:lang w:val="es-EC"/>
              </w:rPr>
            </w:pPr>
          </w:p>
        </w:tc>
        <w:tc>
          <w:tcPr>
            <w:tcW w:w="1559" w:type="dxa"/>
            <w:vMerge/>
            <w:vAlign w:val="center"/>
          </w:tcPr>
          <w:p w14:paraId="0BD4CAAE" w14:textId="77777777" w:rsidR="00ED16FB" w:rsidRPr="002152FE" w:rsidRDefault="00ED16FB" w:rsidP="00406FBB">
            <w:pPr>
              <w:jc w:val="center"/>
              <w:rPr>
                <w:rFonts w:ascii="Calibri" w:hAnsi="Calibri" w:cs="Calibri"/>
                <w:iCs/>
                <w:sz w:val="18"/>
                <w:szCs w:val="18"/>
                <w:lang w:val="es-EC"/>
              </w:rPr>
            </w:pPr>
          </w:p>
        </w:tc>
        <w:tc>
          <w:tcPr>
            <w:tcW w:w="3402" w:type="dxa"/>
          </w:tcPr>
          <w:p w14:paraId="7D701C3F" w14:textId="21362FFA" w:rsidR="00ED16FB" w:rsidRPr="00ED16FB" w:rsidRDefault="00ED16FB" w:rsidP="00935076">
            <w:pPr>
              <w:jc w:val="both"/>
              <w:rPr>
                <w:rFonts w:ascii="Calibri" w:hAnsi="Calibri" w:cs="Calibri"/>
                <w:iCs/>
                <w:sz w:val="18"/>
                <w:szCs w:val="18"/>
              </w:rPr>
            </w:pPr>
            <w:r>
              <w:rPr>
                <w:rFonts w:asciiTheme="minorHAnsi" w:hAnsiTheme="minorHAnsi"/>
                <w:sz w:val="18"/>
              </w:rPr>
              <w:t>38% Moderadamente peligroso</w:t>
            </w:r>
          </w:p>
        </w:tc>
      </w:tr>
      <w:tr w:rsidR="00ED16FB" w:rsidRPr="00ED16FB" w14:paraId="47FF5267" w14:textId="77777777" w:rsidTr="00DB1AC6">
        <w:tc>
          <w:tcPr>
            <w:tcW w:w="1555" w:type="dxa"/>
            <w:vMerge/>
            <w:vAlign w:val="center"/>
          </w:tcPr>
          <w:p w14:paraId="11CBA3F3" w14:textId="77777777" w:rsidR="00ED16FB" w:rsidRPr="00ED16FB" w:rsidRDefault="00ED16FB" w:rsidP="007B1283">
            <w:pPr>
              <w:rPr>
                <w:rFonts w:ascii="Calibri" w:hAnsi="Calibri" w:cs="Calibri"/>
                <w:iCs/>
                <w:sz w:val="18"/>
                <w:szCs w:val="18"/>
                <w:lang w:val="en-US"/>
              </w:rPr>
            </w:pPr>
          </w:p>
        </w:tc>
        <w:tc>
          <w:tcPr>
            <w:tcW w:w="1134" w:type="dxa"/>
            <w:vMerge/>
            <w:vAlign w:val="center"/>
          </w:tcPr>
          <w:p w14:paraId="4C5D6E9A"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3768F52B"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509249B0" w14:textId="77777777" w:rsidR="00ED16FB" w:rsidRPr="00ED16FB" w:rsidRDefault="00ED16FB" w:rsidP="00406FBB">
            <w:pPr>
              <w:jc w:val="center"/>
              <w:rPr>
                <w:rFonts w:ascii="Calibri" w:hAnsi="Calibri" w:cs="Calibri"/>
                <w:iCs/>
                <w:sz w:val="18"/>
                <w:szCs w:val="18"/>
                <w:lang w:val="en-US"/>
              </w:rPr>
            </w:pPr>
          </w:p>
        </w:tc>
        <w:tc>
          <w:tcPr>
            <w:tcW w:w="3402" w:type="dxa"/>
          </w:tcPr>
          <w:p w14:paraId="1721C154" w14:textId="18B94583" w:rsidR="00ED16FB" w:rsidRPr="00ED16FB" w:rsidRDefault="00ED16FB" w:rsidP="00935076">
            <w:pPr>
              <w:jc w:val="both"/>
              <w:rPr>
                <w:rFonts w:ascii="Calibri" w:hAnsi="Calibri" w:cs="Calibri"/>
                <w:iCs/>
                <w:sz w:val="18"/>
                <w:szCs w:val="18"/>
              </w:rPr>
            </w:pPr>
            <w:r>
              <w:rPr>
                <w:rFonts w:asciiTheme="minorHAnsi" w:hAnsiTheme="minorHAnsi"/>
                <w:sz w:val="18"/>
              </w:rPr>
              <w:t>48% Ligeramente peligroso</w:t>
            </w:r>
          </w:p>
        </w:tc>
      </w:tr>
      <w:tr w:rsidR="00ED16FB" w:rsidRPr="00ED16FB" w14:paraId="7C519F60" w14:textId="77777777" w:rsidTr="00DB1AC6">
        <w:tc>
          <w:tcPr>
            <w:tcW w:w="1555" w:type="dxa"/>
            <w:vMerge/>
            <w:vAlign w:val="center"/>
          </w:tcPr>
          <w:p w14:paraId="39141BB2" w14:textId="77777777" w:rsidR="00ED16FB" w:rsidRPr="00ED16FB" w:rsidRDefault="00ED16FB" w:rsidP="007B1283">
            <w:pPr>
              <w:rPr>
                <w:rFonts w:ascii="Calibri" w:hAnsi="Calibri" w:cs="Calibri"/>
                <w:iCs/>
                <w:sz w:val="18"/>
                <w:szCs w:val="18"/>
                <w:lang w:val="en-US"/>
              </w:rPr>
            </w:pPr>
          </w:p>
        </w:tc>
        <w:tc>
          <w:tcPr>
            <w:tcW w:w="1134" w:type="dxa"/>
            <w:vMerge/>
            <w:vAlign w:val="center"/>
          </w:tcPr>
          <w:p w14:paraId="53775401"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23DE8A20" w14:textId="77777777" w:rsidR="00ED16FB" w:rsidRPr="00ED16FB" w:rsidRDefault="00ED16FB" w:rsidP="00406FBB">
            <w:pPr>
              <w:jc w:val="center"/>
              <w:rPr>
                <w:rFonts w:ascii="Calibri" w:hAnsi="Calibri" w:cs="Calibri"/>
                <w:iCs/>
                <w:sz w:val="18"/>
                <w:szCs w:val="18"/>
                <w:lang w:val="en-US"/>
              </w:rPr>
            </w:pPr>
          </w:p>
        </w:tc>
        <w:tc>
          <w:tcPr>
            <w:tcW w:w="1559" w:type="dxa"/>
            <w:vMerge/>
            <w:vAlign w:val="center"/>
          </w:tcPr>
          <w:p w14:paraId="2B65A659" w14:textId="77777777" w:rsidR="00ED16FB" w:rsidRPr="00ED16FB" w:rsidRDefault="00ED16FB" w:rsidP="00406FBB">
            <w:pPr>
              <w:jc w:val="center"/>
              <w:rPr>
                <w:rFonts w:ascii="Calibri" w:hAnsi="Calibri" w:cs="Calibri"/>
                <w:iCs/>
                <w:sz w:val="18"/>
                <w:szCs w:val="18"/>
                <w:lang w:val="en-US"/>
              </w:rPr>
            </w:pPr>
          </w:p>
        </w:tc>
        <w:tc>
          <w:tcPr>
            <w:tcW w:w="3402" w:type="dxa"/>
          </w:tcPr>
          <w:p w14:paraId="75AB6B10" w14:textId="293D8CC4" w:rsidR="00ED16FB" w:rsidRPr="00ED16FB" w:rsidRDefault="00ED16FB" w:rsidP="00935076">
            <w:pPr>
              <w:jc w:val="both"/>
              <w:rPr>
                <w:rFonts w:ascii="Calibri" w:hAnsi="Calibri" w:cs="Calibri"/>
                <w:iCs/>
                <w:sz w:val="18"/>
                <w:szCs w:val="18"/>
              </w:rPr>
            </w:pPr>
            <w:r>
              <w:rPr>
                <w:rFonts w:asciiTheme="minorHAnsi" w:hAnsiTheme="minorHAnsi"/>
                <w:sz w:val="18"/>
              </w:rPr>
              <w:t>2,6% Usualmente no peligroso</w:t>
            </w:r>
          </w:p>
        </w:tc>
      </w:tr>
      <w:tr w:rsidR="00ED16FB" w:rsidRPr="001B17BF" w14:paraId="7857CA9E" w14:textId="73F2F66E" w:rsidTr="00DB1AC6">
        <w:tc>
          <w:tcPr>
            <w:tcW w:w="1555" w:type="dxa"/>
            <w:vMerge w:val="restart"/>
            <w:vAlign w:val="center"/>
          </w:tcPr>
          <w:p w14:paraId="38FAC843" w14:textId="01EBE25B" w:rsidR="00ED16FB" w:rsidRPr="00ED16FB" w:rsidRDefault="00ED16FB" w:rsidP="007B1283">
            <w:pPr>
              <w:rPr>
                <w:rFonts w:ascii="Calibri" w:hAnsi="Calibri" w:cs="Calibri"/>
                <w:iCs/>
                <w:sz w:val="18"/>
                <w:szCs w:val="18"/>
              </w:rPr>
            </w:pPr>
            <w:r>
              <w:rPr>
                <w:rFonts w:ascii="Calibri" w:hAnsi="Calibri"/>
                <w:sz w:val="18"/>
              </w:rPr>
              <w:t>Empresas privadas</w:t>
            </w:r>
          </w:p>
        </w:tc>
        <w:tc>
          <w:tcPr>
            <w:tcW w:w="1134" w:type="dxa"/>
            <w:vMerge w:val="restart"/>
            <w:vAlign w:val="center"/>
          </w:tcPr>
          <w:p w14:paraId="07E17B2D" w14:textId="08A85FE1" w:rsidR="00ED16FB" w:rsidRPr="00ED16FB" w:rsidRDefault="00ED16FB" w:rsidP="00406FBB">
            <w:pPr>
              <w:jc w:val="center"/>
              <w:rPr>
                <w:rFonts w:ascii="Calibri" w:hAnsi="Calibri" w:cs="Calibri"/>
                <w:iCs/>
                <w:sz w:val="18"/>
                <w:szCs w:val="18"/>
              </w:rPr>
            </w:pPr>
            <w:r>
              <w:rPr>
                <w:rFonts w:ascii="Calibri" w:hAnsi="Calibri"/>
                <w:sz w:val="18"/>
              </w:rPr>
              <w:t>48</w:t>
            </w:r>
          </w:p>
        </w:tc>
        <w:tc>
          <w:tcPr>
            <w:tcW w:w="1559" w:type="dxa"/>
            <w:vMerge w:val="restart"/>
            <w:vAlign w:val="center"/>
          </w:tcPr>
          <w:p w14:paraId="703F0FBD" w14:textId="5A9C807A" w:rsidR="00ED16FB" w:rsidRPr="00ED16FB" w:rsidRDefault="00ED16FB" w:rsidP="00406FBB">
            <w:pPr>
              <w:jc w:val="center"/>
              <w:rPr>
                <w:rFonts w:ascii="Calibri" w:hAnsi="Calibri" w:cs="Calibri"/>
                <w:iCs/>
                <w:sz w:val="18"/>
                <w:szCs w:val="18"/>
              </w:rPr>
            </w:pPr>
            <w:r>
              <w:rPr>
                <w:rFonts w:ascii="Calibri" w:hAnsi="Calibri"/>
                <w:sz w:val="18"/>
              </w:rPr>
              <w:t>30</w:t>
            </w:r>
          </w:p>
        </w:tc>
        <w:tc>
          <w:tcPr>
            <w:tcW w:w="1559" w:type="dxa"/>
            <w:vMerge w:val="restart"/>
            <w:vAlign w:val="center"/>
          </w:tcPr>
          <w:p w14:paraId="3E4BADD0" w14:textId="786A01F1" w:rsidR="00ED16FB" w:rsidRPr="00ED16FB" w:rsidRDefault="00ED16FB" w:rsidP="00406FBB">
            <w:pPr>
              <w:jc w:val="center"/>
              <w:rPr>
                <w:rFonts w:ascii="Calibri" w:hAnsi="Calibri" w:cs="Calibri"/>
                <w:iCs/>
                <w:sz w:val="18"/>
                <w:szCs w:val="18"/>
              </w:rPr>
            </w:pPr>
            <w:r>
              <w:rPr>
                <w:rFonts w:ascii="Calibri" w:hAnsi="Calibri"/>
                <w:sz w:val="18"/>
              </w:rPr>
              <w:t>54,88</w:t>
            </w:r>
          </w:p>
        </w:tc>
        <w:tc>
          <w:tcPr>
            <w:tcW w:w="3402" w:type="dxa"/>
          </w:tcPr>
          <w:p w14:paraId="3E86AB92" w14:textId="00BC8296" w:rsidR="00ED16FB" w:rsidRPr="00ED16FB" w:rsidRDefault="00ED16FB" w:rsidP="00935076">
            <w:pPr>
              <w:jc w:val="both"/>
              <w:rPr>
                <w:rFonts w:ascii="Calibri" w:hAnsi="Calibri" w:cs="Calibri"/>
                <w:iCs/>
                <w:sz w:val="18"/>
                <w:szCs w:val="18"/>
              </w:rPr>
            </w:pPr>
            <w:r>
              <w:rPr>
                <w:rFonts w:asciiTheme="minorHAnsi" w:hAnsiTheme="minorHAnsi"/>
                <w:sz w:val="18"/>
              </w:rPr>
              <w:t>1,5%Extremadamente/altamente peligroso (1a-1b)</w:t>
            </w:r>
          </w:p>
        </w:tc>
      </w:tr>
      <w:tr w:rsidR="00ED16FB" w:rsidRPr="00ED16FB" w14:paraId="2A6066AA" w14:textId="77777777" w:rsidTr="00DB1AC6">
        <w:tc>
          <w:tcPr>
            <w:tcW w:w="1555" w:type="dxa"/>
            <w:vMerge/>
          </w:tcPr>
          <w:p w14:paraId="5CDCCC02" w14:textId="77777777" w:rsidR="00ED16FB" w:rsidRPr="002152FE" w:rsidRDefault="00ED16FB" w:rsidP="00935076">
            <w:pPr>
              <w:jc w:val="both"/>
              <w:rPr>
                <w:rFonts w:ascii="Calibri" w:hAnsi="Calibri" w:cs="Calibri"/>
                <w:iCs/>
                <w:sz w:val="18"/>
                <w:szCs w:val="18"/>
                <w:lang w:val="es-EC"/>
              </w:rPr>
            </w:pPr>
          </w:p>
        </w:tc>
        <w:tc>
          <w:tcPr>
            <w:tcW w:w="1134" w:type="dxa"/>
            <w:vMerge/>
            <w:vAlign w:val="center"/>
          </w:tcPr>
          <w:p w14:paraId="1D8B41AB" w14:textId="77777777" w:rsidR="00ED16FB" w:rsidRPr="002152FE" w:rsidRDefault="00ED16FB" w:rsidP="00ED16FB">
            <w:pPr>
              <w:rPr>
                <w:rFonts w:ascii="Calibri" w:hAnsi="Calibri" w:cs="Calibri"/>
                <w:iCs/>
                <w:sz w:val="18"/>
                <w:szCs w:val="18"/>
                <w:lang w:val="es-EC"/>
              </w:rPr>
            </w:pPr>
          </w:p>
        </w:tc>
        <w:tc>
          <w:tcPr>
            <w:tcW w:w="1559" w:type="dxa"/>
            <w:vMerge/>
            <w:vAlign w:val="center"/>
          </w:tcPr>
          <w:p w14:paraId="026307E7" w14:textId="77777777" w:rsidR="00ED16FB" w:rsidRPr="002152FE" w:rsidRDefault="00ED16FB" w:rsidP="00ED16FB">
            <w:pPr>
              <w:rPr>
                <w:rFonts w:ascii="Calibri" w:hAnsi="Calibri" w:cs="Calibri"/>
                <w:iCs/>
                <w:sz w:val="18"/>
                <w:szCs w:val="18"/>
                <w:lang w:val="es-EC"/>
              </w:rPr>
            </w:pPr>
          </w:p>
        </w:tc>
        <w:tc>
          <w:tcPr>
            <w:tcW w:w="1559" w:type="dxa"/>
            <w:vMerge/>
            <w:vAlign w:val="center"/>
          </w:tcPr>
          <w:p w14:paraId="2C32E709" w14:textId="77777777" w:rsidR="00ED16FB" w:rsidRPr="002152FE" w:rsidRDefault="00ED16FB" w:rsidP="00ED16FB">
            <w:pPr>
              <w:rPr>
                <w:rFonts w:ascii="Calibri" w:hAnsi="Calibri" w:cs="Calibri"/>
                <w:iCs/>
                <w:sz w:val="18"/>
                <w:szCs w:val="18"/>
                <w:lang w:val="es-EC"/>
              </w:rPr>
            </w:pPr>
          </w:p>
        </w:tc>
        <w:tc>
          <w:tcPr>
            <w:tcW w:w="3402" w:type="dxa"/>
          </w:tcPr>
          <w:p w14:paraId="37D60E01" w14:textId="2D9F4141" w:rsidR="00ED16FB" w:rsidRPr="00ED16FB" w:rsidRDefault="00ED16FB" w:rsidP="00935076">
            <w:pPr>
              <w:jc w:val="both"/>
              <w:rPr>
                <w:rFonts w:ascii="Calibri" w:hAnsi="Calibri" w:cs="Calibri"/>
                <w:iCs/>
                <w:sz w:val="18"/>
                <w:szCs w:val="18"/>
              </w:rPr>
            </w:pPr>
            <w:r>
              <w:rPr>
                <w:rFonts w:asciiTheme="minorHAnsi" w:hAnsiTheme="minorHAnsi"/>
                <w:sz w:val="18"/>
              </w:rPr>
              <w:t>15% Moderadamente peligroso</w:t>
            </w:r>
          </w:p>
        </w:tc>
      </w:tr>
      <w:tr w:rsidR="00ED16FB" w:rsidRPr="00ED16FB" w14:paraId="07F1E91C" w14:textId="77777777" w:rsidTr="00DB1AC6">
        <w:tc>
          <w:tcPr>
            <w:tcW w:w="1555" w:type="dxa"/>
            <w:vMerge/>
          </w:tcPr>
          <w:p w14:paraId="498E8D92" w14:textId="77777777" w:rsidR="00ED16FB" w:rsidRPr="00ED16FB" w:rsidRDefault="00ED16FB" w:rsidP="00935076">
            <w:pPr>
              <w:jc w:val="both"/>
              <w:rPr>
                <w:rFonts w:ascii="Calibri" w:hAnsi="Calibri" w:cs="Calibri"/>
                <w:iCs/>
                <w:sz w:val="18"/>
                <w:szCs w:val="18"/>
                <w:lang w:val="en-US"/>
              </w:rPr>
            </w:pPr>
          </w:p>
        </w:tc>
        <w:tc>
          <w:tcPr>
            <w:tcW w:w="1134" w:type="dxa"/>
            <w:vMerge/>
            <w:vAlign w:val="center"/>
          </w:tcPr>
          <w:p w14:paraId="7CD9EA19" w14:textId="77777777" w:rsidR="00ED16FB" w:rsidRPr="00ED16FB" w:rsidRDefault="00ED16FB" w:rsidP="00ED16FB">
            <w:pPr>
              <w:rPr>
                <w:rFonts w:ascii="Calibri" w:hAnsi="Calibri" w:cs="Calibri"/>
                <w:iCs/>
                <w:sz w:val="18"/>
                <w:szCs w:val="18"/>
                <w:lang w:val="en-US"/>
              </w:rPr>
            </w:pPr>
          </w:p>
        </w:tc>
        <w:tc>
          <w:tcPr>
            <w:tcW w:w="1559" w:type="dxa"/>
            <w:vMerge/>
            <w:vAlign w:val="center"/>
          </w:tcPr>
          <w:p w14:paraId="4EF6B153" w14:textId="77777777" w:rsidR="00ED16FB" w:rsidRPr="00ED16FB" w:rsidRDefault="00ED16FB" w:rsidP="00ED16FB">
            <w:pPr>
              <w:rPr>
                <w:rFonts w:ascii="Calibri" w:hAnsi="Calibri" w:cs="Calibri"/>
                <w:iCs/>
                <w:sz w:val="18"/>
                <w:szCs w:val="18"/>
                <w:lang w:val="en-US"/>
              </w:rPr>
            </w:pPr>
          </w:p>
        </w:tc>
        <w:tc>
          <w:tcPr>
            <w:tcW w:w="1559" w:type="dxa"/>
            <w:vMerge/>
            <w:vAlign w:val="center"/>
          </w:tcPr>
          <w:p w14:paraId="68FD9AE3" w14:textId="77777777" w:rsidR="00ED16FB" w:rsidRPr="00ED16FB" w:rsidRDefault="00ED16FB" w:rsidP="00ED16FB">
            <w:pPr>
              <w:rPr>
                <w:rFonts w:ascii="Calibri" w:hAnsi="Calibri" w:cs="Calibri"/>
                <w:iCs/>
                <w:sz w:val="18"/>
                <w:szCs w:val="18"/>
                <w:lang w:val="en-US"/>
              </w:rPr>
            </w:pPr>
          </w:p>
        </w:tc>
        <w:tc>
          <w:tcPr>
            <w:tcW w:w="3402" w:type="dxa"/>
          </w:tcPr>
          <w:p w14:paraId="642BD938" w14:textId="14BB0094" w:rsidR="00ED16FB" w:rsidRPr="00ED16FB" w:rsidRDefault="00ED16FB" w:rsidP="00935076">
            <w:pPr>
              <w:jc w:val="both"/>
              <w:rPr>
                <w:rFonts w:ascii="Calibri" w:hAnsi="Calibri" w:cs="Calibri"/>
                <w:iCs/>
                <w:sz w:val="18"/>
                <w:szCs w:val="18"/>
              </w:rPr>
            </w:pPr>
            <w:r>
              <w:rPr>
                <w:rFonts w:asciiTheme="minorHAnsi" w:hAnsiTheme="minorHAnsi"/>
                <w:sz w:val="18"/>
              </w:rPr>
              <w:t>30% Ligeramente peligroso</w:t>
            </w:r>
          </w:p>
        </w:tc>
      </w:tr>
      <w:tr w:rsidR="00ED16FB" w:rsidRPr="00ED16FB" w14:paraId="52E5298A" w14:textId="77777777" w:rsidTr="00DB1AC6">
        <w:tc>
          <w:tcPr>
            <w:tcW w:w="1555" w:type="dxa"/>
            <w:vMerge/>
          </w:tcPr>
          <w:p w14:paraId="383819CA" w14:textId="77777777" w:rsidR="00ED16FB" w:rsidRPr="00ED16FB" w:rsidRDefault="00ED16FB" w:rsidP="00935076">
            <w:pPr>
              <w:jc w:val="both"/>
              <w:rPr>
                <w:rFonts w:ascii="Calibri" w:hAnsi="Calibri" w:cs="Calibri"/>
                <w:iCs/>
                <w:sz w:val="18"/>
                <w:szCs w:val="18"/>
                <w:lang w:val="en-US"/>
              </w:rPr>
            </w:pPr>
          </w:p>
        </w:tc>
        <w:tc>
          <w:tcPr>
            <w:tcW w:w="1134" w:type="dxa"/>
            <w:vMerge/>
            <w:vAlign w:val="center"/>
          </w:tcPr>
          <w:p w14:paraId="5B423AD0" w14:textId="77777777" w:rsidR="00ED16FB" w:rsidRPr="00ED16FB" w:rsidRDefault="00ED16FB" w:rsidP="00ED16FB">
            <w:pPr>
              <w:rPr>
                <w:rFonts w:ascii="Calibri" w:hAnsi="Calibri" w:cs="Calibri"/>
                <w:iCs/>
                <w:sz w:val="18"/>
                <w:szCs w:val="18"/>
                <w:lang w:val="en-US"/>
              </w:rPr>
            </w:pPr>
          </w:p>
        </w:tc>
        <w:tc>
          <w:tcPr>
            <w:tcW w:w="1559" w:type="dxa"/>
            <w:vMerge/>
            <w:vAlign w:val="center"/>
          </w:tcPr>
          <w:p w14:paraId="16D73500" w14:textId="77777777" w:rsidR="00ED16FB" w:rsidRPr="00ED16FB" w:rsidRDefault="00ED16FB" w:rsidP="00ED16FB">
            <w:pPr>
              <w:rPr>
                <w:rFonts w:ascii="Calibri" w:hAnsi="Calibri" w:cs="Calibri"/>
                <w:iCs/>
                <w:sz w:val="18"/>
                <w:szCs w:val="18"/>
                <w:lang w:val="en-US"/>
              </w:rPr>
            </w:pPr>
          </w:p>
        </w:tc>
        <w:tc>
          <w:tcPr>
            <w:tcW w:w="1559" w:type="dxa"/>
            <w:vMerge/>
            <w:vAlign w:val="center"/>
          </w:tcPr>
          <w:p w14:paraId="59190901" w14:textId="77777777" w:rsidR="00ED16FB" w:rsidRPr="00ED16FB" w:rsidRDefault="00ED16FB" w:rsidP="00ED16FB">
            <w:pPr>
              <w:rPr>
                <w:rFonts w:ascii="Calibri" w:hAnsi="Calibri" w:cs="Calibri"/>
                <w:iCs/>
                <w:sz w:val="18"/>
                <w:szCs w:val="18"/>
                <w:lang w:val="en-US"/>
              </w:rPr>
            </w:pPr>
          </w:p>
        </w:tc>
        <w:tc>
          <w:tcPr>
            <w:tcW w:w="3402" w:type="dxa"/>
          </w:tcPr>
          <w:p w14:paraId="307B5A8F" w14:textId="0BE30A21" w:rsidR="00ED16FB" w:rsidRPr="00ED16FB" w:rsidRDefault="00ED16FB" w:rsidP="00935076">
            <w:pPr>
              <w:jc w:val="both"/>
              <w:rPr>
                <w:rFonts w:ascii="Calibri" w:hAnsi="Calibri" w:cs="Calibri"/>
                <w:iCs/>
                <w:sz w:val="18"/>
                <w:szCs w:val="18"/>
              </w:rPr>
            </w:pPr>
            <w:r>
              <w:rPr>
                <w:rFonts w:asciiTheme="minorHAnsi" w:hAnsiTheme="minorHAnsi"/>
                <w:sz w:val="18"/>
              </w:rPr>
              <w:t>53,5% Usualmente no peligroso</w:t>
            </w:r>
          </w:p>
        </w:tc>
      </w:tr>
      <w:tr w:rsidR="00043A23" w:rsidRPr="00ED16FB" w14:paraId="79281285" w14:textId="77777777" w:rsidTr="00DB1AC6">
        <w:tc>
          <w:tcPr>
            <w:tcW w:w="1555" w:type="dxa"/>
          </w:tcPr>
          <w:p w14:paraId="66DA8E31" w14:textId="3BB17C9F" w:rsidR="00043A23" w:rsidRPr="00043A23" w:rsidRDefault="00043A23" w:rsidP="00935076">
            <w:pPr>
              <w:jc w:val="both"/>
              <w:rPr>
                <w:rFonts w:ascii="Calibri" w:hAnsi="Calibri" w:cs="Calibri"/>
                <w:b/>
                <w:bCs/>
                <w:iCs/>
                <w:sz w:val="18"/>
                <w:szCs w:val="18"/>
              </w:rPr>
            </w:pPr>
            <w:r>
              <w:rPr>
                <w:rFonts w:ascii="Calibri" w:hAnsi="Calibri"/>
                <w:b/>
                <w:sz w:val="18"/>
              </w:rPr>
              <w:t>TOTAL</w:t>
            </w:r>
          </w:p>
        </w:tc>
        <w:tc>
          <w:tcPr>
            <w:tcW w:w="1134" w:type="dxa"/>
            <w:vAlign w:val="center"/>
          </w:tcPr>
          <w:p w14:paraId="698DD041" w14:textId="07698AAB" w:rsidR="00043A23" w:rsidRPr="00043A23" w:rsidRDefault="00043A23" w:rsidP="00043A23">
            <w:pPr>
              <w:jc w:val="center"/>
              <w:rPr>
                <w:rFonts w:ascii="Calibri" w:hAnsi="Calibri" w:cs="Calibri"/>
                <w:b/>
                <w:bCs/>
                <w:iCs/>
                <w:sz w:val="18"/>
                <w:szCs w:val="18"/>
              </w:rPr>
            </w:pPr>
            <w:r>
              <w:rPr>
                <w:rFonts w:ascii="Calibri" w:hAnsi="Calibri"/>
                <w:b/>
                <w:sz w:val="18"/>
              </w:rPr>
              <w:t>1.804</w:t>
            </w:r>
          </w:p>
        </w:tc>
        <w:tc>
          <w:tcPr>
            <w:tcW w:w="1559" w:type="dxa"/>
            <w:vAlign w:val="center"/>
          </w:tcPr>
          <w:p w14:paraId="007B4162" w14:textId="68C36776" w:rsidR="00043A23" w:rsidRPr="00043A23" w:rsidRDefault="00043A23" w:rsidP="00043A23">
            <w:pPr>
              <w:jc w:val="center"/>
              <w:rPr>
                <w:rFonts w:ascii="Calibri" w:hAnsi="Calibri" w:cs="Calibri"/>
                <w:b/>
                <w:bCs/>
                <w:iCs/>
                <w:sz w:val="18"/>
                <w:szCs w:val="18"/>
              </w:rPr>
            </w:pPr>
            <w:r>
              <w:rPr>
                <w:rFonts w:ascii="Calibri" w:hAnsi="Calibri"/>
                <w:b/>
                <w:sz w:val="18"/>
              </w:rPr>
              <w:t>236</w:t>
            </w:r>
          </w:p>
        </w:tc>
        <w:tc>
          <w:tcPr>
            <w:tcW w:w="1559" w:type="dxa"/>
            <w:vAlign w:val="center"/>
          </w:tcPr>
          <w:p w14:paraId="1387F212" w14:textId="2DB9AF68" w:rsidR="00043A23" w:rsidRPr="00043A23" w:rsidRDefault="00043A23" w:rsidP="00043A23">
            <w:pPr>
              <w:jc w:val="center"/>
              <w:rPr>
                <w:rFonts w:ascii="Calibri" w:hAnsi="Calibri" w:cs="Calibri"/>
                <w:b/>
                <w:bCs/>
                <w:iCs/>
                <w:sz w:val="18"/>
                <w:szCs w:val="18"/>
              </w:rPr>
            </w:pPr>
            <w:r>
              <w:rPr>
                <w:rFonts w:ascii="Calibri" w:hAnsi="Calibri"/>
                <w:b/>
                <w:sz w:val="18"/>
              </w:rPr>
              <w:t>77,88</w:t>
            </w:r>
          </w:p>
        </w:tc>
        <w:tc>
          <w:tcPr>
            <w:tcW w:w="3402" w:type="dxa"/>
          </w:tcPr>
          <w:p w14:paraId="615E491F" w14:textId="77777777" w:rsidR="00043A23" w:rsidRPr="00ED16FB" w:rsidRDefault="00043A23" w:rsidP="00935076">
            <w:pPr>
              <w:jc w:val="both"/>
              <w:rPr>
                <w:rFonts w:asciiTheme="minorHAnsi" w:hAnsiTheme="minorHAnsi" w:cstheme="minorHAnsi"/>
                <w:iCs/>
                <w:sz w:val="18"/>
                <w:szCs w:val="18"/>
              </w:rPr>
            </w:pPr>
          </w:p>
        </w:tc>
      </w:tr>
    </w:tbl>
    <w:p w14:paraId="544CD2D4" w14:textId="49DB3A26" w:rsidR="005564EA" w:rsidRPr="00503F85" w:rsidRDefault="001F1A3E" w:rsidP="00503F85">
      <w:pPr>
        <w:spacing w:after="120"/>
        <w:rPr>
          <w:rFonts w:ascii="Calibri" w:hAnsi="Calibri" w:cs="Calibri"/>
          <w:iCs/>
          <w:sz w:val="18"/>
          <w:szCs w:val="18"/>
        </w:rPr>
      </w:pPr>
      <w:r>
        <w:rPr>
          <w:rFonts w:ascii="Calibri" w:hAnsi="Calibri"/>
          <w:sz w:val="18"/>
        </w:rPr>
        <w:t>Fuente: Equipo PPG</w:t>
      </w:r>
    </w:p>
    <w:p w14:paraId="37710857" w14:textId="3AF95002" w:rsidR="00024396" w:rsidRPr="00024396" w:rsidRDefault="00866BD4" w:rsidP="00903E2E">
      <w:pPr>
        <w:spacing w:after="120"/>
        <w:rPr>
          <w:rFonts w:ascii="Calibri" w:hAnsi="Calibri" w:cs="Calibri"/>
          <w:iCs/>
          <w:sz w:val="20"/>
          <w:szCs w:val="20"/>
          <w:u w:val="single"/>
        </w:rPr>
      </w:pPr>
      <w:r>
        <w:rPr>
          <w:rFonts w:ascii="Calibri" w:hAnsi="Calibri"/>
          <w:sz w:val="20"/>
          <w:u w:val="single"/>
        </w:rPr>
        <w:t xml:space="preserve">Buenas </w:t>
      </w:r>
      <w:r w:rsidR="00F0204F">
        <w:rPr>
          <w:rFonts w:ascii="Calibri" w:hAnsi="Calibri"/>
          <w:sz w:val="20"/>
          <w:u w:val="single"/>
        </w:rPr>
        <w:t>P</w:t>
      </w:r>
      <w:r>
        <w:rPr>
          <w:rFonts w:ascii="Calibri" w:hAnsi="Calibri"/>
          <w:sz w:val="20"/>
          <w:u w:val="single"/>
        </w:rPr>
        <w:t xml:space="preserve">rácticas </w:t>
      </w:r>
      <w:r w:rsidR="00F0204F">
        <w:rPr>
          <w:rFonts w:ascii="Calibri" w:hAnsi="Calibri"/>
          <w:sz w:val="20"/>
          <w:u w:val="single"/>
        </w:rPr>
        <w:t>A</w:t>
      </w:r>
      <w:r>
        <w:rPr>
          <w:rFonts w:ascii="Calibri" w:hAnsi="Calibri"/>
          <w:sz w:val="20"/>
          <w:u w:val="single"/>
        </w:rPr>
        <w:t xml:space="preserve">grícolas y </w:t>
      </w:r>
      <w:r w:rsidR="00F0204F">
        <w:rPr>
          <w:rFonts w:ascii="Calibri" w:hAnsi="Calibri"/>
          <w:sz w:val="20"/>
          <w:u w:val="single"/>
        </w:rPr>
        <w:t>P</w:t>
      </w:r>
      <w:r>
        <w:rPr>
          <w:rFonts w:ascii="Calibri" w:hAnsi="Calibri"/>
          <w:sz w:val="20"/>
          <w:u w:val="single"/>
        </w:rPr>
        <w:t xml:space="preserve">roducción </w:t>
      </w:r>
      <w:r w:rsidR="000F21BD">
        <w:rPr>
          <w:rFonts w:ascii="Calibri" w:hAnsi="Calibri"/>
          <w:sz w:val="20"/>
          <w:u w:val="single"/>
        </w:rPr>
        <w:t>Orgánica</w:t>
      </w:r>
    </w:p>
    <w:p w14:paraId="3C259A48" w14:textId="097F1E11" w:rsidR="00024396" w:rsidRDefault="009B68C8" w:rsidP="00903E2E">
      <w:pPr>
        <w:spacing w:after="120"/>
        <w:jc w:val="both"/>
        <w:rPr>
          <w:rFonts w:ascii="Calibri" w:hAnsi="Calibri" w:cs="Calibri"/>
          <w:iCs/>
          <w:sz w:val="20"/>
          <w:szCs w:val="20"/>
        </w:rPr>
      </w:pPr>
      <w:r>
        <w:rPr>
          <w:rFonts w:ascii="Calibri" w:hAnsi="Calibri"/>
          <w:sz w:val="20"/>
        </w:rPr>
        <w:t xml:space="preserve">Actualmente el país cuenta con iniciativas que promueven y apoyan la aplicación de prácticas agrícolas sostenibles: Certificación de Buenas Prácticas Agrícolas (BPA) y Producción </w:t>
      </w:r>
      <w:r w:rsidR="000F21BD">
        <w:rPr>
          <w:rFonts w:ascii="Calibri" w:hAnsi="Calibri"/>
          <w:sz w:val="20"/>
        </w:rPr>
        <w:t>Orgánica</w:t>
      </w:r>
      <w:r>
        <w:rPr>
          <w:rFonts w:ascii="Calibri" w:hAnsi="Calibri"/>
          <w:sz w:val="20"/>
        </w:rPr>
        <w:t>.</w:t>
      </w:r>
    </w:p>
    <w:p w14:paraId="51A58085" w14:textId="05A9E454" w:rsidR="000278E2" w:rsidRDefault="00092D4B" w:rsidP="00903E2E">
      <w:pPr>
        <w:spacing w:after="120"/>
        <w:jc w:val="both"/>
        <w:rPr>
          <w:rFonts w:ascii="Calibri" w:hAnsi="Calibri" w:cs="Calibri"/>
          <w:iCs/>
          <w:sz w:val="20"/>
          <w:szCs w:val="20"/>
        </w:rPr>
      </w:pPr>
      <w:r>
        <w:rPr>
          <w:rFonts w:ascii="Calibri" w:hAnsi="Calibri"/>
          <w:sz w:val="20"/>
        </w:rPr>
        <w:t>Las BPA son un conjunto de principios, normas y recomendaciones técnicas aplicables a la producción de alimentos en la fase primaria con el fin de cuidar la salud humana, proteger el medio ambiente y mejorar las condiciones de los trabajadores y sus familias. De este modo, se estimula la producción sostenible, la seguridad alimentaria y el equilibrio económico de los productores y sus familias. En consecuencia, AGROCALIDAD en cumplimiento del compromiso de garantizar alimentos de calidad en su fase primaria, ha generado 28 guías y 6 manuales de Buenas Prácticas Agrícolas, en los cuales se detallan las directrices técnicas que los productores deben cumplir dentro de sus fincas para lograr y mantener la calidad e inocuidad de sus productos y acceder a la certificación. En enero de 2022, de las 843.000 UPAs sólo 720 estaban certificadas en Buenas Prácticas Agrícolas (BPA) para cultivos, lo que representa menos del 0,1% del total. Además, cerca del 65% de las UPAs certificadas pertenecen a cultivos de exportación y concretamente 394 (54,7%) están certificadas para el cultivo de banano.</w:t>
      </w:r>
    </w:p>
    <w:p w14:paraId="7754E8D8" w14:textId="6D7F06F6" w:rsidR="00B519EA" w:rsidRDefault="004C3C53" w:rsidP="00903E2E">
      <w:pPr>
        <w:spacing w:after="120"/>
        <w:jc w:val="both"/>
        <w:rPr>
          <w:rFonts w:ascii="Calibri" w:hAnsi="Calibri" w:cs="Calibri"/>
          <w:iCs/>
          <w:sz w:val="20"/>
          <w:szCs w:val="20"/>
        </w:rPr>
      </w:pPr>
      <w:r>
        <w:rPr>
          <w:rFonts w:ascii="Calibri" w:hAnsi="Calibri"/>
          <w:sz w:val="20"/>
        </w:rPr>
        <w:t xml:space="preserve">En cuanto a la producción </w:t>
      </w:r>
      <w:r w:rsidR="000F21BD">
        <w:rPr>
          <w:rFonts w:ascii="Calibri" w:hAnsi="Calibri"/>
          <w:sz w:val="20"/>
        </w:rPr>
        <w:t>orgánica</w:t>
      </w:r>
      <w:r>
        <w:rPr>
          <w:rFonts w:ascii="Calibri" w:hAnsi="Calibri"/>
          <w:sz w:val="20"/>
        </w:rPr>
        <w:t>, Ecuador cuenta actualmente con un marco legal para su regulación. En 2019, un total de 40.232,35</w:t>
      </w:r>
      <w:r w:rsidR="00692243">
        <w:rPr>
          <w:rStyle w:val="Refdenotaalpie"/>
          <w:rFonts w:cs="Calibri"/>
          <w:iCs/>
          <w:szCs w:val="20"/>
          <w:lang w:val="en-US"/>
        </w:rPr>
        <w:footnoteReference w:id="14"/>
      </w:r>
      <w:r>
        <w:rPr>
          <w:rFonts w:ascii="Calibri" w:hAnsi="Calibri"/>
          <w:sz w:val="20"/>
        </w:rPr>
        <w:t xml:space="preserve"> hectáreas se cultivaron bajo producción </w:t>
      </w:r>
      <w:r w:rsidR="000F21BD">
        <w:rPr>
          <w:rFonts w:ascii="Calibri" w:hAnsi="Calibri"/>
          <w:sz w:val="20"/>
        </w:rPr>
        <w:t>orgánica</w:t>
      </w:r>
      <w:r>
        <w:rPr>
          <w:rFonts w:ascii="Calibri" w:hAnsi="Calibri"/>
          <w:sz w:val="20"/>
        </w:rPr>
        <w:t xml:space="preserve">, lo que implica una producción anual estimada de aproximadamente 1,04 millones de toneladas. Además, 7.486,30 hectáreas estaban en proceso de transición a la producción </w:t>
      </w:r>
      <w:r w:rsidR="000F21BD">
        <w:rPr>
          <w:rFonts w:ascii="Calibri" w:hAnsi="Calibri"/>
          <w:sz w:val="20"/>
        </w:rPr>
        <w:t>orgánica</w:t>
      </w:r>
      <w:r>
        <w:rPr>
          <w:rFonts w:ascii="Calibri" w:hAnsi="Calibri"/>
          <w:sz w:val="20"/>
        </w:rPr>
        <w:t xml:space="preserve">, lo que supone una producción anual estimada de aproximadamente 184,18 mil toneladas. En total, la producción anual representa sólo cerca del 5% de la producción total de cultivos y sólo el 2% del total de hectáreas destinadas a la producción de cultivos. Considerando la superficie cultivada, las provincias con mayores porcentajes de producción </w:t>
      </w:r>
      <w:r w:rsidR="000F21BD">
        <w:rPr>
          <w:rFonts w:ascii="Calibri" w:hAnsi="Calibri"/>
          <w:sz w:val="20"/>
        </w:rPr>
        <w:t xml:space="preserve">orgánica </w:t>
      </w:r>
      <w:r>
        <w:rPr>
          <w:rFonts w:ascii="Calibri" w:hAnsi="Calibri"/>
          <w:sz w:val="20"/>
        </w:rPr>
        <w:t xml:space="preserve">son: Guayas (26,84%), El Oro (21,46%), Esmeraldas (11,67%), Los Ríos (9,64%) y Manabí (7,59%). Los principales cultivos de producción orgánica son: banano (corresponde al 76,86% del total de la producción </w:t>
      </w:r>
      <w:r w:rsidR="000F21BD">
        <w:rPr>
          <w:rFonts w:ascii="Calibri" w:hAnsi="Calibri"/>
          <w:sz w:val="20"/>
        </w:rPr>
        <w:t xml:space="preserve">orgánica </w:t>
      </w:r>
      <w:r>
        <w:rPr>
          <w:rFonts w:ascii="Calibri" w:hAnsi="Calibri"/>
          <w:sz w:val="20"/>
        </w:rPr>
        <w:t>anual estimada de cultivos), cacao (0,89%), quin</w:t>
      </w:r>
      <w:r w:rsidR="00430183">
        <w:rPr>
          <w:rFonts w:ascii="Calibri" w:hAnsi="Calibri"/>
          <w:sz w:val="20"/>
        </w:rPr>
        <w:t>u</w:t>
      </w:r>
      <w:r>
        <w:rPr>
          <w:rFonts w:ascii="Calibri" w:hAnsi="Calibri"/>
          <w:sz w:val="20"/>
        </w:rPr>
        <w:t xml:space="preserve">a (0,34%) y café (0,17%). </w:t>
      </w:r>
    </w:p>
    <w:p w14:paraId="2723D3A7" w14:textId="3D3B0BF2" w:rsidR="00EB2035" w:rsidRPr="009F2E71" w:rsidRDefault="00B519EA" w:rsidP="00A01ED7">
      <w:pPr>
        <w:spacing w:after="120"/>
        <w:jc w:val="both"/>
        <w:rPr>
          <w:rFonts w:ascii="Calibri" w:hAnsi="Calibri" w:cs="Calibri"/>
          <w:iCs/>
          <w:sz w:val="20"/>
          <w:szCs w:val="20"/>
        </w:rPr>
      </w:pPr>
      <w:r>
        <w:rPr>
          <w:rFonts w:ascii="Calibri" w:hAnsi="Calibri"/>
          <w:sz w:val="20"/>
        </w:rPr>
        <w:t xml:space="preserve">Dentro de la producción de cultivos orgánicos, el </w:t>
      </w:r>
      <w:r w:rsidR="00E65831">
        <w:rPr>
          <w:rFonts w:ascii="Calibri" w:hAnsi="Calibri"/>
          <w:sz w:val="20"/>
        </w:rPr>
        <w:t>p</w:t>
      </w:r>
      <w:r>
        <w:rPr>
          <w:rFonts w:ascii="Calibri" w:hAnsi="Calibri"/>
          <w:sz w:val="20"/>
        </w:rPr>
        <w:t>royecto Proamazonia ha hecho una contribución significativa principalmente en los cultivos de café y cacao, permitiendo la entrada de estos productos ecuatorianos a los mercados internacionales con diferenciación en términos de calidad y producción sostenible.</w:t>
      </w:r>
    </w:p>
    <w:p w14:paraId="162AAD2B" w14:textId="022D344E" w:rsidR="0089528A" w:rsidRPr="00D639C3" w:rsidRDefault="00F831BB" w:rsidP="00903E2E">
      <w:pPr>
        <w:spacing w:after="120"/>
        <w:rPr>
          <w:rFonts w:ascii="Calibri" w:hAnsi="Calibri" w:cs="Calibri"/>
          <w:i/>
          <w:sz w:val="20"/>
          <w:szCs w:val="20"/>
          <w:u w:val="single"/>
        </w:rPr>
      </w:pPr>
      <w:r>
        <w:rPr>
          <w:rFonts w:ascii="Calibri" w:hAnsi="Calibri"/>
          <w:i/>
          <w:sz w:val="20"/>
          <w:u w:val="single"/>
        </w:rPr>
        <w:t>Plásticos agrícolas - Escenario de referencia</w:t>
      </w:r>
    </w:p>
    <w:p w14:paraId="6336968F" w14:textId="1B321678" w:rsidR="00093D67" w:rsidRDefault="00480459" w:rsidP="00903E2E">
      <w:pPr>
        <w:spacing w:after="120"/>
        <w:jc w:val="both"/>
        <w:rPr>
          <w:rStyle w:val="Hipervnculo"/>
          <w:rFonts w:asciiTheme="minorHAnsi" w:hAnsiTheme="minorHAnsi" w:cstheme="minorHAnsi"/>
          <w:iCs/>
          <w:color w:val="000000" w:themeColor="text1"/>
          <w:sz w:val="20"/>
          <w:szCs w:val="20"/>
          <w:u w:val="none"/>
        </w:rPr>
      </w:pPr>
      <w:r>
        <w:rPr>
          <w:rStyle w:val="Hipervnculo"/>
          <w:rFonts w:asciiTheme="minorHAnsi" w:hAnsiTheme="minorHAnsi"/>
          <w:color w:val="000000" w:themeColor="text1"/>
          <w:sz w:val="20"/>
          <w:u w:val="none"/>
        </w:rPr>
        <w:t xml:space="preserve">Desde 2013, Ecuador regula la gestión de plásticos en la actividad agrícola a través del acuerdo ministerial 021 "Gestión integral de residuos plásticos de uso agrícola" donde se establece la </w:t>
      </w:r>
      <w:r w:rsidR="00122EFF">
        <w:rPr>
          <w:rStyle w:val="Hipervnculo"/>
          <w:rFonts w:asciiTheme="minorHAnsi" w:hAnsiTheme="minorHAnsi"/>
          <w:color w:val="000000" w:themeColor="text1"/>
          <w:sz w:val="20"/>
          <w:u w:val="none"/>
        </w:rPr>
        <w:t>R</w:t>
      </w:r>
      <w:r>
        <w:rPr>
          <w:rStyle w:val="Hipervnculo"/>
          <w:rFonts w:asciiTheme="minorHAnsi" w:hAnsiTheme="minorHAnsi"/>
          <w:color w:val="000000" w:themeColor="text1"/>
          <w:sz w:val="20"/>
          <w:u w:val="none"/>
        </w:rPr>
        <w:t xml:space="preserve">esponsabilidad </w:t>
      </w:r>
      <w:r w:rsidR="00122EFF">
        <w:rPr>
          <w:rStyle w:val="Hipervnculo"/>
          <w:rFonts w:asciiTheme="minorHAnsi" w:hAnsiTheme="minorHAnsi"/>
          <w:color w:val="000000" w:themeColor="text1"/>
          <w:sz w:val="20"/>
          <w:u w:val="none"/>
        </w:rPr>
        <w:t>E</w:t>
      </w:r>
      <w:r>
        <w:rPr>
          <w:rStyle w:val="Hipervnculo"/>
          <w:rFonts w:asciiTheme="minorHAnsi" w:hAnsiTheme="minorHAnsi"/>
          <w:color w:val="000000" w:themeColor="text1"/>
          <w:sz w:val="20"/>
          <w:u w:val="none"/>
        </w:rPr>
        <w:t xml:space="preserve">xtendida del </w:t>
      </w:r>
      <w:r w:rsidR="00122EFF">
        <w:rPr>
          <w:rStyle w:val="Hipervnculo"/>
          <w:rFonts w:asciiTheme="minorHAnsi" w:hAnsiTheme="minorHAnsi"/>
          <w:color w:val="000000" w:themeColor="text1"/>
          <w:sz w:val="20"/>
          <w:u w:val="none"/>
        </w:rPr>
        <w:t>P</w:t>
      </w:r>
      <w:r>
        <w:rPr>
          <w:rStyle w:val="Hipervnculo"/>
          <w:rFonts w:asciiTheme="minorHAnsi" w:hAnsiTheme="minorHAnsi"/>
          <w:color w:val="000000" w:themeColor="text1"/>
          <w:sz w:val="20"/>
          <w:u w:val="none"/>
        </w:rPr>
        <w:t xml:space="preserve">roductor (REP). El acuerdo incluye como residuos plásticos de uso agrícola los plásticos de invernadero, envases vacíos de productos agroquímicos con triple lavado, fundas biflex, </w:t>
      </w:r>
      <w:r w:rsidR="00DA37FA">
        <w:rPr>
          <w:rStyle w:val="Hipervnculo"/>
          <w:rFonts w:asciiTheme="minorHAnsi" w:hAnsiTheme="minorHAnsi"/>
          <w:color w:val="000000" w:themeColor="text1"/>
          <w:sz w:val="20"/>
          <w:u w:val="none"/>
          <w:lang w:val="es-EC"/>
        </w:rPr>
        <w:t xml:space="preserve">corbatines </w:t>
      </w:r>
      <w:r>
        <w:rPr>
          <w:rStyle w:val="Hipervnculo"/>
          <w:rFonts w:asciiTheme="minorHAnsi" w:hAnsiTheme="minorHAnsi"/>
          <w:color w:val="000000" w:themeColor="text1"/>
          <w:sz w:val="20"/>
          <w:u w:val="none"/>
        </w:rPr>
        <w:t>y protectores.</w:t>
      </w:r>
    </w:p>
    <w:p w14:paraId="10C5C20C" w14:textId="46E67831" w:rsidR="006A2562" w:rsidRDefault="006A2562" w:rsidP="00903E2E">
      <w:pPr>
        <w:spacing w:after="120"/>
        <w:jc w:val="both"/>
        <w:rPr>
          <w:rStyle w:val="Hipervnculo"/>
          <w:rFonts w:asciiTheme="minorHAnsi" w:hAnsiTheme="minorHAnsi" w:cstheme="minorHAnsi"/>
          <w:iCs/>
          <w:color w:val="000000" w:themeColor="text1"/>
          <w:sz w:val="20"/>
          <w:szCs w:val="20"/>
          <w:u w:val="none"/>
        </w:rPr>
      </w:pPr>
      <w:r>
        <w:rPr>
          <w:rStyle w:val="Hipervnculo"/>
          <w:rFonts w:asciiTheme="minorHAnsi" w:hAnsiTheme="minorHAnsi"/>
          <w:color w:val="000000" w:themeColor="text1"/>
          <w:sz w:val="20"/>
          <w:u w:val="none"/>
        </w:rPr>
        <w:t>El acuerdo proporciona instrucciones para establecer los requisitos, procedimientos y especificaciones ambientales para la elaboración, aplicación y control del Plan de Gestión Integral de Residuos Plásticos de Uso Agrícola; que deberá presentar el importador o fabricante, titular de registro o representante y de esta manera promover la reducción, reciclaje y otras formas de recuperación de los productos plásticos de aplicación agrícola con el fin de proteger el medio ambiente. El acuerdo también establece objetivos graduales con un aumento anual del 5% (sobre la base de un objetivo inicial del 20%) para la recolección de plásticos hasta alcanzar el objetivo del 100% en 2031. Excepto las Islas Galápagos, que tienen un objetivo de recogida del 100%.</w:t>
      </w:r>
    </w:p>
    <w:p w14:paraId="745F0F65" w14:textId="3B90A208" w:rsidR="00480459" w:rsidRDefault="00480459" w:rsidP="00903E2E">
      <w:pPr>
        <w:spacing w:after="120"/>
        <w:jc w:val="both"/>
        <w:rPr>
          <w:rStyle w:val="Hipervnculo"/>
          <w:rFonts w:asciiTheme="minorHAnsi" w:hAnsiTheme="minorHAnsi" w:cstheme="minorHAnsi"/>
          <w:iCs/>
          <w:color w:val="000000" w:themeColor="text1"/>
          <w:sz w:val="20"/>
          <w:szCs w:val="20"/>
          <w:u w:val="none"/>
        </w:rPr>
      </w:pPr>
      <w:r>
        <w:rPr>
          <w:rStyle w:val="Hipervnculo"/>
          <w:rFonts w:asciiTheme="minorHAnsi" w:hAnsiTheme="minorHAnsi"/>
          <w:color w:val="000000" w:themeColor="text1"/>
          <w:sz w:val="20"/>
          <w:u w:val="none"/>
        </w:rPr>
        <w:t>En base a información previa y con el detalle aportado por la Gestión de Residuos y Economía Circular (GRECI) del MAATE se generan los siguientes volúmenes de residuos plásticos (los datos corresponden principalmente a envases vacíos), recogidos y gestionados a través de asociaciones privadas.</w:t>
      </w:r>
    </w:p>
    <w:p w14:paraId="5F43B6F1" w14:textId="4DA76E66" w:rsidR="00C16692" w:rsidRPr="00E91AA9" w:rsidRDefault="0084623C" w:rsidP="0084623C">
      <w:pPr>
        <w:pStyle w:val="Descripcin"/>
        <w:keepNext/>
        <w:jc w:val="both"/>
        <w:rPr>
          <w:rStyle w:val="Hipervnculo"/>
          <w:rFonts w:asciiTheme="minorHAnsi" w:hAnsiTheme="minorHAnsi" w:cstheme="minorHAnsi"/>
          <w:color w:val="auto"/>
          <w:sz w:val="18"/>
          <w:szCs w:val="18"/>
          <w:u w:val="none"/>
        </w:rPr>
      </w:pPr>
      <w:bookmarkStart w:id="16" w:name="_Toc114650458"/>
      <w:r>
        <w:rPr>
          <w:rFonts w:asciiTheme="minorHAnsi" w:hAnsiTheme="minorHAnsi"/>
          <w:sz w:val="18"/>
        </w:rPr>
        <w:t xml:space="preserve">Tabla </w:t>
      </w:r>
      <w:r w:rsidRPr="00E91AA9">
        <w:rPr>
          <w:rFonts w:asciiTheme="minorHAnsi" w:hAnsiTheme="minorHAnsi" w:cstheme="minorHAnsi"/>
          <w:sz w:val="18"/>
        </w:rPr>
        <w:fldChar w:fldCharType="begin"/>
      </w:r>
      <w:r w:rsidRPr="00E91AA9">
        <w:rPr>
          <w:rFonts w:asciiTheme="minorHAnsi" w:hAnsiTheme="minorHAnsi" w:cstheme="minorHAnsi"/>
          <w:sz w:val="18"/>
        </w:rPr>
        <w:instrText xml:space="preserve"> SEQ Table \* ARABIC </w:instrText>
      </w:r>
      <w:r w:rsidRPr="00E91AA9">
        <w:rPr>
          <w:rFonts w:asciiTheme="minorHAnsi" w:hAnsiTheme="minorHAnsi" w:cstheme="minorHAnsi"/>
          <w:sz w:val="18"/>
        </w:rPr>
        <w:fldChar w:fldCharType="separate"/>
      </w:r>
      <w:r w:rsidR="004D0AC8">
        <w:rPr>
          <w:rFonts w:asciiTheme="minorHAnsi" w:hAnsiTheme="minorHAnsi" w:cstheme="minorHAnsi"/>
          <w:noProof/>
          <w:sz w:val="18"/>
        </w:rPr>
        <w:t>8</w:t>
      </w:r>
      <w:r w:rsidRPr="00E91AA9">
        <w:rPr>
          <w:rFonts w:asciiTheme="minorHAnsi" w:hAnsiTheme="minorHAnsi" w:cstheme="minorHAnsi"/>
          <w:sz w:val="18"/>
        </w:rPr>
        <w:fldChar w:fldCharType="end"/>
      </w:r>
      <w:r w:rsidR="00D23868">
        <w:rPr>
          <w:rFonts w:asciiTheme="minorHAnsi" w:hAnsiTheme="minorHAnsi" w:cstheme="minorHAnsi"/>
          <w:sz w:val="18"/>
        </w:rPr>
        <w:t xml:space="preserve">: </w:t>
      </w:r>
      <w:r w:rsidR="00D23868">
        <w:rPr>
          <w:rFonts w:asciiTheme="minorHAnsi" w:hAnsiTheme="minorHAnsi"/>
          <w:sz w:val="18"/>
        </w:rPr>
        <w:t>G</w:t>
      </w:r>
      <w:r>
        <w:rPr>
          <w:rFonts w:asciiTheme="minorHAnsi" w:hAnsiTheme="minorHAnsi"/>
          <w:sz w:val="18"/>
        </w:rPr>
        <w:t>estión de residuos plásticos agrícolas</w:t>
      </w:r>
      <w:bookmarkEnd w:id="16"/>
    </w:p>
    <w:tbl>
      <w:tblPr>
        <w:tblStyle w:val="Tablaconcuadrcula"/>
        <w:tblW w:w="9634" w:type="dxa"/>
        <w:tblLook w:val="04A0" w:firstRow="1" w:lastRow="0" w:firstColumn="1" w:lastColumn="0" w:noHBand="0" w:noVBand="1"/>
      </w:tblPr>
      <w:tblGrid>
        <w:gridCol w:w="2689"/>
        <w:gridCol w:w="1417"/>
        <w:gridCol w:w="1276"/>
        <w:gridCol w:w="1559"/>
        <w:gridCol w:w="1276"/>
        <w:gridCol w:w="1417"/>
      </w:tblGrid>
      <w:tr w:rsidR="004B1371" w:rsidRPr="00DF5E5A" w14:paraId="02EE0844" w14:textId="77777777" w:rsidTr="002351E8">
        <w:tc>
          <w:tcPr>
            <w:tcW w:w="2689" w:type="dxa"/>
          </w:tcPr>
          <w:p w14:paraId="62E61871" w14:textId="77777777" w:rsidR="004B1371" w:rsidRPr="002152FE" w:rsidRDefault="004B1371" w:rsidP="00015FFE">
            <w:pPr>
              <w:spacing w:after="120"/>
              <w:jc w:val="both"/>
              <w:rPr>
                <w:rStyle w:val="Hipervnculo"/>
                <w:rFonts w:asciiTheme="minorHAnsi" w:hAnsiTheme="minorHAnsi" w:cstheme="minorHAnsi"/>
                <w:iCs/>
                <w:color w:val="000000" w:themeColor="text1"/>
                <w:sz w:val="18"/>
                <w:szCs w:val="18"/>
                <w:u w:val="none"/>
                <w:lang w:val="es-EC"/>
              </w:rPr>
            </w:pPr>
          </w:p>
        </w:tc>
        <w:tc>
          <w:tcPr>
            <w:tcW w:w="1417" w:type="dxa"/>
            <w:vAlign w:val="center"/>
          </w:tcPr>
          <w:p w14:paraId="07424069" w14:textId="20680E8D"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2017</w:t>
            </w:r>
          </w:p>
        </w:tc>
        <w:tc>
          <w:tcPr>
            <w:tcW w:w="1276" w:type="dxa"/>
            <w:vAlign w:val="center"/>
          </w:tcPr>
          <w:p w14:paraId="30448816" w14:textId="5C1E08BE"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2018</w:t>
            </w:r>
          </w:p>
        </w:tc>
        <w:tc>
          <w:tcPr>
            <w:tcW w:w="1559" w:type="dxa"/>
            <w:vAlign w:val="center"/>
          </w:tcPr>
          <w:p w14:paraId="50257016" w14:textId="6433F8C2"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2019</w:t>
            </w:r>
          </w:p>
        </w:tc>
        <w:tc>
          <w:tcPr>
            <w:tcW w:w="1276" w:type="dxa"/>
            <w:vAlign w:val="center"/>
          </w:tcPr>
          <w:p w14:paraId="4749C965" w14:textId="5AE8F34E"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2020</w:t>
            </w:r>
          </w:p>
        </w:tc>
        <w:tc>
          <w:tcPr>
            <w:tcW w:w="1417" w:type="dxa"/>
            <w:vAlign w:val="center"/>
          </w:tcPr>
          <w:p w14:paraId="74BFF384" w14:textId="522B99A9"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2021</w:t>
            </w:r>
          </w:p>
        </w:tc>
      </w:tr>
      <w:tr w:rsidR="004B1371" w:rsidRPr="00DF5E5A" w14:paraId="3DA923F6" w14:textId="77777777" w:rsidTr="002351E8">
        <w:tc>
          <w:tcPr>
            <w:tcW w:w="2689" w:type="dxa"/>
          </w:tcPr>
          <w:p w14:paraId="00BFCF2E" w14:textId="53EAE0B7" w:rsidR="004B1371" w:rsidRPr="00393780" w:rsidRDefault="004B1371" w:rsidP="00015FFE">
            <w:pPr>
              <w:spacing w:after="120"/>
              <w:jc w:val="both"/>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Generación total de residuos plásticos agrícolas (Tm)</w:t>
            </w:r>
            <w:r>
              <w:rPr>
                <w:rStyle w:val="Refdenotaalpie"/>
                <w:color w:val="000000" w:themeColor="text1"/>
              </w:rPr>
              <w:t xml:space="preserve"> </w:t>
            </w:r>
            <w:r w:rsidR="00CD0D37">
              <w:rPr>
                <w:rStyle w:val="Refdenotaalpie"/>
                <w:rFonts w:cstheme="minorHAnsi"/>
                <w:iCs/>
                <w:color w:val="000000" w:themeColor="text1"/>
                <w:szCs w:val="18"/>
              </w:rPr>
              <w:footnoteReference w:id="15"/>
            </w:r>
          </w:p>
        </w:tc>
        <w:tc>
          <w:tcPr>
            <w:tcW w:w="1417" w:type="dxa"/>
            <w:vAlign w:val="center"/>
          </w:tcPr>
          <w:p w14:paraId="0A87894E" w14:textId="32DEE137" w:rsidR="004B1371" w:rsidRPr="00A7122F" w:rsidRDefault="00A7122F"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1189,6</w:t>
            </w:r>
          </w:p>
        </w:tc>
        <w:tc>
          <w:tcPr>
            <w:tcW w:w="1276" w:type="dxa"/>
            <w:vAlign w:val="center"/>
          </w:tcPr>
          <w:p w14:paraId="597BCD36" w14:textId="5628240E" w:rsidR="004B1371" w:rsidRPr="00A7122F" w:rsidRDefault="00A7122F"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1233,38</w:t>
            </w:r>
          </w:p>
        </w:tc>
        <w:tc>
          <w:tcPr>
            <w:tcW w:w="1559" w:type="dxa"/>
            <w:vAlign w:val="center"/>
          </w:tcPr>
          <w:p w14:paraId="7D7C759C" w14:textId="77804C0C"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1438,25</w:t>
            </w:r>
          </w:p>
        </w:tc>
        <w:tc>
          <w:tcPr>
            <w:tcW w:w="1276" w:type="dxa"/>
            <w:vAlign w:val="center"/>
          </w:tcPr>
          <w:p w14:paraId="2AB8EF70" w14:textId="2F72471B"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1311,66</w:t>
            </w:r>
          </w:p>
        </w:tc>
        <w:tc>
          <w:tcPr>
            <w:tcW w:w="1417" w:type="dxa"/>
            <w:vAlign w:val="center"/>
          </w:tcPr>
          <w:p w14:paraId="13C668A4" w14:textId="4E1EA183"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1359,15</w:t>
            </w:r>
          </w:p>
        </w:tc>
      </w:tr>
      <w:tr w:rsidR="004B1371" w:rsidRPr="00DF5E5A" w14:paraId="2B744BC8" w14:textId="77777777" w:rsidTr="002351E8">
        <w:tc>
          <w:tcPr>
            <w:tcW w:w="2689" w:type="dxa"/>
          </w:tcPr>
          <w:p w14:paraId="1CD559AE" w14:textId="0D29326C" w:rsidR="004B1371" w:rsidRPr="00DF5E5A" w:rsidRDefault="004B1371" w:rsidP="00015FFE">
            <w:pPr>
              <w:spacing w:after="120"/>
              <w:jc w:val="both"/>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Plástico agrícola recogido (Tm)</w:t>
            </w:r>
          </w:p>
        </w:tc>
        <w:tc>
          <w:tcPr>
            <w:tcW w:w="1417" w:type="dxa"/>
            <w:vAlign w:val="center"/>
          </w:tcPr>
          <w:p w14:paraId="1FB3896E" w14:textId="2C378942" w:rsidR="004B1371" w:rsidRPr="00DF5E5A" w:rsidRDefault="00CD0D37"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356,88</w:t>
            </w:r>
          </w:p>
        </w:tc>
        <w:tc>
          <w:tcPr>
            <w:tcW w:w="1276" w:type="dxa"/>
            <w:vAlign w:val="center"/>
          </w:tcPr>
          <w:p w14:paraId="3FDE1C5D" w14:textId="5693A341" w:rsidR="004B1371" w:rsidRPr="00DF5E5A" w:rsidRDefault="00CD0D37"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431,6</w:t>
            </w:r>
          </w:p>
        </w:tc>
        <w:tc>
          <w:tcPr>
            <w:tcW w:w="1559" w:type="dxa"/>
            <w:vAlign w:val="center"/>
          </w:tcPr>
          <w:p w14:paraId="46F2DF72" w14:textId="0B48E79B" w:rsidR="004B1371" w:rsidRPr="00DF5E5A" w:rsidRDefault="00E72E06"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585,75</w:t>
            </w:r>
          </w:p>
        </w:tc>
        <w:tc>
          <w:tcPr>
            <w:tcW w:w="1276" w:type="dxa"/>
            <w:vAlign w:val="center"/>
          </w:tcPr>
          <w:p w14:paraId="6E72F313" w14:textId="484F0D4A" w:rsidR="004B1371" w:rsidRPr="00DF5E5A" w:rsidRDefault="00E72E06"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704,76</w:t>
            </w:r>
          </w:p>
        </w:tc>
        <w:tc>
          <w:tcPr>
            <w:tcW w:w="1417" w:type="dxa"/>
            <w:vAlign w:val="center"/>
          </w:tcPr>
          <w:p w14:paraId="4AE417DD" w14:textId="3EAF0515"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727,31</w:t>
            </w:r>
          </w:p>
        </w:tc>
      </w:tr>
      <w:tr w:rsidR="00D45AFC" w:rsidRPr="00DF5E5A" w14:paraId="09261512" w14:textId="77777777" w:rsidTr="002351E8">
        <w:tc>
          <w:tcPr>
            <w:tcW w:w="2689" w:type="dxa"/>
          </w:tcPr>
          <w:p w14:paraId="0E30BB44" w14:textId="4D2548D9" w:rsidR="00D45AFC" w:rsidRPr="00DF5E5A" w:rsidRDefault="00D45AFC" w:rsidP="00015FFE">
            <w:pPr>
              <w:spacing w:after="120"/>
              <w:jc w:val="both"/>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 de plástico agrícola recogido</w:t>
            </w:r>
          </w:p>
        </w:tc>
        <w:tc>
          <w:tcPr>
            <w:tcW w:w="1417" w:type="dxa"/>
            <w:vAlign w:val="center"/>
          </w:tcPr>
          <w:p w14:paraId="7E8CE396" w14:textId="241CD33D" w:rsidR="00D45AFC" w:rsidRPr="002351E8" w:rsidRDefault="00CD0D37"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30%</w:t>
            </w:r>
          </w:p>
        </w:tc>
        <w:tc>
          <w:tcPr>
            <w:tcW w:w="1276" w:type="dxa"/>
            <w:vAlign w:val="center"/>
          </w:tcPr>
          <w:p w14:paraId="7E03E10F" w14:textId="601638EE" w:rsidR="00D45AFC" w:rsidRPr="002351E8" w:rsidRDefault="00CD0D37"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35%</w:t>
            </w:r>
          </w:p>
        </w:tc>
        <w:tc>
          <w:tcPr>
            <w:tcW w:w="1559" w:type="dxa"/>
            <w:vAlign w:val="center"/>
          </w:tcPr>
          <w:p w14:paraId="75DDE81E" w14:textId="0F50E758" w:rsidR="00D45AFC" w:rsidRPr="002351E8" w:rsidRDefault="00D45AFC"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40,7%</w:t>
            </w:r>
          </w:p>
        </w:tc>
        <w:tc>
          <w:tcPr>
            <w:tcW w:w="1276" w:type="dxa"/>
            <w:vAlign w:val="center"/>
          </w:tcPr>
          <w:p w14:paraId="5D1EC7D9" w14:textId="23DA3751" w:rsidR="00D45AFC" w:rsidRPr="00DF5E5A" w:rsidRDefault="00D45AFC"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53,7%</w:t>
            </w:r>
          </w:p>
        </w:tc>
        <w:tc>
          <w:tcPr>
            <w:tcW w:w="1417" w:type="dxa"/>
            <w:vAlign w:val="center"/>
          </w:tcPr>
          <w:p w14:paraId="00E5C0E7" w14:textId="227B1BE2" w:rsidR="00D45AFC" w:rsidRPr="00DF5E5A" w:rsidRDefault="00D45AFC"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53,5%</w:t>
            </w:r>
          </w:p>
        </w:tc>
      </w:tr>
      <w:tr w:rsidR="004B1371" w:rsidRPr="00DF5E5A" w14:paraId="0D0939D8" w14:textId="77777777" w:rsidTr="002351E8">
        <w:tc>
          <w:tcPr>
            <w:tcW w:w="2689" w:type="dxa"/>
          </w:tcPr>
          <w:p w14:paraId="0F3969EC" w14:textId="1FC322CF" w:rsidR="004B1371" w:rsidRPr="00DA37FA" w:rsidRDefault="004B1371" w:rsidP="00015FFE">
            <w:pPr>
              <w:spacing w:after="120"/>
              <w:jc w:val="both"/>
              <w:rPr>
                <w:rStyle w:val="Hipervnculo"/>
                <w:rFonts w:asciiTheme="minorHAnsi" w:hAnsiTheme="minorHAnsi" w:cstheme="minorHAnsi"/>
                <w:iCs/>
                <w:color w:val="000000" w:themeColor="text1"/>
                <w:sz w:val="18"/>
                <w:szCs w:val="18"/>
                <w:u w:val="none"/>
                <w:lang w:val="es-EC"/>
              </w:rPr>
            </w:pPr>
            <w:r>
              <w:rPr>
                <w:rStyle w:val="Hipervnculo"/>
                <w:rFonts w:asciiTheme="minorHAnsi" w:hAnsiTheme="minorHAnsi"/>
                <w:color w:val="000000" w:themeColor="text1"/>
                <w:sz w:val="18"/>
                <w:u w:val="none"/>
              </w:rPr>
              <w:t>Objetivo según MA</w:t>
            </w:r>
            <w:r w:rsidR="00DA37FA">
              <w:rPr>
                <w:rStyle w:val="Hipervnculo"/>
                <w:rFonts w:asciiTheme="minorHAnsi" w:hAnsiTheme="minorHAnsi"/>
                <w:color w:val="000000" w:themeColor="text1"/>
                <w:sz w:val="18"/>
                <w:u w:val="none"/>
                <w:lang w:val="es-EC"/>
              </w:rPr>
              <w:t>ATE</w:t>
            </w:r>
          </w:p>
        </w:tc>
        <w:tc>
          <w:tcPr>
            <w:tcW w:w="1417" w:type="dxa"/>
            <w:vAlign w:val="center"/>
          </w:tcPr>
          <w:p w14:paraId="27C74360" w14:textId="1A953C5A"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30%</w:t>
            </w:r>
          </w:p>
        </w:tc>
        <w:tc>
          <w:tcPr>
            <w:tcW w:w="1276" w:type="dxa"/>
            <w:vAlign w:val="center"/>
          </w:tcPr>
          <w:p w14:paraId="22707F8F" w14:textId="08303A8F"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35%</w:t>
            </w:r>
          </w:p>
        </w:tc>
        <w:tc>
          <w:tcPr>
            <w:tcW w:w="1559" w:type="dxa"/>
            <w:vAlign w:val="center"/>
          </w:tcPr>
          <w:p w14:paraId="50DA67F1" w14:textId="48AAB90A"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40%</w:t>
            </w:r>
          </w:p>
        </w:tc>
        <w:tc>
          <w:tcPr>
            <w:tcW w:w="1276" w:type="dxa"/>
            <w:vAlign w:val="center"/>
          </w:tcPr>
          <w:p w14:paraId="65D25DF8" w14:textId="6FBF76B8"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45%</w:t>
            </w:r>
          </w:p>
        </w:tc>
        <w:tc>
          <w:tcPr>
            <w:tcW w:w="1417" w:type="dxa"/>
            <w:vAlign w:val="center"/>
          </w:tcPr>
          <w:p w14:paraId="526BCFA1" w14:textId="27C76536" w:rsidR="004B1371" w:rsidRPr="00DF5E5A" w:rsidRDefault="004B1371" w:rsidP="002351E8">
            <w:pPr>
              <w:spacing w:after="120"/>
              <w:jc w:val="center"/>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50%</w:t>
            </w:r>
          </w:p>
        </w:tc>
      </w:tr>
    </w:tbl>
    <w:p w14:paraId="040B98B0" w14:textId="623F8A59" w:rsidR="004650A3" w:rsidRDefault="00D73B6C" w:rsidP="00D73B6C">
      <w:pPr>
        <w:spacing w:after="115"/>
        <w:jc w:val="both"/>
        <w:rPr>
          <w:rStyle w:val="Hipervnculo"/>
          <w:rFonts w:asciiTheme="minorHAnsi" w:hAnsiTheme="minorHAnsi" w:cstheme="minorHAnsi"/>
          <w:iCs/>
          <w:color w:val="000000" w:themeColor="text1"/>
          <w:sz w:val="18"/>
          <w:szCs w:val="18"/>
          <w:u w:val="none"/>
        </w:rPr>
      </w:pPr>
      <w:r>
        <w:rPr>
          <w:rStyle w:val="Hipervnculo"/>
          <w:rFonts w:asciiTheme="minorHAnsi" w:hAnsiTheme="minorHAnsi"/>
          <w:color w:val="000000" w:themeColor="text1"/>
          <w:sz w:val="18"/>
          <w:u w:val="none"/>
        </w:rPr>
        <w:t>Fuente: Equipo PPG</w:t>
      </w:r>
    </w:p>
    <w:p w14:paraId="287A84A7" w14:textId="3AAB6EDF" w:rsidR="00BC72FD" w:rsidRPr="00BC72FD" w:rsidRDefault="00BC72FD" w:rsidP="00D73B6C">
      <w:pPr>
        <w:spacing w:after="115"/>
        <w:jc w:val="both"/>
        <w:rPr>
          <w:rStyle w:val="Hipervnculo"/>
          <w:rFonts w:asciiTheme="minorHAnsi" w:hAnsiTheme="minorHAnsi" w:cstheme="minorHAnsi"/>
          <w:iCs/>
          <w:color w:val="000000" w:themeColor="text1"/>
          <w:sz w:val="20"/>
          <w:szCs w:val="20"/>
          <w:u w:val="none"/>
        </w:rPr>
      </w:pPr>
      <w:r>
        <w:rPr>
          <w:rStyle w:val="Hipervnculo"/>
          <w:rFonts w:asciiTheme="minorHAnsi" w:hAnsiTheme="minorHAnsi"/>
          <w:color w:val="000000" w:themeColor="text1"/>
          <w:sz w:val="20"/>
          <w:u w:val="none"/>
        </w:rPr>
        <w:t>Aunque el marco jurídico sienta las bases para la gestión integral de los residuos plásticos para uso agrícola, el país se enfrenta a numerosos retos para su aplicación. En primer lugar, la aplicación está siendo limitada debido a que la información relativa a la gestión de residuos plásticos sólo está disponible para envases de pesticidas. Hasta la fecha, no se ha informado de ningún otro plástico en los volúmenes de recol</w:t>
      </w:r>
      <w:r w:rsidR="008126AC">
        <w:rPr>
          <w:rStyle w:val="Hipervnculo"/>
          <w:rFonts w:asciiTheme="minorHAnsi" w:hAnsiTheme="minorHAnsi"/>
          <w:color w:val="000000" w:themeColor="text1"/>
          <w:sz w:val="20"/>
          <w:u w:val="none"/>
        </w:rPr>
        <w:t>e</w:t>
      </w:r>
      <w:r>
        <w:rPr>
          <w:rStyle w:val="Hipervnculo"/>
          <w:rFonts w:asciiTheme="minorHAnsi" w:hAnsiTheme="minorHAnsi"/>
          <w:color w:val="000000" w:themeColor="text1"/>
          <w:sz w:val="20"/>
          <w:u w:val="none"/>
        </w:rPr>
        <w:t>cción ni en las prácticas de tratamiento y eliminación relacionadas. En cuanto a los envases de pesticidas, los objetivos fijados por el acuerdo ministerial se están cumpliendo según la información oficial, siendo la incineración el único tratamiento evidenciado. Aunque se están desarrollando algunas iniciativas de reciclaje, éstas aún no han recibido la habilitación oficial del Ministerio de Medio Ambiente. Estos retos pueden abordarse mediante las actividades del proyecto.</w:t>
      </w:r>
    </w:p>
    <w:p w14:paraId="6C5A6AB0" w14:textId="7653B31F" w:rsidR="001F77C3" w:rsidRPr="00015FFE" w:rsidRDefault="007963D4" w:rsidP="00D73B6C">
      <w:pPr>
        <w:spacing w:after="115"/>
        <w:jc w:val="both"/>
        <w:rPr>
          <w:rStyle w:val="Hipervnculo"/>
          <w:rFonts w:asciiTheme="minorHAnsi" w:hAnsiTheme="minorHAnsi" w:cstheme="minorHAnsi"/>
          <w:iCs/>
          <w:color w:val="000000" w:themeColor="text1"/>
          <w:sz w:val="20"/>
          <w:szCs w:val="20"/>
          <w:u w:val="none"/>
        </w:rPr>
      </w:pPr>
      <w:r>
        <w:rPr>
          <w:rStyle w:val="Hipervnculo"/>
          <w:rFonts w:asciiTheme="minorHAnsi" w:hAnsiTheme="minorHAnsi"/>
          <w:color w:val="000000" w:themeColor="text1"/>
          <w:sz w:val="20"/>
          <w:u w:val="none"/>
        </w:rPr>
        <w:t>Del mismo modo, las prácticas de los agricultores a la hora de gestionar los envases vacíos son mejorables. Se constató que sólo el 76% de los agricultores consultados realizan el triple lavado del contenedor. En cuanto al destino del líquido de lavado, se reveló que el 83% lo vierte en la bomba de fumigación, mientras que el 8% y el 9% lo vierten en el suelo y en una masa de agua, respectivamente. Además, la siguiente tabla muestra las principales acciones para la eliminación final de los envases vacíos:</w:t>
      </w:r>
    </w:p>
    <w:p w14:paraId="76ED2149" w14:textId="3183FC80" w:rsidR="00DD044B" w:rsidRPr="00E11E68" w:rsidRDefault="00E11E68" w:rsidP="00E11E68">
      <w:pPr>
        <w:pStyle w:val="Descripcin"/>
        <w:keepNext/>
        <w:rPr>
          <w:rFonts w:asciiTheme="minorHAnsi" w:hAnsiTheme="minorHAnsi" w:cstheme="minorHAnsi"/>
          <w:sz w:val="18"/>
          <w:szCs w:val="18"/>
        </w:rPr>
      </w:pPr>
      <w:bookmarkStart w:id="17" w:name="_Toc114650459"/>
      <w:r>
        <w:rPr>
          <w:rFonts w:asciiTheme="minorHAnsi" w:hAnsiTheme="minorHAnsi"/>
          <w:sz w:val="18"/>
        </w:rPr>
        <w:t xml:space="preserve">Tabla </w:t>
      </w:r>
      <w:r w:rsidRPr="00E11E68">
        <w:rPr>
          <w:rFonts w:asciiTheme="minorHAnsi" w:hAnsiTheme="minorHAnsi" w:cstheme="minorHAnsi"/>
          <w:sz w:val="18"/>
        </w:rPr>
        <w:fldChar w:fldCharType="begin"/>
      </w:r>
      <w:r w:rsidRPr="00E11E68">
        <w:rPr>
          <w:rFonts w:asciiTheme="minorHAnsi" w:hAnsiTheme="minorHAnsi" w:cstheme="minorHAnsi"/>
          <w:sz w:val="18"/>
        </w:rPr>
        <w:instrText xml:space="preserve"> SEQ Table \* ARABIC </w:instrText>
      </w:r>
      <w:r w:rsidRPr="00E11E68">
        <w:rPr>
          <w:rFonts w:asciiTheme="minorHAnsi" w:hAnsiTheme="minorHAnsi" w:cstheme="minorHAnsi"/>
          <w:sz w:val="18"/>
        </w:rPr>
        <w:fldChar w:fldCharType="separate"/>
      </w:r>
      <w:r w:rsidR="004D0AC8">
        <w:rPr>
          <w:rFonts w:asciiTheme="minorHAnsi" w:hAnsiTheme="minorHAnsi" w:cstheme="minorHAnsi"/>
          <w:noProof/>
          <w:sz w:val="18"/>
        </w:rPr>
        <w:t>9</w:t>
      </w:r>
      <w:r w:rsidRPr="00E11E68">
        <w:rPr>
          <w:rFonts w:asciiTheme="minorHAnsi" w:hAnsiTheme="minorHAnsi" w:cstheme="minorHAnsi"/>
          <w:sz w:val="18"/>
        </w:rPr>
        <w:fldChar w:fldCharType="end"/>
      </w:r>
      <w:r>
        <w:rPr>
          <w:rFonts w:asciiTheme="minorHAnsi" w:hAnsiTheme="minorHAnsi"/>
          <w:sz w:val="18"/>
        </w:rPr>
        <w:t>: Destino de los contenedores vacíos</w:t>
      </w:r>
      <w:bookmarkEnd w:id="17"/>
    </w:p>
    <w:tbl>
      <w:tblPr>
        <w:tblStyle w:val="Tablaconcuadrcula"/>
        <w:tblW w:w="0" w:type="auto"/>
        <w:tblLook w:val="04A0" w:firstRow="1" w:lastRow="0" w:firstColumn="1" w:lastColumn="0" w:noHBand="0" w:noVBand="1"/>
      </w:tblPr>
      <w:tblGrid>
        <w:gridCol w:w="1870"/>
        <w:gridCol w:w="1870"/>
        <w:gridCol w:w="1075"/>
        <w:gridCol w:w="2665"/>
        <w:gridCol w:w="1870"/>
      </w:tblGrid>
      <w:tr w:rsidR="006E5AFB" w:rsidRPr="00FE10AE" w14:paraId="61FF9E30" w14:textId="77777777" w:rsidTr="00EC02E0">
        <w:tc>
          <w:tcPr>
            <w:tcW w:w="1870" w:type="dxa"/>
            <w:vMerge w:val="restart"/>
            <w:vAlign w:val="center"/>
          </w:tcPr>
          <w:p w14:paraId="2750024D" w14:textId="5DC9221F" w:rsidR="006E5AFB" w:rsidRPr="00FE10AE" w:rsidRDefault="001F77C3" w:rsidP="00BA3DD6">
            <w:pPr>
              <w:rPr>
                <w:rFonts w:asciiTheme="minorHAnsi" w:hAnsiTheme="minorHAnsi" w:cstheme="minorHAnsi"/>
                <w:iCs/>
                <w:sz w:val="20"/>
                <w:szCs w:val="20"/>
              </w:rPr>
            </w:pPr>
            <w:r>
              <w:rPr>
                <w:rFonts w:asciiTheme="minorHAnsi" w:hAnsiTheme="minorHAnsi"/>
                <w:sz w:val="20"/>
              </w:rPr>
              <w:t>Destino final de los contenedores vacíos</w:t>
            </w:r>
          </w:p>
        </w:tc>
        <w:tc>
          <w:tcPr>
            <w:tcW w:w="1870" w:type="dxa"/>
            <w:vMerge w:val="restart"/>
            <w:vAlign w:val="center"/>
          </w:tcPr>
          <w:p w14:paraId="43750503" w14:textId="501EEC67" w:rsidR="006E5AFB" w:rsidRPr="00FE10AE" w:rsidRDefault="001F77C3" w:rsidP="00BA3DD6">
            <w:pPr>
              <w:rPr>
                <w:rFonts w:asciiTheme="minorHAnsi" w:hAnsiTheme="minorHAnsi" w:cstheme="minorHAnsi"/>
                <w:iCs/>
                <w:sz w:val="20"/>
                <w:szCs w:val="20"/>
              </w:rPr>
            </w:pPr>
            <w:r>
              <w:rPr>
                <w:rFonts w:asciiTheme="minorHAnsi" w:hAnsiTheme="minorHAnsi"/>
                <w:sz w:val="20"/>
              </w:rPr>
              <w:t xml:space="preserve">Gestión de los contenedores vacíos </w:t>
            </w:r>
          </w:p>
        </w:tc>
        <w:tc>
          <w:tcPr>
            <w:tcW w:w="1075" w:type="dxa"/>
            <w:vMerge w:val="restart"/>
            <w:vAlign w:val="center"/>
          </w:tcPr>
          <w:p w14:paraId="7B4E110A" w14:textId="77777777" w:rsidR="006E5AFB" w:rsidRPr="00FE10AE" w:rsidRDefault="006E5AFB" w:rsidP="00BA3DD6">
            <w:pPr>
              <w:rPr>
                <w:rFonts w:asciiTheme="minorHAnsi" w:hAnsiTheme="minorHAnsi" w:cstheme="minorHAnsi"/>
                <w:iCs/>
                <w:sz w:val="20"/>
                <w:szCs w:val="20"/>
              </w:rPr>
            </w:pPr>
            <w:r>
              <w:rPr>
                <w:rFonts w:asciiTheme="minorHAnsi" w:hAnsiTheme="minorHAnsi"/>
                <w:sz w:val="20"/>
              </w:rPr>
              <w:t>15,69%</w:t>
            </w:r>
          </w:p>
        </w:tc>
        <w:tc>
          <w:tcPr>
            <w:tcW w:w="2665" w:type="dxa"/>
            <w:vAlign w:val="center"/>
          </w:tcPr>
          <w:p w14:paraId="7CF09B60" w14:textId="6DAD7873" w:rsidR="006E5AFB" w:rsidRPr="00FE10AE" w:rsidRDefault="004B74A3" w:rsidP="00BA3DD6">
            <w:pPr>
              <w:rPr>
                <w:rFonts w:asciiTheme="minorHAnsi" w:hAnsiTheme="minorHAnsi" w:cstheme="minorHAnsi"/>
                <w:iCs/>
                <w:sz w:val="20"/>
                <w:szCs w:val="20"/>
              </w:rPr>
            </w:pPr>
            <w:r>
              <w:rPr>
                <w:rFonts w:asciiTheme="minorHAnsi" w:hAnsiTheme="minorHAnsi"/>
                <w:sz w:val="20"/>
              </w:rPr>
              <w:t>Reutilización</w:t>
            </w:r>
          </w:p>
        </w:tc>
        <w:tc>
          <w:tcPr>
            <w:tcW w:w="1870" w:type="dxa"/>
            <w:vAlign w:val="center"/>
          </w:tcPr>
          <w:p w14:paraId="35859DB3"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20,70%</w:t>
            </w:r>
          </w:p>
        </w:tc>
      </w:tr>
      <w:tr w:rsidR="006E5AFB" w:rsidRPr="00FE10AE" w14:paraId="7848FA1D" w14:textId="77777777" w:rsidTr="00EC02E0">
        <w:tc>
          <w:tcPr>
            <w:tcW w:w="1870" w:type="dxa"/>
            <w:vMerge/>
            <w:vAlign w:val="center"/>
          </w:tcPr>
          <w:p w14:paraId="26648030" w14:textId="77777777" w:rsidR="006E5AFB" w:rsidRPr="00FE10AE" w:rsidRDefault="006E5AFB" w:rsidP="00BA3DD6">
            <w:pPr>
              <w:rPr>
                <w:rFonts w:asciiTheme="minorHAnsi" w:hAnsiTheme="minorHAnsi" w:cstheme="minorHAnsi"/>
                <w:iCs/>
                <w:sz w:val="20"/>
                <w:szCs w:val="20"/>
              </w:rPr>
            </w:pPr>
          </w:p>
        </w:tc>
        <w:tc>
          <w:tcPr>
            <w:tcW w:w="1870" w:type="dxa"/>
            <w:vMerge/>
            <w:vAlign w:val="center"/>
          </w:tcPr>
          <w:p w14:paraId="789688BA" w14:textId="77777777" w:rsidR="006E5AFB" w:rsidRPr="00FE10AE" w:rsidRDefault="006E5AFB" w:rsidP="00BA3DD6">
            <w:pPr>
              <w:rPr>
                <w:rFonts w:asciiTheme="minorHAnsi" w:hAnsiTheme="minorHAnsi" w:cstheme="minorHAnsi"/>
                <w:iCs/>
                <w:sz w:val="20"/>
                <w:szCs w:val="20"/>
              </w:rPr>
            </w:pPr>
          </w:p>
        </w:tc>
        <w:tc>
          <w:tcPr>
            <w:tcW w:w="1075" w:type="dxa"/>
            <w:vMerge/>
            <w:vAlign w:val="center"/>
          </w:tcPr>
          <w:p w14:paraId="420838DD" w14:textId="77777777" w:rsidR="006E5AFB" w:rsidRPr="00FE10AE" w:rsidRDefault="006E5AFB" w:rsidP="00BA3DD6">
            <w:pPr>
              <w:rPr>
                <w:rFonts w:asciiTheme="minorHAnsi" w:hAnsiTheme="minorHAnsi" w:cstheme="minorHAnsi"/>
                <w:iCs/>
                <w:sz w:val="20"/>
                <w:szCs w:val="20"/>
              </w:rPr>
            </w:pPr>
          </w:p>
        </w:tc>
        <w:tc>
          <w:tcPr>
            <w:tcW w:w="2665" w:type="dxa"/>
            <w:vAlign w:val="center"/>
          </w:tcPr>
          <w:p w14:paraId="507A4256" w14:textId="0FB8012E" w:rsidR="006E5AFB" w:rsidRPr="00FE10AE" w:rsidRDefault="004B74A3" w:rsidP="00BA3DD6">
            <w:pPr>
              <w:rPr>
                <w:rFonts w:asciiTheme="minorHAnsi" w:hAnsiTheme="minorHAnsi" w:cstheme="minorHAnsi"/>
                <w:iCs/>
                <w:sz w:val="20"/>
                <w:szCs w:val="20"/>
              </w:rPr>
            </w:pPr>
            <w:r>
              <w:rPr>
                <w:rFonts w:asciiTheme="minorHAnsi" w:hAnsiTheme="minorHAnsi"/>
                <w:sz w:val="20"/>
              </w:rPr>
              <w:t>Centro de acopio</w:t>
            </w:r>
          </w:p>
        </w:tc>
        <w:tc>
          <w:tcPr>
            <w:tcW w:w="1870" w:type="dxa"/>
            <w:vAlign w:val="center"/>
          </w:tcPr>
          <w:p w14:paraId="7D4FC517"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31,60%</w:t>
            </w:r>
          </w:p>
        </w:tc>
      </w:tr>
      <w:tr w:rsidR="006E5AFB" w:rsidRPr="00FE10AE" w14:paraId="45F41806" w14:textId="77777777" w:rsidTr="00EC02E0">
        <w:tc>
          <w:tcPr>
            <w:tcW w:w="1870" w:type="dxa"/>
            <w:vMerge/>
            <w:vAlign w:val="center"/>
          </w:tcPr>
          <w:p w14:paraId="22B026FE" w14:textId="77777777" w:rsidR="006E5AFB" w:rsidRPr="00FE10AE" w:rsidRDefault="006E5AFB" w:rsidP="00BA3DD6">
            <w:pPr>
              <w:rPr>
                <w:rFonts w:asciiTheme="minorHAnsi" w:hAnsiTheme="minorHAnsi" w:cstheme="minorHAnsi"/>
                <w:iCs/>
                <w:sz w:val="20"/>
                <w:szCs w:val="20"/>
              </w:rPr>
            </w:pPr>
          </w:p>
        </w:tc>
        <w:tc>
          <w:tcPr>
            <w:tcW w:w="1870" w:type="dxa"/>
            <w:vMerge/>
            <w:vAlign w:val="center"/>
          </w:tcPr>
          <w:p w14:paraId="5AD4ACDF" w14:textId="77777777" w:rsidR="006E5AFB" w:rsidRPr="00FE10AE" w:rsidRDefault="006E5AFB" w:rsidP="00BA3DD6">
            <w:pPr>
              <w:rPr>
                <w:rFonts w:asciiTheme="minorHAnsi" w:hAnsiTheme="minorHAnsi" w:cstheme="minorHAnsi"/>
                <w:iCs/>
                <w:sz w:val="20"/>
                <w:szCs w:val="20"/>
              </w:rPr>
            </w:pPr>
          </w:p>
        </w:tc>
        <w:tc>
          <w:tcPr>
            <w:tcW w:w="1075" w:type="dxa"/>
            <w:vMerge/>
            <w:vAlign w:val="center"/>
          </w:tcPr>
          <w:p w14:paraId="2BF8D59C" w14:textId="77777777" w:rsidR="006E5AFB" w:rsidRPr="00FE10AE" w:rsidRDefault="006E5AFB" w:rsidP="00BA3DD6">
            <w:pPr>
              <w:rPr>
                <w:rFonts w:asciiTheme="minorHAnsi" w:hAnsiTheme="minorHAnsi" w:cstheme="minorHAnsi"/>
                <w:iCs/>
                <w:sz w:val="20"/>
                <w:szCs w:val="20"/>
              </w:rPr>
            </w:pPr>
          </w:p>
        </w:tc>
        <w:tc>
          <w:tcPr>
            <w:tcW w:w="2665" w:type="dxa"/>
            <w:vAlign w:val="center"/>
          </w:tcPr>
          <w:p w14:paraId="0427790C" w14:textId="082EF98C" w:rsidR="006E5AFB" w:rsidRPr="00FE10AE" w:rsidRDefault="004B74A3" w:rsidP="00BA3DD6">
            <w:pPr>
              <w:rPr>
                <w:rFonts w:asciiTheme="minorHAnsi" w:hAnsiTheme="minorHAnsi" w:cstheme="minorHAnsi"/>
                <w:iCs/>
                <w:sz w:val="20"/>
                <w:szCs w:val="20"/>
              </w:rPr>
            </w:pPr>
            <w:r>
              <w:rPr>
                <w:rFonts w:asciiTheme="minorHAnsi" w:hAnsiTheme="minorHAnsi"/>
                <w:sz w:val="20"/>
              </w:rPr>
              <w:t xml:space="preserve">Entrega a </w:t>
            </w:r>
            <w:r w:rsidR="008126AC">
              <w:rPr>
                <w:rFonts w:asciiTheme="minorHAnsi" w:hAnsiTheme="minorHAnsi"/>
                <w:sz w:val="20"/>
              </w:rPr>
              <w:t>c</w:t>
            </w:r>
            <w:r>
              <w:rPr>
                <w:rFonts w:asciiTheme="minorHAnsi" w:hAnsiTheme="minorHAnsi"/>
                <w:sz w:val="20"/>
              </w:rPr>
              <w:t>omercio</w:t>
            </w:r>
          </w:p>
        </w:tc>
        <w:tc>
          <w:tcPr>
            <w:tcW w:w="1870" w:type="dxa"/>
            <w:vAlign w:val="center"/>
          </w:tcPr>
          <w:p w14:paraId="795B7DC0"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47,70%</w:t>
            </w:r>
          </w:p>
        </w:tc>
      </w:tr>
      <w:tr w:rsidR="006E5AFB" w:rsidRPr="00FE10AE" w14:paraId="652E71B7" w14:textId="77777777" w:rsidTr="00EC02E0">
        <w:tc>
          <w:tcPr>
            <w:tcW w:w="1870" w:type="dxa"/>
            <w:vMerge/>
            <w:vAlign w:val="center"/>
          </w:tcPr>
          <w:p w14:paraId="404A7FF6" w14:textId="77777777" w:rsidR="006E5AFB" w:rsidRPr="00FE10AE" w:rsidRDefault="006E5AFB" w:rsidP="00BA3DD6">
            <w:pPr>
              <w:rPr>
                <w:rFonts w:asciiTheme="minorHAnsi" w:hAnsiTheme="minorHAnsi" w:cstheme="minorHAnsi"/>
                <w:iCs/>
                <w:sz w:val="20"/>
                <w:szCs w:val="20"/>
              </w:rPr>
            </w:pPr>
          </w:p>
        </w:tc>
        <w:tc>
          <w:tcPr>
            <w:tcW w:w="1870" w:type="dxa"/>
            <w:vMerge w:val="restart"/>
            <w:vAlign w:val="center"/>
          </w:tcPr>
          <w:p w14:paraId="051BDBC9" w14:textId="767A54DF" w:rsidR="006E5AFB" w:rsidRPr="00FE10AE" w:rsidRDefault="001F77C3" w:rsidP="00BA3DD6">
            <w:pPr>
              <w:rPr>
                <w:rFonts w:asciiTheme="minorHAnsi" w:hAnsiTheme="minorHAnsi" w:cstheme="minorHAnsi"/>
                <w:iCs/>
                <w:sz w:val="20"/>
                <w:szCs w:val="20"/>
              </w:rPr>
            </w:pPr>
            <w:r>
              <w:rPr>
                <w:rFonts w:asciiTheme="minorHAnsi" w:hAnsiTheme="minorHAnsi"/>
                <w:sz w:val="20"/>
              </w:rPr>
              <w:t>Desecho de los envases vacíos</w:t>
            </w:r>
          </w:p>
        </w:tc>
        <w:tc>
          <w:tcPr>
            <w:tcW w:w="1075" w:type="dxa"/>
            <w:vMerge w:val="restart"/>
            <w:vAlign w:val="center"/>
          </w:tcPr>
          <w:p w14:paraId="18CB5236" w14:textId="77777777" w:rsidR="006E5AFB" w:rsidRPr="00FE10AE" w:rsidRDefault="006E5AFB" w:rsidP="00BA3DD6">
            <w:pPr>
              <w:rPr>
                <w:rFonts w:asciiTheme="minorHAnsi" w:hAnsiTheme="minorHAnsi" w:cstheme="minorHAnsi"/>
                <w:iCs/>
                <w:sz w:val="20"/>
                <w:szCs w:val="20"/>
              </w:rPr>
            </w:pPr>
            <w:r>
              <w:rPr>
                <w:rFonts w:asciiTheme="minorHAnsi" w:hAnsiTheme="minorHAnsi"/>
                <w:sz w:val="20"/>
              </w:rPr>
              <w:t>29,13%</w:t>
            </w:r>
          </w:p>
        </w:tc>
        <w:tc>
          <w:tcPr>
            <w:tcW w:w="2665" w:type="dxa"/>
            <w:vAlign w:val="center"/>
          </w:tcPr>
          <w:p w14:paraId="4B1DB131" w14:textId="6EF6B05D" w:rsidR="006E5AFB" w:rsidRPr="00FE10AE" w:rsidRDefault="004B74A3" w:rsidP="00BA3DD6">
            <w:pPr>
              <w:rPr>
                <w:rFonts w:asciiTheme="minorHAnsi" w:hAnsiTheme="minorHAnsi" w:cstheme="minorHAnsi"/>
                <w:iCs/>
                <w:sz w:val="20"/>
                <w:szCs w:val="20"/>
              </w:rPr>
            </w:pPr>
            <w:r>
              <w:rPr>
                <w:rFonts w:asciiTheme="minorHAnsi" w:hAnsiTheme="minorHAnsi"/>
                <w:sz w:val="20"/>
              </w:rPr>
              <w:t>Sobre el terreno</w:t>
            </w:r>
          </w:p>
        </w:tc>
        <w:tc>
          <w:tcPr>
            <w:tcW w:w="1870" w:type="dxa"/>
            <w:vAlign w:val="center"/>
          </w:tcPr>
          <w:p w14:paraId="4D237AE5"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35,80%</w:t>
            </w:r>
          </w:p>
        </w:tc>
      </w:tr>
      <w:tr w:rsidR="006E5AFB" w:rsidRPr="00FE10AE" w14:paraId="7D24D097" w14:textId="77777777" w:rsidTr="00EC02E0">
        <w:tc>
          <w:tcPr>
            <w:tcW w:w="1870" w:type="dxa"/>
            <w:vMerge/>
            <w:vAlign w:val="center"/>
          </w:tcPr>
          <w:p w14:paraId="41CD611B" w14:textId="77777777" w:rsidR="006E5AFB" w:rsidRPr="00FE10AE" w:rsidRDefault="006E5AFB" w:rsidP="00BA3DD6">
            <w:pPr>
              <w:rPr>
                <w:rFonts w:asciiTheme="minorHAnsi" w:hAnsiTheme="minorHAnsi" w:cstheme="minorHAnsi"/>
                <w:iCs/>
                <w:sz w:val="20"/>
                <w:szCs w:val="20"/>
              </w:rPr>
            </w:pPr>
          </w:p>
        </w:tc>
        <w:tc>
          <w:tcPr>
            <w:tcW w:w="1870" w:type="dxa"/>
            <w:vMerge/>
            <w:vAlign w:val="center"/>
          </w:tcPr>
          <w:p w14:paraId="7F132AA9" w14:textId="77777777" w:rsidR="006E5AFB" w:rsidRPr="00FE10AE" w:rsidRDefault="006E5AFB" w:rsidP="00BA3DD6">
            <w:pPr>
              <w:rPr>
                <w:rFonts w:asciiTheme="minorHAnsi" w:hAnsiTheme="minorHAnsi" w:cstheme="minorHAnsi"/>
                <w:iCs/>
                <w:sz w:val="20"/>
                <w:szCs w:val="20"/>
              </w:rPr>
            </w:pPr>
          </w:p>
        </w:tc>
        <w:tc>
          <w:tcPr>
            <w:tcW w:w="1075" w:type="dxa"/>
            <w:vMerge/>
            <w:vAlign w:val="center"/>
          </w:tcPr>
          <w:p w14:paraId="1D589E24" w14:textId="77777777" w:rsidR="006E5AFB" w:rsidRPr="00FE10AE" w:rsidRDefault="006E5AFB" w:rsidP="00BA3DD6">
            <w:pPr>
              <w:rPr>
                <w:rFonts w:asciiTheme="minorHAnsi" w:hAnsiTheme="minorHAnsi" w:cstheme="minorHAnsi"/>
                <w:iCs/>
                <w:sz w:val="20"/>
                <w:szCs w:val="20"/>
              </w:rPr>
            </w:pPr>
          </w:p>
        </w:tc>
        <w:tc>
          <w:tcPr>
            <w:tcW w:w="2665" w:type="dxa"/>
            <w:vAlign w:val="center"/>
          </w:tcPr>
          <w:p w14:paraId="6BB79195" w14:textId="5E9A027B" w:rsidR="006E5AFB" w:rsidRPr="00FE10AE" w:rsidRDefault="004B74A3" w:rsidP="00BA3DD6">
            <w:pPr>
              <w:rPr>
                <w:rFonts w:asciiTheme="minorHAnsi" w:hAnsiTheme="minorHAnsi" w:cstheme="minorHAnsi"/>
                <w:iCs/>
                <w:sz w:val="20"/>
                <w:szCs w:val="20"/>
              </w:rPr>
            </w:pPr>
            <w:r>
              <w:rPr>
                <w:rFonts w:asciiTheme="minorHAnsi" w:hAnsiTheme="minorHAnsi"/>
                <w:sz w:val="20"/>
              </w:rPr>
              <w:t>En residuos separados</w:t>
            </w:r>
          </w:p>
        </w:tc>
        <w:tc>
          <w:tcPr>
            <w:tcW w:w="1870" w:type="dxa"/>
            <w:vAlign w:val="center"/>
          </w:tcPr>
          <w:p w14:paraId="7C58FE68"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20,74%</w:t>
            </w:r>
          </w:p>
        </w:tc>
      </w:tr>
      <w:tr w:rsidR="006E5AFB" w:rsidRPr="00FE10AE" w14:paraId="2BCA46A8" w14:textId="77777777" w:rsidTr="00EC02E0">
        <w:tc>
          <w:tcPr>
            <w:tcW w:w="1870" w:type="dxa"/>
            <w:vMerge/>
            <w:vAlign w:val="center"/>
          </w:tcPr>
          <w:p w14:paraId="086337F4" w14:textId="77777777" w:rsidR="006E5AFB" w:rsidRPr="00FE10AE" w:rsidRDefault="006E5AFB" w:rsidP="00BA3DD6">
            <w:pPr>
              <w:rPr>
                <w:rFonts w:asciiTheme="minorHAnsi" w:hAnsiTheme="minorHAnsi" w:cstheme="minorHAnsi"/>
                <w:iCs/>
                <w:sz w:val="20"/>
                <w:szCs w:val="20"/>
              </w:rPr>
            </w:pPr>
          </w:p>
        </w:tc>
        <w:tc>
          <w:tcPr>
            <w:tcW w:w="1870" w:type="dxa"/>
            <w:vMerge/>
            <w:vAlign w:val="center"/>
          </w:tcPr>
          <w:p w14:paraId="6166524C" w14:textId="77777777" w:rsidR="006E5AFB" w:rsidRPr="00FE10AE" w:rsidRDefault="006E5AFB" w:rsidP="00BA3DD6">
            <w:pPr>
              <w:rPr>
                <w:rFonts w:asciiTheme="minorHAnsi" w:hAnsiTheme="minorHAnsi" w:cstheme="minorHAnsi"/>
                <w:iCs/>
                <w:sz w:val="20"/>
                <w:szCs w:val="20"/>
              </w:rPr>
            </w:pPr>
          </w:p>
        </w:tc>
        <w:tc>
          <w:tcPr>
            <w:tcW w:w="1075" w:type="dxa"/>
            <w:vMerge/>
            <w:vAlign w:val="center"/>
          </w:tcPr>
          <w:p w14:paraId="2D701277" w14:textId="77777777" w:rsidR="006E5AFB" w:rsidRPr="00FE10AE" w:rsidRDefault="006E5AFB" w:rsidP="00BA3DD6">
            <w:pPr>
              <w:rPr>
                <w:rFonts w:asciiTheme="minorHAnsi" w:hAnsiTheme="minorHAnsi" w:cstheme="minorHAnsi"/>
                <w:iCs/>
                <w:sz w:val="20"/>
                <w:szCs w:val="20"/>
              </w:rPr>
            </w:pPr>
          </w:p>
        </w:tc>
        <w:tc>
          <w:tcPr>
            <w:tcW w:w="2665" w:type="dxa"/>
            <w:vAlign w:val="center"/>
          </w:tcPr>
          <w:p w14:paraId="3F812570" w14:textId="0EFE27F4" w:rsidR="006E5AFB" w:rsidRPr="00FE10AE" w:rsidRDefault="004B74A3" w:rsidP="00BA3DD6">
            <w:pPr>
              <w:rPr>
                <w:rFonts w:asciiTheme="minorHAnsi" w:hAnsiTheme="minorHAnsi" w:cstheme="minorHAnsi"/>
                <w:iCs/>
                <w:sz w:val="20"/>
                <w:szCs w:val="20"/>
              </w:rPr>
            </w:pPr>
            <w:r>
              <w:rPr>
                <w:rFonts w:asciiTheme="minorHAnsi" w:hAnsiTheme="minorHAnsi"/>
                <w:sz w:val="20"/>
              </w:rPr>
              <w:t>En la basura normal</w:t>
            </w:r>
          </w:p>
        </w:tc>
        <w:tc>
          <w:tcPr>
            <w:tcW w:w="1870" w:type="dxa"/>
            <w:vAlign w:val="center"/>
          </w:tcPr>
          <w:p w14:paraId="58861B18"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43,46%</w:t>
            </w:r>
          </w:p>
        </w:tc>
      </w:tr>
      <w:tr w:rsidR="006E5AFB" w:rsidRPr="00FE10AE" w14:paraId="7CA5A9B6" w14:textId="77777777" w:rsidTr="00EC02E0">
        <w:tc>
          <w:tcPr>
            <w:tcW w:w="1870" w:type="dxa"/>
            <w:vMerge/>
            <w:vAlign w:val="center"/>
          </w:tcPr>
          <w:p w14:paraId="0A0553D5" w14:textId="77777777" w:rsidR="006E5AFB" w:rsidRPr="00FE10AE" w:rsidRDefault="006E5AFB" w:rsidP="00BA3DD6">
            <w:pPr>
              <w:rPr>
                <w:rFonts w:asciiTheme="minorHAnsi" w:hAnsiTheme="minorHAnsi" w:cstheme="minorHAnsi"/>
                <w:iCs/>
                <w:sz w:val="20"/>
                <w:szCs w:val="20"/>
              </w:rPr>
            </w:pPr>
          </w:p>
        </w:tc>
        <w:tc>
          <w:tcPr>
            <w:tcW w:w="1870" w:type="dxa"/>
            <w:vMerge w:val="restart"/>
            <w:vAlign w:val="center"/>
          </w:tcPr>
          <w:p w14:paraId="096DB9B8" w14:textId="5FC46FA9" w:rsidR="006E5AFB" w:rsidRPr="00FE10AE" w:rsidRDefault="001F77C3" w:rsidP="00BA3DD6">
            <w:pPr>
              <w:rPr>
                <w:rFonts w:asciiTheme="minorHAnsi" w:hAnsiTheme="minorHAnsi" w:cstheme="minorHAnsi"/>
                <w:iCs/>
                <w:sz w:val="20"/>
                <w:szCs w:val="20"/>
              </w:rPr>
            </w:pPr>
            <w:r>
              <w:rPr>
                <w:rFonts w:asciiTheme="minorHAnsi" w:hAnsiTheme="minorHAnsi"/>
                <w:sz w:val="20"/>
              </w:rPr>
              <w:t>Quema de envases vacíos</w:t>
            </w:r>
          </w:p>
        </w:tc>
        <w:tc>
          <w:tcPr>
            <w:tcW w:w="1075" w:type="dxa"/>
            <w:vMerge w:val="restart"/>
            <w:vAlign w:val="center"/>
          </w:tcPr>
          <w:p w14:paraId="517A892E" w14:textId="77777777" w:rsidR="006E5AFB" w:rsidRPr="00FE10AE" w:rsidRDefault="006E5AFB" w:rsidP="00BA3DD6">
            <w:pPr>
              <w:rPr>
                <w:rFonts w:asciiTheme="minorHAnsi" w:hAnsiTheme="minorHAnsi" w:cstheme="minorHAnsi"/>
                <w:iCs/>
                <w:sz w:val="20"/>
                <w:szCs w:val="20"/>
              </w:rPr>
            </w:pPr>
            <w:r>
              <w:rPr>
                <w:rFonts w:asciiTheme="minorHAnsi" w:hAnsiTheme="minorHAnsi"/>
                <w:sz w:val="20"/>
              </w:rPr>
              <w:t>46,90%</w:t>
            </w:r>
          </w:p>
        </w:tc>
        <w:tc>
          <w:tcPr>
            <w:tcW w:w="2665" w:type="dxa"/>
            <w:vAlign w:val="center"/>
          </w:tcPr>
          <w:p w14:paraId="64ED9289" w14:textId="06BD180C" w:rsidR="006E5AFB" w:rsidRPr="00FE10AE" w:rsidRDefault="00BD666A" w:rsidP="00BA3DD6">
            <w:pPr>
              <w:rPr>
                <w:rFonts w:asciiTheme="minorHAnsi" w:hAnsiTheme="minorHAnsi" w:cstheme="minorHAnsi"/>
                <w:iCs/>
                <w:sz w:val="20"/>
                <w:szCs w:val="20"/>
              </w:rPr>
            </w:pPr>
            <w:r>
              <w:rPr>
                <w:rFonts w:asciiTheme="minorHAnsi" w:hAnsiTheme="minorHAnsi"/>
                <w:sz w:val="20"/>
              </w:rPr>
              <w:t>Quema al aire libre</w:t>
            </w:r>
          </w:p>
        </w:tc>
        <w:tc>
          <w:tcPr>
            <w:tcW w:w="1870" w:type="dxa"/>
            <w:vAlign w:val="center"/>
          </w:tcPr>
          <w:p w14:paraId="091B7008"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98,06%</w:t>
            </w:r>
          </w:p>
        </w:tc>
      </w:tr>
      <w:tr w:rsidR="006E5AFB" w:rsidRPr="00FE10AE" w14:paraId="294E5B56" w14:textId="77777777" w:rsidTr="00EC02E0">
        <w:tc>
          <w:tcPr>
            <w:tcW w:w="1870" w:type="dxa"/>
            <w:vMerge/>
            <w:vAlign w:val="center"/>
          </w:tcPr>
          <w:p w14:paraId="7A6C9DE7" w14:textId="77777777" w:rsidR="006E5AFB" w:rsidRPr="00FE10AE" w:rsidRDefault="006E5AFB" w:rsidP="00BA3DD6">
            <w:pPr>
              <w:rPr>
                <w:rFonts w:asciiTheme="minorHAnsi" w:hAnsiTheme="minorHAnsi" w:cstheme="minorHAnsi"/>
                <w:iCs/>
                <w:sz w:val="20"/>
                <w:szCs w:val="20"/>
              </w:rPr>
            </w:pPr>
          </w:p>
        </w:tc>
        <w:tc>
          <w:tcPr>
            <w:tcW w:w="1870" w:type="dxa"/>
            <w:vMerge/>
            <w:vAlign w:val="center"/>
          </w:tcPr>
          <w:p w14:paraId="33F2B19C" w14:textId="77777777" w:rsidR="006E5AFB" w:rsidRPr="00FE10AE" w:rsidRDefault="006E5AFB" w:rsidP="00BA3DD6">
            <w:pPr>
              <w:rPr>
                <w:rFonts w:asciiTheme="minorHAnsi" w:hAnsiTheme="minorHAnsi" w:cstheme="minorHAnsi"/>
                <w:iCs/>
                <w:sz w:val="20"/>
                <w:szCs w:val="20"/>
              </w:rPr>
            </w:pPr>
          </w:p>
        </w:tc>
        <w:tc>
          <w:tcPr>
            <w:tcW w:w="1075" w:type="dxa"/>
            <w:vMerge/>
            <w:vAlign w:val="center"/>
          </w:tcPr>
          <w:p w14:paraId="00948FE8" w14:textId="77777777" w:rsidR="006E5AFB" w:rsidRPr="00FE10AE" w:rsidRDefault="006E5AFB" w:rsidP="00BA3DD6">
            <w:pPr>
              <w:rPr>
                <w:rFonts w:asciiTheme="minorHAnsi" w:hAnsiTheme="minorHAnsi" w:cstheme="minorHAnsi"/>
                <w:iCs/>
                <w:sz w:val="20"/>
                <w:szCs w:val="20"/>
              </w:rPr>
            </w:pPr>
          </w:p>
        </w:tc>
        <w:tc>
          <w:tcPr>
            <w:tcW w:w="2665" w:type="dxa"/>
            <w:vAlign w:val="center"/>
          </w:tcPr>
          <w:p w14:paraId="5E616FC7" w14:textId="7C668FE9" w:rsidR="006E5AFB" w:rsidRPr="00FE10AE" w:rsidRDefault="00BD666A" w:rsidP="00BA3DD6">
            <w:pPr>
              <w:rPr>
                <w:rFonts w:asciiTheme="minorHAnsi" w:hAnsiTheme="minorHAnsi" w:cstheme="minorHAnsi"/>
                <w:iCs/>
                <w:sz w:val="20"/>
                <w:szCs w:val="20"/>
              </w:rPr>
            </w:pPr>
            <w:r>
              <w:rPr>
                <w:rFonts w:asciiTheme="minorHAnsi" w:hAnsiTheme="minorHAnsi"/>
                <w:sz w:val="20"/>
              </w:rPr>
              <w:t>Incinerador de alta temperatura</w:t>
            </w:r>
          </w:p>
        </w:tc>
        <w:tc>
          <w:tcPr>
            <w:tcW w:w="1870" w:type="dxa"/>
            <w:vAlign w:val="center"/>
          </w:tcPr>
          <w:p w14:paraId="5B09FD7C"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1,94%</w:t>
            </w:r>
          </w:p>
        </w:tc>
      </w:tr>
      <w:tr w:rsidR="006E5AFB" w:rsidRPr="00FE10AE" w14:paraId="6318684C" w14:textId="77777777" w:rsidTr="00EC02E0">
        <w:tc>
          <w:tcPr>
            <w:tcW w:w="1870" w:type="dxa"/>
            <w:vMerge/>
            <w:vAlign w:val="center"/>
          </w:tcPr>
          <w:p w14:paraId="3E12AB30" w14:textId="77777777" w:rsidR="006E5AFB" w:rsidRPr="00FE10AE" w:rsidRDefault="006E5AFB" w:rsidP="00BA3DD6">
            <w:pPr>
              <w:rPr>
                <w:rFonts w:asciiTheme="minorHAnsi" w:hAnsiTheme="minorHAnsi" w:cstheme="minorHAnsi"/>
                <w:iCs/>
                <w:sz w:val="20"/>
                <w:szCs w:val="20"/>
              </w:rPr>
            </w:pPr>
          </w:p>
        </w:tc>
        <w:tc>
          <w:tcPr>
            <w:tcW w:w="1870" w:type="dxa"/>
            <w:vMerge w:val="restart"/>
            <w:vAlign w:val="center"/>
          </w:tcPr>
          <w:p w14:paraId="6D3E2C13" w14:textId="2A4EF54A" w:rsidR="006E5AFB" w:rsidRPr="00FE10AE" w:rsidRDefault="001F77C3" w:rsidP="00BA3DD6">
            <w:pPr>
              <w:rPr>
                <w:rFonts w:asciiTheme="minorHAnsi" w:hAnsiTheme="minorHAnsi" w:cstheme="minorHAnsi"/>
                <w:iCs/>
                <w:sz w:val="20"/>
                <w:szCs w:val="20"/>
              </w:rPr>
            </w:pPr>
            <w:r>
              <w:rPr>
                <w:rFonts w:asciiTheme="minorHAnsi" w:hAnsiTheme="minorHAnsi"/>
                <w:sz w:val="20"/>
              </w:rPr>
              <w:t>Entierro de contenedores vacíos</w:t>
            </w:r>
          </w:p>
        </w:tc>
        <w:tc>
          <w:tcPr>
            <w:tcW w:w="1075" w:type="dxa"/>
            <w:vMerge w:val="restart"/>
            <w:vAlign w:val="center"/>
          </w:tcPr>
          <w:p w14:paraId="052DB45D" w14:textId="77777777" w:rsidR="006E5AFB" w:rsidRPr="00FE10AE" w:rsidRDefault="006E5AFB" w:rsidP="00BA3DD6">
            <w:pPr>
              <w:rPr>
                <w:rFonts w:asciiTheme="minorHAnsi" w:hAnsiTheme="minorHAnsi" w:cstheme="minorHAnsi"/>
                <w:iCs/>
                <w:sz w:val="20"/>
                <w:szCs w:val="20"/>
              </w:rPr>
            </w:pPr>
            <w:r>
              <w:rPr>
                <w:rFonts w:asciiTheme="minorHAnsi" w:hAnsiTheme="minorHAnsi"/>
                <w:sz w:val="20"/>
              </w:rPr>
              <w:t>8,28%</w:t>
            </w:r>
          </w:p>
        </w:tc>
        <w:tc>
          <w:tcPr>
            <w:tcW w:w="2665" w:type="dxa"/>
            <w:vAlign w:val="center"/>
          </w:tcPr>
          <w:p w14:paraId="456D1725" w14:textId="74F94D60" w:rsidR="006E5AFB" w:rsidRPr="00FE10AE" w:rsidRDefault="00BD666A" w:rsidP="00BA3DD6">
            <w:pPr>
              <w:rPr>
                <w:rFonts w:asciiTheme="minorHAnsi" w:hAnsiTheme="minorHAnsi" w:cstheme="minorHAnsi"/>
                <w:iCs/>
                <w:sz w:val="20"/>
                <w:szCs w:val="20"/>
              </w:rPr>
            </w:pPr>
            <w:r>
              <w:rPr>
                <w:rFonts w:asciiTheme="minorHAnsi" w:hAnsiTheme="minorHAnsi"/>
                <w:sz w:val="20"/>
              </w:rPr>
              <w:t>Diferentes lugares</w:t>
            </w:r>
          </w:p>
        </w:tc>
        <w:tc>
          <w:tcPr>
            <w:tcW w:w="1870" w:type="dxa"/>
            <w:vAlign w:val="center"/>
          </w:tcPr>
          <w:p w14:paraId="051DCB99"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56,88%</w:t>
            </w:r>
          </w:p>
        </w:tc>
      </w:tr>
      <w:tr w:rsidR="006E5AFB" w:rsidRPr="00FE10AE" w14:paraId="4282FE7B" w14:textId="77777777" w:rsidTr="00EC02E0">
        <w:tc>
          <w:tcPr>
            <w:tcW w:w="1870" w:type="dxa"/>
            <w:vMerge/>
            <w:vAlign w:val="center"/>
          </w:tcPr>
          <w:p w14:paraId="3A6622E5" w14:textId="77777777" w:rsidR="006E5AFB" w:rsidRPr="00FE10AE" w:rsidRDefault="006E5AFB" w:rsidP="00BA3DD6">
            <w:pPr>
              <w:rPr>
                <w:rFonts w:asciiTheme="minorHAnsi" w:hAnsiTheme="minorHAnsi" w:cstheme="minorHAnsi"/>
                <w:iCs/>
                <w:sz w:val="20"/>
                <w:szCs w:val="20"/>
              </w:rPr>
            </w:pPr>
          </w:p>
        </w:tc>
        <w:tc>
          <w:tcPr>
            <w:tcW w:w="1870" w:type="dxa"/>
            <w:vMerge/>
            <w:vAlign w:val="center"/>
          </w:tcPr>
          <w:p w14:paraId="7B558B9F" w14:textId="77777777" w:rsidR="006E5AFB" w:rsidRPr="00FE10AE" w:rsidRDefault="006E5AFB" w:rsidP="00BA3DD6">
            <w:pPr>
              <w:rPr>
                <w:rFonts w:asciiTheme="minorHAnsi" w:hAnsiTheme="minorHAnsi" w:cstheme="minorHAnsi"/>
                <w:iCs/>
                <w:sz w:val="20"/>
                <w:szCs w:val="20"/>
              </w:rPr>
            </w:pPr>
          </w:p>
        </w:tc>
        <w:tc>
          <w:tcPr>
            <w:tcW w:w="1075" w:type="dxa"/>
            <w:vMerge/>
            <w:vAlign w:val="center"/>
          </w:tcPr>
          <w:p w14:paraId="1BDA4A33" w14:textId="77777777" w:rsidR="006E5AFB" w:rsidRPr="00FE10AE" w:rsidRDefault="006E5AFB" w:rsidP="00BA3DD6">
            <w:pPr>
              <w:rPr>
                <w:rFonts w:asciiTheme="minorHAnsi" w:hAnsiTheme="minorHAnsi" w:cstheme="minorHAnsi"/>
                <w:iCs/>
                <w:sz w:val="20"/>
                <w:szCs w:val="20"/>
              </w:rPr>
            </w:pPr>
          </w:p>
        </w:tc>
        <w:tc>
          <w:tcPr>
            <w:tcW w:w="2665" w:type="dxa"/>
            <w:vAlign w:val="center"/>
          </w:tcPr>
          <w:p w14:paraId="205D4EB0" w14:textId="15C7ED5D" w:rsidR="006E5AFB" w:rsidRPr="00FE10AE" w:rsidRDefault="00BD666A" w:rsidP="00BA3DD6">
            <w:pPr>
              <w:rPr>
                <w:rFonts w:asciiTheme="minorHAnsi" w:hAnsiTheme="minorHAnsi" w:cstheme="minorHAnsi"/>
                <w:iCs/>
                <w:sz w:val="20"/>
                <w:szCs w:val="20"/>
              </w:rPr>
            </w:pPr>
            <w:r>
              <w:rPr>
                <w:rFonts w:asciiTheme="minorHAnsi" w:hAnsiTheme="minorHAnsi"/>
                <w:sz w:val="20"/>
              </w:rPr>
              <w:t>Lugar específico identificado</w:t>
            </w:r>
          </w:p>
        </w:tc>
        <w:tc>
          <w:tcPr>
            <w:tcW w:w="1870" w:type="dxa"/>
            <w:vAlign w:val="center"/>
          </w:tcPr>
          <w:p w14:paraId="36A06658" w14:textId="77777777" w:rsidR="006E5AFB" w:rsidRPr="00FE10AE" w:rsidRDefault="006E5AFB" w:rsidP="00B830DF">
            <w:pPr>
              <w:jc w:val="center"/>
              <w:rPr>
                <w:rFonts w:asciiTheme="minorHAnsi" w:hAnsiTheme="minorHAnsi" w:cstheme="minorHAnsi"/>
                <w:iCs/>
                <w:sz w:val="20"/>
                <w:szCs w:val="20"/>
              </w:rPr>
            </w:pPr>
            <w:r>
              <w:rPr>
                <w:rFonts w:asciiTheme="minorHAnsi" w:hAnsiTheme="minorHAnsi"/>
                <w:sz w:val="20"/>
              </w:rPr>
              <w:t>43,12%</w:t>
            </w:r>
          </w:p>
        </w:tc>
      </w:tr>
    </w:tbl>
    <w:p w14:paraId="5F131842" w14:textId="354224B6" w:rsidR="00F50DF8" w:rsidRPr="004738F7" w:rsidRDefault="00C94A80" w:rsidP="004738F7">
      <w:pPr>
        <w:spacing w:after="120"/>
        <w:rPr>
          <w:rFonts w:ascii="Calibri" w:hAnsi="Calibri" w:cs="Calibri"/>
          <w:iCs/>
          <w:sz w:val="18"/>
          <w:szCs w:val="18"/>
        </w:rPr>
      </w:pPr>
      <w:r>
        <w:rPr>
          <w:rFonts w:ascii="Calibri" w:hAnsi="Calibri"/>
          <w:sz w:val="18"/>
        </w:rPr>
        <w:t>Fuente: Encuesta de Superficie y Producción Agropecuaria Continua (ESPAC) 2016</w:t>
      </w:r>
    </w:p>
    <w:p w14:paraId="6524BC6B" w14:textId="65B1B3C7" w:rsidR="00943E1D" w:rsidRDefault="00943E1D" w:rsidP="00903E2E">
      <w:pPr>
        <w:pStyle w:val="NormalWeb"/>
        <w:spacing w:before="0" w:beforeAutospacing="0" w:after="120" w:afterAutospacing="0"/>
        <w:rPr>
          <w:rStyle w:val="Hipervnculo"/>
          <w:rFonts w:asciiTheme="minorHAnsi" w:hAnsiTheme="minorHAnsi" w:cstheme="minorHAnsi"/>
          <w:iCs/>
          <w:color w:val="000000" w:themeColor="text1"/>
          <w:sz w:val="20"/>
          <w:szCs w:val="20"/>
          <w:u w:val="none"/>
        </w:rPr>
      </w:pPr>
      <w:r>
        <w:rPr>
          <w:rStyle w:val="Hipervnculo"/>
          <w:rFonts w:asciiTheme="minorHAnsi" w:hAnsiTheme="minorHAnsi"/>
          <w:color w:val="000000" w:themeColor="text1"/>
          <w:sz w:val="20"/>
          <w:u w:val="none"/>
        </w:rPr>
        <w:t>Esta información evidencia que la quema de envases vacíos es la práctica más aplicada para su eliminación. Aprovechando los esfuerzos de la campaña "Aliados del Ambiente" en el ámbito del proyecto PNGQ, este proyecto debería aumentar la concienciación y reforzar las capacidades para la gestión ambiental</w:t>
      </w:r>
      <w:r w:rsidR="002324C6">
        <w:rPr>
          <w:rStyle w:val="Hipervnculo"/>
          <w:rFonts w:asciiTheme="minorHAnsi" w:hAnsiTheme="minorHAnsi"/>
          <w:color w:val="000000" w:themeColor="text1"/>
          <w:sz w:val="20"/>
          <w:u w:val="none"/>
        </w:rPr>
        <w:t xml:space="preserve"> </w:t>
      </w:r>
      <w:r>
        <w:rPr>
          <w:rStyle w:val="Hipervnculo"/>
          <w:rFonts w:asciiTheme="minorHAnsi" w:hAnsiTheme="minorHAnsi"/>
          <w:color w:val="000000" w:themeColor="text1"/>
          <w:sz w:val="20"/>
          <w:u w:val="none"/>
        </w:rPr>
        <w:t>adecuada de los plásticos, especialmente entre los agricultores.</w:t>
      </w:r>
    </w:p>
    <w:p w14:paraId="4AA6D820" w14:textId="56753CF2" w:rsidR="00006870" w:rsidRPr="00B76EFC" w:rsidRDefault="00006870" w:rsidP="00903E2E">
      <w:pPr>
        <w:pStyle w:val="NormalWeb"/>
        <w:spacing w:before="0" w:beforeAutospacing="0" w:after="120" w:afterAutospacing="0"/>
        <w:rPr>
          <w:rFonts w:asciiTheme="minorHAnsi" w:eastAsia="Times New Roman" w:hAnsiTheme="minorHAnsi" w:cstheme="minorHAnsi"/>
          <w:i/>
          <w:iCs/>
          <w:sz w:val="20"/>
          <w:szCs w:val="20"/>
          <w:u w:val="single"/>
        </w:rPr>
      </w:pPr>
      <w:r>
        <w:rPr>
          <w:rFonts w:asciiTheme="minorHAnsi" w:hAnsiTheme="minorHAnsi"/>
          <w:i/>
          <w:sz w:val="20"/>
          <w:u w:val="single"/>
        </w:rPr>
        <w:t>Financiación del sector agrícola</w:t>
      </w:r>
    </w:p>
    <w:p w14:paraId="5013EC29" w14:textId="022219C6" w:rsidR="00AC616A" w:rsidRPr="00065F40" w:rsidRDefault="00335A80" w:rsidP="00903E2E">
      <w:pPr>
        <w:spacing w:after="120"/>
        <w:jc w:val="both"/>
        <w:rPr>
          <w:rFonts w:ascii="Calibri" w:hAnsi="Calibri" w:cs="Calibri"/>
          <w:iCs/>
          <w:color w:val="000000" w:themeColor="text1"/>
          <w:sz w:val="20"/>
          <w:szCs w:val="20"/>
        </w:rPr>
      </w:pPr>
      <w:r>
        <w:rPr>
          <w:rFonts w:ascii="Calibri" w:hAnsi="Calibri"/>
          <w:color w:val="000000" w:themeColor="text1"/>
          <w:sz w:val="20"/>
        </w:rPr>
        <w:t>Según el Global Financial Inclusion 2017, el 48,8% de los adultos no tiene ningún tipo de cuenta en el sistema financiero del país y esta condición es aún peor para las mujeres (57,4%) que para los hombres (60,2%). A nivel nacional, el 31,9% de los ecuatorianos adultos ha tenido la oportunidad de acceder a un préstamo en el último año y en el caso de las mujeres, esta cifra es sólo del 24,9% frente al 39,0% de los hombres. Una situación similar se da en la población más pobre (25,6%) y en los habitantes de las zonas rurales (29,0%). Sólo el 11,8% de los préstamos procedían de una institución financiera y en la zona rural era el 11,0%. Además, las mujeres de las zonas rurales han tenido menos acceso al crédito del sistema financiero (8,2%) que los hombres (15,6%).</w:t>
      </w:r>
    </w:p>
    <w:p w14:paraId="0F0BA084" w14:textId="0524B7BC" w:rsidR="00217670" w:rsidRPr="00065F40" w:rsidRDefault="00217670" w:rsidP="00903E2E">
      <w:pPr>
        <w:spacing w:after="120"/>
        <w:jc w:val="both"/>
        <w:rPr>
          <w:rFonts w:ascii="Calibri" w:hAnsi="Calibri" w:cs="Calibri"/>
          <w:iCs/>
          <w:color w:val="000000" w:themeColor="text1"/>
          <w:sz w:val="20"/>
          <w:szCs w:val="20"/>
        </w:rPr>
      </w:pPr>
      <w:r>
        <w:rPr>
          <w:rFonts w:ascii="Calibri" w:hAnsi="Calibri"/>
          <w:color w:val="000000" w:themeColor="text1"/>
          <w:sz w:val="20"/>
        </w:rPr>
        <w:t xml:space="preserve">El </w:t>
      </w:r>
      <w:r w:rsidR="00E65831">
        <w:rPr>
          <w:rFonts w:ascii="Calibri" w:hAnsi="Calibri"/>
          <w:color w:val="000000" w:themeColor="text1"/>
          <w:sz w:val="20"/>
        </w:rPr>
        <w:t>S</w:t>
      </w:r>
      <w:r>
        <w:rPr>
          <w:rFonts w:ascii="Calibri" w:hAnsi="Calibri"/>
          <w:color w:val="000000" w:themeColor="text1"/>
          <w:sz w:val="20"/>
        </w:rPr>
        <w:t xml:space="preserve">istema </w:t>
      </w:r>
      <w:r w:rsidR="00E65831">
        <w:rPr>
          <w:rFonts w:ascii="Calibri" w:hAnsi="Calibri"/>
          <w:color w:val="000000" w:themeColor="text1"/>
          <w:sz w:val="20"/>
        </w:rPr>
        <w:t>F</w:t>
      </w:r>
      <w:r>
        <w:rPr>
          <w:rFonts w:ascii="Calibri" w:hAnsi="Calibri"/>
          <w:color w:val="000000" w:themeColor="text1"/>
          <w:sz w:val="20"/>
        </w:rPr>
        <w:t xml:space="preserve">inanciero </w:t>
      </w:r>
      <w:r w:rsidR="00E65831">
        <w:rPr>
          <w:rFonts w:ascii="Calibri" w:hAnsi="Calibri"/>
          <w:color w:val="000000" w:themeColor="text1"/>
          <w:sz w:val="20"/>
        </w:rPr>
        <w:t>N</w:t>
      </w:r>
      <w:r>
        <w:rPr>
          <w:rFonts w:ascii="Calibri" w:hAnsi="Calibri"/>
          <w:color w:val="000000" w:themeColor="text1"/>
          <w:sz w:val="20"/>
        </w:rPr>
        <w:t>acional (SFN) está formado por los sectores público, privado, y popular y solidario, que intermedian recursos del público. El SFN, formado por bancos privados y públicos, es el principal financiador de este sector con una participación del 82,9%; mientras que la Superintendencia de Economía Popular y Solidaria (SFPS), formada por cooperativas y mutua</w:t>
      </w:r>
      <w:r w:rsidR="00BB1588">
        <w:rPr>
          <w:rFonts w:ascii="Calibri" w:hAnsi="Calibri"/>
          <w:color w:val="000000" w:themeColor="text1"/>
          <w:sz w:val="20"/>
        </w:rPr>
        <w:t>lista</w:t>
      </w:r>
      <w:r>
        <w:rPr>
          <w:rFonts w:ascii="Calibri" w:hAnsi="Calibri"/>
          <w:color w:val="000000" w:themeColor="text1"/>
          <w:sz w:val="20"/>
        </w:rPr>
        <w:t xml:space="preserve">s de ahorro y crédito, financió el 17,1%. Profundizando en el sector agropecuario, forestal, pecuario y pesquero, se observa que en el periodo 2016-2021, el volumen de crédito otorgado por las entidades del </w:t>
      </w:r>
      <w:r w:rsidR="00E65831">
        <w:rPr>
          <w:rFonts w:ascii="Calibri" w:hAnsi="Calibri"/>
          <w:color w:val="000000" w:themeColor="text1"/>
          <w:sz w:val="20"/>
        </w:rPr>
        <w:t>S</w:t>
      </w:r>
      <w:r>
        <w:rPr>
          <w:rFonts w:ascii="Calibri" w:hAnsi="Calibri"/>
          <w:color w:val="000000" w:themeColor="text1"/>
          <w:sz w:val="20"/>
        </w:rPr>
        <w:t xml:space="preserve">istema </w:t>
      </w:r>
      <w:r w:rsidR="00E65831">
        <w:rPr>
          <w:rFonts w:ascii="Calibri" w:hAnsi="Calibri"/>
          <w:color w:val="000000" w:themeColor="text1"/>
          <w:sz w:val="20"/>
        </w:rPr>
        <w:t>F</w:t>
      </w:r>
      <w:r>
        <w:rPr>
          <w:rFonts w:ascii="Calibri" w:hAnsi="Calibri"/>
          <w:color w:val="000000" w:themeColor="text1"/>
          <w:sz w:val="20"/>
        </w:rPr>
        <w:t xml:space="preserve">inanciero </w:t>
      </w:r>
      <w:r w:rsidR="00E65831">
        <w:rPr>
          <w:rFonts w:ascii="Calibri" w:hAnsi="Calibri"/>
          <w:color w:val="000000" w:themeColor="text1"/>
          <w:sz w:val="20"/>
        </w:rPr>
        <w:t>N</w:t>
      </w:r>
      <w:r>
        <w:rPr>
          <w:rFonts w:ascii="Calibri" w:hAnsi="Calibri"/>
          <w:color w:val="000000" w:themeColor="text1"/>
          <w:sz w:val="20"/>
        </w:rPr>
        <w:t xml:space="preserve">acional (SFN) y del </w:t>
      </w:r>
      <w:r w:rsidR="00E65831">
        <w:rPr>
          <w:rFonts w:ascii="Calibri" w:hAnsi="Calibri"/>
          <w:color w:val="000000" w:themeColor="text1"/>
          <w:sz w:val="20"/>
        </w:rPr>
        <w:t>S</w:t>
      </w:r>
      <w:r>
        <w:rPr>
          <w:rFonts w:ascii="Calibri" w:hAnsi="Calibri"/>
          <w:color w:val="000000" w:themeColor="text1"/>
          <w:sz w:val="20"/>
        </w:rPr>
        <w:t xml:space="preserve">istema </w:t>
      </w:r>
      <w:r w:rsidR="00E65831">
        <w:rPr>
          <w:rFonts w:ascii="Calibri" w:hAnsi="Calibri"/>
          <w:color w:val="000000" w:themeColor="text1"/>
          <w:sz w:val="20"/>
        </w:rPr>
        <w:t>F</w:t>
      </w:r>
      <w:r>
        <w:rPr>
          <w:rFonts w:ascii="Calibri" w:hAnsi="Calibri"/>
          <w:color w:val="000000" w:themeColor="text1"/>
          <w:sz w:val="20"/>
        </w:rPr>
        <w:t xml:space="preserve">inanciero </w:t>
      </w:r>
      <w:r w:rsidR="00E65831">
        <w:rPr>
          <w:rFonts w:ascii="Calibri" w:hAnsi="Calibri"/>
          <w:color w:val="000000" w:themeColor="text1"/>
          <w:sz w:val="20"/>
        </w:rPr>
        <w:t>P</w:t>
      </w:r>
      <w:r>
        <w:rPr>
          <w:rFonts w:ascii="Calibri" w:hAnsi="Calibri"/>
          <w:color w:val="000000" w:themeColor="text1"/>
          <w:sz w:val="20"/>
        </w:rPr>
        <w:t xml:space="preserve">opular y </w:t>
      </w:r>
      <w:r w:rsidR="00E65831">
        <w:rPr>
          <w:rFonts w:ascii="Calibri" w:hAnsi="Calibri"/>
          <w:color w:val="000000" w:themeColor="text1"/>
          <w:sz w:val="20"/>
        </w:rPr>
        <w:t>S</w:t>
      </w:r>
      <w:r>
        <w:rPr>
          <w:rFonts w:ascii="Calibri" w:hAnsi="Calibri"/>
          <w:color w:val="000000" w:themeColor="text1"/>
          <w:sz w:val="20"/>
        </w:rPr>
        <w:t>olidario (SFPS) fue de USD 2.892,4 millones, equivalente al 2,8% del PIB y con una participación del 8,4% con relación al volumen total de crédito a nivel nacional, en promedio para el periodo.</w:t>
      </w:r>
    </w:p>
    <w:p w14:paraId="64C88B4B" w14:textId="69442DC6" w:rsidR="002D6B1A" w:rsidRDefault="00E51B4D" w:rsidP="00903E2E">
      <w:pPr>
        <w:spacing w:after="120"/>
        <w:jc w:val="both"/>
        <w:rPr>
          <w:rFonts w:ascii="Calibri" w:hAnsi="Calibri" w:cs="Calibri"/>
          <w:iCs/>
          <w:color w:val="000000" w:themeColor="text1"/>
          <w:sz w:val="20"/>
          <w:szCs w:val="20"/>
        </w:rPr>
      </w:pPr>
      <w:r>
        <w:rPr>
          <w:rFonts w:ascii="Calibri" w:hAnsi="Calibri"/>
          <w:color w:val="000000" w:themeColor="text1"/>
          <w:sz w:val="20"/>
        </w:rPr>
        <w:t>En relación con el tipo de préstamos que se concedieron, el 51,8% fueron préstamos comerciales, 37,5% microcréditos, 9,8% préstamos productivos, entre otros. A nivel territorial, el 86,3% del volumen de crédito se concentró en las provincias de Guayas, Pichincha, Manabí, El Oro, Los Ríos, Tungurahua, Cotopaxi, Chimborazo, Loja y Azuay; mientras que en el resto de provincias el valor es marginal.</w:t>
      </w:r>
    </w:p>
    <w:p w14:paraId="5E8B8CE8" w14:textId="798B73A6" w:rsidR="00044FCF" w:rsidRPr="00065F40" w:rsidRDefault="00044FCF" w:rsidP="00903E2E">
      <w:pPr>
        <w:spacing w:after="120"/>
        <w:jc w:val="both"/>
        <w:rPr>
          <w:rFonts w:ascii="Calibri" w:hAnsi="Calibri" w:cs="Calibri"/>
          <w:iCs/>
          <w:color w:val="000000" w:themeColor="text1"/>
          <w:sz w:val="20"/>
          <w:szCs w:val="20"/>
        </w:rPr>
      </w:pPr>
      <w:r>
        <w:rPr>
          <w:rFonts w:ascii="Calibri" w:hAnsi="Calibri"/>
          <w:color w:val="000000" w:themeColor="text1"/>
          <w:sz w:val="20"/>
        </w:rPr>
        <w:t>Dentro del sector de agricultura, silvicultura, ganadería y pesca, los subsectores que concentran el mayor volumen de crédito en el SFN fueron: acuicultura marina, pesca, fruticultura, ganadería y avicultura, que en conjunto participan en el volumen de crédito con 62,6%, en promedio. El principal tipo de crédito para el sector agricultura, silvicultura, ganadería y pesca que han otorgado las entidades del Sistema Financiero Nacional ha sido concedido por la banca privada (77,1%), seguida de las entidades financieras públicas (22,2%). Cabe destacar que hasta 2019, las entidades financieras públicas habían ido creciendo en su participación en el volumen de crédito hasta 2019, alcanzando el 27,3%, para luego caer a menos de la mitad con el 12,1% en 2021. En cuanto a la participación de la banca pública, ésta se concentra principalmente en BanEcuador B.P. con 71.4%, seguido por Corporación Financiera Nacional B.P. con 26.3%</w:t>
      </w:r>
      <w:r w:rsidR="003271A9">
        <w:rPr>
          <w:rFonts w:ascii="Calibri" w:hAnsi="Calibri"/>
          <w:color w:val="000000" w:themeColor="text1"/>
          <w:sz w:val="20"/>
        </w:rPr>
        <w:t>.</w:t>
      </w:r>
    </w:p>
    <w:p w14:paraId="42528A4C" w14:textId="6CA966C2" w:rsidR="00756251" w:rsidRPr="00D20363" w:rsidRDefault="00AC616A" w:rsidP="00903E2E">
      <w:pPr>
        <w:spacing w:after="120"/>
        <w:rPr>
          <w:rFonts w:asciiTheme="minorHAnsi" w:hAnsiTheme="minorHAnsi" w:cstheme="minorHAnsi"/>
          <w:i/>
          <w:sz w:val="20"/>
          <w:szCs w:val="20"/>
          <w:u w:val="single"/>
        </w:rPr>
      </w:pPr>
      <w:r>
        <w:rPr>
          <w:rFonts w:asciiTheme="minorHAnsi" w:hAnsiTheme="minorHAnsi"/>
          <w:i/>
          <w:sz w:val="20"/>
          <w:u w:val="single"/>
        </w:rPr>
        <w:t>Impacto de la pandemia COVID-19 y el conflicto entre Rusia y Ucrania en el sector agrícola</w:t>
      </w:r>
    </w:p>
    <w:p w14:paraId="2E04390C" w14:textId="1EDC7373" w:rsidR="00AC616A" w:rsidRDefault="00756251" w:rsidP="00903E2E">
      <w:pPr>
        <w:spacing w:after="120"/>
        <w:jc w:val="both"/>
        <w:rPr>
          <w:rFonts w:asciiTheme="minorHAnsi" w:hAnsiTheme="minorHAnsi" w:cstheme="minorHAnsi"/>
          <w:sz w:val="20"/>
          <w:szCs w:val="20"/>
        </w:rPr>
      </w:pPr>
      <w:r>
        <w:rPr>
          <w:rFonts w:asciiTheme="minorHAnsi" w:hAnsiTheme="minorHAnsi"/>
          <w:sz w:val="20"/>
        </w:rPr>
        <w:t>La pandemia de COVID-19 ha dejado profundas secuelas en la economía de países de todo el mundo. Estos efectos se han complementado con otros, dando lugar a aumentos de la inseguridad alimentaria, aunque diferenciados en función de las condiciones estructurales y coyunturales de cada país y cada territorio. Especialmente en Ecuador</w:t>
      </w:r>
      <w:r w:rsidR="00C62DB7">
        <w:rPr>
          <w:rStyle w:val="Refdenotaalpie"/>
          <w:rFonts w:cstheme="minorHAnsi"/>
          <w:szCs w:val="20"/>
          <w:lang w:val="en-US"/>
        </w:rPr>
        <w:footnoteReference w:id="16"/>
      </w:r>
      <w:r>
        <w:rPr>
          <w:rFonts w:asciiTheme="minorHAnsi" w:hAnsiTheme="minorHAnsi"/>
          <w:sz w:val="20"/>
        </w:rPr>
        <w:t xml:space="preserve">, </w:t>
      </w:r>
      <w:r>
        <w:rPr>
          <w:rFonts w:asciiTheme="minorHAnsi" w:hAnsiTheme="minorHAnsi"/>
          <w:b/>
          <w:sz w:val="20"/>
        </w:rPr>
        <w:t>los</w:t>
      </w:r>
      <w:r>
        <w:rPr>
          <w:rFonts w:asciiTheme="minorHAnsi" w:hAnsiTheme="minorHAnsi"/>
          <w:sz w:val="20"/>
        </w:rPr>
        <w:t xml:space="preserve"> efectos inmediatos de la pandemia, tales como infecciones, muertes, aumento de la violencia doméstica, caída de los ingresos y del empleo, así como la inseguridad alimentaria, habrían sido relativamente leves en las zonas rurales durante el primer año de pandemia. Sin embargo, fue durante 2021 cuando se agravaron las complejas condiciones del contexto agrícola que venían afrontándose desde antes de la pandemia, teniendo que gestionar la producción con insumos más caros y la comercialización con los mismos o menores precios. Así, la agricultura familiar mostró </w:t>
      </w:r>
      <w:r w:rsidR="00206AD8">
        <w:rPr>
          <w:rFonts w:asciiTheme="minorHAnsi" w:hAnsiTheme="minorHAnsi"/>
          <w:sz w:val="20"/>
        </w:rPr>
        <w:t>más</w:t>
      </w:r>
      <w:r>
        <w:rPr>
          <w:rFonts w:asciiTheme="minorHAnsi" w:hAnsiTheme="minorHAnsi"/>
          <w:sz w:val="20"/>
        </w:rPr>
        <w:t xml:space="preserve"> bien su vulnerabilidad, ya que cuando sus escasos márgenes de beneficio se ven afectados, el bienestar de los hogares disminuye rápidamente.</w:t>
      </w:r>
    </w:p>
    <w:p w14:paraId="71F5C8EF" w14:textId="328D2EFE" w:rsidR="001F55C2" w:rsidRPr="00D20363" w:rsidRDefault="00591654" w:rsidP="00903E2E">
      <w:pPr>
        <w:spacing w:after="120"/>
        <w:jc w:val="both"/>
        <w:rPr>
          <w:rFonts w:asciiTheme="minorHAnsi" w:hAnsiTheme="minorHAnsi" w:cstheme="minorHAnsi"/>
          <w:sz w:val="20"/>
          <w:szCs w:val="20"/>
        </w:rPr>
      </w:pPr>
      <w:r>
        <w:rPr>
          <w:rFonts w:asciiTheme="minorHAnsi" w:hAnsiTheme="minorHAnsi"/>
          <w:sz w:val="20"/>
        </w:rPr>
        <w:t>Además, el sector se ve afectado por el conflicto en Rusia y Ucrania, ya que Ecuador destina a Rusia, Ucrania y los países euroasiáticos (Armenia, Bielorrusia, Kazajstán y Kirguistán) unos 1.200 millones de dólares anuales en exportaciones no petroleras (principalmente plátanos y flores). Sin embargo, el impacto puede ser mayor, ya que algunas exportaciones tenían como plataforma de distribución determinados países europeos, desde los que se consolidaban y enviaban a Rusia. Los productores también sufren las consecuencias del conflicto, ya que han subido los precios de los fertilizantes, la urea y otros insumos que Rusia y Ucrania exportaban al mundo, y que repercuten en el cost</w:t>
      </w:r>
      <w:r w:rsidR="0046452F">
        <w:rPr>
          <w:rFonts w:asciiTheme="minorHAnsi" w:hAnsiTheme="minorHAnsi"/>
          <w:sz w:val="20"/>
        </w:rPr>
        <w:t>o</w:t>
      </w:r>
      <w:r>
        <w:rPr>
          <w:rFonts w:asciiTheme="minorHAnsi" w:hAnsiTheme="minorHAnsi"/>
          <w:sz w:val="20"/>
        </w:rPr>
        <w:t xml:space="preserve"> de producción de los productos agrícolas.</w:t>
      </w:r>
    </w:p>
    <w:p w14:paraId="57295291" w14:textId="6D5091A6" w:rsidR="0059738E" w:rsidRPr="0059738E" w:rsidRDefault="0059738E" w:rsidP="00903E2E">
      <w:pPr>
        <w:spacing w:after="120"/>
        <w:jc w:val="both"/>
        <w:rPr>
          <w:rFonts w:asciiTheme="minorHAnsi" w:hAnsiTheme="minorHAnsi" w:cstheme="minorHAnsi"/>
          <w:iCs/>
          <w:sz w:val="20"/>
          <w:szCs w:val="20"/>
        </w:rPr>
      </w:pPr>
      <w:r>
        <w:rPr>
          <w:rFonts w:asciiTheme="minorHAnsi" w:hAnsiTheme="minorHAnsi"/>
          <w:sz w:val="20"/>
        </w:rPr>
        <w:t>En este contexto hostil, sin embargo, existe la oportunidad de explotar la alternativa de una producción más limpia; es decir, de iniciar una transición hacia una producción sin/con pocos químicos, que tiene la ventaja de reducir el cost</w:t>
      </w:r>
      <w:r w:rsidR="00D7017B">
        <w:rPr>
          <w:rFonts w:asciiTheme="minorHAnsi" w:hAnsiTheme="minorHAnsi"/>
          <w:sz w:val="20"/>
        </w:rPr>
        <w:t>o</w:t>
      </w:r>
      <w:r>
        <w:rPr>
          <w:rFonts w:asciiTheme="minorHAnsi" w:hAnsiTheme="minorHAnsi"/>
          <w:sz w:val="20"/>
        </w:rPr>
        <w:t xml:space="preserve"> de los insumos, recuperar el suelo y, en consecuencia, aumentar eventualmente el rendimiento. Estos sistemas incluyen no sólo la aplicación del manejo integrado de plagas y de los insumos biológicos/agroecológicos, sino también la aplicación de prácticas como la rotación de cultivos, la diversificación de la producción agrícola y las prácticas de producción agroecológica. Si se consiguiera apoyar la apertura de mercados que sepan recompensar estos esfuerzos, los precios también mejorarían para estos productores, lo que llevaría todas estas ventajas a un claro aumento de sus ingresos netos. Sin embargo, para que el cambio sea efectivo en este sentido, es necesario que el proceso se lleve a cabo de forma conjunta entre grupos de agricultores para no afectar a los esfuerzos individuales de descontaminación del suelo y el agua. También es esencial la coordinación entre los distintos agentes de la cadena de valor, así como el apoyo gubernamental, tanto a nivel central como local, proporcionando los incentivos adecuados y facilitando la acción colectiva de forma eficaz y duradera.</w:t>
      </w:r>
    </w:p>
    <w:p w14:paraId="3CC0FF95" w14:textId="630ADEE0" w:rsidR="00E66271" w:rsidRPr="00AA707A" w:rsidRDefault="00E66271" w:rsidP="00E66271">
      <w:pPr>
        <w:spacing w:after="120"/>
        <w:rPr>
          <w:rFonts w:asciiTheme="minorHAnsi" w:hAnsiTheme="minorHAnsi" w:cstheme="minorHAnsi"/>
          <w:b/>
          <w:bCs/>
          <w:iCs/>
          <w:sz w:val="20"/>
          <w:szCs w:val="20"/>
        </w:rPr>
      </w:pPr>
      <w:r>
        <w:rPr>
          <w:rFonts w:asciiTheme="minorHAnsi" w:hAnsiTheme="minorHAnsi"/>
          <w:b/>
          <w:sz w:val="20"/>
        </w:rPr>
        <w:t>EL RETO DEL DESARROLLO</w:t>
      </w:r>
    </w:p>
    <w:p w14:paraId="079D8CD3" w14:textId="16C30BE3" w:rsidR="005633E6" w:rsidRPr="005633E6" w:rsidRDefault="002919F7" w:rsidP="002919F7">
      <w:pPr>
        <w:spacing w:after="120"/>
        <w:jc w:val="both"/>
        <w:rPr>
          <w:rFonts w:asciiTheme="minorHAnsi" w:hAnsiTheme="minorHAnsi" w:cstheme="minorHAnsi"/>
          <w:bCs/>
          <w:iCs/>
          <w:sz w:val="20"/>
          <w:szCs w:val="20"/>
        </w:rPr>
      </w:pPr>
      <w:r>
        <w:rPr>
          <w:rFonts w:asciiTheme="minorHAnsi" w:hAnsiTheme="minorHAnsi"/>
          <w:sz w:val="20"/>
        </w:rPr>
        <w:t>El reto del desarrollo consiste en superar un contexto nacional que engloba una serie de lagunas institucionales, financieras, técnicas, sociales y medioambientales que retrasan la capacidad nacional para reducir el uso de productos agroquímicos nocivos y apoyar prácticas sostenibles en el sector agrícola.</w:t>
      </w:r>
    </w:p>
    <w:p w14:paraId="144A3F76" w14:textId="6C288C74" w:rsidR="002919F7" w:rsidRPr="0024771A" w:rsidRDefault="002919F7" w:rsidP="002919F7">
      <w:pPr>
        <w:spacing w:after="120"/>
        <w:jc w:val="both"/>
        <w:rPr>
          <w:rFonts w:asciiTheme="minorHAnsi" w:hAnsiTheme="minorHAnsi" w:cstheme="minorHAnsi"/>
          <w:bCs/>
          <w:iCs/>
          <w:sz w:val="20"/>
          <w:szCs w:val="20"/>
        </w:rPr>
      </w:pPr>
      <w:r>
        <w:rPr>
          <w:rFonts w:asciiTheme="minorHAnsi" w:hAnsiTheme="minorHAnsi"/>
          <w:sz w:val="20"/>
        </w:rPr>
        <w:t xml:space="preserve">El análisis del desafío de desarrollo durante la fase de PPG ha identificado tres niveles de causas para la gestión ambiental adecuada y reducir el uso de agroquímicos y sus residuos dentro del marco nacional y los compromisos internacionales. A </w:t>
      </w:r>
      <w:r w:rsidR="00206AD8">
        <w:rPr>
          <w:rFonts w:asciiTheme="minorHAnsi" w:hAnsiTheme="minorHAnsi"/>
          <w:sz w:val="20"/>
        </w:rPr>
        <w:t>continuación,</w:t>
      </w:r>
      <w:r>
        <w:rPr>
          <w:rFonts w:asciiTheme="minorHAnsi" w:hAnsiTheme="minorHAnsi"/>
          <w:sz w:val="20"/>
        </w:rPr>
        <w:t xml:space="preserve"> se detalla el </w:t>
      </w:r>
      <w:r w:rsidR="00A77C99" w:rsidRPr="00A77C99">
        <w:rPr>
          <w:rFonts w:asciiTheme="minorHAnsi" w:hAnsiTheme="minorHAnsi"/>
          <w:sz w:val="20"/>
        </w:rPr>
        <w:t>Á</w:t>
      </w:r>
      <w:r>
        <w:rPr>
          <w:rFonts w:asciiTheme="minorHAnsi" w:hAnsiTheme="minorHAnsi"/>
          <w:sz w:val="20"/>
        </w:rPr>
        <w:t xml:space="preserve">rbol de </w:t>
      </w:r>
      <w:r w:rsidR="00A77C99">
        <w:rPr>
          <w:rFonts w:asciiTheme="minorHAnsi" w:hAnsiTheme="minorHAnsi"/>
          <w:sz w:val="20"/>
        </w:rPr>
        <w:t>P</w:t>
      </w:r>
      <w:r>
        <w:rPr>
          <w:rFonts w:asciiTheme="minorHAnsi" w:hAnsiTheme="minorHAnsi"/>
          <w:sz w:val="20"/>
        </w:rPr>
        <w:t>roblemas con las causas inmediatas, subyacentes y estructurales/de raíz:</w:t>
      </w:r>
    </w:p>
    <w:p w14:paraId="376278DB" w14:textId="034F734F" w:rsidR="002107D8" w:rsidRDefault="00855CD9" w:rsidP="002919F7">
      <w:pPr>
        <w:spacing w:after="120"/>
        <w:jc w:val="both"/>
        <w:rPr>
          <w:rFonts w:asciiTheme="minorHAnsi" w:hAnsiTheme="minorHAnsi" w:cstheme="minorHAnsi"/>
          <w:bCs/>
          <w:iCs/>
          <w:sz w:val="20"/>
          <w:szCs w:val="20"/>
        </w:rPr>
      </w:pPr>
      <w:r>
        <w:rPr>
          <w:rFonts w:asciiTheme="minorHAnsi" w:hAnsiTheme="minorHAnsi" w:cstheme="minorHAnsi"/>
          <w:bCs/>
          <w:iCs/>
          <w:noProof/>
          <w:sz w:val="20"/>
          <w:szCs w:val="20"/>
        </w:rPr>
        <w:drawing>
          <wp:inline distT="0" distB="0" distL="0" distR="0" wp14:anchorId="2FCBEB69" wp14:editId="3545DF8B">
            <wp:extent cx="6363024" cy="3536770"/>
            <wp:effectExtent l="0" t="0" r="0" b="6985"/>
            <wp:docPr id="1799871501" name="Picture 179987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76357" cy="3544181"/>
                    </a:xfrm>
                    <a:prstGeom prst="rect">
                      <a:avLst/>
                    </a:prstGeom>
                    <a:noFill/>
                  </pic:spPr>
                </pic:pic>
              </a:graphicData>
            </a:graphic>
          </wp:inline>
        </w:drawing>
      </w:r>
    </w:p>
    <w:p w14:paraId="0ACBD3F5" w14:textId="1ADF2E47" w:rsidR="002107D8" w:rsidRPr="00771210" w:rsidRDefault="002107D8" w:rsidP="002107D8">
      <w:pPr>
        <w:pStyle w:val="Descripcin"/>
        <w:rPr>
          <w:rFonts w:asciiTheme="minorHAnsi" w:hAnsiTheme="minorHAnsi"/>
          <w:b w:val="0"/>
          <w:bCs w:val="0"/>
          <w:iCs/>
          <w:sz w:val="18"/>
          <w:szCs w:val="18"/>
        </w:rPr>
      </w:pPr>
      <w:bookmarkStart w:id="18" w:name="_Toc85241428"/>
      <w:bookmarkStart w:id="19" w:name="_Toc114650505"/>
      <w:r>
        <w:rPr>
          <w:rFonts w:asciiTheme="minorHAnsi" w:hAnsiTheme="minorHAnsi"/>
          <w:b w:val="0"/>
          <w:sz w:val="18"/>
        </w:rPr>
        <w:t xml:space="preserve">Gráfico </w:t>
      </w:r>
      <w:r w:rsidRPr="00771210">
        <w:rPr>
          <w:rFonts w:asciiTheme="minorHAnsi" w:hAnsiTheme="minorHAnsi"/>
          <w:b w:val="0"/>
          <w:sz w:val="18"/>
        </w:rPr>
        <w:fldChar w:fldCharType="begin"/>
      </w:r>
      <w:r w:rsidRPr="00771210">
        <w:rPr>
          <w:rFonts w:asciiTheme="minorHAnsi" w:hAnsiTheme="minorHAnsi"/>
          <w:b w:val="0"/>
          <w:sz w:val="18"/>
        </w:rPr>
        <w:instrText xml:space="preserve"> SEQ Figure \* ARABIC </w:instrText>
      </w:r>
      <w:r w:rsidRPr="00771210">
        <w:rPr>
          <w:rFonts w:asciiTheme="minorHAnsi" w:hAnsiTheme="minorHAnsi"/>
          <w:b w:val="0"/>
          <w:sz w:val="18"/>
        </w:rPr>
        <w:fldChar w:fldCharType="separate"/>
      </w:r>
      <w:r w:rsidR="004D0AC8">
        <w:rPr>
          <w:rFonts w:asciiTheme="minorHAnsi" w:hAnsiTheme="minorHAnsi"/>
          <w:b w:val="0"/>
          <w:noProof/>
          <w:sz w:val="18"/>
        </w:rPr>
        <w:t>1</w:t>
      </w:r>
      <w:r w:rsidRPr="00771210">
        <w:rPr>
          <w:rFonts w:asciiTheme="minorHAnsi" w:hAnsiTheme="minorHAnsi"/>
          <w:b w:val="0"/>
          <w:sz w:val="18"/>
        </w:rPr>
        <w:fldChar w:fldCharType="end"/>
      </w:r>
      <w:r>
        <w:rPr>
          <w:rFonts w:asciiTheme="minorHAnsi" w:hAnsiTheme="minorHAnsi"/>
          <w:b w:val="0"/>
          <w:sz w:val="18"/>
        </w:rPr>
        <w:t xml:space="preserve">. Teoría del </w:t>
      </w:r>
      <w:r w:rsidR="00D7017B">
        <w:rPr>
          <w:rFonts w:asciiTheme="minorHAnsi" w:hAnsiTheme="minorHAnsi"/>
          <w:b w:val="0"/>
          <w:sz w:val="18"/>
        </w:rPr>
        <w:t>C</w:t>
      </w:r>
      <w:r>
        <w:rPr>
          <w:rFonts w:asciiTheme="minorHAnsi" w:hAnsiTheme="minorHAnsi"/>
          <w:b w:val="0"/>
          <w:sz w:val="18"/>
        </w:rPr>
        <w:t xml:space="preserve">ambio: Diagrama de análisis del </w:t>
      </w:r>
      <w:r w:rsidR="00A77C99" w:rsidRPr="00A77C99">
        <w:rPr>
          <w:rFonts w:asciiTheme="minorHAnsi" w:hAnsiTheme="minorHAnsi"/>
          <w:b w:val="0"/>
          <w:sz w:val="18"/>
        </w:rPr>
        <w:t>Á</w:t>
      </w:r>
      <w:r>
        <w:rPr>
          <w:rFonts w:asciiTheme="minorHAnsi" w:hAnsiTheme="minorHAnsi"/>
          <w:b w:val="0"/>
          <w:sz w:val="18"/>
        </w:rPr>
        <w:t xml:space="preserve">rbol de </w:t>
      </w:r>
      <w:r w:rsidR="00A77C99">
        <w:rPr>
          <w:rFonts w:asciiTheme="minorHAnsi" w:hAnsiTheme="minorHAnsi"/>
          <w:b w:val="0"/>
          <w:sz w:val="18"/>
        </w:rPr>
        <w:t>P</w:t>
      </w:r>
      <w:r>
        <w:rPr>
          <w:rFonts w:asciiTheme="minorHAnsi" w:hAnsiTheme="minorHAnsi"/>
          <w:b w:val="0"/>
          <w:sz w:val="18"/>
        </w:rPr>
        <w:t>roblemas</w:t>
      </w:r>
      <w:bookmarkEnd w:id="18"/>
      <w:bookmarkEnd w:id="19"/>
    </w:p>
    <w:p w14:paraId="3CF1A41C" w14:textId="77777777" w:rsidR="002919F7" w:rsidRPr="002152FE" w:rsidRDefault="002919F7" w:rsidP="002919F7">
      <w:pPr>
        <w:spacing w:after="120"/>
        <w:jc w:val="both"/>
        <w:rPr>
          <w:rFonts w:asciiTheme="minorHAnsi" w:hAnsiTheme="minorHAnsi" w:cstheme="minorHAnsi"/>
          <w:b/>
          <w:bCs/>
          <w:iCs/>
          <w:sz w:val="20"/>
          <w:szCs w:val="20"/>
          <w:lang w:val="es-EC"/>
        </w:rPr>
      </w:pPr>
    </w:p>
    <w:p w14:paraId="759052AF" w14:textId="7BDE0883" w:rsidR="00E66271" w:rsidRPr="0017390D" w:rsidRDefault="00E66271" w:rsidP="00903E2E">
      <w:pPr>
        <w:spacing w:after="120"/>
        <w:rPr>
          <w:rFonts w:asciiTheme="minorHAnsi" w:hAnsiTheme="minorHAnsi" w:cstheme="minorHAnsi"/>
          <w:b/>
          <w:bCs/>
          <w:iCs/>
          <w:sz w:val="20"/>
          <w:szCs w:val="20"/>
        </w:rPr>
      </w:pPr>
      <w:r>
        <w:rPr>
          <w:rFonts w:asciiTheme="minorHAnsi" w:hAnsiTheme="minorHAnsi"/>
          <w:b/>
          <w:sz w:val="20"/>
        </w:rPr>
        <w:t>OBJETIVOS DE DESARROLLO SOSTENIBLE</w:t>
      </w:r>
    </w:p>
    <w:p w14:paraId="0FF9878C" w14:textId="68FD4069" w:rsidR="00A92AAC" w:rsidRPr="00B97462" w:rsidRDefault="002107D8" w:rsidP="004869AD">
      <w:pPr>
        <w:spacing w:after="120"/>
        <w:jc w:val="both"/>
        <w:rPr>
          <w:rFonts w:asciiTheme="minorHAnsi" w:hAnsiTheme="minorHAnsi" w:cstheme="minorHAnsi"/>
          <w:sz w:val="20"/>
          <w:szCs w:val="20"/>
        </w:rPr>
      </w:pPr>
      <w:r>
        <w:rPr>
          <w:rFonts w:asciiTheme="minorHAnsi" w:hAnsiTheme="minorHAnsi"/>
          <w:sz w:val="20"/>
        </w:rPr>
        <w:t>Este PSF, al reducir el uso global de agroquímicos perjudiciales, apoyando a los agricultores para que accedan a financiación, a prácticas de producción innovadoras y sostenibles y a tener un acceso competitivo a los mercados de consumo en Ecuador, ayudará al Gobierno a trabajar en la consecución de los Objetivos de Desarrollo Sostenible (ODS). Los ODS más relevantes para este proyecto son:</w:t>
      </w:r>
    </w:p>
    <w:p w14:paraId="6086441B" w14:textId="159369DD" w:rsidR="009877C0"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1 "Fin de la </w:t>
      </w:r>
      <w:r w:rsidR="00A77C99">
        <w:rPr>
          <w:rFonts w:asciiTheme="minorHAnsi" w:hAnsiTheme="minorHAnsi"/>
          <w:sz w:val="20"/>
        </w:rPr>
        <w:t>P</w:t>
      </w:r>
      <w:r>
        <w:rPr>
          <w:rFonts w:asciiTheme="minorHAnsi" w:hAnsiTheme="minorHAnsi"/>
          <w:sz w:val="20"/>
        </w:rPr>
        <w:t>obreza" mediante el aumento de los ingresos de los agricultores facilitando el acceso a la financiación y la adopción de prácticas agrícolas sostenibles.</w:t>
      </w:r>
    </w:p>
    <w:p w14:paraId="15D200CE" w14:textId="5350F57C" w:rsidR="00675901"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2 "Hambre </w:t>
      </w:r>
      <w:r w:rsidR="00A77C99">
        <w:rPr>
          <w:rFonts w:asciiTheme="minorHAnsi" w:hAnsiTheme="minorHAnsi"/>
          <w:sz w:val="20"/>
        </w:rPr>
        <w:t>C</w:t>
      </w:r>
      <w:r>
        <w:rPr>
          <w:rFonts w:asciiTheme="minorHAnsi" w:hAnsiTheme="minorHAnsi"/>
          <w:sz w:val="20"/>
        </w:rPr>
        <w:t>ero", mejorando la productividad agrícola y los ingresos de los pequeños productores de alimentos, en particular los agricultores familiares, las mujeres y los pueblos indígenas.</w:t>
      </w:r>
    </w:p>
    <w:p w14:paraId="3575F6B4" w14:textId="63E68AB5" w:rsidR="00182F17" w:rsidRPr="004D35A1" w:rsidRDefault="009877C0" w:rsidP="004869AD">
      <w:pPr>
        <w:spacing w:after="120"/>
        <w:jc w:val="both"/>
        <w:rPr>
          <w:rFonts w:asciiTheme="minorHAnsi" w:hAnsiTheme="minorHAnsi" w:cstheme="minorHAnsi"/>
          <w:sz w:val="20"/>
          <w:szCs w:val="20"/>
        </w:rPr>
      </w:pPr>
      <w:r>
        <w:rPr>
          <w:rFonts w:asciiTheme="minorHAnsi" w:hAnsiTheme="minorHAnsi"/>
          <w:sz w:val="20"/>
        </w:rPr>
        <w:t xml:space="preserve">ODS 3 "Salud y </w:t>
      </w:r>
      <w:r w:rsidR="00A77C99">
        <w:rPr>
          <w:rFonts w:asciiTheme="minorHAnsi" w:hAnsiTheme="minorHAnsi"/>
          <w:sz w:val="20"/>
        </w:rPr>
        <w:t>B</w:t>
      </w:r>
      <w:r>
        <w:rPr>
          <w:rFonts w:asciiTheme="minorHAnsi" w:hAnsiTheme="minorHAnsi"/>
          <w:sz w:val="20"/>
        </w:rPr>
        <w:t>ienestar", ayudando a los agricultores a producir alimentos de mejor calidad y más sanos utilizando menos insumos químicos y mejorando la gestión adecuada de los residuos agrícolas.</w:t>
      </w:r>
    </w:p>
    <w:p w14:paraId="2DDCB3CD" w14:textId="1E643AD7" w:rsidR="00FE15F2"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5 "Igualdad de </w:t>
      </w:r>
      <w:r w:rsidR="00A77C99">
        <w:rPr>
          <w:rFonts w:asciiTheme="minorHAnsi" w:hAnsiTheme="minorHAnsi"/>
          <w:sz w:val="20"/>
        </w:rPr>
        <w:t>G</w:t>
      </w:r>
      <w:r>
        <w:rPr>
          <w:rFonts w:asciiTheme="minorHAnsi" w:hAnsiTheme="minorHAnsi"/>
          <w:sz w:val="20"/>
        </w:rPr>
        <w:t>énero"</w:t>
      </w:r>
      <w:r w:rsidR="00A77C99">
        <w:rPr>
          <w:rFonts w:asciiTheme="minorHAnsi" w:hAnsiTheme="minorHAnsi"/>
          <w:sz w:val="20"/>
        </w:rPr>
        <w:t>,</w:t>
      </w:r>
      <w:r>
        <w:rPr>
          <w:rFonts w:asciiTheme="minorHAnsi" w:hAnsiTheme="minorHAnsi"/>
          <w:sz w:val="20"/>
        </w:rPr>
        <w:t xml:space="preserve"> promoviendo la perspectiva de género en toda la actividad agrícola, fomentando el empoderamiento de las agricultoras y mejorando su productividad.</w:t>
      </w:r>
    </w:p>
    <w:p w14:paraId="76D28E90" w14:textId="49E7EBA0" w:rsidR="00BB0E7A"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6 "Agua </w:t>
      </w:r>
      <w:r w:rsidR="00A77C99">
        <w:rPr>
          <w:rFonts w:asciiTheme="minorHAnsi" w:hAnsiTheme="minorHAnsi"/>
          <w:sz w:val="20"/>
        </w:rPr>
        <w:t>L</w:t>
      </w:r>
      <w:r>
        <w:rPr>
          <w:rFonts w:asciiTheme="minorHAnsi" w:hAnsiTheme="minorHAnsi"/>
          <w:sz w:val="20"/>
        </w:rPr>
        <w:t xml:space="preserve">impia y </w:t>
      </w:r>
      <w:r w:rsidR="00A77C99">
        <w:rPr>
          <w:rFonts w:asciiTheme="minorHAnsi" w:hAnsiTheme="minorHAnsi"/>
          <w:sz w:val="20"/>
        </w:rPr>
        <w:t>S</w:t>
      </w:r>
      <w:r>
        <w:rPr>
          <w:rFonts w:asciiTheme="minorHAnsi" w:hAnsiTheme="minorHAnsi"/>
          <w:sz w:val="20"/>
        </w:rPr>
        <w:t>aneamiento", protegiendo los recursos hídricos de la contaminación y reduciendo los productos agroquímicos y la escorrentía plástica de la actividad agrícola, minimizando o eliminando la necesidad de insumos químicos.</w:t>
      </w:r>
    </w:p>
    <w:p w14:paraId="6836000A" w14:textId="0227CEAB" w:rsidR="006E74A8"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9 "Industria, </w:t>
      </w:r>
      <w:r w:rsidR="00A77C99">
        <w:rPr>
          <w:rFonts w:asciiTheme="minorHAnsi" w:hAnsiTheme="minorHAnsi"/>
          <w:sz w:val="20"/>
        </w:rPr>
        <w:t>I</w:t>
      </w:r>
      <w:r>
        <w:rPr>
          <w:rFonts w:asciiTheme="minorHAnsi" w:hAnsiTheme="minorHAnsi"/>
          <w:sz w:val="20"/>
        </w:rPr>
        <w:t xml:space="preserve">nnovación e </w:t>
      </w:r>
      <w:r w:rsidR="00A77C99">
        <w:rPr>
          <w:rFonts w:asciiTheme="minorHAnsi" w:hAnsiTheme="minorHAnsi"/>
          <w:sz w:val="20"/>
        </w:rPr>
        <w:t>I</w:t>
      </w:r>
      <w:r>
        <w:rPr>
          <w:rFonts w:asciiTheme="minorHAnsi" w:hAnsiTheme="minorHAnsi"/>
          <w:sz w:val="20"/>
        </w:rPr>
        <w:t>nfraestructuras", mejorando la integración de los agricultores en las cadenas de valor mediante el acceso a la financiación, prácticas de producción innovadoras y sostenibles, y un acceso competitivo a los mercados de consumo.</w:t>
      </w:r>
    </w:p>
    <w:p w14:paraId="74A447E4" w14:textId="4C301CB5" w:rsidR="006E74A8" w:rsidRDefault="00047FD6" w:rsidP="004869AD">
      <w:pPr>
        <w:spacing w:after="120"/>
        <w:jc w:val="both"/>
        <w:rPr>
          <w:rFonts w:asciiTheme="minorHAnsi" w:hAnsiTheme="minorHAnsi" w:cstheme="minorHAnsi"/>
          <w:sz w:val="20"/>
          <w:szCs w:val="20"/>
        </w:rPr>
      </w:pPr>
      <w:r>
        <w:rPr>
          <w:rFonts w:asciiTheme="minorHAnsi" w:hAnsiTheme="minorHAnsi"/>
          <w:sz w:val="20"/>
        </w:rPr>
        <w:t xml:space="preserve">ODS 10 "Reducción de las </w:t>
      </w:r>
      <w:r w:rsidR="00A77C99">
        <w:rPr>
          <w:rFonts w:asciiTheme="minorHAnsi" w:hAnsiTheme="minorHAnsi"/>
          <w:sz w:val="20"/>
        </w:rPr>
        <w:t>D</w:t>
      </w:r>
      <w:r>
        <w:rPr>
          <w:rFonts w:asciiTheme="minorHAnsi" w:hAnsiTheme="minorHAnsi"/>
          <w:sz w:val="20"/>
        </w:rPr>
        <w:t>esigualdades"</w:t>
      </w:r>
      <w:r w:rsidR="00A77C99">
        <w:rPr>
          <w:rFonts w:asciiTheme="minorHAnsi" w:hAnsiTheme="minorHAnsi"/>
          <w:sz w:val="20"/>
        </w:rPr>
        <w:t>,</w:t>
      </w:r>
      <w:r>
        <w:rPr>
          <w:rFonts w:asciiTheme="minorHAnsi" w:hAnsiTheme="minorHAnsi"/>
          <w:sz w:val="20"/>
        </w:rPr>
        <w:t xml:space="preserve"> aumentando los ingresos de los pequeños agricultores.</w:t>
      </w:r>
    </w:p>
    <w:p w14:paraId="0741EBD1" w14:textId="25331CD0" w:rsidR="00BC680F" w:rsidRPr="003A09E8"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12 "Consumo y </w:t>
      </w:r>
      <w:r w:rsidR="00A77C99">
        <w:rPr>
          <w:rFonts w:asciiTheme="minorHAnsi" w:hAnsiTheme="minorHAnsi"/>
          <w:sz w:val="20"/>
        </w:rPr>
        <w:t>P</w:t>
      </w:r>
      <w:r>
        <w:rPr>
          <w:rFonts w:asciiTheme="minorHAnsi" w:hAnsiTheme="minorHAnsi"/>
          <w:sz w:val="20"/>
        </w:rPr>
        <w:t xml:space="preserve">roducción </w:t>
      </w:r>
      <w:r w:rsidR="00A77C99">
        <w:rPr>
          <w:rFonts w:asciiTheme="minorHAnsi" w:hAnsiTheme="minorHAnsi"/>
          <w:sz w:val="20"/>
        </w:rPr>
        <w:t>R</w:t>
      </w:r>
      <w:r>
        <w:rPr>
          <w:rFonts w:asciiTheme="minorHAnsi" w:hAnsiTheme="minorHAnsi"/>
          <w:sz w:val="20"/>
        </w:rPr>
        <w:t>esponsables" mediante la eliminación progresiva de los productos que contienen sustancias perjudiciales y la mejora de la gestión ambientalmente adecuada de los productos químicos y los residuos (incluidos los plásticos) a lo largo de su ciclo de vida en la actividad agrícola.</w:t>
      </w:r>
    </w:p>
    <w:p w14:paraId="09EFE449" w14:textId="34E52903" w:rsidR="00A709A6" w:rsidRDefault="00A92AAC" w:rsidP="004869AD">
      <w:pPr>
        <w:spacing w:after="120"/>
        <w:jc w:val="both"/>
        <w:rPr>
          <w:rFonts w:asciiTheme="minorHAnsi" w:hAnsiTheme="minorHAnsi" w:cstheme="minorHAnsi"/>
          <w:sz w:val="20"/>
          <w:szCs w:val="20"/>
        </w:rPr>
      </w:pPr>
      <w:r>
        <w:rPr>
          <w:rFonts w:asciiTheme="minorHAnsi" w:hAnsiTheme="minorHAnsi"/>
          <w:sz w:val="20"/>
        </w:rPr>
        <w:t xml:space="preserve">ODS 14 "Vida </w:t>
      </w:r>
      <w:r w:rsidR="00A77C99">
        <w:rPr>
          <w:rFonts w:asciiTheme="minorHAnsi" w:hAnsiTheme="minorHAnsi"/>
          <w:sz w:val="20"/>
        </w:rPr>
        <w:t>S</w:t>
      </w:r>
      <w:r>
        <w:rPr>
          <w:rFonts w:asciiTheme="minorHAnsi" w:hAnsiTheme="minorHAnsi"/>
          <w:sz w:val="20"/>
        </w:rPr>
        <w:t>ubmarina", protegiendo la vida marina de la exposición a productos químicos y residuos peligrosos.</w:t>
      </w:r>
    </w:p>
    <w:p w14:paraId="0065C4C2" w14:textId="334C0DFE" w:rsidR="00966EF0" w:rsidRPr="00E65772" w:rsidRDefault="00047FD6" w:rsidP="004869AD">
      <w:pPr>
        <w:spacing w:after="120"/>
        <w:jc w:val="both"/>
        <w:rPr>
          <w:rFonts w:asciiTheme="minorHAnsi" w:hAnsiTheme="minorHAnsi" w:cstheme="minorHAnsi"/>
          <w:sz w:val="20"/>
          <w:szCs w:val="20"/>
        </w:rPr>
      </w:pPr>
      <w:r>
        <w:rPr>
          <w:rFonts w:asciiTheme="minorHAnsi" w:hAnsiTheme="minorHAnsi"/>
          <w:sz w:val="20"/>
        </w:rPr>
        <w:t xml:space="preserve">ODS 15 "Vida de </w:t>
      </w:r>
      <w:r w:rsidR="00A77C99">
        <w:rPr>
          <w:rFonts w:asciiTheme="minorHAnsi" w:hAnsiTheme="minorHAnsi"/>
          <w:sz w:val="20"/>
        </w:rPr>
        <w:t>E</w:t>
      </w:r>
      <w:r>
        <w:rPr>
          <w:rFonts w:asciiTheme="minorHAnsi" w:hAnsiTheme="minorHAnsi"/>
          <w:sz w:val="20"/>
        </w:rPr>
        <w:t xml:space="preserve">cosistemas </w:t>
      </w:r>
      <w:r w:rsidR="00A77C99">
        <w:rPr>
          <w:rFonts w:asciiTheme="minorHAnsi" w:hAnsiTheme="minorHAnsi"/>
          <w:sz w:val="20"/>
        </w:rPr>
        <w:t>T</w:t>
      </w:r>
      <w:r>
        <w:rPr>
          <w:rFonts w:asciiTheme="minorHAnsi" w:hAnsiTheme="minorHAnsi"/>
          <w:sz w:val="20"/>
        </w:rPr>
        <w:t>errestres", promoviendo la introducción de prácticas sostenibles de producción agrícola y la reducción del uso de productos químicos perjudiciales en los cultivos.</w:t>
      </w:r>
      <w:r>
        <w:rPr>
          <w:sz w:val="20"/>
        </w:rPr>
        <w:br w:type="page"/>
      </w:r>
    </w:p>
    <w:p w14:paraId="2AC58A2C" w14:textId="3F79A670" w:rsidR="00966EF0" w:rsidRPr="00A562E4" w:rsidRDefault="00705641" w:rsidP="00966EF0">
      <w:pPr>
        <w:keepNext/>
        <w:pBdr>
          <w:top w:val="single" w:sz="4" w:space="1" w:color="auto"/>
        </w:pBdr>
        <w:tabs>
          <w:tab w:val="num" w:pos="720"/>
        </w:tabs>
        <w:suppressAutoHyphens/>
        <w:ind w:left="720" w:hanging="720"/>
        <w:outlineLvl w:val="0"/>
        <w:rPr>
          <w:rFonts w:ascii="Calibri" w:eastAsia="SimSun" w:hAnsi="Calibri"/>
          <w:b/>
          <w:smallCaps/>
          <w:spacing w:val="-2"/>
          <w:sz w:val="28"/>
          <w:szCs w:val="28"/>
        </w:rPr>
      </w:pPr>
      <w:bookmarkStart w:id="20" w:name="_Toc114650843"/>
      <w:bookmarkStart w:id="21" w:name="_Toc144822668"/>
      <w:bookmarkStart w:id="22" w:name="_Toc207800911"/>
      <w:r>
        <w:rPr>
          <w:rFonts w:ascii="Calibri" w:hAnsi="Calibri"/>
          <w:b/>
          <w:smallCaps/>
          <w:sz w:val="28"/>
        </w:rPr>
        <w:t>III. Estrategia</w:t>
      </w:r>
      <w:bookmarkEnd w:id="20"/>
      <w:bookmarkEnd w:id="21"/>
      <w:r>
        <w:rPr>
          <w:rFonts w:ascii="Calibri" w:hAnsi="Calibri"/>
          <w:b/>
          <w:smallCaps/>
          <w:sz w:val="28"/>
        </w:rPr>
        <w:t xml:space="preserve"> </w:t>
      </w:r>
      <w:bookmarkEnd w:id="22"/>
    </w:p>
    <w:p w14:paraId="27EAC201" w14:textId="7421563C" w:rsidR="00D52271" w:rsidRPr="002152FE" w:rsidRDefault="00D52271" w:rsidP="00966EF0">
      <w:pPr>
        <w:rPr>
          <w:rFonts w:ascii="Calibri" w:eastAsia="SimSun" w:hAnsi="Calibri"/>
          <w:b/>
          <w:i/>
          <w:sz w:val="20"/>
          <w:szCs w:val="20"/>
          <w:lang w:val="es-EC"/>
        </w:rPr>
      </w:pPr>
    </w:p>
    <w:p w14:paraId="597A612E" w14:textId="5B9E6D5B" w:rsidR="00887FE4" w:rsidRDefault="00D52271" w:rsidP="00903E2E">
      <w:pPr>
        <w:spacing w:after="120"/>
        <w:jc w:val="both"/>
        <w:rPr>
          <w:rFonts w:ascii="Calibri" w:eastAsia="SimSun" w:hAnsi="Calibri"/>
          <w:bCs/>
          <w:iCs/>
          <w:sz w:val="20"/>
          <w:szCs w:val="20"/>
        </w:rPr>
      </w:pPr>
      <w:r>
        <w:rPr>
          <w:rFonts w:ascii="Calibri" w:hAnsi="Calibri"/>
          <w:sz w:val="20"/>
        </w:rPr>
        <w:t>La Teoría del Cambio (TdC) del programa FARM se ha desarrollado en torno a:</w:t>
      </w:r>
    </w:p>
    <w:p w14:paraId="15D9894C" w14:textId="2D52B3B5" w:rsidR="00C24DB7" w:rsidRDefault="00C24DB7">
      <w:pPr>
        <w:pStyle w:val="Prrafodelista"/>
        <w:numPr>
          <w:ilvl w:val="0"/>
          <w:numId w:val="20"/>
        </w:numPr>
        <w:spacing w:after="120"/>
        <w:jc w:val="both"/>
        <w:rPr>
          <w:rFonts w:ascii="Calibri" w:hAnsi="Calibri"/>
          <w:bCs/>
          <w:iCs/>
          <w:sz w:val="20"/>
          <w:szCs w:val="20"/>
        </w:rPr>
      </w:pPr>
      <w:r>
        <w:rPr>
          <w:rFonts w:ascii="Calibri" w:hAnsi="Calibri"/>
          <w:sz w:val="20"/>
        </w:rPr>
        <w:t>Política gubernamental y aplicación.</w:t>
      </w:r>
    </w:p>
    <w:p w14:paraId="0DFD5825" w14:textId="17478951" w:rsidR="00C24DB7" w:rsidRDefault="00C24DB7">
      <w:pPr>
        <w:pStyle w:val="Prrafodelista"/>
        <w:numPr>
          <w:ilvl w:val="0"/>
          <w:numId w:val="20"/>
        </w:numPr>
        <w:spacing w:after="120"/>
        <w:jc w:val="both"/>
        <w:rPr>
          <w:rFonts w:ascii="Calibri" w:hAnsi="Calibri"/>
          <w:bCs/>
          <w:iCs/>
          <w:sz w:val="20"/>
          <w:szCs w:val="20"/>
        </w:rPr>
      </w:pPr>
      <w:r>
        <w:rPr>
          <w:rFonts w:ascii="Calibri" w:hAnsi="Calibri"/>
          <w:sz w:val="20"/>
        </w:rPr>
        <w:t>Finanzas e inversiones.</w:t>
      </w:r>
    </w:p>
    <w:p w14:paraId="2BDC5E3D" w14:textId="07C193E8" w:rsidR="00C24DB7" w:rsidRDefault="00C24DB7">
      <w:pPr>
        <w:pStyle w:val="Prrafodelista"/>
        <w:numPr>
          <w:ilvl w:val="0"/>
          <w:numId w:val="20"/>
        </w:numPr>
        <w:spacing w:after="120"/>
        <w:jc w:val="both"/>
        <w:rPr>
          <w:rFonts w:ascii="Calibri" w:hAnsi="Calibri"/>
          <w:bCs/>
          <w:iCs/>
          <w:sz w:val="20"/>
          <w:szCs w:val="20"/>
        </w:rPr>
      </w:pPr>
      <w:r>
        <w:rPr>
          <w:rFonts w:ascii="Calibri" w:hAnsi="Calibri"/>
          <w:sz w:val="20"/>
        </w:rPr>
        <w:t>Desarrollo de capacidades y socialización de conocimientos</w:t>
      </w:r>
      <w:r w:rsidR="002C4503">
        <w:rPr>
          <w:rFonts w:ascii="Calibri" w:hAnsi="Calibri"/>
          <w:sz w:val="20"/>
        </w:rPr>
        <w:t>.</w:t>
      </w:r>
    </w:p>
    <w:p w14:paraId="11E7C7B9" w14:textId="2853DB76" w:rsidR="00D43A3F" w:rsidRPr="004E7770" w:rsidRDefault="001A2067">
      <w:pPr>
        <w:pStyle w:val="Prrafodelista"/>
        <w:numPr>
          <w:ilvl w:val="0"/>
          <w:numId w:val="20"/>
        </w:numPr>
        <w:spacing w:after="120"/>
        <w:jc w:val="both"/>
        <w:rPr>
          <w:rFonts w:ascii="Calibri" w:hAnsi="Calibri"/>
          <w:bCs/>
          <w:iCs/>
          <w:sz w:val="20"/>
          <w:szCs w:val="20"/>
        </w:rPr>
      </w:pPr>
      <w:r>
        <w:rPr>
          <w:rFonts w:ascii="Calibri" w:hAnsi="Calibri"/>
          <w:sz w:val="20"/>
          <w:lang w:val="es-EC"/>
        </w:rPr>
        <w:t>Monitoreo</w:t>
      </w:r>
      <w:r w:rsidR="008D2C08">
        <w:rPr>
          <w:rFonts w:ascii="Calibri" w:hAnsi="Calibri"/>
          <w:sz w:val="20"/>
        </w:rPr>
        <w:t xml:space="preserve"> y </w:t>
      </w:r>
      <w:r w:rsidR="00760C1E">
        <w:rPr>
          <w:rFonts w:ascii="Calibri" w:hAnsi="Calibri"/>
          <w:sz w:val="20"/>
        </w:rPr>
        <w:t>E</w:t>
      </w:r>
      <w:r w:rsidR="008D2C08">
        <w:rPr>
          <w:rFonts w:ascii="Calibri" w:hAnsi="Calibri"/>
          <w:sz w:val="20"/>
        </w:rPr>
        <w:t>valuación</w:t>
      </w:r>
      <w:r w:rsidR="002C4503">
        <w:rPr>
          <w:rFonts w:ascii="Calibri" w:hAnsi="Calibri"/>
          <w:sz w:val="20"/>
        </w:rPr>
        <w:t>.</w:t>
      </w:r>
    </w:p>
    <w:p w14:paraId="03B4397D" w14:textId="6C3A6264" w:rsidR="008D2C08" w:rsidRPr="001A2067" w:rsidRDefault="008D2C08" w:rsidP="00903E2E">
      <w:pPr>
        <w:spacing w:after="120"/>
        <w:jc w:val="both"/>
        <w:rPr>
          <w:rFonts w:asciiTheme="minorHAnsi" w:hAnsiTheme="minorHAnsi"/>
          <w:sz w:val="20"/>
        </w:rPr>
      </w:pPr>
      <w:r>
        <w:rPr>
          <w:rFonts w:asciiTheme="minorHAnsi" w:hAnsiTheme="minorHAnsi"/>
          <w:sz w:val="20"/>
        </w:rPr>
        <w:t xml:space="preserve">El enfoque multisectorial e integrado propuesto para el proyecto Ecuador </w:t>
      </w:r>
      <w:r w:rsidRPr="00A30162">
        <w:rPr>
          <w:rFonts w:asciiTheme="minorHAnsi" w:hAnsiTheme="minorHAnsi"/>
          <w:i/>
          <w:iCs/>
          <w:sz w:val="20"/>
        </w:rPr>
        <w:t>Child</w:t>
      </w:r>
      <w:r w:rsidR="00A30162" w:rsidRPr="00A30162">
        <w:rPr>
          <w:rFonts w:asciiTheme="minorHAnsi" w:hAnsiTheme="minorHAnsi"/>
          <w:i/>
          <w:iCs/>
          <w:sz w:val="20"/>
          <w:lang w:val="es-EC"/>
        </w:rPr>
        <w:t xml:space="preserve"> </w:t>
      </w:r>
      <w:r w:rsidR="002C4503">
        <w:rPr>
          <w:rFonts w:asciiTheme="minorHAnsi" w:hAnsiTheme="minorHAnsi"/>
          <w:i/>
          <w:iCs/>
          <w:sz w:val="20"/>
          <w:lang w:val="es-EC"/>
        </w:rPr>
        <w:t>P</w:t>
      </w:r>
      <w:r w:rsidR="00A30162" w:rsidRPr="00A30162">
        <w:rPr>
          <w:rFonts w:asciiTheme="minorHAnsi" w:hAnsiTheme="minorHAnsi"/>
          <w:i/>
          <w:iCs/>
          <w:sz w:val="20"/>
          <w:lang w:val="es-EC"/>
        </w:rPr>
        <w:t>roject</w:t>
      </w:r>
      <w:r>
        <w:rPr>
          <w:rFonts w:asciiTheme="minorHAnsi" w:hAnsiTheme="minorHAnsi"/>
          <w:sz w:val="20"/>
        </w:rPr>
        <w:t xml:space="preserve"> responde y refleja plenamente la TdC del </w:t>
      </w:r>
      <w:r w:rsidR="002C4503">
        <w:rPr>
          <w:rFonts w:asciiTheme="minorHAnsi" w:hAnsiTheme="minorHAnsi"/>
          <w:sz w:val="20"/>
        </w:rPr>
        <w:t>p</w:t>
      </w:r>
      <w:r>
        <w:rPr>
          <w:rFonts w:asciiTheme="minorHAnsi" w:hAnsiTheme="minorHAnsi"/>
          <w:sz w:val="20"/>
        </w:rPr>
        <w:t xml:space="preserve">rograma FARM, tal y como se deduce del marco de resultados. Los cuatro componentes de este </w:t>
      </w:r>
      <w:r w:rsidR="007F09C8">
        <w:rPr>
          <w:rFonts w:asciiTheme="minorHAnsi" w:hAnsiTheme="minorHAnsi"/>
          <w:sz w:val="20"/>
        </w:rPr>
        <w:t xml:space="preserve">proyecto </w:t>
      </w:r>
      <w:r w:rsidR="00A30162">
        <w:rPr>
          <w:rFonts w:asciiTheme="minorHAnsi" w:hAnsiTheme="minorHAnsi"/>
          <w:sz w:val="20"/>
        </w:rPr>
        <w:t xml:space="preserve">Child </w:t>
      </w:r>
      <w:r>
        <w:rPr>
          <w:rFonts w:asciiTheme="minorHAnsi" w:hAnsiTheme="minorHAnsi"/>
          <w:sz w:val="20"/>
        </w:rPr>
        <w:t xml:space="preserve">están en consonancia con los componentes del programa, y los productos del </w:t>
      </w:r>
      <w:r w:rsidR="00A30162">
        <w:rPr>
          <w:rFonts w:asciiTheme="minorHAnsi" w:hAnsiTheme="minorHAnsi"/>
          <w:sz w:val="20"/>
          <w:lang w:val="es-EC"/>
        </w:rPr>
        <w:t>Child project</w:t>
      </w:r>
      <w:r w:rsidR="00A30162">
        <w:rPr>
          <w:rFonts w:asciiTheme="minorHAnsi" w:hAnsiTheme="minorHAnsi"/>
          <w:sz w:val="20"/>
        </w:rPr>
        <w:t xml:space="preserve"> </w:t>
      </w:r>
      <w:r>
        <w:rPr>
          <w:rFonts w:asciiTheme="minorHAnsi" w:hAnsiTheme="minorHAnsi"/>
          <w:sz w:val="20"/>
        </w:rPr>
        <w:t>contribuyen directamente al Documento Marco del Programa (</w:t>
      </w:r>
      <w:r w:rsidR="007C5123">
        <w:rPr>
          <w:rFonts w:asciiTheme="minorHAnsi" w:hAnsiTheme="minorHAnsi"/>
          <w:sz w:val="20"/>
          <w:lang w:val="es-EC"/>
        </w:rPr>
        <w:t>PFD</w:t>
      </w:r>
      <w:r>
        <w:rPr>
          <w:rFonts w:asciiTheme="minorHAnsi" w:hAnsiTheme="minorHAnsi"/>
          <w:sz w:val="20"/>
        </w:rPr>
        <w:t xml:space="preserve">) y a los resultados del </w:t>
      </w:r>
      <w:r w:rsidR="00A30162">
        <w:rPr>
          <w:rFonts w:asciiTheme="minorHAnsi" w:hAnsiTheme="minorHAnsi"/>
          <w:sz w:val="20"/>
          <w:lang w:val="es-EC"/>
        </w:rPr>
        <w:t>Child project</w:t>
      </w:r>
      <w:r w:rsidR="00A30162">
        <w:rPr>
          <w:rFonts w:asciiTheme="minorHAnsi" w:hAnsiTheme="minorHAnsi"/>
          <w:sz w:val="20"/>
        </w:rPr>
        <w:t xml:space="preserve"> </w:t>
      </w:r>
      <w:r>
        <w:rPr>
          <w:rFonts w:asciiTheme="minorHAnsi" w:hAnsiTheme="minorHAnsi"/>
          <w:sz w:val="20"/>
        </w:rPr>
        <w:t>descritos en el marco de resultados del proyecto.</w:t>
      </w:r>
    </w:p>
    <w:p w14:paraId="215E0676" w14:textId="7A0141F9" w:rsidR="00A84918" w:rsidRPr="00BD4BE2" w:rsidRDefault="00A84918" w:rsidP="00903E2E">
      <w:pPr>
        <w:snapToGrid w:val="0"/>
        <w:spacing w:after="120"/>
        <w:jc w:val="both"/>
        <w:rPr>
          <w:rFonts w:asciiTheme="minorHAnsi" w:hAnsiTheme="minorHAnsi" w:cstheme="minorHAnsi"/>
          <w:sz w:val="20"/>
          <w:szCs w:val="20"/>
        </w:rPr>
      </w:pPr>
      <w:r>
        <w:rPr>
          <w:rFonts w:asciiTheme="minorHAnsi" w:hAnsiTheme="minorHAnsi"/>
          <w:sz w:val="20"/>
        </w:rPr>
        <w:t>Como se ha descrito en la sección anterior, Ecuador ha realizado avances significativos en la gestión de productos agroquímicos peligrosos y residuos, en línea con sus compromisos internacionales. Sin embargo, es importante señalar que todavía hay iniciativas y aspectos sustanciales que deben abordarse para reforzar y mejorar las capacidades nacionales de protección de la salud humana y el medio ambiente frente a los plaguicidas peligrosos y los residuos plásticos en la actividad agrícola.</w:t>
      </w:r>
    </w:p>
    <w:p w14:paraId="27024331" w14:textId="52609EAF" w:rsidR="00A84918" w:rsidRDefault="00A84918" w:rsidP="00903E2E">
      <w:pPr>
        <w:snapToGrid w:val="0"/>
        <w:spacing w:after="120"/>
        <w:rPr>
          <w:rFonts w:asciiTheme="minorHAnsi" w:hAnsiTheme="minorHAnsi" w:cstheme="minorHAnsi"/>
          <w:sz w:val="20"/>
          <w:szCs w:val="20"/>
        </w:rPr>
      </w:pPr>
      <w:r>
        <w:rPr>
          <w:rFonts w:asciiTheme="minorHAnsi" w:hAnsiTheme="minorHAnsi"/>
          <w:sz w:val="20"/>
        </w:rPr>
        <w:t>A partir de ahí, los principales retos que debe abordar este proyecto son los siguientes:</w:t>
      </w:r>
    </w:p>
    <w:p w14:paraId="3F751106" w14:textId="3EB4E5D7" w:rsidR="000A5E30" w:rsidRPr="00DB49F5" w:rsidRDefault="000568AF">
      <w:pPr>
        <w:pStyle w:val="Prrafodelista"/>
        <w:numPr>
          <w:ilvl w:val="0"/>
          <w:numId w:val="22"/>
        </w:numPr>
        <w:tabs>
          <w:tab w:val="center" w:pos="4320"/>
          <w:tab w:val="right" w:pos="8640"/>
        </w:tabs>
        <w:spacing w:after="120"/>
        <w:ind w:left="360"/>
        <w:jc w:val="both"/>
        <w:rPr>
          <w:rFonts w:asciiTheme="minorHAnsi" w:eastAsia="Calibri" w:hAnsiTheme="minorHAnsi" w:cstheme="minorBidi"/>
          <w:sz w:val="20"/>
          <w:szCs w:val="20"/>
        </w:rPr>
      </w:pPr>
      <w:r>
        <w:rPr>
          <w:rFonts w:asciiTheme="minorHAnsi" w:hAnsiTheme="minorHAnsi"/>
          <w:sz w:val="20"/>
        </w:rPr>
        <w:t>Crear las condiciones necesarias para la gestión racional de los productos químicos y los residuos mediante políticas y su aplicación. Aunque en Ecuador existen las principales normativas para la gestión adecuada de productos agroquímicos y residuos agroplásticos relacionados, los ministerios competentes carecen de la capacidad, el personal y los recursos necesarios para aplicar la legislación sobre plaguicidas y garantizar el pleno cumplimiento de los acuerdos medioambientales multilaterales. Del mismo modo, debe fomentarse una mayor coordinación entre las autoridades competentes para evidenciar de forma efectiva una transición hacia una agricultura sostenible baja en productos químicos o sin ellos y una mejor gestión del final de la vida útil de los plásticos agrícolas.</w:t>
      </w:r>
    </w:p>
    <w:p w14:paraId="173D5D56" w14:textId="35E97840" w:rsidR="002559B7" w:rsidRDefault="00FA530E" w:rsidP="00903E2E">
      <w:pPr>
        <w:pStyle w:val="Prrafodelista"/>
        <w:tabs>
          <w:tab w:val="center" w:pos="4320"/>
          <w:tab w:val="right" w:pos="8640"/>
        </w:tabs>
        <w:spacing w:after="120"/>
        <w:ind w:left="360"/>
        <w:jc w:val="both"/>
        <w:rPr>
          <w:rFonts w:asciiTheme="minorHAnsi" w:hAnsiTheme="minorHAnsi" w:cstheme="minorHAnsi"/>
          <w:sz w:val="20"/>
          <w:szCs w:val="20"/>
        </w:rPr>
      </w:pPr>
      <w:r>
        <w:rPr>
          <w:rFonts w:asciiTheme="minorHAnsi" w:hAnsiTheme="minorHAnsi"/>
          <w:sz w:val="20"/>
        </w:rPr>
        <w:t>En el país, e incluso en la región, no se dispone de opciones menos peligrosas que los plaguicidas de alto impacto ambiental. Esto se debe principalmente a que los procesos de registro y adquisición suelen estar diseñados para registrar y adquirir plaguicidas químicos, incluidos los PAPs, y a menudo estos procesos no son relevantes para el biocontrol y las alternativas no químicas, lo que dificulta su registro, y su eficacia no se ha probado a nivel local. Además, existen ciertos incentivos fiscales que fomentan la importación de insumos agrícolas químicos.</w:t>
      </w:r>
    </w:p>
    <w:p w14:paraId="1CD92519" w14:textId="49A77C77" w:rsidR="008E251F" w:rsidRDefault="008E251F" w:rsidP="00903E2E">
      <w:pPr>
        <w:pStyle w:val="Prrafodelista"/>
        <w:tabs>
          <w:tab w:val="center" w:pos="4320"/>
          <w:tab w:val="right" w:pos="8640"/>
        </w:tabs>
        <w:spacing w:after="120"/>
        <w:ind w:left="360"/>
        <w:jc w:val="both"/>
        <w:rPr>
          <w:rFonts w:asciiTheme="minorHAnsi" w:hAnsiTheme="minorHAnsi" w:cstheme="minorHAnsi"/>
          <w:sz w:val="20"/>
          <w:szCs w:val="20"/>
        </w:rPr>
      </w:pPr>
      <w:r>
        <w:rPr>
          <w:rFonts w:asciiTheme="minorHAnsi" w:hAnsiTheme="minorHAnsi"/>
          <w:sz w:val="20"/>
        </w:rPr>
        <w:t>Teniendo en cuenta que las soluciones no químicas son muy específicas para cada plaga y agroecosistema, es sumamente necesario reforzar la capacidad nacional y los conocimientos científicos. Además, no existe una vigilancia post-autorización adecuada, por lo que el país no ha evaluado con precisión el impacto multidimensional del elevado uso de estos pesticidas (salud, medio ambiente, biodiversidad, etc.) y, en consecuencia, las autoridades competentes no son capaces de desarrollar eficazmente las intervenciones necesarias para los agroquímicos responsables de la mayoría de los daños.</w:t>
      </w:r>
    </w:p>
    <w:p w14:paraId="050F026E" w14:textId="5E44DE64" w:rsidR="001337E4" w:rsidRPr="00AE7987" w:rsidRDefault="00947554" w:rsidP="00903E2E">
      <w:pPr>
        <w:pStyle w:val="Prrafodelista"/>
        <w:tabs>
          <w:tab w:val="center" w:pos="4320"/>
          <w:tab w:val="right" w:pos="8640"/>
        </w:tabs>
        <w:spacing w:after="120"/>
        <w:ind w:left="360"/>
        <w:jc w:val="both"/>
        <w:rPr>
          <w:rFonts w:asciiTheme="minorHAnsi" w:eastAsia="Calibri" w:hAnsiTheme="minorHAnsi" w:cstheme="minorBidi"/>
          <w:color w:val="ED7D31" w:themeColor="accent2"/>
          <w:sz w:val="20"/>
          <w:szCs w:val="20"/>
        </w:rPr>
      </w:pPr>
      <w:r>
        <w:rPr>
          <w:rFonts w:asciiTheme="minorHAnsi" w:hAnsiTheme="minorHAnsi"/>
          <w:sz w:val="20"/>
        </w:rPr>
        <w:t>Por último, es importante destacar el reto de alcanzar una mayor armonización entre las normas para los cultivos destinados a la exportación y los destinados al consumo interno, minimizando los residuos químicos en los alimentos que se venden principalmente en los mercados locales, y mejorando los efectos sobre la salud y la nutrición de los consumidores locales</w:t>
      </w:r>
      <w:r>
        <w:rPr>
          <w:rFonts w:asciiTheme="minorHAnsi" w:hAnsiTheme="minorHAnsi"/>
          <w:color w:val="000000" w:themeColor="text1"/>
          <w:sz w:val="20"/>
        </w:rPr>
        <w:t xml:space="preserve">. Enmarcar el control de plagas dentro de un enfoque de Gestión Integrada de </w:t>
      </w:r>
      <w:r w:rsidR="00730967">
        <w:rPr>
          <w:rFonts w:asciiTheme="minorHAnsi" w:hAnsiTheme="minorHAnsi"/>
          <w:color w:val="000000" w:themeColor="text1"/>
          <w:sz w:val="20"/>
        </w:rPr>
        <w:t>Pestes</w:t>
      </w:r>
      <w:r>
        <w:rPr>
          <w:rFonts w:asciiTheme="minorHAnsi" w:hAnsiTheme="minorHAnsi"/>
          <w:color w:val="000000" w:themeColor="text1"/>
          <w:sz w:val="20"/>
        </w:rPr>
        <w:t xml:space="preserve"> (</w:t>
      </w:r>
      <w:r w:rsidR="00730967">
        <w:rPr>
          <w:rFonts w:asciiTheme="minorHAnsi" w:hAnsiTheme="minorHAnsi"/>
          <w:color w:val="000000" w:themeColor="text1"/>
          <w:sz w:val="20"/>
        </w:rPr>
        <w:t>IPM</w:t>
      </w:r>
      <w:r>
        <w:rPr>
          <w:rFonts w:asciiTheme="minorHAnsi" w:hAnsiTheme="minorHAnsi"/>
          <w:color w:val="000000" w:themeColor="text1"/>
          <w:sz w:val="20"/>
        </w:rPr>
        <w:t>) es la mejor manera de lograr una producción sostenible. Es una tecnología probada y un medio eficaz de responder a las demandas de los consumidores de productos de buena calidad, al tiempo que se abordan cuestiones medioambientales, de seguridad alimentaria, sanitarias y socioeconómicas.</w:t>
      </w:r>
    </w:p>
    <w:p w14:paraId="65FF0787" w14:textId="16DD98B5" w:rsidR="001337E4" w:rsidRDefault="007B30EE">
      <w:pPr>
        <w:pStyle w:val="Prrafodelista"/>
        <w:numPr>
          <w:ilvl w:val="0"/>
          <w:numId w:val="22"/>
        </w:numPr>
        <w:tabs>
          <w:tab w:val="center" w:pos="4320"/>
          <w:tab w:val="right" w:pos="8640"/>
        </w:tabs>
        <w:spacing w:after="120"/>
        <w:ind w:left="360"/>
        <w:jc w:val="both"/>
        <w:rPr>
          <w:rFonts w:asciiTheme="minorHAnsi" w:eastAsia="Calibri" w:hAnsiTheme="minorHAnsi" w:cstheme="minorBidi"/>
          <w:sz w:val="20"/>
          <w:szCs w:val="20"/>
        </w:rPr>
      </w:pPr>
      <w:r>
        <w:rPr>
          <w:rFonts w:asciiTheme="minorHAnsi" w:hAnsiTheme="minorHAnsi"/>
          <w:sz w:val="20"/>
        </w:rPr>
        <w:t>Establecer recursos sostenibles para la transición a una agricultura baja en productos químicos o sin ellos a través de la financiación y la inversión. Como se ha descrito en la sección anterior, aunque existe financiación disponible para el sector agrícola tanto de fuentes públicas como privadas, ninguna de ellas apoya actualmente modelos que promuevan una gestión adecuada de los agroquímicos y los agroplásticos a lo largo de su ciclo de vida. Además, debe desalentarse la aplicación perversa de la recuperación de cost</w:t>
      </w:r>
      <w:r w:rsidR="00DD214E">
        <w:rPr>
          <w:rFonts w:asciiTheme="minorHAnsi" w:hAnsiTheme="minorHAnsi"/>
          <w:sz w:val="20"/>
        </w:rPr>
        <w:t>o</w:t>
      </w:r>
      <w:r>
        <w:rPr>
          <w:rFonts w:asciiTheme="minorHAnsi" w:hAnsiTheme="minorHAnsi"/>
          <w:sz w:val="20"/>
        </w:rPr>
        <w:t xml:space="preserve">s o de instrumentos económicos como las subvenciones a los plaguicidas. </w:t>
      </w:r>
    </w:p>
    <w:p w14:paraId="50E34891" w14:textId="77777777" w:rsidR="00267D20" w:rsidRDefault="00267D20" w:rsidP="00903E2E">
      <w:pPr>
        <w:pStyle w:val="Prrafodelista"/>
        <w:tabs>
          <w:tab w:val="center" w:pos="4320"/>
          <w:tab w:val="right" w:pos="8640"/>
        </w:tabs>
        <w:spacing w:after="120"/>
        <w:ind w:left="360"/>
        <w:jc w:val="both"/>
        <w:rPr>
          <w:rFonts w:asciiTheme="minorHAnsi" w:eastAsia="Calibri" w:hAnsiTheme="minorHAnsi" w:cstheme="minorBidi"/>
          <w:sz w:val="20"/>
          <w:szCs w:val="20"/>
        </w:rPr>
      </w:pPr>
    </w:p>
    <w:p w14:paraId="1643EF5B" w14:textId="4E382468" w:rsidR="00E96105" w:rsidRPr="001337E4" w:rsidRDefault="007000F9" w:rsidP="00903E2E">
      <w:pPr>
        <w:tabs>
          <w:tab w:val="center" w:pos="4320"/>
          <w:tab w:val="right" w:pos="8640"/>
        </w:tabs>
        <w:spacing w:after="120"/>
        <w:ind w:left="363"/>
        <w:jc w:val="both"/>
        <w:rPr>
          <w:rFonts w:asciiTheme="minorHAnsi" w:eastAsia="Calibri" w:hAnsiTheme="minorHAnsi" w:cstheme="minorBidi"/>
          <w:sz w:val="20"/>
          <w:szCs w:val="20"/>
        </w:rPr>
      </w:pPr>
      <w:r>
        <w:rPr>
          <w:rFonts w:asciiTheme="minorHAnsi" w:hAnsiTheme="minorHAnsi"/>
          <w:sz w:val="20"/>
        </w:rPr>
        <w:t>Es necesario apoyar el desarrollo de opciones de financiación sostenible adaptadas a la agricultura en las que se incluyan criterios y objetivos para el uso de alternativas sin productos químicos o con un bajo nivel de productos químicos en la idoneidad para la inversión y los préstamos. Para ello, también es fundamental trabajar en la brecha de conocimiento tanto en las instituciones financieras, las unidades de extensión y los propios agricultores para desarrollar la capacidad esencial para el diseño, difusión, acceso y aplicación de fuentes de financiación sostenible en la actividad agrícola.</w:t>
      </w:r>
    </w:p>
    <w:p w14:paraId="0B68E066" w14:textId="5AD97CA7" w:rsidR="0059248A" w:rsidRPr="0059248A" w:rsidRDefault="0029740B" w:rsidP="00903E2E">
      <w:pPr>
        <w:pStyle w:val="Prrafodelista"/>
        <w:tabs>
          <w:tab w:val="center" w:pos="4320"/>
          <w:tab w:val="right" w:pos="8640"/>
        </w:tabs>
        <w:spacing w:after="120"/>
        <w:ind w:left="360"/>
        <w:jc w:val="both"/>
        <w:rPr>
          <w:rFonts w:asciiTheme="minorHAnsi" w:eastAsia="Calibri" w:hAnsiTheme="minorHAnsi" w:cstheme="minorBidi"/>
          <w:sz w:val="20"/>
          <w:szCs w:val="20"/>
        </w:rPr>
      </w:pPr>
      <w:r>
        <w:rPr>
          <w:rFonts w:asciiTheme="minorHAnsi" w:hAnsiTheme="minorHAnsi"/>
          <w:sz w:val="20"/>
        </w:rPr>
        <w:t>Aunque el país cuenta con iniciativas como las Buenas Prácticas Agrícolas y las Certificaciones de Producción Orgánica que aumentaron el cumplimiento de normas de producción más estrictas sobre pesticidas e insumos plásticos, se evidenció que una tasa muy baja de productores ha sido certificada (0,1% en BPA y 5% en Orgánica) y en la mayoría de los casos, se trata de productos básicos de alto valor (como cacao, banano, café) para los mercados de exportación como destino principal. La falta de conexión con los mercados, que están dispuestos a pagar un valor agregado, para muchos pequeños agricultores no justifica los cost</w:t>
      </w:r>
      <w:r w:rsidR="00DD214E">
        <w:rPr>
          <w:rFonts w:asciiTheme="minorHAnsi" w:hAnsiTheme="minorHAnsi"/>
          <w:sz w:val="20"/>
        </w:rPr>
        <w:t>o</w:t>
      </w:r>
      <w:r>
        <w:rPr>
          <w:rFonts w:asciiTheme="minorHAnsi" w:hAnsiTheme="minorHAnsi"/>
          <w:sz w:val="20"/>
        </w:rPr>
        <w:t>s asociados a la adopción de medidas alternativas de control de plagas y gestión de la contaminación.</w:t>
      </w:r>
    </w:p>
    <w:p w14:paraId="0F61B0C9" w14:textId="648FE875" w:rsidR="0097387A" w:rsidRPr="00451CEA" w:rsidRDefault="007B30EE">
      <w:pPr>
        <w:pStyle w:val="Prrafodelista"/>
        <w:numPr>
          <w:ilvl w:val="0"/>
          <w:numId w:val="22"/>
        </w:numPr>
        <w:tabs>
          <w:tab w:val="center" w:pos="4320"/>
          <w:tab w:val="right" w:pos="8640"/>
        </w:tabs>
        <w:spacing w:after="120"/>
        <w:ind w:left="360"/>
        <w:jc w:val="both"/>
        <w:rPr>
          <w:rFonts w:asciiTheme="minorHAnsi" w:eastAsia="Calibri" w:hAnsiTheme="minorHAnsi" w:cstheme="minorBidi"/>
          <w:sz w:val="20"/>
          <w:szCs w:val="20"/>
        </w:rPr>
      </w:pPr>
      <w:r>
        <w:rPr>
          <w:rFonts w:asciiTheme="minorHAnsi" w:hAnsiTheme="minorHAnsi"/>
          <w:sz w:val="20"/>
        </w:rPr>
        <w:t>Desarrol</w:t>
      </w:r>
      <w:r w:rsidR="00DD214E">
        <w:rPr>
          <w:rFonts w:asciiTheme="minorHAnsi" w:hAnsiTheme="minorHAnsi"/>
          <w:sz w:val="20"/>
        </w:rPr>
        <w:t>l</w:t>
      </w:r>
      <w:r>
        <w:rPr>
          <w:rFonts w:asciiTheme="minorHAnsi" w:hAnsiTheme="minorHAnsi"/>
          <w:sz w:val="20"/>
        </w:rPr>
        <w:t>ar capacidades y hacer accesibles los conocimientos mediante la gestión adecuada de productos químicos y residuos. Este es uno de los principales pilares sobre los que debe trabajar el proyecto para lograr un cambio estructural. Con frecuencia, la toma de decisiones de los agricultores sobre el manejo de plagas está impulsada por la rentabilidad y la aversión al riesgo, por lo que la eficacia percibida es importante. Es difícil que los agricultores cambien estas prácticas arraigadas y reacias al riesgo sin incentivos convincentes. La concienciación general sobre las alternativas disponibles y las prácticas agrícolas sostenibles sigue siendo escasa entre agricultores, reguladores e inversores. Por consiguiente, es esencial desarrol</w:t>
      </w:r>
      <w:r w:rsidR="00DD214E">
        <w:rPr>
          <w:rFonts w:asciiTheme="minorHAnsi" w:hAnsiTheme="minorHAnsi"/>
          <w:sz w:val="20"/>
        </w:rPr>
        <w:t>l</w:t>
      </w:r>
      <w:r>
        <w:rPr>
          <w:rFonts w:asciiTheme="minorHAnsi" w:hAnsiTheme="minorHAnsi"/>
          <w:sz w:val="20"/>
        </w:rPr>
        <w:t>ar la capacidad necesaria y difundir conocimientos sobre alternativas eficaces a los PAPs, los COP</w:t>
      </w:r>
      <w:r w:rsidR="00DD214E">
        <w:rPr>
          <w:rFonts w:asciiTheme="minorHAnsi" w:hAnsiTheme="minorHAnsi"/>
          <w:sz w:val="20"/>
        </w:rPr>
        <w:t>s</w:t>
      </w:r>
      <w:r>
        <w:rPr>
          <w:rFonts w:asciiTheme="minorHAnsi" w:hAnsiTheme="minorHAnsi"/>
          <w:sz w:val="20"/>
        </w:rPr>
        <w:t xml:space="preserve"> y los agroplásticos a todos los niveles, en particular entre agricultores y reguladores.</w:t>
      </w:r>
    </w:p>
    <w:p w14:paraId="323DC285" w14:textId="7FD5CFE1" w:rsidR="00966EF0" w:rsidRPr="007C7C93" w:rsidRDefault="009D6A7C" w:rsidP="00903E2E">
      <w:pPr>
        <w:spacing w:after="120"/>
        <w:jc w:val="both"/>
        <w:rPr>
          <w:rFonts w:asciiTheme="minorHAnsi" w:hAnsiTheme="minorHAnsi" w:cstheme="minorHAnsi"/>
          <w:noProof/>
          <w:color w:val="000000" w:themeColor="text1"/>
          <w:sz w:val="20"/>
          <w:szCs w:val="20"/>
        </w:rPr>
      </w:pPr>
      <w:r>
        <w:rPr>
          <w:rFonts w:asciiTheme="minorHAnsi" w:hAnsiTheme="minorHAnsi"/>
          <w:color w:val="000000" w:themeColor="text1"/>
          <w:sz w:val="20"/>
        </w:rPr>
        <w:t>Por último, para abordar el uso de productos químicos agrícolas perjudiciales, la estrategia del proyecto requerirá la implicación de los principales actores, como las autoridades reguladoras (incluidos funcionarios de aduanas para garantizar que se evite el comercio ilegal de productos químicos obsoletos o prohibidos), los servicios de extensión agraria y los servicios de asesoramiento de salud pública y centros toxicológicos, las organizaciones y redes de agricultores, los sindicatos y las organizaciones de productores agrícolas, y el sector privado (incluidos  fabricantes, importadores, distribuidores y usuarios de pesticidas, la sociedad civil, la academia, los científicos y los investigadores).</w:t>
      </w:r>
    </w:p>
    <w:p w14:paraId="270D73FA" w14:textId="77777777" w:rsidR="00196F2B" w:rsidRPr="005C6F10" w:rsidRDefault="00196F2B" w:rsidP="00903E2E">
      <w:pPr>
        <w:spacing w:after="120"/>
        <w:rPr>
          <w:rFonts w:asciiTheme="minorHAnsi" w:hAnsiTheme="minorHAnsi" w:cstheme="minorHAnsi"/>
          <w:b/>
          <w:bCs/>
          <w:iCs/>
          <w:sz w:val="20"/>
          <w:szCs w:val="20"/>
        </w:rPr>
      </w:pPr>
      <w:r>
        <w:rPr>
          <w:rFonts w:asciiTheme="minorHAnsi" w:hAnsiTheme="minorHAnsi"/>
          <w:b/>
          <w:sz w:val="20"/>
        </w:rPr>
        <w:t>TEORÍA DEL CAMBIO</w:t>
      </w:r>
    </w:p>
    <w:p w14:paraId="4394D269" w14:textId="12CF7F45" w:rsidR="00812EFF" w:rsidRPr="00113423" w:rsidRDefault="00A54792" w:rsidP="00903E2E">
      <w:pPr>
        <w:spacing w:after="120"/>
        <w:jc w:val="both"/>
        <w:rPr>
          <w:rFonts w:asciiTheme="minorHAnsi" w:hAnsiTheme="minorHAnsi" w:cstheme="minorHAnsi"/>
          <w:noProof/>
          <w:color w:val="000000" w:themeColor="text1"/>
          <w:sz w:val="20"/>
          <w:szCs w:val="20"/>
        </w:rPr>
      </w:pPr>
      <w:r>
        <w:rPr>
          <w:rFonts w:asciiTheme="minorHAnsi" w:hAnsiTheme="minorHAnsi"/>
          <w:color w:val="000000" w:themeColor="text1"/>
          <w:sz w:val="20"/>
        </w:rPr>
        <w:t>La visión del proyecto es proceder a intervenciones directas sobre las causas inmediatas, subyacentes y profundas previamente identificadas</w:t>
      </w:r>
      <w:r w:rsidR="00E23EC2">
        <w:rPr>
          <w:rFonts w:asciiTheme="minorHAnsi" w:hAnsiTheme="minorHAnsi"/>
          <w:color w:val="000000" w:themeColor="text1"/>
          <w:sz w:val="20"/>
        </w:rPr>
        <w:t>,</w:t>
      </w:r>
      <w:r>
        <w:rPr>
          <w:rFonts w:asciiTheme="minorHAnsi" w:hAnsiTheme="minorHAnsi"/>
          <w:color w:val="000000" w:themeColor="text1"/>
          <w:sz w:val="20"/>
        </w:rPr>
        <w:t xml:space="preserve"> reconociendo los impactos multidimensionales de la agricultura sobre el medio ambiente, la salud, la biodiversidad y la pobreza. El objetivo de este </w:t>
      </w:r>
      <w:r w:rsidR="00F15011">
        <w:rPr>
          <w:rFonts w:asciiTheme="minorHAnsi" w:hAnsiTheme="minorHAnsi"/>
          <w:color w:val="000000" w:themeColor="text1"/>
          <w:sz w:val="20"/>
        </w:rPr>
        <w:t>FSP</w:t>
      </w:r>
      <w:r>
        <w:rPr>
          <w:rFonts w:asciiTheme="minorHAnsi" w:hAnsiTheme="minorHAnsi"/>
          <w:color w:val="000000" w:themeColor="text1"/>
          <w:sz w:val="20"/>
        </w:rPr>
        <w:t xml:space="preserve"> es reducir el uso global de productos agroquímicos perjudiciales, ayudando a los agricultores a acceder a financiación, a prácticas de producción innovadoras y sostenibles y a tener un acceso competitivo a los mercados de consumo en Ecuador. </w:t>
      </w:r>
    </w:p>
    <w:p w14:paraId="4CAA39D8" w14:textId="296F8B04" w:rsidR="00812EFF" w:rsidRPr="00C078D1" w:rsidRDefault="00812EFF" w:rsidP="00903E2E">
      <w:pPr>
        <w:spacing w:after="120"/>
        <w:jc w:val="both"/>
        <w:rPr>
          <w:rFonts w:asciiTheme="minorHAnsi" w:hAnsiTheme="minorHAnsi" w:cstheme="minorHAnsi"/>
          <w:noProof/>
          <w:color w:val="000000" w:themeColor="text1"/>
          <w:sz w:val="20"/>
          <w:szCs w:val="20"/>
          <w:highlight w:val="yellow"/>
        </w:rPr>
      </w:pPr>
      <w:r>
        <w:rPr>
          <w:rFonts w:asciiTheme="minorHAnsi" w:hAnsiTheme="minorHAnsi"/>
          <w:color w:val="000000" w:themeColor="text1"/>
          <w:sz w:val="20"/>
        </w:rPr>
        <w:t xml:space="preserve">Este </w:t>
      </w:r>
      <w:r w:rsidR="00F15011">
        <w:rPr>
          <w:rFonts w:asciiTheme="minorHAnsi" w:hAnsiTheme="minorHAnsi"/>
          <w:color w:val="000000" w:themeColor="text1"/>
          <w:sz w:val="20"/>
        </w:rPr>
        <w:t>FSP</w:t>
      </w:r>
      <w:r>
        <w:rPr>
          <w:rFonts w:asciiTheme="minorHAnsi" w:hAnsiTheme="minorHAnsi"/>
          <w:color w:val="000000" w:themeColor="text1"/>
          <w:sz w:val="20"/>
        </w:rPr>
        <w:t xml:space="preserve"> está plenamente alineado con el Plan Nacional de Desarrollo "Plan de Creación de Oportunidades 2021-2025"</w:t>
      </w:r>
      <w:r w:rsidR="000F5657" w:rsidRPr="00113423">
        <w:rPr>
          <w:rFonts w:asciiTheme="minorHAnsi" w:hAnsiTheme="minorHAnsi"/>
          <w:noProof/>
          <w:color w:val="000000" w:themeColor="text1"/>
          <w:sz w:val="20"/>
        </w:rPr>
        <w:footnoteReference w:id="17"/>
      </w:r>
      <w:r>
        <w:rPr>
          <w:rFonts w:asciiTheme="minorHAnsi" w:hAnsiTheme="minorHAnsi"/>
          <w:color w:val="000000" w:themeColor="text1"/>
          <w:sz w:val="20"/>
        </w:rPr>
        <w:t>. En particular el proyecto contribuirá al Objetivo 11 bajo la meta de transición ecológica que busca "Conservar, restaurar, proteger y hacer un uso sostenible de los recursos naturales" proponiendo avanzar en las condiciones legales, económicas y de protección ambiental necesarias para lograr el desarrollo de las actividades humanas en el marco de la transición ecológica, mediante la programación de acciones que permitan la conservación de los hábitats, la gestión eficiente de los recursos naturales y la reparación de los ecosistemas.</w:t>
      </w:r>
    </w:p>
    <w:p w14:paraId="20725805" w14:textId="1359AE4D" w:rsidR="00523268" w:rsidRPr="00AD47A9" w:rsidRDefault="00A54792" w:rsidP="00903E2E">
      <w:pPr>
        <w:spacing w:after="120"/>
        <w:jc w:val="both"/>
        <w:rPr>
          <w:rFonts w:asciiTheme="minorHAnsi" w:hAnsiTheme="minorHAnsi" w:cstheme="minorHAnsi"/>
          <w:noProof/>
          <w:color w:val="000000" w:themeColor="text1"/>
          <w:sz w:val="20"/>
          <w:szCs w:val="20"/>
          <w:highlight w:val="yellow"/>
        </w:rPr>
      </w:pPr>
      <w:r>
        <w:rPr>
          <w:rFonts w:asciiTheme="minorHAnsi" w:hAnsiTheme="minorHAnsi"/>
          <w:color w:val="000000" w:themeColor="text1"/>
          <w:sz w:val="20"/>
        </w:rPr>
        <w:t xml:space="preserve">Este FSP está alineado con el UNSDCF 2022-2026 Efecto 2: "En 2026, el Estado y la sociedad avanzan hacia la transición ecológica y hacia una economía sostenible e inclusiva, descarbonizada y resiliente a los efectos del cambio climático, conservando la biodiversidad, evitando la degradación del suelo y la contaminación de los ecosistemas, con un enfoque de género, inclusión y diversidad". Además, este FSP está alineado con el </w:t>
      </w:r>
      <w:r w:rsidR="0079222B">
        <w:rPr>
          <w:rFonts w:asciiTheme="minorHAnsi" w:hAnsiTheme="minorHAnsi"/>
          <w:color w:val="000000" w:themeColor="text1"/>
          <w:sz w:val="20"/>
        </w:rPr>
        <w:t xml:space="preserve">Resultado </w:t>
      </w:r>
      <w:r>
        <w:rPr>
          <w:rFonts w:asciiTheme="minorHAnsi" w:hAnsiTheme="minorHAnsi"/>
          <w:color w:val="000000" w:themeColor="text1"/>
          <w:sz w:val="20"/>
        </w:rPr>
        <w:t xml:space="preserve">2.1 del Plan Estratégico del PNUD:  </w:t>
      </w:r>
      <w:r w:rsidR="0079222B">
        <w:rPr>
          <w:rFonts w:asciiTheme="minorHAnsi" w:hAnsiTheme="minorHAnsi"/>
          <w:color w:val="000000" w:themeColor="text1"/>
          <w:sz w:val="20"/>
        </w:rPr>
        <w:t>S</w:t>
      </w:r>
      <w:r>
        <w:rPr>
          <w:rFonts w:asciiTheme="minorHAnsi" w:hAnsiTheme="minorHAnsi"/>
          <w:color w:val="000000" w:themeColor="text1"/>
          <w:sz w:val="20"/>
        </w:rPr>
        <w:t xml:space="preserve">e aplican instrumentos y mecanismos a nivel nacional o subnacional para gestionar los recursos naturales de forma sostenible con el fin de integrar la adaptación al cambio climático, su mitigación, y sus efectos, y para la transición hacia un sistema productivo más sostenible; y Resultado 2.2: </w:t>
      </w:r>
      <w:r>
        <w:rPr>
          <w:rFonts w:asciiTheme="minorHAnsi" w:hAnsiTheme="minorHAnsi"/>
          <w:sz w:val="20"/>
        </w:rPr>
        <w:t xml:space="preserve">Realización de </w:t>
      </w:r>
      <w:r>
        <w:rPr>
          <w:rFonts w:asciiTheme="minorHAnsi" w:hAnsiTheme="minorHAnsi"/>
          <w:color w:val="000000" w:themeColor="text1"/>
          <w:sz w:val="20"/>
        </w:rPr>
        <w:t>actividades de conservación y gestión forestal sostenible, así como de buenas prácticas en la cadena de suministro</w:t>
      </w:r>
      <w:r>
        <w:rPr>
          <w:rFonts w:asciiTheme="minorHAnsi" w:hAnsiTheme="minorHAnsi"/>
          <w:sz w:val="20"/>
        </w:rPr>
        <w:t xml:space="preserve"> sostenible.</w:t>
      </w:r>
    </w:p>
    <w:p w14:paraId="76F64A2D" w14:textId="728088CD" w:rsidR="004E7059" w:rsidRPr="00944D0D" w:rsidRDefault="004E7059" w:rsidP="00667137">
      <w:pPr>
        <w:shd w:val="clear" w:color="auto" w:fill="FFFFFF"/>
        <w:jc w:val="both"/>
        <w:rPr>
          <w:rFonts w:asciiTheme="minorHAnsi" w:hAnsiTheme="minorHAnsi" w:cstheme="minorHAnsi"/>
          <w:color w:val="000000"/>
          <w:sz w:val="20"/>
          <w:szCs w:val="20"/>
        </w:rPr>
      </w:pPr>
      <w:r>
        <w:rPr>
          <w:rFonts w:asciiTheme="minorHAnsi" w:hAnsiTheme="minorHAnsi"/>
          <w:color w:val="000000"/>
          <w:sz w:val="20"/>
        </w:rPr>
        <w:t>El proyecto proporcionará Beneficios Ambientales Globales</w:t>
      </w:r>
      <w:r w:rsidR="007E6420" w:rsidRPr="00944D0D">
        <w:rPr>
          <w:rStyle w:val="Refdenotaalpie"/>
          <w:rFonts w:asciiTheme="minorHAnsi" w:hAnsiTheme="minorHAnsi" w:cstheme="minorHAnsi"/>
          <w:bCs/>
          <w:color w:val="000000"/>
          <w:sz w:val="20"/>
          <w:szCs w:val="20"/>
          <w:lang w:val="en-US"/>
        </w:rPr>
        <w:footnoteReference w:id="18"/>
      </w:r>
      <w:r>
        <w:rPr>
          <w:rFonts w:asciiTheme="minorHAnsi" w:hAnsiTheme="minorHAnsi"/>
          <w:color w:val="000000"/>
          <w:sz w:val="20"/>
        </w:rPr>
        <w:t xml:space="preserve"> en términos de reducción de 58 Tm de pesticidas COPs (DDT); 725 Tm de un pesticida candidato a ser COP (Clorp</w:t>
      </w:r>
      <w:r w:rsidR="00C30E70">
        <w:rPr>
          <w:rFonts w:asciiTheme="minorHAnsi" w:hAnsiTheme="minorHAnsi"/>
          <w:color w:val="000000"/>
          <w:sz w:val="20"/>
        </w:rPr>
        <w:t>i</w:t>
      </w:r>
      <w:r>
        <w:rPr>
          <w:rFonts w:asciiTheme="minorHAnsi" w:hAnsiTheme="minorHAnsi"/>
          <w:color w:val="000000"/>
          <w:sz w:val="20"/>
        </w:rPr>
        <w:t>rifos) y</w:t>
      </w:r>
      <w:r>
        <w:rPr>
          <w:rFonts w:asciiTheme="minorHAnsi" w:hAnsiTheme="minorHAnsi"/>
          <w:color w:val="000000" w:themeColor="text1"/>
          <w:sz w:val="20"/>
        </w:rPr>
        <w:t xml:space="preserve"> 1.917 Tm de PAPs; 1.128 GEI y 19,7 gTEq de emisiones del sector agrícola, y 7.800 beneficiarios directos (2.721 mujeres y 5.079 hombres) dentro del país.</w:t>
      </w:r>
    </w:p>
    <w:p w14:paraId="51D4B579" w14:textId="381BFC15" w:rsidR="00A54792" w:rsidRPr="00A54792" w:rsidRDefault="00A54792" w:rsidP="004E7059">
      <w:pPr>
        <w:snapToGrid w:val="0"/>
        <w:spacing w:after="120"/>
        <w:jc w:val="both"/>
        <w:rPr>
          <w:rFonts w:asciiTheme="minorHAnsi" w:hAnsiTheme="minorHAnsi" w:cstheme="minorHAnsi"/>
          <w:sz w:val="20"/>
          <w:szCs w:val="20"/>
        </w:rPr>
      </w:pPr>
      <w:r>
        <w:rPr>
          <w:rFonts w:asciiTheme="minorHAnsi" w:hAnsiTheme="minorHAnsi"/>
          <w:sz w:val="20"/>
        </w:rPr>
        <w:t xml:space="preserve">La siguiente gráfica muestra la vía alternativa y las soluciones para abordar las tres categorías de causas inmediatas, intermedias y profundas descritas en el </w:t>
      </w:r>
      <w:r w:rsidR="00A77C99" w:rsidRPr="00A77C99">
        <w:rPr>
          <w:rFonts w:asciiTheme="minorHAnsi" w:hAnsiTheme="minorHAnsi"/>
          <w:sz w:val="20"/>
        </w:rPr>
        <w:t>Á</w:t>
      </w:r>
      <w:r>
        <w:rPr>
          <w:rFonts w:asciiTheme="minorHAnsi" w:hAnsiTheme="minorHAnsi"/>
          <w:sz w:val="20"/>
        </w:rPr>
        <w:t xml:space="preserve">rbol de </w:t>
      </w:r>
      <w:r w:rsidR="00A77C99">
        <w:rPr>
          <w:rFonts w:asciiTheme="minorHAnsi" w:hAnsiTheme="minorHAnsi"/>
          <w:sz w:val="20"/>
        </w:rPr>
        <w:t>P</w:t>
      </w:r>
      <w:r>
        <w:rPr>
          <w:rFonts w:asciiTheme="minorHAnsi" w:hAnsiTheme="minorHAnsi"/>
          <w:sz w:val="20"/>
        </w:rPr>
        <w:t xml:space="preserve">roblemas. </w:t>
      </w:r>
    </w:p>
    <w:p w14:paraId="61697DD6" w14:textId="17C26B8A" w:rsidR="00196F2B" w:rsidRPr="002152FE" w:rsidRDefault="00196F2B" w:rsidP="004E7059">
      <w:pPr>
        <w:jc w:val="both"/>
        <w:rPr>
          <w:rFonts w:ascii="Calibri" w:eastAsia="SimSun" w:hAnsi="Calibri"/>
          <w:b/>
          <w:i/>
          <w:sz w:val="20"/>
          <w:szCs w:val="20"/>
          <w:lang w:val="es-EC"/>
        </w:rPr>
      </w:pPr>
    </w:p>
    <w:p w14:paraId="462C419A" w14:textId="0CEB16B8" w:rsidR="00A54792" w:rsidRDefault="00855CD9" w:rsidP="00A54792">
      <w:pPr>
        <w:pStyle w:val="Descripcin"/>
        <w:jc w:val="both"/>
        <w:rPr>
          <w:rFonts w:asciiTheme="minorHAnsi" w:hAnsiTheme="minorHAnsi"/>
          <w:b w:val="0"/>
          <w:bCs w:val="0"/>
          <w:sz w:val="18"/>
          <w:szCs w:val="18"/>
        </w:rPr>
      </w:pPr>
      <w:bookmarkStart w:id="23" w:name="_Toc81997412"/>
      <w:r>
        <w:rPr>
          <w:rFonts w:asciiTheme="minorHAnsi" w:hAnsiTheme="minorHAnsi"/>
          <w:b w:val="0"/>
          <w:bCs w:val="0"/>
          <w:noProof/>
          <w:sz w:val="18"/>
          <w:szCs w:val="18"/>
        </w:rPr>
        <w:drawing>
          <wp:inline distT="0" distB="0" distL="0" distR="0" wp14:anchorId="0067E68B" wp14:editId="49072DCF">
            <wp:extent cx="5896193" cy="3277291"/>
            <wp:effectExtent l="0" t="0" r="9525" b="0"/>
            <wp:docPr id="1672344007" name="Picture 167234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0461" cy="3285221"/>
                    </a:xfrm>
                    <a:prstGeom prst="rect">
                      <a:avLst/>
                    </a:prstGeom>
                    <a:noFill/>
                  </pic:spPr>
                </pic:pic>
              </a:graphicData>
            </a:graphic>
          </wp:inline>
        </w:drawing>
      </w:r>
    </w:p>
    <w:p w14:paraId="34F18B52" w14:textId="309D43FF" w:rsidR="00A54792" w:rsidRPr="004F71AA" w:rsidRDefault="00A54792" w:rsidP="00891B21">
      <w:pPr>
        <w:pStyle w:val="Descripcin"/>
        <w:spacing w:before="60"/>
        <w:jc w:val="both"/>
        <w:rPr>
          <w:rFonts w:asciiTheme="minorHAnsi" w:hAnsiTheme="minorHAnsi"/>
          <w:b w:val="0"/>
          <w:bCs w:val="0"/>
          <w:sz w:val="18"/>
          <w:szCs w:val="18"/>
        </w:rPr>
      </w:pPr>
      <w:bookmarkStart w:id="24" w:name="_Toc114650506"/>
      <w:r>
        <w:rPr>
          <w:rFonts w:asciiTheme="minorHAnsi" w:hAnsiTheme="minorHAnsi"/>
          <w:b w:val="0"/>
          <w:sz w:val="18"/>
        </w:rPr>
        <w:t xml:space="preserve">Gráfico </w:t>
      </w:r>
      <w:r w:rsidRPr="004F71AA">
        <w:rPr>
          <w:rFonts w:asciiTheme="minorHAnsi" w:hAnsiTheme="minorHAnsi"/>
          <w:b w:val="0"/>
          <w:sz w:val="18"/>
        </w:rPr>
        <w:fldChar w:fldCharType="begin"/>
      </w:r>
      <w:r w:rsidRPr="004F71AA">
        <w:rPr>
          <w:rFonts w:asciiTheme="minorHAnsi" w:hAnsiTheme="minorHAnsi"/>
          <w:b w:val="0"/>
          <w:sz w:val="18"/>
        </w:rPr>
        <w:instrText xml:space="preserve"> SEQ Figure \* ARABIC </w:instrText>
      </w:r>
      <w:r w:rsidRPr="004F71AA">
        <w:rPr>
          <w:rFonts w:asciiTheme="minorHAnsi" w:hAnsiTheme="minorHAnsi"/>
          <w:b w:val="0"/>
          <w:sz w:val="18"/>
        </w:rPr>
        <w:fldChar w:fldCharType="separate"/>
      </w:r>
      <w:r w:rsidR="004D0AC8">
        <w:rPr>
          <w:rFonts w:asciiTheme="minorHAnsi" w:hAnsiTheme="minorHAnsi"/>
          <w:b w:val="0"/>
          <w:noProof/>
          <w:sz w:val="18"/>
        </w:rPr>
        <w:t>2</w:t>
      </w:r>
      <w:r w:rsidRPr="004F71AA">
        <w:rPr>
          <w:rFonts w:asciiTheme="minorHAnsi" w:hAnsiTheme="minorHAnsi"/>
          <w:b w:val="0"/>
          <w:sz w:val="18"/>
        </w:rPr>
        <w:fldChar w:fldCharType="end"/>
      </w:r>
      <w:r>
        <w:rPr>
          <w:rFonts w:asciiTheme="minorHAnsi" w:hAnsiTheme="minorHAnsi"/>
          <w:b w:val="0"/>
          <w:sz w:val="18"/>
        </w:rPr>
        <w:t xml:space="preserve">. Diagrama de la </w:t>
      </w:r>
      <w:r w:rsidR="00E23EC2">
        <w:rPr>
          <w:rFonts w:asciiTheme="minorHAnsi" w:hAnsiTheme="minorHAnsi"/>
          <w:b w:val="0"/>
          <w:sz w:val="18"/>
        </w:rPr>
        <w:t>T</w:t>
      </w:r>
      <w:r>
        <w:rPr>
          <w:rFonts w:asciiTheme="minorHAnsi" w:hAnsiTheme="minorHAnsi"/>
          <w:b w:val="0"/>
          <w:sz w:val="18"/>
        </w:rPr>
        <w:t xml:space="preserve">eoría del </w:t>
      </w:r>
      <w:r w:rsidR="00E23EC2">
        <w:rPr>
          <w:rFonts w:asciiTheme="minorHAnsi" w:hAnsiTheme="minorHAnsi"/>
          <w:b w:val="0"/>
          <w:sz w:val="18"/>
        </w:rPr>
        <w:t>C</w:t>
      </w:r>
      <w:r>
        <w:rPr>
          <w:rFonts w:asciiTheme="minorHAnsi" w:hAnsiTheme="minorHAnsi"/>
          <w:b w:val="0"/>
          <w:sz w:val="18"/>
        </w:rPr>
        <w:t>ambio</w:t>
      </w:r>
      <w:bookmarkEnd w:id="23"/>
      <w:bookmarkEnd w:id="24"/>
    </w:p>
    <w:p w14:paraId="18A44615" w14:textId="712148E6" w:rsidR="00855BCD" w:rsidRPr="002152FE" w:rsidRDefault="00855BCD" w:rsidP="00966EF0">
      <w:pPr>
        <w:jc w:val="both"/>
        <w:rPr>
          <w:rFonts w:ascii="Calibri" w:eastAsia="SimSun" w:hAnsi="Calibri"/>
          <w:b/>
          <w:i/>
          <w:sz w:val="20"/>
          <w:szCs w:val="20"/>
          <w:lang w:val="es-EC"/>
        </w:rPr>
      </w:pPr>
    </w:p>
    <w:p w14:paraId="1E838EFB" w14:textId="63A581DD" w:rsidR="00FD6B84" w:rsidRPr="00FD6B84" w:rsidRDefault="00FD6B84" w:rsidP="00B001BB">
      <w:pPr>
        <w:snapToGrid w:val="0"/>
        <w:spacing w:after="120"/>
        <w:jc w:val="both"/>
        <w:rPr>
          <w:rFonts w:asciiTheme="minorHAnsi" w:hAnsiTheme="minorHAnsi" w:cstheme="minorHAnsi"/>
          <w:sz w:val="20"/>
          <w:szCs w:val="20"/>
        </w:rPr>
      </w:pPr>
      <w:r>
        <w:rPr>
          <w:rFonts w:asciiTheme="minorHAnsi" w:hAnsiTheme="minorHAnsi"/>
          <w:sz w:val="20"/>
        </w:rPr>
        <w:t xml:space="preserve">El enfoque del proyecto se aplica a través de 4 componentes de proyecto, que conducen a 4 resultados específicos y 17 productos que se han descrito detalladamente en el Capítulo IV "Resultados y Asociaciones" y en el Capítulo V "Marco de Resultados del Proyecto (MRP)". También se ha desarrollado un plan de acción de género, que tiene como objetivo transversalizar el enfoque de género en el ciclo de vida del </w:t>
      </w:r>
      <w:r w:rsidR="00E23EC2">
        <w:rPr>
          <w:rFonts w:asciiTheme="minorHAnsi" w:hAnsiTheme="minorHAnsi"/>
          <w:sz w:val="20"/>
        </w:rPr>
        <w:t>p</w:t>
      </w:r>
      <w:r>
        <w:rPr>
          <w:rFonts w:asciiTheme="minorHAnsi" w:hAnsiTheme="minorHAnsi"/>
          <w:sz w:val="20"/>
        </w:rPr>
        <w:t>royecto "Financiamiento de la Gestión y Reducción de Agroquímicos en Ecuador" contribuyendo a un desarrollo sostenible e inclusivo en la población que habita las zonas y que trabaja en los sectores de intervención del proyecto.</w:t>
      </w:r>
    </w:p>
    <w:p w14:paraId="1A77B16C" w14:textId="77777777" w:rsidR="00FD6B84" w:rsidRPr="00FD6B84" w:rsidRDefault="00FD6B84" w:rsidP="00B001BB">
      <w:pPr>
        <w:snapToGrid w:val="0"/>
        <w:spacing w:after="120"/>
        <w:jc w:val="both"/>
        <w:rPr>
          <w:rFonts w:asciiTheme="minorHAnsi" w:hAnsiTheme="minorHAnsi" w:cstheme="minorHAnsi"/>
          <w:sz w:val="20"/>
          <w:szCs w:val="20"/>
        </w:rPr>
      </w:pPr>
      <w:r>
        <w:rPr>
          <w:rFonts w:asciiTheme="minorHAnsi" w:hAnsiTheme="minorHAnsi"/>
          <w:sz w:val="20"/>
        </w:rPr>
        <w:t>En resumen, la estrategia seleccionada para abordar el reto global del desarrollo es la siguiente:</w:t>
      </w:r>
    </w:p>
    <w:p w14:paraId="66C86116" w14:textId="5F73E8E7" w:rsidR="00484EB6" w:rsidRDefault="00484EB6" w:rsidP="00B001BB">
      <w:pPr>
        <w:spacing w:after="120"/>
        <w:jc w:val="both"/>
        <w:rPr>
          <w:rFonts w:asciiTheme="minorHAnsi" w:hAnsiTheme="minorHAnsi" w:cstheme="minorHAnsi"/>
          <w:noProof/>
          <w:sz w:val="20"/>
          <w:szCs w:val="20"/>
        </w:rPr>
      </w:pPr>
      <w:r>
        <w:rPr>
          <w:rFonts w:asciiTheme="minorHAnsi" w:hAnsiTheme="minorHAnsi"/>
          <w:sz w:val="20"/>
        </w:rPr>
        <w:t>Componente 1 "Política gubernamental y ejecución"</w:t>
      </w:r>
    </w:p>
    <w:p w14:paraId="7847A330" w14:textId="2FCEF46A" w:rsidR="00EC55E3" w:rsidRDefault="00AB32DC" w:rsidP="00B001BB">
      <w:pPr>
        <w:shd w:val="clear" w:color="auto" w:fill="FFFFFF"/>
        <w:snapToGrid w:val="0"/>
        <w:spacing w:after="120"/>
        <w:jc w:val="both"/>
        <w:rPr>
          <w:rFonts w:asciiTheme="minorHAnsi" w:hAnsiTheme="minorHAnsi" w:cstheme="minorHAnsi"/>
          <w:noProof/>
          <w:sz w:val="20"/>
          <w:szCs w:val="20"/>
        </w:rPr>
      </w:pPr>
      <w:r>
        <w:rPr>
          <w:rFonts w:asciiTheme="minorHAnsi" w:hAnsiTheme="minorHAnsi"/>
          <w:sz w:val="20"/>
        </w:rPr>
        <w:t>A través de este componente, el proyecto pretende desarrollar marcos políticos y de inversión para incentivar la reducción del uso de productos agroquímicos perjudiciales, así como mejorar los marcos jurídicos para su gestión adecuada. Se ocupará principalmente de las capacidades institucionales para reforzar y mejorar el manejo de plaguicidas y residuos (incluidos plásticos), junto con la introducción de alternativas más seguras a los productos agroquímicos perjudiciales para promover la producción agrícola sostenible.</w:t>
      </w:r>
    </w:p>
    <w:p w14:paraId="43FE6940" w14:textId="6012DB4E" w:rsidR="003E0F27" w:rsidRDefault="00AB32DC" w:rsidP="00B001BB">
      <w:pPr>
        <w:shd w:val="clear" w:color="auto" w:fill="FFFFFF"/>
        <w:snapToGrid w:val="0"/>
        <w:spacing w:after="120"/>
        <w:jc w:val="both"/>
        <w:rPr>
          <w:rFonts w:asciiTheme="minorHAnsi" w:hAnsiTheme="minorHAnsi" w:cstheme="minorHAnsi"/>
          <w:noProof/>
          <w:sz w:val="20"/>
          <w:szCs w:val="20"/>
        </w:rPr>
      </w:pPr>
      <w:r>
        <w:rPr>
          <w:rFonts w:asciiTheme="minorHAnsi" w:hAnsiTheme="minorHAnsi"/>
          <w:sz w:val="20"/>
        </w:rPr>
        <w:t>Entre las actividades previstas se encuentra el fortalecimiento de las autoridades aduaneras y de control para prevenir la importación y el comercio ilegal de agroquímicos peligrosos dentro del territorio ecuatoriano, así como el desarrollo de capacidades en instituciones gubernamentales clave (como el MAG, AGROCALIDAD, MSP, MAATE, SENAE) y en el sector privado para permitir la correcta aplicación de las normas sobre plaguicidas y plásticos.</w:t>
      </w:r>
    </w:p>
    <w:p w14:paraId="422BA951" w14:textId="6A8A2E84" w:rsidR="008932AE" w:rsidRDefault="0036301B" w:rsidP="00B001BB">
      <w:pPr>
        <w:shd w:val="clear" w:color="auto" w:fill="FFFFFF"/>
        <w:snapToGrid w:val="0"/>
        <w:spacing w:after="120"/>
        <w:jc w:val="both"/>
        <w:rPr>
          <w:rFonts w:asciiTheme="minorHAnsi" w:hAnsiTheme="minorHAnsi" w:cstheme="minorHAnsi"/>
          <w:noProof/>
          <w:sz w:val="20"/>
          <w:szCs w:val="20"/>
        </w:rPr>
      </w:pPr>
      <w:r>
        <w:rPr>
          <w:rFonts w:asciiTheme="minorHAnsi" w:hAnsiTheme="minorHAnsi"/>
          <w:sz w:val="20"/>
        </w:rPr>
        <w:t xml:space="preserve">Con el fin de lograr una transición sostenible hacia una producción agrícola con un uso bajo o nulo de productos agroquímicos peligrosos, este componente implicará el desarrollo de un plan nacional para la reducción de productos agroquímicos perjudiciales. Este plan revisará los productos agroquímicos actualmente registrados, importados y en uso en el territorio, y priorizará los de interés nacional. A partir del análisis, se evaluarán las alternativas y se promoverá su disponibilidad. También se considerará abordar y alargar los procesos de registro y contratación. </w:t>
      </w:r>
    </w:p>
    <w:p w14:paraId="639E5194" w14:textId="154E33C6" w:rsidR="003E0A97" w:rsidRDefault="003E0A97" w:rsidP="00B001BB">
      <w:pPr>
        <w:shd w:val="clear" w:color="auto" w:fill="FFFFFF"/>
        <w:snapToGrid w:val="0"/>
        <w:spacing w:after="120"/>
        <w:jc w:val="both"/>
        <w:rPr>
          <w:rFonts w:asciiTheme="minorHAnsi" w:hAnsiTheme="minorHAnsi" w:cstheme="minorHAnsi"/>
          <w:noProof/>
          <w:sz w:val="20"/>
          <w:szCs w:val="20"/>
        </w:rPr>
      </w:pPr>
      <w:r>
        <w:rPr>
          <w:rFonts w:asciiTheme="minorHAnsi" w:hAnsiTheme="minorHAnsi"/>
          <w:sz w:val="20"/>
        </w:rPr>
        <w:t xml:space="preserve">Por último, se revisará y actualizará adecuadamente o, si es necesario, se complementará el marco jurídico a lo largo de todo el ciclo de vida (etiquetado, uso, manejo y comercio de plaguicidas, así como almacenamiento, manipulación y eliminación adecuados) de los productos y sustancias, incluidos los plásticos de uso agrícola.  </w:t>
      </w:r>
    </w:p>
    <w:p w14:paraId="17AAE23B" w14:textId="7CBADC27" w:rsidR="001A0131" w:rsidRDefault="000E68D6" w:rsidP="00B001BB">
      <w:pPr>
        <w:shd w:val="clear" w:color="auto" w:fill="FFFFFF"/>
        <w:snapToGrid w:val="0"/>
        <w:spacing w:after="120"/>
        <w:jc w:val="both"/>
        <w:rPr>
          <w:rFonts w:asciiTheme="minorHAnsi" w:hAnsiTheme="minorHAnsi" w:cstheme="minorHAnsi"/>
          <w:sz w:val="20"/>
          <w:szCs w:val="20"/>
        </w:rPr>
      </w:pPr>
      <w:r>
        <w:rPr>
          <w:rFonts w:asciiTheme="minorHAnsi" w:hAnsiTheme="minorHAnsi"/>
          <w:sz w:val="20"/>
        </w:rPr>
        <w:t>Componente 2 "Financiación e inversión"</w:t>
      </w:r>
    </w:p>
    <w:p w14:paraId="5C9C619D" w14:textId="3DB24C94" w:rsidR="000D7729" w:rsidRDefault="000D7729" w:rsidP="00B001BB">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A través de este componente, el proyecto busca fomentar la adopción generalizada de alternativas innovadoras más seguras y prácticas agrícolas sostenibles mediante el desarrollo de mecanismos financieros adaptados, junto con la reducción de la demanda de productos agroquímicos perjudiciales y su sustitución adecuada. Este componente también abordará la capacidad nacional para el manejo sostenible de los residuos agroquímicos ya identificados y promoverá la reducción y/o el reciclaje de plásticos para uso agrícola.</w:t>
      </w:r>
    </w:p>
    <w:p w14:paraId="118820AF" w14:textId="279CB623" w:rsidR="000D7729" w:rsidRPr="00197CC6" w:rsidRDefault="000D7729" w:rsidP="00B001BB">
      <w:pPr>
        <w:spacing w:after="120"/>
        <w:jc w:val="both"/>
        <w:rPr>
          <w:rFonts w:asciiTheme="minorHAnsi" w:hAnsiTheme="minorHAnsi"/>
          <w:color w:val="1E1E1E"/>
          <w:sz w:val="20"/>
          <w:shd w:val="clear" w:color="auto" w:fill="FFFFFF"/>
        </w:rPr>
      </w:pPr>
      <w:r>
        <w:rPr>
          <w:rFonts w:asciiTheme="minorHAnsi" w:hAnsiTheme="minorHAnsi"/>
          <w:color w:val="000000" w:themeColor="text1"/>
          <w:sz w:val="20"/>
        </w:rPr>
        <w:t xml:space="preserve">En primer lugar, </w:t>
      </w:r>
      <w:r>
        <w:rPr>
          <w:rFonts w:asciiTheme="minorHAnsi" w:hAnsiTheme="minorHAnsi"/>
          <w:sz w:val="20"/>
        </w:rPr>
        <w:t xml:space="preserve">se evaluarán los efectos de los distintos tipos de gasto público agrícola a nivel nacional derivados del elevado consumo de productos agroquímicos. El objetivo principal es poner a </w:t>
      </w:r>
      <w:r>
        <w:rPr>
          <w:rFonts w:asciiTheme="minorHAnsi" w:hAnsiTheme="minorHAnsi"/>
          <w:color w:val="1E1E1E"/>
          <w:sz w:val="20"/>
          <w:shd w:val="clear" w:color="auto" w:fill="FFFFFF"/>
        </w:rPr>
        <w:t>disposición los resultados de la investigación y las pruebas necesarias para apoyar la mejora de las medidas políticas destinadas a reducir estos cost</w:t>
      </w:r>
      <w:r w:rsidR="00197CC6">
        <w:rPr>
          <w:rFonts w:asciiTheme="minorHAnsi" w:hAnsiTheme="minorHAnsi"/>
          <w:color w:val="1E1E1E"/>
          <w:sz w:val="20"/>
          <w:shd w:val="clear" w:color="auto" w:fill="FFFFFF"/>
        </w:rPr>
        <w:t>o</w:t>
      </w:r>
      <w:r>
        <w:rPr>
          <w:rFonts w:asciiTheme="minorHAnsi" w:hAnsiTheme="minorHAnsi"/>
          <w:color w:val="1E1E1E"/>
          <w:sz w:val="20"/>
          <w:shd w:val="clear" w:color="auto" w:fill="FFFFFF"/>
        </w:rPr>
        <w:t>s socioeconómicos, y alcanzar con mayor eficacia los objetivos nacionales de planificación de desarrollo mediante el fomento de prácticas agrícolas sostenibles.</w:t>
      </w:r>
    </w:p>
    <w:p w14:paraId="794BBD5A" w14:textId="0C142805" w:rsidR="00733027" w:rsidRDefault="001B2EC3" w:rsidP="00B001BB">
      <w:pPr>
        <w:spacing w:after="120"/>
        <w:jc w:val="both"/>
        <w:rPr>
          <w:rFonts w:ascii="Calibri" w:hAnsi="Calibri" w:cs="Calibri"/>
          <w:sz w:val="20"/>
          <w:szCs w:val="20"/>
        </w:rPr>
      </w:pPr>
      <w:r>
        <w:rPr>
          <w:rFonts w:ascii="Calibri" w:hAnsi="Calibri"/>
          <w:sz w:val="20"/>
        </w:rPr>
        <w:t xml:space="preserve">Se identificarán y desincentivarán los incentivos fiscales perversos que fomentan el uso de productos agroquímicos. El proyecto apoyará el análisis de alternativas de incentivos fiscales a aplicarse en el país para promover la inversión en el sector agrícola favoreciendo la transición hacia una producción baja en químicos/no química. </w:t>
      </w:r>
    </w:p>
    <w:p w14:paraId="12DC7667" w14:textId="5F972CD2" w:rsidR="001B2EC3" w:rsidRPr="00484EF1" w:rsidRDefault="005D003C" w:rsidP="00B001BB">
      <w:pPr>
        <w:spacing w:after="120"/>
        <w:jc w:val="both"/>
        <w:rPr>
          <w:rFonts w:asciiTheme="minorHAnsi" w:hAnsiTheme="minorHAnsi" w:cstheme="minorHAnsi"/>
          <w:sz w:val="20"/>
          <w:szCs w:val="20"/>
        </w:rPr>
      </w:pPr>
      <w:r>
        <w:rPr>
          <w:rFonts w:asciiTheme="minorHAnsi" w:hAnsiTheme="minorHAnsi"/>
          <w:sz w:val="20"/>
        </w:rPr>
        <w:t xml:space="preserve">También está previsto el desarrollo de un programa de financiación adaptado al sector agrícola.  El proyecto establecerá alianzas con entidades financieras y reforzará su capacidad y comprensión para desarrollar productos financieros que promuevan la adopción de buenas prácticas agrícolas (como el manejo integrado de plagas). Además, trabajará con pequeñas organizaciones legalmente establecidas (como cooperativas) y con agricultores individuales para desarrollar su capacidad de elaborar proyectos financiables y solicitudes de préstamo/inversión y, posteriormente, solicitar </w:t>
      </w:r>
      <w:r>
        <w:rPr>
          <w:rFonts w:asciiTheme="minorHAnsi" w:hAnsiTheme="minorHAnsi"/>
          <w:color w:val="000000" w:themeColor="text1"/>
          <w:sz w:val="20"/>
        </w:rPr>
        <w:t xml:space="preserve">acceso a crédito. Del mismo modo, se reforzarán las capacidades de las </w:t>
      </w:r>
      <w:r w:rsidR="00E34A0B">
        <w:rPr>
          <w:rFonts w:asciiTheme="minorHAnsi" w:hAnsiTheme="minorHAnsi"/>
          <w:color w:val="000000" w:themeColor="text1"/>
          <w:sz w:val="20"/>
        </w:rPr>
        <w:t>U</w:t>
      </w:r>
      <w:r>
        <w:rPr>
          <w:rFonts w:asciiTheme="minorHAnsi" w:hAnsiTheme="minorHAnsi"/>
          <w:color w:val="000000" w:themeColor="text1"/>
          <w:sz w:val="20"/>
        </w:rPr>
        <w:t xml:space="preserve">nidades </w:t>
      </w:r>
      <w:r w:rsidR="00E34A0B">
        <w:rPr>
          <w:rFonts w:asciiTheme="minorHAnsi" w:hAnsiTheme="minorHAnsi"/>
          <w:color w:val="000000" w:themeColor="text1"/>
          <w:sz w:val="20"/>
        </w:rPr>
        <w:t>N</w:t>
      </w:r>
      <w:r>
        <w:rPr>
          <w:rFonts w:asciiTheme="minorHAnsi" w:hAnsiTheme="minorHAnsi"/>
          <w:color w:val="000000" w:themeColor="text1"/>
          <w:sz w:val="20"/>
        </w:rPr>
        <w:t xml:space="preserve">acionales de </w:t>
      </w:r>
      <w:r w:rsidR="00E34A0B">
        <w:rPr>
          <w:rFonts w:asciiTheme="minorHAnsi" w:hAnsiTheme="minorHAnsi"/>
          <w:color w:val="000000" w:themeColor="text1"/>
          <w:sz w:val="20"/>
        </w:rPr>
        <w:t>E</w:t>
      </w:r>
      <w:r>
        <w:rPr>
          <w:rFonts w:asciiTheme="minorHAnsi" w:hAnsiTheme="minorHAnsi"/>
          <w:color w:val="000000" w:themeColor="text1"/>
          <w:sz w:val="20"/>
        </w:rPr>
        <w:t>xtensión y de las asociaciones privadas.</w:t>
      </w:r>
    </w:p>
    <w:p w14:paraId="62688E90" w14:textId="0C00B41A" w:rsidR="00DC7291" w:rsidRPr="00896E5B" w:rsidRDefault="009C18C9" w:rsidP="00B001BB">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También se realizarán esfuerzos para apoyar técnicamente al </w:t>
      </w:r>
      <w:r w:rsidR="003A0C39">
        <w:rPr>
          <w:rFonts w:asciiTheme="minorHAnsi" w:hAnsiTheme="minorHAnsi"/>
          <w:color w:val="000000" w:themeColor="text1"/>
          <w:sz w:val="20"/>
        </w:rPr>
        <w:t>G</w:t>
      </w:r>
      <w:r>
        <w:rPr>
          <w:rFonts w:asciiTheme="minorHAnsi" w:hAnsiTheme="minorHAnsi"/>
          <w:color w:val="000000" w:themeColor="text1"/>
          <w:sz w:val="20"/>
        </w:rPr>
        <w:t xml:space="preserve">obierno de Ecuador en la eliminación segura de los productos almacenados ya identificados y apoyar económicamente la eliminación de aproximadamente 60 Tm de residuos contaminados con DDT (pertenecientes al MSP). Además, el proyecto en el marco de este componente ayudará a crear capacidades a todos los niveles para también reducir, eliminar y/o reciclar en mayor medida los plásticos nocivos asociados a los productos agroquímicos.  Esto incluye trabajar con el </w:t>
      </w:r>
      <w:r w:rsidR="003A0C39">
        <w:rPr>
          <w:rFonts w:asciiTheme="minorHAnsi" w:hAnsiTheme="minorHAnsi"/>
          <w:color w:val="000000" w:themeColor="text1"/>
          <w:sz w:val="20"/>
        </w:rPr>
        <w:t>G</w:t>
      </w:r>
      <w:r>
        <w:rPr>
          <w:rFonts w:asciiTheme="minorHAnsi" w:hAnsiTheme="minorHAnsi"/>
          <w:color w:val="000000" w:themeColor="text1"/>
          <w:sz w:val="20"/>
        </w:rPr>
        <w:t xml:space="preserve">obierno, proveedores y agricultores para identificar y aplicar sistemas eficaces y eficientes de reducción, eliminación y reciclaje de residuos. </w:t>
      </w:r>
    </w:p>
    <w:p w14:paraId="79B95F21" w14:textId="1E0AC537" w:rsidR="00DC7291" w:rsidRPr="001A0131" w:rsidRDefault="00DC7291" w:rsidP="00B001BB">
      <w:pPr>
        <w:spacing w:after="120"/>
        <w:jc w:val="both"/>
        <w:rPr>
          <w:rFonts w:asciiTheme="minorHAnsi" w:hAnsiTheme="minorHAnsi" w:cstheme="minorHAnsi"/>
          <w:noProof/>
          <w:color w:val="000000" w:themeColor="text1"/>
          <w:sz w:val="20"/>
          <w:szCs w:val="20"/>
        </w:rPr>
      </w:pPr>
      <w:r>
        <w:rPr>
          <w:rFonts w:asciiTheme="minorHAnsi" w:hAnsiTheme="minorHAnsi"/>
          <w:color w:val="000000" w:themeColor="text1"/>
          <w:sz w:val="20"/>
        </w:rPr>
        <w:t>Por último, se desarrollará un Mecanismo de Fondos Concursables para iniciativas de agricultura verde e innovadora y FARM Ecuador apoyará la implementación de 3 de estas iniciativas que cumplan con las características requeridas. Este tipo de mecanismo ha sido utilizado ampliamente por el PNUD en Ecuador con muy buenos resultados y un uso muy eficaz de los recursos.</w:t>
      </w:r>
    </w:p>
    <w:p w14:paraId="5D0BC3C2" w14:textId="265802F7" w:rsidR="001A0131" w:rsidRPr="001A0131" w:rsidRDefault="004123DB" w:rsidP="00B001BB">
      <w:pPr>
        <w:spacing w:after="120"/>
        <w:jc w:val="both"/>
        <w:rPr>
          <w:rFonts w:asciiTheme="minorHAnsi" w:hAnsiTheme="minorHAnsi" w:cstheme="minorHAnsi"/>
          <w:sz w:val="20"/>
          <w:szCs w:val="20"/>
        </w:rPr>
      </w:pPr>
      <w:r>
        <w:rPr>
          <w:rFonts w:asciiTheme="minorHAnsi" w:hAnsiTheme="minorHAnsi"/>
          <w:sz w:val="20"/>
        </w:rPr>
        <w:t xml:space="preserve">El </w:t>
      </w:r>
      <w:r w:rsidR="00760C1E">
        <w:rPr>
          <w:rFonts w:asciiTheme="minorHAnsi" w:hAnsiTheme="minorHAnsi"/>
          <w:sz w:val="20"/>
        </w:rPr>
        <w:t>C</w:t>
      </w:r>
      <w:r>
        <w:rPr>
          <w:rFonts w:asciiTheme="minorHAnsi" w:hAnsiTheme="minorHAnsi"/>
          <w:sz w:val="20"/>
        </w:rPr>
        <w:t>omponente 3 "Desarrollo de capacidades y difusión de conocimientos", tiene por objeto crear capacidades y hacer accesibles los conocimientos para el manejo ambientalmente adecuado (MAA) de residuos peligrosos, incluidos pesticidas no deseados y plásticos agrícolas.</w:t>
      </w:r>
    </w:p>
    <w:p w14:paraId="6551B8D8" w14:textId="73D2C288" w:rsidR="000510E8" w:rsidRPr="00967D1C" w:rsidRDefault="000510E8" w:rsidP="00B001BB">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El proyecto tendrá como objetivo fomentar el intercambio de información y conocimientos, el aprendizaje y la síntesis de experiencias a nivel provincial, nacional, regional (América Latina y el Caribe (LAC)) y mundial. La información sobre los beneficios de la producción agrícola sostenible y las opciones disponibles llegará a las partes interesadas y al público en general a través de la información y la divulgación para garantizar la sostenibilidad futura de los logros alcanzados a través del proyecto en la reducción/sustitución de PAPs y residuos. El </w:t>
      </w:r>
      <w:r w:rsidR="00A30162">
        <w:rPr>
          <w:rFonts w:asciiTheme="minorHAnsi" w:hAnsiTheme="minorHAnsi"/>
          <w:color w:val="000000" w:themeColor="text1"/>
          <w:sz w:val="20"/>
        </w:rPr>
        <w:t xml:space="preserve">Child </w:t>
      </w:r>
      <w:r w:rsidR="002475FF">
        <w:rPr>
          <w:rFonts w:asciiTheme="minorHAnsi" w:hAnsiTheme="minorHAnsi"/>
          <w:color w:val="000000" w:themeColor="text1"/>
          <w:sz w:val="20"/>
        </w:rPr>
        <w:t>P</w:t>
      </w:r>
      <w:r w:rsidR="00A30162">
        <w:rPr>
          <w:rFonts w:asciiTheme="minorHAnsi" w:hAnsiTheme="minorHAnsi"/>
          <w:color w:val="000000" w:themeColor="text1"/>
          <w:sz w:val="20"/>
        </w:rPr>
        <w:t>roject</w:t>
      </w:r>
      <w:r w:rsidR="001A2067">
        <w:rPr>
          <w:rFonts w:asciiTheme="minorHAnsi" w:hAnsiTheme="minorHAnsi"/>
          <w:color w:val="000000" w:themeColor="text1"/>
          <w:sz w:val="20"/>
        </w:rPr>
        <w:t xml:space="preserve"> </w:t>
      </w:r>
      <w:r>
        <w:rPr>
          <w:rFonts w:asciiTheme="minorHAnsi" w:hAnsiTheme="minorHAnsi"/>
          <w:color w:val="000000" w:themeColor="text1"/>
          <w:sz w:val="20"/>
        </w:rPr>
        <w:t xml:space="preserve">estará estrechamente alineado con el componente de coordinación global, gestión del conocimiento y divulgación del programa. Los productos de conocimiento y las lecciones aprendidas a nivel local y nacional se compartirán con el proyecto global, que compartirá estas experiencias a través de la plataforma global prevista en el marco de FARM y otras estrategias de divulgación. </w:t>
      </w:r>
    </w:p>
    <w:p w14:paraId="04A69FA8" w14:textId="484A0127" w:rsidR="00A9351F" w:rsidRDefault="00076CE6" w:rsidP="00B001BB">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Se propone una colaboración entre múltiples partes interesadas, con la participación del sector privado, la cooperación internacional (comercio de productos básicos ecológicos, intercambio de conocimientos y formación), la demostración a nivel comunitario (investigación y acción participativas) y una amplia sensibilización. </w:t>
      </w:r>
    </w:p>
    <w:p w14:paraId="77B51C65" w14:textId="613A588F" w:rsidR="00967D1C" w:rsidRPr="00967D1C" w:rsidRDefault="00967D1C" w:rsidP="00B001BB">
      <w:pPr>
        <w:spacing w:after="120"/>
        <w:jc w:val="both"/>
        <w:rPr>
          <w:rFonts w:asciiTheme="minorHAnsi" w:hAnsiTheme="minorHAnsi" w:cstheme="minorBidi"/>
          <w:color w:val="000000" w:themeColor="text1"/>
          <w:sz w:val="20"/>
          <w:szCs w:val="20"/>
        </w:rPr>
      </w:pPr>
      <w:r>
        <w:rPr>
          <w:rFonts w:asciiTheme="minorHAnsi" w:hAnsiTheme="minorHAnsi"/>
          <w:color w:val="000000" w:themeColor="text1"/>
          <w:sz w:val="20"/>
        </w:rPr>
        <w:t xml:space="preserve">Este componente tiene por objeto crear capacidad entre las redes de agricultores y reguladores y garantizar la coordinación global y el acceso a los conocimientos sobre las mejores prácticas en el enfoque de agroecosistemas y alternativas. De este modo, los países socios aprenderán unos de otros a través del programa, reforzando aún más la cooperación </w:t>
      </w:r>
      <w:r w:rsidR="00340FAF">
        <w:rPr>
          <w:rFonts w:asciiTheme="minorHAnsi" w:hAnsiTheme="minorHAnsi"/>
          <w:color w:val="000000" w:themeColor="text1"/>
          <w:sz w:val="20"/>
        </w:rPr>
        <w:t>S</w:t>
      </w:r>
      <w:r>
        <w:rPr>
          <w:rFonts w:asciiTheme="minorHAnsi" w:hAnsiTheme="minorHAnsi"/>
          <w:color w:val="000000" w:themeColor="text1"/>
          <w:sz w:val="20"/>
        </w:rPr>
        <w:t>ur-</w:t>
      </w:r>
      <w:r w:rsidR="00340FAF">
        <w:rPr>
          <w:rFonts w:asciiTheme="minorHAnsi" w:hAnsiTheme="minorHAnsi"/>
          <w:color w:val="000000" w:themeColor="text1"/>
          <w:sz w:val="20"/>
        </w:rPr>
        <w:t>S</w:t>
      </w:r>
      <w:r>
        <w:rPr>
          <w:rFonts w:asciiTheme="minorHAnsi" w:hAnsiTheme="minorHAnsi"/>
          <w:color w:val="000000" w:themeColor="text1"/>
          <w:sz w:val="20"/>
        </w:rPr>
        <w:t xml:space="preserve">ur con las consiguientes oportunidades de reproducción y ampliación en el futuro. La consecución de estos tres </w:t>
      </w:r>
      <w:r w:rsidR="00E23208">
        <w:rPr>
          <w:rFonts w:asciiTheme="minorHAnsi" w:hAnsiTheme="minorHAnsi"/>
          <w:color w:val="000000" w:themeColor="text1"/>
          <w:sz w:val="20"/>
        </w:rPr>
        <w:t>o</w:t>
      </w:r>
      <w:r>
        <w:rPr>
          <w:rFonts w:asciiTheme="minorHAnsi" w:hAnsiTheme="minorHAnsi"/>
          <w:color w:val="000000" w:themeColor="text1"/>
          <w:sz w:val="20"/>
        </w:rPr>
        <w:t xml:space="preserve">bjetivos contribuirá al objetivo general de catalizar un marco de inversión en el sector agrícola para desintoxicar el sector, y lograr así impactos medioambientales y socioeconómicos de alto nivel a largo plazo, contribuyendo a la consecución de los Objetivos Globales de 2030. </w:t>
      </w:r>
    </w:p>
    <w:p w14:paraId="23F760BC" w14:textId="0435803E" w:rsidR="00A50A20" w:rsidRDefault="007E1812" w:rsidP="00B001BB">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Por último, el Componente 4 "Seguimiento y evaluación" supervisará periódicamente las actividades del proyecto para garantizar la consecución de los resultados. A través de este componente, las evaluaciones y las lecciones aprendidas se recogerán e integrarán mediante una gestión adaptativa de la retroalimentación. </w:t>
      </w:r>
    </w:p>
    <w:p w14:paraId="607AFBC7" w14:textId="22E524C0" w:rsidR="0065285C" w:rsidRPr="004738F7" w:rsidRDefault="00375096" w:rsidP="00B001BB">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Además, </w:t>
      </w:r>
      <w:r>
        <w:rPr>
          <w:rFonts w:asciiTheme="minorHAnsi" w:hAnsiTheme="minorHAnsi"/>
          <w:sz w:val="20"/>
        </w:rPr>
        <w:t xml:space="preserve">se garantizará una estrecha coordinación con el Programa Global FARM del FMAM y con los proyectos </w:t>
      </w:r>
      <w:r w:rsidR="001A2067">
        <w:rPr>
          <w:rFonts w:asciiTheme="minorHAnsi" w:hAnsiTheme="minorHAnsi"/>
          <w:sz w:val="20"/>
          <w:lang w:val="es-EC"/>
        </w:rPr>
        <w:t xml:space="preserve">Child </w:t>
      </w:r>
      <w:r>
        <w:rPr>
          <w:rFonts w:asciiTheme="minorHAnsi" w:hAnsiTheme="minorHAnsi"/>
          <w:sz w:val="20"/>
        </w:rPr>
        <w:t xml:space="preserve">FARM del FMAM en </w:t>
      </w:r>
      <w:r>
        <w:rPr>
          <w:rFonts w:asciiTheme="minorHAnsi" w:hAnsiTheme="minorHAnsi"/>
          <w:color w:val="000000" w:themeColor="text1"/>
          <w:sz w:val="20"/>
        </w:rPr>
        <w:t>Uruguay, Kenia, India, Vietnam, Filipinas y Laos.</w:t>
      </w:r>
    </w:p>
    <w:p w14:paraId="3DC2B4EA" w14:textId="34435AE8" w:rsidR="003C4FF2" w:rsidRDefault="00D43A3F" w:rsidP="00B001BB">
      <w:pPr>
        <w:tabs>
          <w:tab w:val="left" w:pos="567"/>
        </w:tabs>
        <w:spacing w:after="120"/>
        <w:ind w:left="567" w:hanging="567"/>
        <w:rPr>
          <w:rFonts w:asciiTheme="minorHAnsi" w:hAnsiTheme="minorHAnsi" w:cstheme="minorHAnsi"/>
          <w:b/>
          <w:iCs/>
          <w:sz w:val="20"/>
          <w:szCs w:val="20"/>
        </w:rPr>
      </w:pPr>
      <w:r>
        <w:rPr>
          <w:rFonts w:asciiTheme="minorHAnsi" w:hAnsiTheme="minorHAnsi"/>
          <w:b/>
          <w:sz w:val="20"/>
        </w:rPr>
        <w:t xml:space="preserve">Supuestos clave </w:t>
      </w:r>
    </w:p>
    <w:p w14:paraId="4B0854D6" w14:textId="0FDE85EC" w:rsidR="003C4FF2" w:rsidRPr="003C4FF2" w:rsidRDefault="003C4FF2" w:rsidP="00B001BB">
      <w:pPr>
        <w:tabs>
          <w:tab w:val="left" w:pos="567"/>
        </w:tabs>
        <w:spacing w:after="120"/>
        <w:jc w:val="both"/>
        <w:rPr>
          <w:rFonts w:asciiTheme="minorHAnsi" w:hAnsiTheme="minorHAnsi" w:cstheme="minorHAnsi"/>
          <w:bCs/>
          <w:iCs/>
          <w:sz w:val="20"/>
          <w:szCs w:val="20"/>
        </w:rPr>
      </w:pPr>
      <w:r>
        <w:rPr>
          <w:rFonts w:asciiTheme="minorHAnsi" w:hAnsiTheme="minorHAnsi"/>
          <w:sz w:val="20"/>
        </w:rPr>
        <w:t>La estrategia del proyecto se basa en algunos supuestos que serán de gran importancia para lograr los cambios y resultados previstos. Estos supuestos se detallan en la Sección VI "Plan de Seguimiento y Evaluación", y los principales pueden resumirse de la siguiente manera:</w:t>
      </w:r>
    </w:p>
    <w:p w14:paraId="29D9AB2F" w14:textId="2DA3DEEC" w:rsidR="00824782" w:rsidRDefault="00824782">
      <w:pPr>
        <w:pStyle w:val="Prrafodelista"/>
        <w:numPr>
          <w:ilvl w:val="0"/>
          <w:numId w:val="21"/>
        </w:numPr>
        <w:snapToGrid w:val="0"/>
        <w:spacing w:after="120"/>
        <w:jc w:val="both"/>
        <w:rPr>
          <w:rFonts w:asciiTheme="minorHAnsi" w:hAnsiTheme="minorHAnsi" w:cstheme="minorHAnsi"/>
          <w:color w:val="000000" w:themeColor="text1"/>
          <w:sz w:val="20"/>
          <w:szCs w:val="20"/>
        </w:rPr>
      </w:pPr>
      <w:r>
        <w:rPr>
          <w:rFonts w:asciiTheme="minorHAnsi" w:hAnsiTheme="minorHAnsi"/>
          <w:sz w:val="20"/>
        </w:rPr>
        <w:t>El G</w:t>
      </w:r>
      <w:r w:rsidR="00A30162">
        <w:rPr>
          <w:rFonts w:asciiTheme="minorHAnsi" w:hAnsiTheme="minorHAnsi"/>
          <w:sz w:val="20"/>
          <w:lang w:val="es-EC"/>
        </w:rPr>
        <w:t>obierno de Ecuador</w:t>
      </w:r>
      <w:r>
        <w:rPr>
          <w:rFonts w:asciiTheme="minorHAnsi" w:hAnsiTheme="minorHAnsi"/>
          <w:sz w:val="20"/>
        </w:rPr>
        <w:t xml:space="preserve"> se compromete a fomentar la coordinación entre las autoridades competentes en la gestión adecuada de los productos agroquímicos y a poner a disposición los recursos humanos adecuados durante la duración del proyecto y más a futuro.</w:t>
      </w:r>
    </w:p>
    <w:p w14:paraId="7FA423E0" w14:textId="4C00BE2F" w:rsidR="006D117C" w:rsidRDefault="006D117C">
      <w:pPr>
        <w:pStyle w:val="Prrafodelista"/>
        <w:numPr>
          <w:ilvl w:val="0"/>
          <w:numId w:val="21"/>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Las partes interesadas clave proporcionan información fiable y precisa sobre los productos agroquímicos y plásticos de uso agrícola en el ámbito de este FSP y están dispuestas a participar en su proceso de gestión ambientalmente adecuada.</w:t>
      </w:r>
    </w:p>
    <w:p w14:paraId="3ECD896B" w14:textId="78D2CF81" w:rsidR="00824782" w:rsidRDefault="00824782">
      <w:pPr>
        <w:pStyle w:val="Prrafodelista"/>
        <w:numPr>
          <w:ilvl w:val="0"/>
          <w:numId w:val="21"/>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Las principales partes interesadas están dispuestas a participar y recibir formación y capacitación en la reducción de productos agroquímicos perjudiciales y en la adopción de prácticas de producción sostenibles en el sector agrícola.</w:t>
      </w:r>
    </w:p>
    <w:p w14:paraId="08790CB9" w14:textId="352DF5A1" w:rsidR="00E57D6B" w:rsidRPr="00E57D6B" w:rsidRDefault="00E57D6B">
      <w:pPr>
        <w:pStyle w:val="GEFFieldtoFillout"/>
        <w:numPr>
          <w:ilvl w:val="0"/>
          <w:numId w:val="21"/>
        </w:numPr>
        <w:shd w:val="clear" w:color="auto" w:fill="FFFFFF"/>
        <w:tabs>
          <w:tab w:val="left" w:pos="709"/>
        </w:tabs>
        <w:spacing w:after="120"/>
        <w:jc w:val="both"/>
        <w:rPr>
          <w:rFonts w:asciiTheme="minorHAnsi" w:hAnsiTheme="minorHAnsi" w:cstheme="minorHAnsi"/>
          <w:sz w:val="20"/>
          <w:szCs w:val="20"/>
        </w:rPr>
      </w:pPr>
      <w:r>
        <w:rPr>
          <w:rFonts w:asciiTheme="minorHAnsi" w:hAnsiTheme="minorHAnsi"/>
          <w:sz w:val="20"/>
        </w:rPr>
        <w:t xml:space="preserve">Un enfoque de colaboración para la elaboración de políticas que se mantenga y mejore continuamente, integrando las cuestiones relacionadas con el género en toda la ejecución de las actividades propuestas.   </w:t>
      </w:r>
    </w:p>
    <w:p w14:paraId="28E403FD" w14:textId="39A6156A" w:rsidR="009225A8" w:rsidRPr="009225A8" w:rsidRDefault="006D117C">
      <w:pPr>
        <w:pStyle w:val="Prrafodelista"/>
        <w:numPr>
          <w:ilvl w:val="0"/>
          <w:numId w:val="21"/>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Los impactos debidos al contexto pandémico en Ecuador, especialmente en las zonas rurales y el sector agrícola, se mitigarán oportunamente para garantizar la implementación exitosa de las actividades propuestas y el logro de los resultados esperados.</w:t>
      </w:r>
    </w:p>
    <w:p w14:paraId="5B70F17E" w14:textId="06368A5C" w:rsidR="00D52271" w:rsidRDefault="006D117C">
      <w:pPr>
        <w:pStyle w:val="Prrafodelista"/>
        <w:numPr>
          <w:ilvl w:val="0"/>
          <w:numId w:val="21"/>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La recopilación de las lecciones aprendidas fomentaría la mejora continua durante la fase de ejecución y contribuiría al desarrollo de enfoques de demostración innovadores y a la realización de pruebas para otras ejecuciones similares en otros lugares una vez finalizado el proyecto. </w:t>
      </w:r>
    </w:p>
    <w:p w14:paraId="0CB70706" w14:textId="43EAC0A7" w:rsidR="000F6C51" w:rsidRPr="002152FE" w:rsidRDefault="000F6C51" w:rsidP="00576F30">
      <w:pPr>
        <w:spacing w:after="160" w:line="259" w:lineRule="auto"/>
        <w:rPr>
          <w:rFonts w:asciiTheme="minorHAnsi" w:hAnsiTheme="minorHAnsi" w:cstheme="minorHAnsi"/>
          <w:color w:val="FF0000"/>
          <w:sz w:val="20"/>
          <w:szCs w:val="20"/>
          <w:lang w:val="es-EC" w:eastAsia="en-US"/>
        </w:rPr>
      </w:pPr>
    </w:p>
    <w:p w14:paraId="78256490" w14:textId="4D8FDAF4" w:rsidR="00966EF0" w:rsidRPr="00A562E4" w:rsidRDefault="00576F30" w:rsidP="00576F30">
      <w:pPr>
        <w:spacing w:after="160" w:line="259" w:lineRule="auto"/>
        <w:rPr>
          <w:rFonts w:ascii="Calibri" w:eastAsia="SimSun" w:hAnsi="Calibri"/>
          <w:i/>
          <w:sz w:val="20"/>
          <w:szCs w:val="20"/>
          <w:highlight w:val="yellow"/>
        </w:rPr>
      </w:pPr>
      <w:r>
        <w:br w:type="page"/>
      </w:r>
    </w:p>
    <w:p w14:paraId="2A64347D" w14:textId="605EA79C" w:rsidR="00966EF0" w:rsidRPr="001B4E02" w:rsidRDefault="00705641" w:rsidP="001B4E02">
      <w:pPr>
        <w:keepNext/>
        <w:pBdr>
          <w:top w:val="single" w:sz="4" w:space="1" w:color="auto"/>
        </w:pBdr>
        <w:tabs>
          <w:tab w:val="num" w:pos="720"/>
        </w:tabs>
        <w:suppressAutoHyphens/>
        <w:spacing w:after="120"/>
        <w:ind w:left="720" w:hanging="720"/>
        <w:jc w:val="both"/>
        <w:outlineLvl w:val="0"/>
        <w:rPr>
          <w:rFonts w:ascii="Calibri" w:eastAsia="SimSun" w:hAnsi="Calibri"/>
          <w:b/>
          <w:smallCaps/>
          <w:spacing w:val="-2"/>
          <w:sz w:val="28"/>
          <w:szCs w:val="28"/>
        </w:rPr>
      </w:pPr>
      <w:bookmarkStart w:id="25" w:name="_Toc114650844"/>
      <w:bookmarkStart w:id="26" w:name="_Toc144822669"/>
      <w:r>
        <w:rPr>
          <w:rFonts w:ascii="Calibri" w:hAnsi="Calibri"/>
          <w:b/>
          <w:smallCaps/>
          <w:sz w:val="28"/>
        </w:rPr>
        <w:t>IV. Resultados y alianzas</w:t>
      </w:r>
      <w:bookmarkEnd w:id="25"/>
      <w:bookmarkEnd w:id="26"/>
      <w:r>
        <w:rPr>
          <w:rFonts w:ascii="Calibri" w:hAnsi="Calibri"/>
          <w:b/>
          <w:smallCaps/>
          <w:sz w:val="28"/>
        </w:rPr>
        <w:t xml:space="preserve"> </w:t>
      </w:r>
    </w:p>
    <w:p w14:paraId="62923977" w14:textId="65AAB13F" w:rsidR="00966EF0" w:rsidRPr="00A562E4" w:rsidRDefault="00966EF0" w:rsidP="001B4E02">
      <w:pPr>
        <w:rPr>
          <w:rFonts w:ascii="Calibri" w:eastAsia="SimSun" w:hAnsi="Calibri" w:cs="Calibri"/>
          <w:i/>
          <w:sz w:val="20"/>
          <w:szCs w:val="20"/>
        </w:rPr>
      </w:pPr>
      <w:r>
        <w:rPr>
          <w:rFonts w:ascii="Calibri" w:hAnsi="Calibri"/>
          <w:sz w:val="20"/>
          <w:u w:val="single"/>
        </w:rPr>
        <w:t>Resultados esperados</w:t>
      </w:r>
      <w:r>
        <w:rPr>
          <w:rFonts w:ascii="Calibri" w:hAnsi="Calibri"/>
          <w:i/>
          <w:sz w:val="20"/>
        </w:rPr>
        <w:t>:</w:t>
      </w:r>
    </w:p>
    <w:p w14:paraId="30A82B09" w14:textId="3E87B556" w:rsidR="000F294E" w:rsidRPr="002152FE" w:rsidRDefault="000F294E" w:rsidP="007C1ED1">
      <w:pPr>
        <w:rPr>
          <w:rFonts w:ascii="Calibri" w:eastAsia="SimSun" w:hAnsi="Calibri" w:cs="Calibri"/>
          <w:i/>
          <w:sz w:val="20"/>
          <w:szCs w:val="20"/>
          <w:lang w:val="es-EC"/>
        </w:rPr>
      </w:pPr>
    </w:p>
    <w:p w14:paraId="12B69D06" w14:textId="16644B1B" w:rsidR="00674C7C" w:rsidRPr="00422DA4" w:rsidRDefault="000F294E" w:rsidP="007C1ED1">
      <w:pPr>
        <w:spacing w:after="120"/>
        <w:jc w:val="both"/>
        <w:rPr>
          <w:rFonts w:asciiTheme="minorHAnsi" w:hAnsiTheme="minorHAnsi" w:cstheme="minorHAnsi"/>
          <w:iCs/>
          <w:sz w:val="20"/>
          <w:szCs w:val="20"/>
        </w:rPr>
      </w:pPr>
      <w:r>
        <w:rPr>
          <w:rFonts w:asciiTheme="minorHAnsi" w:hAnsiTheme="minorHAnsi"/>
          <w:b/>
          <w:sz w:val="20"/>
        </w:rPr>
        <w:t xml:space="preserve">OBJETIVO DEL PROYECTO: </w:t>
      </w:r>
      <w:r>
        <w:rPr>
          <w:rFonts w:asciiTheme="minorHAnsi" w:hAnsiTheme="minorHAnsi"/>
          <w:sz w:val="20"/>
        </w:rPr>
        <w:t>REDUCIR EL USO MUNDIAL DE PRODUCTOS AGROQUÍMICOS PERJUDICIALES AYUDANDO A LOS AGRICULTORES A ACCEDER A FINANCIACIÓN, A PRÁCTICAS DE PRODUCCIÓN INNOVADORAS Y SOSTENIBLES Y A TENER ACCESO COMPETITIVO A LOS MERCADOS DE CONSUMO EN ECUADOR</w:t>
      </w:r>
    </w:p>
    <w:p w14:paraId="7F2C88A9" w14:textId="747EA271" w:rsidR="000F294E" w:rsidRPr="009C2A64" w:rsidRDefault="000F294E" w:rsidP="007C1ED1">
      <w:pPr>
        <w:spacing w:after="120"/>
        <w:jc w:val="both"/>
        <w:rPr>
          <w:rFonts w:asciiTheme="minorHAnsi" w:hAnsiTheme="minorHAnsi" w:cstheme="minorHAnsi"/>
          <w:b/>
          <w:bCs/>
          <w:iCs/>
          <w:sz w:val="20"/>
          <w:szCs w:val="20"/>
        </w:rPr>
      </w:pPr>
      <w:r>
        <w:rPr>
          <w:rFonts w:asciiTheme="minorHAnsi" w:hAnsiTheme="minorHAnsi"/>
          <w:b/>
          <w:sz w:val="20"/>
        </w:rPr>
        <w:t>COMPONENTE 1 DEL PROYECTO</w:t>
      </w:r>
      <w:r w:rsidR="00D07201">
        <w:rPr>
          <w:rFonts w:asciiTheme="minorHAnsi" w:hAnsiTheme="minorHAnsi"/>
          <w:b/>
          <w:sz w:val="20"/>
        </w:rPr>
        <w:t>:</w:t>
      </w:r>
      <w:r>
        <w:rPr>
          <w:rFonts w:asciiTheme="minorHAnsi" w:hAnsiTheme="minorHAnsi"/>
          <w:b/>
          <w:sz w:val="20"/>
        </w:rPr>
        <w:t xml:space="preserve"> </w:t>
      </w:r>
      <w:r>
        <w:rPr>
          <w:rFonts w:asciiTheme="minorHAnsi" w:hAnsiTheme="minorHAnsi"/>
          <w:sz w:val="20"/>
        </w:rPr>
        <w:t>POLÍTICA GUBERNAMENTAL Y SU APLICACIÓN</w:t>
      </w:r>
    </w:p>
    <w:p w14:paraId="494CC684" w14:textId="54A19C2F" w:rsidR="00EF5DBA" w:rsidRPr="00422DA4" w:rsidRDefault="00674C7C" w:rsidP="007C1ED1">
      <w:pPr>
        <w:spacing w:after="120"/>
        <w:jc w:val="both"/>
        <w:rPr>
          <w:rFonts w:asciiTheme="minorHAnsi" w:hAnsiTheme="minorHAnsi" w:cstheme="minorHAnsi"/>
          <w:b/>
          <w:bCs/>
          <w:iCs/>
          <w:sz w:val="20"/>
          <w:szCs w:val="20"/>
        </w:rPr>
      </w:pPr>
      <w:r>
        <w:rPr>
          <w:rFonts w:asciiTheme="minorHAnsi" w:hAnsiTheme="minorHAnsi"/>
          <w:b/>
          <w:sz w:val="20"/>
        </w:rPr>
        <w:t xml:space="preserve">RESULTADO 1: </w:t>
      </w:r>
      <w:r>
        <w:rPr>
          <w:rFonts w:asciiTheme="minorHAnsi" w:hAnsiTheme="minorHAnsi"/>
          <w:sz w:val="20"/>
        </w:rPr>
        <w:t>LOS MARCOS POLÍTICOS Y DE INVERSIÓN INCENTIVAN LA REDUCCIÓN DEL USO DE PRODUCTOS AGROQUÍMICOS PERJUDICIALES; Y LOS MARCOS NORMATIVOS MEJORAN EL MANEJO ADECUADO DE LOS PRODUCTOS QUÍMICOS AGRÍCOLAS.</w:t>
      </w:r>
      <w:r>
        <w:rPr>
          <w:rFonts w:asciiTheme="minorHAnsi" w:hAnsiTheme="minorHAnsi"/>
          <w:b/>
          <w:sz w:val="20"/>
        </w:rPr>
        <w:t xml:space="preserve"> </w:t>
      </w:r>
    </w:p>
    <w:p w14:paraId="0DF8B3E3" w14:textId="62C03E90" w:rsidR="00EF0495" w:rsidRDefault="00674C7C" w:rsidP="007C1ED1">
      <w:pPr>
        <w:spacing w:after="120"/>
        <w:jc w:val="both"/>
        <w:rPr>
          <w:rFonts w:asciiTheme="minorHAnsi" w:hAnsiTheme="minorHAnsi" w:cstheme="minorHAnsi"/>
          <w:color w:val="000000" w:themeColor="text1"/>
          <w:sz w:val="20"/>
          <w:szCs w:val="20"/>
        </w:rPr>
      </w:pPr>
      <w:r>
        <w:rPr>
          <w:rFonts w:asciiTheme="minorHAnsi" w:hAnsiTheme="minorHAnsi"/>
          <w:b/>
          <w:sz w:val="20"/>
        </w:rPr>
        <w:t xml:space="preserve">Resultado 1.1: </w:t>
      </w:r>
      <w:r>
        <w:rPr>
          <w:rFonts w:asciiTheme="minorHAnsi" w:hAnsiTheme="minorHAnsi"/>
          <w:sz w:val="20"/>
        </w:rPr>
        <w:t xml:space="preserve">Formación y divulgación con las autoridades aduaneras para </w:t>
      </w:r>
      <w:r>
        <w:rPr>
          <w:rFonts w:asciiTheme="minorHAnsi" w:hAnsiTheme="minorHAnsi"/>
          <w:color w:val="000000" w:themeColor="text1"/>
          <w:sz w:val="20"/>
        </w:rPr>
        <w:t>evitar las importaciones y el comercio ilegales de productos químicos peligrosos.</w:t>
      </w:r>
    </w:p>
    <w:p w14:paraId="3A282338" w14:textId="71C905F2" w:rsidR="00D50136" w:rsidRDefault="00D50136"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A través de esta actividad, el proyecto reforzará la capacidad nacional para evitar las importaciones y el comercio ilegales de sustancias químicas peligrosas entre las principales autoridades competentes y los principales interesados mediante la ejecución de un programa de desarrollo de capacidades y una estrategia de comunicación de divulgación. Como resultado, se formará a un total de 50 agentes y se sensibilizará a 2.800 personas.</w:t>
      </w:r>
      <w:r>
        <w:rPr>
          <w:rFonts w:asciiTheme="minorHAnsi" w:hAnsiTheme="minorHAnsi"/>
          <w:color w:val="FF0000"/>
          <w:sz w:val="20"/>
        </w:rPr>
        <w:t xml:space="preserve"> </w:t>
      </w:r>
    </w:p>
    <w:p w14:paraId="56884195" w14:textId="7FF78FAB" w:rsidR="004C1144" w:rsidRDefault="00EF0495"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1.1:</w:t>
      </w:r>
    </w:p>
    <w:p w14:paraId="48A6E58C" w14:textId="02E139F8" w:rsidR="006E5CFA" w:rsidRPr="00037BA4" w:rsidRDefault="00422DA4"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Coordinación institucional: </w:t>
      </w:r>
      <w:r w:rsidR="00113C79">
        <w:rPr>
          <w:rFonts w:asciiTheme="minorHAnsi" w:hAnsiTheme="minorHAnsi"/>
          <w:color w:val="000000" w:themeColor="text1"/>
          <w:sz w:val="20"/>
        </w:rPr>
        <w:t>p</w:t>
      </w:r>
      <w:r>
        <w:rPr>
          <w:rFonts w:asciiTheme="minorHAnsi" w:hAnsiTheme="minorHAnsi"/>
          <w:color w:val="000000" w:themeColor="text1"/>
          <w:sz w:val="20"/>
        </w:rPr>
        <w:t xml:space="preserve">romover la colaboración entre las autoridades del MAATE, MAG, AGROCALIDAD, ABG y el Servicio Nacional de Aduanas (SENAE) para impulsar el cumplimiento en la importación y comercio legal de </w:t>
      </w:r>
      <w:r>
        <w:rPr>
          <w:rFonts w:ascii="Calibri" w:hAnsi="Calibri"/>
          <w:color w:val="000000" w:themeColor="text1"/>
          <w:sz w:val="20"/>
        </w:rPr>
        <w:t xml:space="preserve">plaguicidas en el país. Esta actividad garantizará la identificación de actores </w:t>
      </w:r>
      <w:r>
        <w:rPr>
          <w:rFonts w:ascii="Calibri" w:hAnsi="Calibri"/>
          <w:sz w:val="20"/>
        </w:rPr>
        <w:t>a nivel nacional y local, con especial atención a las autoridades de aduana y policiales (como los inspectores), que participarán en el proceso de formación para evitar las importaciones y el comercio ilegales de sustancias químicas peligrosas. Se acordarán otros supuestos relativos a los tipos de formación.</w:t>
      </w:r>
      <w:r>
        <w:rPr>
          <w:rFonts w:ascii="HelveticaNeue" w:hAnsi="HelveticaNeue"/>
          <w:sz w:val="20"/>
        </w:rPr>
        <w:t xml:space="preserve"> </w:t>
      </w:r>
    </w:p>
    <w:p w14:paraId="089FAB22" w14:textId="1579992B" w:rsidR="006E5CFA" w:rsidRPr="00037BA4" w:rsidRDefault="00422DA4"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b) Programa de Formación:  diseñar y aplicar un programa de formación </w:t>
      </w:r>
      <w:r>
        <w:rPr>
          <w:rFonts w:asciiTheme="minorHAnsi" w:hAnsiTheme="minorHAnsi"/>
          <w:sz w:val="20"/>
        </w:rPr>
        <w:t>a nivel nacional y local, haciendo hincapié en las zonas fronterizas. El principal objetivo de este programa de formación es proporcionar los conocimientos necesarios para supervisar y controlar las importaciones y exportaciones de productos químicos peligrosos, con especial atención a los plaguicidas (COPs/PAPs), incluida la detección y prevención del comercio ilegal. El programa de formación incluirá contenidos sobre compromisos internacionales, plaguicidas prohibidos en el país, almacenamiento seguro y gestión adecuada de plaguicidas, SGA, Tarjeta Internacional de Seguridad Química, salud y riesgos medioambientales asociados.</w:t>
      </w:r>
    </w:p>
    <w:p w14:paraId="651B0295" w14:textId="4BA74C60" w:rsidR="008D6E0D" w:rsidRPr="00CD68FA" w:rsidRDefault="00CF2A6F" w:rsidP="007C1ED1">
      <w:pPr>
        <w:spacing w:after="120"/>
        <w:jc w:val="both"/>
        <w:rPr>
          <w:rFonts w:ascii="Calibri" w:hAnsi="Calibri" w:cs="Calibri"/>
          <w:color w:val="000000" w:themeColor="text1"/>
          <w:sz w:val="20"/>
          <w:szCs w:val="20"/>
        </w:rPr>
      </w:pPr>
      <w:r>
        <w:rPr>
          <w:rFonts w:ascii="Calibri" w:hAnsi="Calibri"/>
          <w:color w:val="000000" w:themeColor="text1"/>
          <w:sz w:val="20"/>
        </w:rPr>
        <w:t>Para el diseño del programa, el proyecto llevará a cabo un estudio de las experiencias internacionales en formación de agentes de aduanas para compartirlas con los funcionarios nacionales. El programa se estructurará</w:t>
      </w:r>
      <w:r>
        <w:rPr>
          <w:rFonts w:ascii="Calibri" w:hAnsi="Calibri"/>
          <w:sz w:val="20"/>
        </w:rPr>
        <w:t xml:space="preserve"> en tres fases: i) </w:t>
      </w:r>
      <w:r w:rsidR="003A0C39">
        <w:rPr>
          <w:rFonts w:ascii="Calibri" w:hAnsi="Calibri"/>
          <w:sz w:val="20"/>
        </w:rPr>
        <w:t>f</w:t>
      </w:r>
      <w:r>
        <w:rPr>
          <w:rFonts w:ascii="Calibri" w:hAnsi="Calibri"/>
          <w:sz w:val="20"/>
        </w:rPr>
        <w:t xml:space="preserve">ormación de formadores en aduanas: se seleccionará a personal clave de las aduanas para formarlo como formador, </w:t>
      </w:r>
      <w:r>
        <w:rPr>
          <w:rFonts w:asciiTheme="minorHAnsi" w:hAnsiTheme="minorHAnsi"/>
          <w:sz w:val="20"/>
        </w:rPr>
        <w:t>para promover un proceso de aprendizaje teniendo en cuenta los retos a los que se enfrentan en sus lugares de trabajo</w:t>
      </w:r>
      <w:r w:rsidR="005837F6">
        <w:rPr>
          <w:rFonts w:asciiTheme="minorHAnsi" w:hAnsiTheme="minorHAnsi"/>
          <w:sz w:val="20"/>
        </w:rPr>
        <w:t>;</w:t>
      </w:r>
      <w:r>
        <w:rPr>
          <w:sz w:val="20"/>
        </w:rPr>
        <w:t xml:space="preserve"> </w:t>
      </w:r>
      <w:r>
        <w:rPr>
          <w:rFonts w:ascii="Calibri" w:hAnsi="Calibri"/>
          <w:sz w:val="20"/>
        </w:rPr>
        <w:t xml:space="preserve">ii) </w:t>
      </w:r>
      <w:r w:rsidR="003A0C39">
        <w:rPr>
          <w:rFonts w:ascii="Calibri" w:hAnsi="Calibri"/>
          <w:sz w:val="20"/>
        </w:rPr>
        <w:t>f</w:t>
      </w:r>
      <w:r>
        <w:rPr>
          <w:rFonts w:ascii="Calibri" w:hAnsi="Calibri"/>
          <w:sz w:val="20"/>
        </w:rPr>
        <w:t xml:space="preserve">ormación de funcionarios de aduanas y policiales y de actores previamente identificados; iii) Monitoreo y </w:t>
      </w:r>
      <w:r w:rsidR="003A0C39">
        <w:rPr>
          <w:rFonts w:ascii="Calibri" w:hAnsi="Calibri"/>
          <w:sz w:val="20"/>
        </w:rPr>
        <w:t>E</w:t>
      </w:r>
      <w:r>
        <w:rPr>
          <w:rFonts w:ascii="Calibri" w:hAnsi="Calibri"/>
          <w:sz w:val="20"/>
        </w:rPr>
        <w:t>valuación</w:t>
      </w:r>
      <w:r w:rsidR="005837F6">
        <w:rPr>
          <w:rFonts w:ascii="Calibri" w:hAnsi="Calibri"/>
          <w:sz w:val="20"/>
        </w:rPr>
        <w:t>:</w:t>
      </w:r>
      <w:r>
        <w:rPr>
          <w:rFonts w:ascii="Calibri" w:hAnsi="Calibri"/>
          <w:sz w:val="20"/>
        </w:rPr>
        <w:t xml:space="preserve"> </w:t>
      </w:r>
      <w:r w:rsidR="00E91823">
        <w:rPr>
          <w:rFonts w:ascii="Calibri" w:hAnsi="Calibri"/>
          <w:sz w:val="20"/>
        </w:rPr>
        <w:t>s</w:t>
      </w:r>
      <w:r>
        <w:rPr>
          <w:rFonts w:ascii="Calibri" w:hAnsi="Calibri"/>
          <w:sz w:val="20"/>
        </w:rPr>
        <w:t>e definirán indicadores de rendimiento específicos y medibles del programa de formación para supervisar su eficacia de forma periódica y adoptar medidas correctivas en caso necesario.</w:t>
      </w:r>
    </w:p>
    <w:p w14:paraId="5B0BCDF2" w14:textId="1FBE8FE0" w:rsidR="0024192C" w:rsidRPr="00037BA4" w:rsidRDefault="005837F6" w:rsidP="007C1ED1">
      <w:pPr>
        <w:spacing w:after="120"/>
        <w:jc w:val="both"/>
        <w:rPr>
          <w:rFonts w:asciiTheme="minorHAnsi" w:hAnsiTheme="minorHAnsi" w:cstheme="minorHAnsi"/>
          <w:color w:val="000000"/>
          <w:sz w:val="20"/>
        </w:rPr>
      </w:pPr>
      <w:r>
        <w:rPr>
          <w:rFonts w:asciiTheme="minorHAnsi" w:hAnsiTheme="minorHAnsi"/>
          <w:color w:val="000000" w:themeColor="text1"/>
          <w:sz w:val="20"/>
        </w:rPr>
        <w:t>Para m</w:t>
      </w:r>
      <w:r w:rsidR="0024192C">
        <w:rPr>
          <w:rFonts w:asciiTheme="minorHAnsi" w:hAnsiTheme="minorHAnsi"/>
          <w:color w:val="000000" w:themeColor="text1"/>
          <w:sz w:val="20"/>
        </w:rPr>
        <w:t xml:space="preserve">inimizar </w:t>
      </w:r>
      <w:r w:rsidR="0024192C">
        <w:rPr>
          <w:rFonts w:asciiTheme="minorHAnsi" w:hAnsiTheme="minorHAnsi"/>
          <w:color w:val="000000"/>
          <w:sz w:val="20"/>
        </w:rPr>
        <w:t xml:space="preserve">el impacto de la rotación de personal y </w:t>
      </w:r>
      <w:r w:rsidR="0024192C">
        <w:rPr>
          <w:rFonts w:asciiTheme="minorHAnsi" w:hAnsiTheme="minorHAnsi"/>
          <w:color w:val="000000" w:themeColor="text1"/>
          <w:sz w:val="20"/>
        </w:rPr>
        <w:t>mantener la formación, el proyecto elaborará un manual de formación para funcionarios de aduanas y de control, a fin de garantizar que los nuevos funcionarios dispongan de los conocimientos necesarios</w:t>
      </w:r>
      <w:r w:rsidR="0024192C">
        <w:rPr>
          <w:rFonts w:asciiTheme="minorHAnsi" w:hAnsiTheme="minorHAnsi"/>
          <w:color w:val="000000"/>
          <w:sz w:val="20"/>
        </w:rPr>
        <w:t xml:space="preserve">. La estructura del </w:t>
      </w:r>
      <w:r>
        <w:rPr>
          <w:rFonts w:asciiTheme="minorHAnsi" w:hAnsiTheme="minorHAnsi"/>
          <w:color w:val="000000"/>
          <w:sz w:val="20"/>
        </w:rPr>
        <w:t>m</w:t>
      </w:r>
      <w:r w:rsidR="0024192C">
        <w:rPr>
          <w:rFonts w:asciiTheme="minorHAnsi" w:hAnsiTheme="minorHAnsi"/>
          <w:color w:val="000000"/>
          <w:sz w:val="20"/>
        </w:rPr>
        <w:t>anual se definirá adecuadamente durante la ejecución del proyecto y también se estudiarán herramientas eficaces de aprendizaje en formato digital. El proyecto promoverá la integración del programa de formación en los planes de estudios de las autoridades. Este sistema también contribuirá a aumentar el desarrollo de capacidad nacional mediante la inclusión de otros productos químicos peligrosos de importancia nacional y mundial.</w:t>
      </w:r>
    </w:p>
    <w:p w14:paraId="3653061B" w14:textId="4839C677" w:rsidR="00295E31" w:rsidRPr="00037BA4" w:rsidRDefault="00681A5C" w:rsidP="007C1ED1">
      <w:pPr>
        <w:spacing w:after="120"/>
        <w:jc w:val="both"/>
        <w:rPr>
          <w:rFonts w:asciiTheme="minorHAnsi" w:hAnsiTheme="minorHAnsi" w:cstheme="minorHAnsi"/>
          <w:color w:val="FF0000"/>
          <w:sz w:val="20"/>
        </w:rPr>
      </w:pPr>
      <w:r>
        <w:rPr>
          <w:rFonts w:asciiTheme="minorHAnsi" w:hAnsiTheme="minorHAnsi"/>
          <w:color w:val="000000"/>
          <w:sz w:val="20"/>
        </w:rPr>
        <w:t xml:space="preserve">A través de esta </w:t>
      </w:r>
      <w:r>
        <w:rPr>
          <w:rFonts w:asciiTheme="minorHAnsi" w:hAnsiTheme="minorHAnsi"/>
          <w:color w:val="000000" w:themeColor="text1"/>
          <w:sz w:val="20"/>
        </w:rPr>
        <w:t xml:space="preserve">actividad se formará a un grupo de 50 funcionarios </w:t>
      </w:r>
      <w:r>
        <w:rPr>
          <w:rFonts w:asciiTheme="minorHAnsi" w:hAnsiTheme="minorHAnsi"/>
          <w:color w:val="000000" w:themeColor="text1"/>
          <w:sz w:val="20"/>
          <w:shd w:val="clear" w:color="auto" w:fill="FFFFFF"/>
        </w:rPr>
        <w:t xml:space="preserve">(25 mujeres, 25 hombres) </w:t>
      </w:r>
      <w:r>
        <w:rPr>
          <w:rFonts w:asciiTheme="minorHAnsi" w:hAnsiTheme="minorHAnsi"/>
          <w:color w:val="000000" w:themeColor="text1"/>
          <w:sz w:val="20"/>
        </w:rPr>
        <w:t>a nivel nacional, provincial y municipal.</w:t>
      </w:r>
    </w:p>
    <w:p w14:paraId="4D3225A4" w14:textId="2C42CD22" w:rsidR="004A604D" w:rsidRPr="00037BA4" w:rsidRDefault="00422DA4" w:rsidP="007C1ED1">
      <w:pPr>
        <w:spacing w:after="120"/>
        <w:jc w:val="both"/>
        <w:rPr>
          <w:rFonts w:asciiTheme="minorHAnsi" w:hAnsiTheme="minorHAnsi" w:cstheme="minorHAnsi"/>
          <w:color w:val="000000"/>
          <w:sz w:val="20"/>
        </w:rPr>
      </w:pPr>
      <w:r>
        <w:rPr>
          <w:rFonts w:asciiTheme="minorHAnsi" w:hAnsiTheme="minorHAnsi"/>
          <w:color w:val="000000" w:themeColor="text1"/>
          <w:sz w:val="20"/>
        </w:rPr>
        <w:t xml:space="preserve">c) Estrategia de comunicación para divulgación: esta actividad diseñará e implementará una estrategia de comunicación que permita divulgar los problemas relacionados con el comercio ilegal de sustancias químicas peligrosas y concienciar sobre la importancia del cumplimiento del marco normativo. La estrategia debe incluir como destinatarios a importadores, comerciantes, distribuidores, agricultores y público en general. A través de la estrategia de comunicación, el proyecto sensibilizará a 2.800 personas </w:t>
      </w:r>
      <w:r>
        <w:rPr>
          <w:rFonts w:asciiTheme="minorHAnsi" w:hAnsiTheme="minorHAnsi"/>
          <w:color w:val="000000" w:themeColor="text1"/>
          <w:sz w:val="20"/>
          <w:shd w:val="clear" w:color="auto" w:fill="FFFFFF"/>
        </w:rPr>
        <w:t>(1.400 mujeres y 1.400 hombres) implicadas en la cadena de valor de los productos agroquímicos</w:t>
      </w:r>
      <w:r>
        <w:rPr>
          <w:rFonts w:asciiTheme="minorHAnsi" w:hAnsiTheme="minorHAnsi"/>
          <w:color w:val="000000" w:themeColor="text1"/>
          <w:sz w:val="20"/>
        </w:rPr>
        <w:t xml:space="preserve">. </w:t>
      </w:r>
    </w:p>
    <w:p w14:paraId="47E2BC9B" w14:textId="6595B641" w:rsidR="00674C7C" w:rsidRDefault="00674C7C" w:rsidP="00B169FC">
      <w:pPr>
        <w:spacing w:after="120"/>
        <w:jc w:val="both"/>
        <w:rPr>
          <w:rFonts w:ascii="Calibri" w:hAnsi="Calibri" w:cs="Calibri"/>
          <w:sz w:val="20"/>
          <w:szCs w:val="20"/>
        </w:rPr>
      </w:pPr>
      <w:r>
        <w:rPr>
          <w:rFonts w:ascii="Calibri" w:hAnsi="Calibri"/>
          <w:b/>
          <w:sz w:val="20"/>
        </w:rPr>
        <w:t xml:space="preserve">Resultado 1.2: </w:t>
      </w:r>
      <w:r>
        <w:rPr>
          <w:rFonts w:ascii="Calibri" w:hAnsi="Calibri"/>
          <w:sz w:val="20"/>
        </w:rPr>
        <w:t xml:space="preserve">Capacidad de las instituciones gubernamentales y del sector privado para adoptar, utilizar y adaptar adecuadamente herramientas como el Kit de </w:t>
      </w:r>
      <w:r w:rsidR="00113C79">
        <w:rPr>
          <w:rFonts w:ascii="Calibri" w:hAnsi="Calibri"/>
          <w:sz w:val="20"/>
        </w:rPr>
        <w:t>H</w:t>
      </w:r>
      <w:r>
        <w:rPr>
          <w:rFonts w:ascii="Calibri" w:hAnsi="Calibri"/>
          <w:sz w:val="20"/>
        </w:rPr>
        <w:t xml:space="preserve">erramientas para el </w:t>
      </w:r>
      <w:r w:rsidR="00697973">
        <w:rPr>
          <w:rFonts w:ascii="Calibri" w:hAnsi="Calibri"/>
          <w:sz w:val="20"/>
        </w:rPr>
        <w:t>R</w:t>
      </w:r>
      <w:r>
        <w:rPr>
          <w:rFonts w:ascii="Calibri" w:hAnsi="Calibri"/>
          <w:sz w:val="20"/>
        </w:rPr>
        <w:t xml:space="preserve">egistro de </w:t>
      </w:r>
      <w:r w:rsidR="00697973">
        <w:rPr>
          <w:rFonts w:ascii="Calibri" w:hAnsi="Calibri"/>
          <w:sz w:val="20"/>
        </w:rPr>
        <w:t>P</w:t>
      </w:r>
      <w:r>
        <w:rPr>
          <w:rFonts w:ascii="Calibri" w:hAnsi="Calibri"/>
          <w:sz w:val="20"/>
        </w:rPr>
        <w:t xml:space="preserve">laguicidas de la FAO, el Código Internacional de Conducta para la distribución y uso de plaguicidas, entre otras, que permitan la correcta aplicación de las normas sobre plaguicidas/plásticos.  </w:t>
      </w:r>
    </w:p>
    <w:p w14:paraId="0B08D50B" w14:textId="3B7DB6E0" w:rsidR="00F0269D" w:rsidRDefault="00F0269D"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A través de esta actividad, el proyecto reforzará las instituciones gubernamentales nacionales y el sector privado a la hora de abordar los principales elementos para el manejo ambientalmente adecuado de los plaguicidas a lo largo de todo su ciclo de vida. Esta actividad se coordinará principalmente con MAATE, MAG, ARCSA, AGROCALIDAD, ABG, SENAE</w:t>
      </w:r>
      <w:r w:rsidR="00C14A78">
        <w:rPr>
          <w:rFonts w:asciiTheme="minorHAnsi" w:hAnsiTheme="minorHAnsi"/>
          <w:color w:val="000000" w:themeColor="text1"/>
          <w:sz w:val="20"/>
        </w:rPr>
        <w:t xml:space="preserve"> y</w:t>
      </w:r>
      <w:r>
        <w:rPr>
          <w:rFonts w:asciiTheme="minorHAnsi" w:hAnsiTheme="minorHAnsi"/>
          <w:color w:val="000000" w:themeColor="text1"/>
          <w:sz w:val="20"/>
        </w:rPr>
        <w:t xml:space="preserve"> CONGOPE como instituciones gubernamentales. En cuanto al sector privado, participarán APCSA, INNOVARO y APROQUE como asociaciones representativas de las empresas agroquímicas.</w:t>
      </w:r>
    </w:p>
    <w:p w14:paraId="689DEA3B" w14:textId="2EDA7188" w:rsidR="00EF0495" w:rsidRDefault="00EF0495"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1.2:</w:t>
      </w:r>
    </w:p>
    <w:p w14:paraId="45EEF607" w14:textId="2F4484E0" w:rsidR="00BC4390" w:rsidRPr="001A013A" w:rsidRDefault="00422DA4"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Programa de desarrollo de capacidades: </w:t>
      </w:r>
      <w:r w:rsidR="00E91823">
        <w:rPr>
          <w:rFonts w:asciiTheme="minorHAnsi" w:hAnsiTheme="minorHAnsi"/>
          <w:color w:val="000000" w:themeColor="text1"/>
          <w:sz w:val="20"/>
        </w:rPr>
        <w:t>e</w:t>
      </w:r>
      <w:r>
        <w:rPr>
          <w:rFonts w:asciiTheme="minorHAnsi" w:hAnsiTheme="minorHAnsi"/>
          <w:color w:val="000000" w:themeColor="text1"/>
          <w:sz w:val="20"/>
        </w:rPr>
        <w:t xml:space="preserve">l proyecto diseñará y ejecutará un programa de capacitación para mejorar la aplicación de las normas sobre plaguicidas y plásticos en el territorio. El programa tendrá como objetivo reforzar las instituciones clave de la cadena de valor de los productos agroquímicos y las instituciones gubernamentales a nivel nacional y local. El </w:t>
      </w:r>
      <w:r w:rsidR="00C14A78">
        <w:rPr>
          <w:rFonts w:asciiTheme="minorHAnsi" w:hAnsiTheme="minorHAnsi"/>
          <w:color w:val="000000" w:themeColor="text1"/>
          <w:sz w:val="20"/>
        </w:rPr>
        <w:t>p</w:t>
      </w:r>
      <w:r>
        <w:rPr>
          <w:rFonts w:asciiTheme="minorHAnsi" w:hAnsiTheme="minorHAnsi"/>
          <w:color w:val="000000" w:themeColor="text1"/>
          <w:sz w:val="20"/>
        </w:rPr>
        <w:t>rograma incluirá:</w:t>
      </w:r>
    </w:p>
    <w:p w14:paraId="595A3074" w14:textId="765C033F" w:rsidR="00BC4390" w:rsidRDefault="006D6961">
      <w:pPr>
        <w:pStyle w:val="Prrafodelista"/>
        <w:numPr>
          <w:ilvl w:val="0"/>
          <w:numId w:val="25"/>
        </w:numPr>
        <w:spacing w:after="120"/>
        <w:ind w:left="643"/>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Refuerzo del proceso de registro de plaguicidas: </w:t>
      </w:r>
      <w:r w:rsidR="00E91823">
        <w:rPr>
          <w:rFonts w:asciiTheme="minorHAnsi" w:hAnsiTheme="minorHAnsi"/>
          <w:color w:val="000000" w:themeColor="text1"/>
          <w:sz w:val="20"/>
        </w:rPr>
        <w:t>e</w:t>
      </w:r>
      <w:r>
        <w:rPr>
          <w:rFonts w:asciiTheme="minorHAnsi" w:hAnsiTheme="minorHAnsi"/>
          <w:color w:val="000000" w:themeColor="text1"/>
          <w:sz w:val="20"/>
        </w:rPr>
        <w:t xml:space="preserve">sta actividad se coordinará con el Comité Técnico Nacional de Plaguicidas que está formado por AGROCALIDAD, MAATE y ARCSA. Cada una de estas instituciones interviene en la revisión de los expedientes previos al registro de los </w:t>
      </w:r>
      <w:r w:rsidR="00E667C9">
        <w:rPr>
          <w:rFonts w:asciiTheme="minorHAnsi" w:hAnsiTheme="minorHAnsi"/>
          <w:color w:val="000000" w:themeColor="text1"/>
          <w:sz w:val="20"/>
        </w:rPr>
        <w:t>P</w:t>
      </w:r>
      <w:r>
        <w:rPr>
          <w:rFonts w:asciiTheme="minorHAnsi" w:hAnsiTheme="minorHAnsi"/>
          <w:color w:val="000000" w:themeColor="text1"/>
          <w:sz w:val="20"/>
        </w:rPr>
        <w:t xml:space="preserve">laguicidas de </w:t>
      </w:r>
      <w:r w:rsidR="00E667C9">
        <w:rPr>
          <w:rFonts w:asciiTheme="minorHAnsi" w:hAnsiTheme="minorHAnsi"/>
          <w:color w:val="000000" w:themeColor="text1"/>
          <w:sz w:val="20"/>
        </w:rPr>
        <w:t>U</w:t>
      </w:r>
      <w:r>
        <w:rPr>
          <w:rFonts w:asciiTheme="minorHAnsi" w:hAnsiTheme="minorHAnsi"/>
          <w:color w:val="000000" w:themeColor="text1"/>
          <w:sz w:val="20"/>
        </w:rPr>
        <w:t xml:space="preserve">so </w:t>
      </w:r>
      <w:r w:rsidR="00E667C9">
        <w:rPr>
          <w:rFonts w:asciiTheme="minorHAnsi" w:hAnsiTheme="minorHAnsi"/>
          <w:color w:val="000000" w:themeColor="text1"/>
          <w:sz w:val="20"/>
        </w:rPr>
        <w:t>A</w:t>
      </w:r>
      <w:r>
        <w:rPr>
          <w:rFonts w:asciiTheme="minorHAnsi" w:hAnsiTheme="minorHAnsi"/>
          <w:color w:val="000000" w:themeColor="text1"/>
          <w:sz w:val="20"/>
        </w:rPr>
        <w:t xml:space="preserve">grícola (PQUA) en los ámbitos agronómico, ecotoxicológico y toxicológico, respectivamente. </w:t>
      </w:r>
    </w:p>
    <w:p w14:paraId="0FFE4639" w14:textId="525602A8" w:rsidR="00BA2EE5" w:rsidRPr="006B5AA6" w:rsidRDefault="00B71037" w:rsidP="00B169FC">
      <w:pPr>
        <w:spacing w:after="120"/>
        <w:ind w:left="643"/>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Basándose en las carencias y necesidades nacionales, se diseñará y ejecutará un programa de formación específico sobre el Kit de </w:t>
      </w:r>
      <w:r w:rsidR="00113C79">
        <w:rPr>
          <w:rFonts w:asciiTheme="minorHAnsi" w:hAnsiTheme="minorHAnsi"/>
          <w:color w:val="000000" w:themeColor="text1"/>
          <w:sz w:val="20"/>
        </w:rPr>
        <w:t>H</w:t>
      </w:r>
      <w:r>
        <w:rPr>
          <w:rFonts w:asciiTheme="minorHAnsi" w:hAnsiTheme="minorHAnsi"/>
          <w:color w:val="000000" w:themeColor="text1"/>
          <w:sz w:val="20"/>
        </w:rPr>
        <w:t xml:space="preserve">erramientas de la FAO para el </w:t>
      </w:r>
      <w:r w:rsidR="00697973">
        <w:rPr>
          <w:rFonts w:asciiTheme="minorHAnsi" w:hAnsiTheme="minorHAnsi"/>
          <w:color w:val="000000" w:themeColor="text1"/>
          <w:sz w:val="20"/>
        </w:rPr>
        <w:t>R</w:t>
      </w:r>
      <w:r>
        <w:rPr>
          <w:rFonts w:asciiTheme="minorHAnsi" w:hAnsiTheme="minorHAnsi"/>
          <w:color w:val="000000" w:themeColor="text1"/>
          <w:sz w:val="20"/>
        </w:rPr>
        <w:t xml:space="preserve">egistro de </w:t>
      </w:r>
      <w:r w:rsidR="00697973">
        <w:rPr>
          <w:rFonts w:asciiTheme="minorHAnsi" w:hAnsiTheme="minorHAnsi"/>
          <w:color w:val="000000" w:themeColor="text1"/>
          <w:sz w:val="20"/>
        </w:rPr>
        <w:t>P</w:t>
      </w:r>
      <w:r>
        <w:rPr>
          <w:rFonts w:asciiTheme="minorHAnsi" w:hAnsiTheme="minorHAnsi"/>
          <w:color w:val="000000" w:themeColor="text1"/>
          <w:sz w:val="20"/>
        </w:rPr>
        <w:t xml:space="preserve">laguicidas, dirigido al personal implicado. La formación consistirá en la capacitación en </w:t>
      </w:r>
      <w:r>
        <w:rPr>
          <w:rFonts w:asciiTheme="minorHAnsi" w:hAnsiTheme="minorHAnsi"/>
          <w:color w:val="000000" w:themeColor="text1"/>
          <w:sz w:val="20"/>
          <w:shd w:val="clear" w:color="auto" w:fill="FFFFFF"/>
        </w:rPr>
        <w:t xml:space="preserve">procesos y procedimientos generales de registro de plaguicidas, y se centrará en aspectos técnicos o científicos más especializados, como la evaluación de riesgos, evaluación de la eficacia, reducción y gestión de riesgos, clasificación y etiquetado, etc. Como resultado, el </w:t>
      </w:r>
      <w:r>
        <w:rPr>
          <w:rFonts w:asciiTheme="minorHAnsi" w:hAnsiTheme="minorHAnsi"/>
          <w:sz w:val="20"/>
        </w:rPr>
        <w:t xml:space="preserve">personal podrá utilizar el Kit de </w:t>
      </w:r>
      <w:r w:rsidR="00113C79">
        <w:rPr>
          <w:rFonts w:asciiTheme="minorHAnsi" w:hAnsiTheme="minorHAnsi"/>
          <w:sz w:val="20"/>
        </w:rPr>
        <w:t>H</w:t>
      </w:r>
      <w:r>
        <w:rPr>
          <w:rFonts w:asciiTheme="minorHAnsi" w:hAnsiTheme="minorHAnsi"/>
          <w:sz w:val="20"/>
        </w:rPr>
        <w:t xml:space="preserve">erramientas para varias de sus tareas habituales, entre ellas: encontrar los datos necesarios, evaluar aspectos técnicos del expediente de registro, elegir una estrategia y procedimientos de registro de plaguicidas adecuados, revisar las medidas de mitigación de riesgos y obtener asesoramiento para la toma de decisiones. Además, se enlazará con muchas fuentes de información específica sobre plaguicidas, como registros de otros países, revisiones científicas, clasificación de peligros, etiquetas, </w:t>
      </w:r>
      <w:r>
        <w:rPr>
          <w:rFonts w:asciiTheme="minorHAnsi" w:hAnsiTheme="minorHAnsi"/>
          <w:color w:val="000000" w:themeColor="text1"/>
          <w:sz w:val="20"/>
        </w:rPr>
        <w:t>LMR y propiedades de los plaguicidas.</w:t>
      </w:r>
    </w:p>
    <w:p w14:paraId="6FF29CD7" w14:textId="2E54855F" w:rsidR="00DF5F87" w:rsidRDefault="00BC4390" w:rsidP="00B169FC">
      <w:pPr>
        <w:spacing w:after="120"/>
        <w:ind w:left="643"/>
        <w:jc w:val="both"/>
        <w:rPr>
          <w:rFonts w:asciiTheme="minorHAnsi" w:hAnsiTheme="minorHAnsi" w:cstheme="minorHAnsi"/>
          <w:color w:val="000000"/>
          <w:sz w:val="20"/>
        </w:rPr>
      </w:pPr>
      <w:r>
        <w:rPr>
          <w:rFonts w:asciiTheme="minorHAnsi" w:hAnsiTheme="minorHAnsi"/>
          <w:color w:val="000000" w:themeColor="text1"/>
          <w:sz w:val="20"/>
          <w:shd w:val="clear" w:color="auto" w:fill="FFFFFF"/>
        </w:rPr>
        <w:t xml:space="preserve">Al menos 30 funcionarios (15 mujeres, 15 hombres) de instituciones gubernamentales recibirán formación sobre el Kit de </w:t>
      </w:r>
      <w:r w:rsidR="00113C79">
        <w:rPr>
          <w:rFonts w:asciiTheme="minorHAnsi" w:hAnsiTheme="minorHAnsi"/>
          <w:color w:val="000000" w:themeColor="text1"/>
          <w:sz w:val="20"/>
          <w:shd w:val="clear" w:color="auto" w:fill="FFFFFF"/>
        </w:rPr>
        <w:t>H</w:t>
      </w:r>
      <w:r>
        <w:rPr>
          <w:rFonts w:asciiTheme="minorHAnsi" w:hAnsiTheme="minorHAnsi"/>
          <w:color w:val="000000" w:themeColor="text1"/>
          <w:sz w:val="20"/>
          <w:shd w:val="clear" w:color="auto" w:fill="FFFFFF"/>
        </w:rPr>
        <w:t xml:space="preserve">erramientas de la FAO para el </w:t>
      </w:r>
      <w:r w:rsidR="00697973">
        <w:rPr>
          <w:rFonts w:asciiTheme="minorHAnsi" w:hAnsiTheme="minorHAnsi"/>
          <w:color w:val="000000" w:themeColor="text1"/>
          <w:sz w:val="20"/>
          <w:shd w:val="clear" w:color="auto" w:fill="FFFFFF"/>
        </w:rPr>
        <w:t>R</w:t>
      </w:r>
      <w:r>
        <w:rPr>
          <w:rFonts w:asciiTheme="minorHAnsi" w:hAnsiTheme="minorHAnsi"/>
          <w:color w:val="000000" w:themeColor="text1"/>
          <w:sz w:val="20"/>
          <w:shd w:val="clear" w:color="auto" w:fill="FFFFFF"/>
        </w:rPr>
        <w:t xml:space="preserve">egistro de </w:t>
      </w:r>
      <w:r w:rsidR="00697973">
        <w:rPr>
          <w:rFonts w:asciiTheme="minorHAnsi" w:hAnsiTheme="minorHAnsi"/>
          <w:color w:val="000000" w:themeColor="text1"/>
          <w:sz w:val="20"/>
          <w:shd w:val="clear" w:color="auto" w:fill="FFFFFF"/>
        </w:rPr>
        <w:t>P</w:t>
      </w:r>
      <w:r>
        <w:rPr>
          <w:rFonts w:asciiTheme="minorHAnsi" w:hAnsiTheme="minorHAnsi"/>
          <w:color w:val="000000" w:themeColor="text1"/>
          <w:sz w:val="20"/>
          <w:shd w:val="clear" w:color="auto" w:fill="FFFFFF"/>
        </w:rPr>
        <w:t xml:space="preserve">laguicidas adaptado a las necesidades actuales de Ecuador. Se elaborará un manual de formación </w:t>
      </w:r>
      <w:r>
        <w:rPr>
          <w:rFonts w:asciiTheme="minorHAnsi" w:hAnsiTheme="minorHAnsi"/>
          <w:color w:val="000000"/>
          <w:sz w:val="20"/>
        </w:rPr>
        <w:t>para garantizar que los nuevos funcionarios dispongan de los conocimientos necesarios. Además, se desarrollará un curso de formación abierto masivo en línea (MOOC) que estará disponible en la plataforma del MAATE. El proyecto promoverá la integración del programa de formación en los planes de estudios de las autoridades.</w:t>
      </w:r>
    </w:p>
    <w:p w14:paraId="396EEDE8" w14:textId="77C8FBA3" w:rsidR="00E336BE" w:rsidRPr="00E336BE" w:rsidRDefault="00DF5F87">
      <w:pPr>
        <w:pStyle w:val="Prrafodelista"/>
        <w:numPr>
          <w:ilvl w:val="0"/>
          <w:numId w:val="28"/>
        </w:numPr>
        <w:spacing w:after="120"/>
        <w:ind w:left="643"/>
        <w:jc w:val="both"/>
        <w:rPr>
          <w:rFonts w:asciiTheme="minorHAnsi" w:hAnsiTheme="minorHAnsi" w:cstheme="minorHAnsi"/>
          <w:color w:val="000000" w:themeColor="text1"/>
          <w:sz w:val="20"/>
          <w:szCs w:val="20"/>
          <w:shd w:val="clear" w:color="auto" w:fill="FFFFFF"/>
        </w:rPr>
      </w:pPr>
      <w:r>
        <w:rPr>
          <w:rFonts w:ascii="Calibri" w:hAnsi="Calibri"/>
          <w:color w:val="000000" w:themeColor="text1"/>
          <w:sz w:val="20"/>
        </w:rPr>
        <w:t xml:space="preserve">Promoción del Código Internacional de Conducta para la distribución y utilización de plaguicidas: </w:t>
      </w:r>
      <w:r w:rsidR="00F86902">
        <w:rPr>
          <w:rFonts w:asciiTheme="minorHAnsi" w:hAnsiTheme="minorHAnsi"/>
          <w:color w:val="000000" w:themeColor="text1"/>
          <w:sz w:val="20"/>
        </w:rPr>
        <w:t>e</w:t>
      </w:r>
      <w:r>
        <w:rPr>
          <w:rFonts w:asciiTheme="minorHAnsi" w:hAnsiTheme="minorHAnsi"/>
          <w:color w:val="000000" w:themeColor="text1"/>
          <w:sz w:val="20"/>
        </w:rPr>
        <w:t>n consonancia con las disposiciones del código de conducta internacional, el proyecto llevará a cabo un análisis de las lagunas existentes sobre las disposiciones que se desprenden del código y las principales partes interesadas nacionales, con personal identificado en los niveles adecuados, que participan en su aplicación. A partir del análisis, el proyecto diseñará y pondrá en marcha un plan de acción que promueva la aplicación de los principios éticos y las directrices establecidas en el código, de modo que las autoridades gubernamentales, la industria de los plaguicidas, las instituciones internacionales, las organizaciones de usuarios de plaguicidas, las industrias de productos agrícolas y los grupos de la industria alimentaria (por ejemplo, los supermercados) que estén en condiciones de influir en las buenas prácticas agrícolas, sean conscientes de su responsabilidad a la hora de colaborar para garantizar que se alcan</w:t>
      </w:r>
      <w:r w:rsidR="00C14A78">
        <w:rPr>
          <w:rFonts w:asciiTheme="minorHAnsi" w:hAnsiTheme="minorHAnsi"/>
          <w:color w:val="000000" w:themeColor="text1"/>
          <w:sz w:val="20"/>
        </w:rPr>
        <w:t>c</w:t>
      </w:r>
      <w:r>
        <w:rPr>
          <w:rFonts w:asciiTheme="minorHAnsi" w:hAnsiTheme="minorHAnsi"/>
          <w:color w:val="000000" w:themeColor="text1"/>
          <w:sz w:val="20"/>
        </w:rPr>
        <w:t xml:space="preserve">en los objetivos del código. </w:t>
      </w:r>
    </w:p>
    <w:p w14:paraId="738381CE" w14:textId="77777777" w:rsidR="00E336BE" w:rsidRDefault="00CE5177" w:rsidP="00B169FC">
      <w:pPr>
        <w:pStyle w:val="Prrafodelista"/>
        <w:spacing w:after="120"/>
        <w:ind w:left="643"/>
        <w:jc w:val="both"/>
        <w:rPr>
          <w:rFonts w:asciiTheme="minorHAnsi" w:hAnsiTheme="minorHAnsi" w:cstheme="minorHAnsi"/>
          <w:color w:val="000000" w:themeColor="text1"/>
          <w:sz w:val="20"/>
          <w:szCs w:val="20"/>
        </w:rPr>
      </w:pPr>
      <w:r>
        <w:rPr>
          <w:rFonts w:asciiTheme="minorHAnsi" w:hAnsiTheme="minorHAnsi"/>
          <w:color w:val="000000" w:themeColor="text1"/>
          <w:sz w:val="20"/>
        </w:rPr>
        <w:t>El proyecto promoverá la creación de una comisión interinstitucional para mejorar la cooperación y la coordinación entre los principales actores en el diseño, aplicación y cumplimiento del plan de acción, así como la creación de diferentes grupos de trabajo alineados con las disposiciones del Código Internacional de Conducta.</w:t>
      </w:r>
    </w:p>
    <w:p w14:paraId="15AB540A" w14:textId="2BC0F1F2" w:rsidR="005F0C33" w:rsidRPr="004E5F20" w:rsidRDefault="00BC4390" w:rsidP="00B169FC">
      <w:pPr>
        <w:pStyle w:val="Prrafodelista"/>
        <w:spacing w:after="120"/>
        <w:ind w:left="643"/>
        <w:jc w:val="both"/>
        <w:rPr>
          <w:rFonts w:asciiTheme="minorHAnsi" w:hAnsiTheme="minorHAnsi" w:cstheme="minorHAnsi"/>
          <w:color w:val="000000" w:themeColor="text1"/>
          <w:sz w:val="20"/>
          <w:szCs w:val="20"/>
          <w:shd w:val="clear" w:color="auto" w:fill="FFFFFF"/>
        </w:rPr>
      </w:pPr>
      <w:r>
        <w:rPr>
          <w:rFonts w:asciiTheme="minorHAnsi" w:hAnsiTheme="minorHAnsi"/>
          <w:color w:val="000000" w:themeColor="text1"/>
          <w:sz w:val="20"/>
          <w:shd w:val="clear" w:color="auto" w:fill="FFFFFF"/>
        </w:rPr>
        <w:t>El proyecto sensibilizará al menos a 500 personas (250 mujeres, 250 hombres) de diferentes grupos de actores clave (incluida la industria) sobre las disposiciones del Código Internacional de Conducta y las implicará en su aplicación.</w:t>
      </w:r>
    </w:p>
    <w:p w14:paraId="46921648" w14:textId="7FD65E57" w:rsidR="00211994" w:rsidRDefault="00674C7C" w:rsidP="007C1ED1">
      <w:pPr>
        <w:spacing w:after="120"/>
        <w:jc w:val="both"/>
        <w:rPr>
          <w:rFonts w:ascii="Calibri" w:hAnsi="Calibri" w:cs="Calibri"/>
          <w:sz w:val="20"/>
          <w:szCs w:val="20"/>
        </w:rPr>
      </w:pPr>
      <w:r>
        <w:rPr>
          <w:rFonts w:ascii="Calibri" w:hAnsi="Calibri"/>
          <w:b/>
          <w:sz w:val="20"/>
        </w:rPr>
        <w:t xml:space="preserve">Resultado 1.3: </w:t>
      </w:r>
      <w:r>
        <w:rPr>
          <w:rFonts w:ascii="Calibri" w:hAnsi="Calibri"/>
          <w:sz w:val="20"/>
        </w:rPr>
        <w:t>Fortalecimiento institucional para la rápida identificación de alternativas a los agroquímicos con alto impacto ambiental (es decir, PAPs), procesos ágiles de registro de mejores productos y fortalecimiento de los procesos de compra para facilitar el uso de las alternativas encontradas.</w:t>
      </w:r>
    </w:p>
    <w:p w14:paraId="49FCC5F7" w14:textId="746A8796" w:rsidR="008F56B1" w:rsidRDefault="008F56B1" w:rsidP="007C1ED1">
      <w:pPr>
        <w:spacing w:after="120"/>
        <w:jc w:val="both"/>
        <w:rPr>
          <w:rFonts w:asciiTheme="minorHAnsi" w:hAnsiTheme="minorHAnsi" w:cstheme="minorHAnsi"/>
          <w:sz w:val="20"/>
          <w:szCs w:val="20"/>
        </w:rPr>
      </w:pPr>
      <w:r>
        <w:rPr>
          <w:rFonts w:ascii="Calibri" w:hAnsi="Calibri"/>
          <w:sz w:val="20"/>
        </w:rPr>
        <w:t xml:space="preserve">Este </w:t>
      </w:r>
      <w:r w:rsidR="00D07201">
        <w:rPr>
          <w:rFonts w:ascii="Calibri" w:hAnsi="Calibri"/>
          <w:sz w:val="20"/>
        </w:rPr>
        <w:t xml:space="preserve">Resultado </w:t>
      </w:r>
      <w:r>
        <w:rPr>
          <w:rFonts w:ascii="Calibri" w:hAnsi="Calibri"/>
          <w:sz w:val="20"/>
        </w:rPr>
        <w:t>tiene por objeto establecer un plan nacional para reducir gradualmente el uso de productos agroquímicos nocivos que se utilizan actualmente en el país. El plan proporcionará una transición ordenada con el fin de garantizar la disponibilidad de alternativas y la adopción adecuada para la producción de cultivos, permitiendo a los agricultores</w:t>
      </w:r>
      <w:r>
        <w:rPr>
          <w:rFonts w:asciiTheme="minorHAnsi" w:hAnsiTheme="minorHAnsi"/>
          <w:sz w:val="20"/>
        </w:rPr>
        <w:t xml:space="preserve"> mantener la eficiencia de su productividad durante el proceso de abandono del uso de estas sustancias.</w:t>
      </w:r>
    </w:p>
    <w:p w14:paraId="49CD2F21" w14:textId="3ECED009" w:rsidR="00CE1017" w:rsidRDefault="00616CF1" w:rsidP="007C1ED1">
      <w:pPr>
        <w:spacing w:after="120"/>
        <w:jc w:val="both"/>
        <w:rPr>
          <w:rFonts w:asciiTheme="minorHAnsi" w:hAnsiTheme="minorHAnsi" w:cstheme="minorHAnsi"/>
          <w:noProof/>
          <w:color w:val="000000"/>
          <w:sz w:val="20"/>
          <w:szCs w:val="20"/>
        </w:rPr>
      </w:pPr>
      <w:r>
        <w:rPr>
          <w:rFonts w:asciiTheme="minorHAnsi" w:hAnsiTheme="minorHAnsi"/>
          <w:color w:val="000000"/>
          <w:sz w:val="20"/>
        </w:rPr>
        <w:t>Tal y como se identifica en el Riesgo 2 "</w:t>
      </w:r>
      <w:r>
        <w:rPr>
          <w:rFonts w:asciiTheme="minorHAnsi" w:hAnsiTheme="minorHAnsi"/>
          <w:sz w:val="20"/>
        </w:rPr>
        <w:t>Pérdida de ingresos de las pequeñas y medianas fincas debido a la prohibición de la importación o la restricción del uso de determinados plaguicidas peligrosos", se</w:t>
      </w:r>
      <w:r>
        <w:rPr>
          <w:rFonts w:asciiTheme="minorHAnsi" w:hAnsiTheme="minorHAnsi"/>
          <w:color w:val="000000"/>
          <w:sz w:val="20"/>
        </w:rPr>
        <w:t xml:space="preserve"> adoptará una Evaluación Ambiental y Social Estratégica (EASE) durante la preparación del plan nacional para reducir gradualmente el uso de productos agroquímicos nocivos con el fin de abordar el potencial de pérdida de ingresos para diversos grupos.</w:t>
      </w:r>
    </w:p>
    <w:p w14:paraId="19394C26" w14:textId="4ED01042" w:rsidR="005E0002" w:rsidRDefault="00520BC9"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Se desarrollarán las siguientes actividades para alcanzar el Resultado 1.3: </w:t>
      </w:r>
    </w:p>
    <w:p w14:paraId="53E9EE7C" w14:textId="5587D7A5" w:rsidR="00321098" w:rsidRPr="00037BA4" w:rsidRDefault="004E5F20"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Identificación de alternativas: </w:t>
      </w:r>
      <w:r w:rsidR="00F86902">
        <w:rPr>
          <w:rFonts w:asciiTheme="minorHAnsi" w:hAnsiTheme="minorHAnsi"/>
          <w:color w:val="000000" w:themeColor="text1"/>
          <w:sz w:val="20"/>
        </w:rPr>
        <w:t>e</w:t>
      </w:r>
      <w:r>
        <w:rPr>
          <w:rFonts w:asciiTheme="minorHAnsi" w:hAnsiTheme="minorHAnsi"/>
          <w:color w:val="000000" w:themeColor="text1"/>
          <w:sz w:val="20"/>
        </w:rPr>
        <w:t xml:space="preserve">l proyecto apoyará la reducción de productos agroquímicos peligrosos con elevadas repercusiones medioambientales mediante la introducción de opciones alternativas más seguras (como los agentes de control biológico). </w:t>
      </w:r>
      <w:r>
        <w:rPr>
          <w:rFonts w:asciiTheme="minorHAnsi" w:hAnsiTheme="minorHAnsi"/>
          <w:sz w:val="20"/>
        </w:rPr>
        <w:t>La disponibilidad y el cost</w:t>
      </w:r>
      <w:r w:rsidR="00AA7A04">
        <w:rPr>
          <w:rFonts w:asciiTheme="minorHAnsi" w:hAnsiTheme="minorHAnsi"/>
          <w:sz w:val="20"/>
        </w:rPr>
        <w:t>o</w:t>
      </w:r>
      <w:r>
        <w:rPr>
          <w:rFonts w:asciiTheme="minorHAnsi" w:hAnsiTheme="minorHAnsi"/>
          <w:sz w:val="20"/>
        </w:rPr>
        <w:t xml:space="preserve"> de las alternativas son esenciales antes de poder eliminar o sustituir un producto agroquímico. Para ello, esta actividad enumerará en un primer momento los plaguicidas con alto impacto ambiental mediante la revisión de los productos agroquímicos registrados y las cantidades importadas comparándolos con la clasificación de plaguicidas por peligrosidad recomendada por la OMS. Esta lista considerará especialmente el glifosato (por su preocupación nacional en Galápagos), el </w:t>
      </w:r>
      <w:r w:rsidR="00697973">
        <w:rPr>
          <w:rFonts w:asciiTheme="minorHAnsi" w:hAnsiTheme="minorHAnsi"/>
          <w:sz w:val="20"/>
        </w:rPr>
        <w:t>P</w:t>
      </w:r>
      <w:r>
        <w:rPr>
          <w:rFonts w:asciiTheme="minorHAnsi" w:hAnsiTheme="minorHAnsi"/>
          <w:sz w:val="20"/>
        </w:rPr>
        <w:t xml:space="preserve">araquat, el </w:t>
      </w:r>
      <w:r w:rsidR="00697973">
        <w:rPr>
          <w:rFonts w:asciiTheme="minorHAnsi" w:hAnsiTheme="minorHAnsi"/>
          <w:sz w:val="20"/>
        </w:rPr>
        <w:t>C</w:t>
      </w:r>
      <w:r>
        <w:rPr>
          <w:rFonts w:asciiTheme="minorHAnsi" w:hAnsiTheme="minorHAnsi"/>
          <w:sz w:val="20"/>
        </w:rPr>
        <w:t xml:space="preserve">lorpirifos y el </w:t>
      </w:r>
      <w:r w:rsidR="00697973">
        <w:rPr>
          <w:rFonts w:asciiTheme="minorHAnsi" w:hAnsiTheme="minorHAnsi"/>
          <w:sz w:val="20"/>
        </w:rPr>
        <w:t>M</w:t>
      </w:r>
      <w:r>
        <w:rPr>
          <w:rFonts w:asciiTheme="minorHAnsi" w:hAnsiTheme="minorHAnsi"/>
          <w:sz w:val="20"/>
        </w:rPr>
        <w:t>etoxicloro, que se incluirán en la lista del Convenio de Estocolmo, y los productos agroquímicos en el marco del Pacto Verde Europeo.</w:t>
      </w:r>
    </w:p>
    <w:p w14:paraId="7EC2B48C" w14:textId="5768AE08" w:rsidR="004E5F20" w:rsidRPr="004E5F20" w:rsidRDefault="00321098" w:rsidP="007C1ED1">
      <w:pPr>
        <w:spacing w:after="120"/>
        <w:jc w:val="both"/>
        <w:rPr>
          <w:rFonts w:asciiTheme="minorHAnsi" w:hAnsiTheme="minorHAnsi" w:cstheme="minorHAnsi"/>
          <w:sz w:val="20"/>
          <w:szCs w:val="20"/>
        </w:rPr>
      </w:pPr>
      <w:r>
        <w:rPr>
          <w:rFonts w:asciiTheme="minorHAnsi" w:hAnsiTheme="minorHAnsi"/>
          <w:sz w:val="20"/>
        </w:rPr>
        <w:t xml:space="preserve">En estrecha coordinación con el Comité Técnico Nacional de Plaguicidas y el INIAP, el proyecto desarrollará un </w:t>
      </w:r>
      <w:r>
        <w:rPr>
          <w:rFonts w:asciiTheme="minorHAnsi" w:hAnsiTheme="minorHAnsi"/>
          <w:color w:val="000000" w:themeColor="text1"/>
          <w:sz w:val="20"/>
        </w:rPr>
        <w:t>Plan de Reducción de Agroquímicos No</w:t>
      </w:r>
      <w:r>
        <w:rPr>
          <w:rFonts w:asciiTheme="minorHAnsi" w:hAnsiTheme="minorHAnsi"/>
          <w:sz w:val="20"/>
        </w:rPr>
        <w:t xml:space="preserve">civos </w:t>
      </w:r>
      <w:r>
        <w:rPr>
          <w:rFonts w:asciiTheme="minorHAnsi" w:hAnsiTheme="minorHAnsi"/>
          <w:color w:val="000000" w:themeColor="text1"/>
          <w:sz w:val="20"/>
        </w:rPr>
        <w:t>para sustituir gradualmente los PAPs identificados de relevancia nacional. El plan incluirá la justificación de su prohibición, restricción y/o sustitución, así como la evaluación de las alternativas disponibles tanto en la región como en otras regiones. Cuando en la región no existan alternativas a los PAPs o no se hayan probado en condiciones locales similares, el proyecto apoyará la realización de pruebas de campo limitadas y la demostración de estas alternativas</w:t>
      </w:r>
      <w:r w:rsidR="00B436A6">
        <w:rPr>
          <w:rStyle w:val="Refdenotaalpie"/>
          <w:rFonts w:cstheme="minorHAnsi"/>
          <w:color w:val="000000" w:themeColor="text1"/>
          <w:szCs w:val="20"/>
          <w:lang w:val="en-US"/>
        </w:rPr>
        <w:footnoteReference w:id="19"/>
      </w:r>
      <w:r>
        <w:rPr>
          <w:rFonts w:asciiTheme="minorHAnsi" w:hAnsiTheme="minorHAnsi"/>
          <w:color w:val="000000" w:themeColor="text1"/>
          <w:sz w:val="20"/>
        </w:rPr>
        <w:t xml:space="preserve">.  En coordinación con el INIAP, las </w:t>
      </w:r>
      <w:r w:rsidR="007C730C">
        <w:rPr>
          <w:rFonts w:asciiTheme="minorHAnsi" w:hAnsiTheme="minorHAnsi"/>
          <w:color w:val="000000" w:themeColor="text1"/>
          <w:sz w:val="20"/>
        </w:rPr>
        <w:t>u</w:t>
      </w:r>
      <w:r>
        <w:rPr>
          <w:rFonts w:asciiTheme="minorHAnsi" w:hAnsiTheme="minorHAnsi"/>
          <w:color w:val="000000" w:themeColor="text1"/>
          <w:sz w:val="20"/>
        </w:rPr>
        <w:t xml:space="preserve">niversidades locales y la Dirección de Fomento Productivo de la CONGOPE, se apoyará el desarrollo de un plan nacional de producción y uso de agentes de control biológico con énfasis en aquellos </w:t>
      </w:r>
      <w:r>
        <w:rPr>
          <w:rFonts w:asciiTheme="minorHAnsi" w:hAnsiTheme="minorHAnsi"/>
          <w:sz w:val="20"/>
        </w:rPr>
        <w:t>con potencial para sustituir a los PAPs, de manera que sea posible su reducción y finalmente su prohibición.</w:t>
      </w:r>
    </w:p>
    <w:p w14:paraId="391539D4" w14:textId="3D3A4054" w:rsidR="00B32C67" w:rsidRPr="00037BA4" w:rsidRDefault="004E45B5" w:rsidP="007C1ED1">
      <w:pPr>
        <w:spacing w:after="120"/>
        <w:jc w:val="both"/>
        <w:rPr>
          <w:rFonts w:asciiTheme="minorHAnsi" w:hAnsiTheme="minorHAnsi" w:cstheme="minorHAnsi"/>
          <w:sz w:val="20"/>
          <w:szCs w:val="20"/>
        </w:rPr>
      </w:pPr>
      <w:r>
        <w:rPr>
          <w:rFonts w:asciiTheme="minorHAnsi" w:hAnsiTheme="minorHAnsi"/>
          <w:color w:val="000000" w:themeColor="text1"/>
          <w:sz w:val="20"/>
        </w:rPr>
        <w:t>También se abarcará la revisión y actualización de los actuales procedimientos de registro y contratación para promover procesos más ágiles y facilitar el uso de las alternativas encontradas. La redacción/actualización de los documentos necesarios (manuales, procedimientos, etc.) vinculados a los procesos de registro y contratación será desarrollada por el proyecto. El proyecto garantizará la formación del personal implicado en su implementación.</w:t>
      </w:r>
    </w:p>
    <w:p w14:paraId="14AA3394" w14:textId="65E9419F" w:rsidR="00364123" w:rsidRPr="004E5F20" w:rsidRDefault="004E5F20" w:rsidP="007C1ED1">
      <w:pPr>
        <w:spacing w:after="120"/>
        <w:jc w:val="both"/>
        <w:rPr>
          <w:rFonts w:asciiTheme="minorHAnsi" w:hAnsiTheme="minorHAnsi" w:cstheme="minorHAnsi"/>
          <w:sz w:val="20"/>
          <w:szCs w:val="20"/>
        </w:rPr>
      </w:pPr>
      <w:r>
        <w:rPr>
          <w:rFonts w:asciiTheme="minorHAnsi" w:hAnsiTheme="minorHAnsi"/>
          <w:color w:val="000000" w:themeColor="text1"/>
          <w:sz w:val="20"/>
        </w:rPr>
        <w:t xml:space="preserve">b) Comunicación para divulgación: el proyecto diseñará e implementará una estrategia de comunicación para divulgar entre los actores clave el Plan de Reducción y promover la adopción de alternativas encontradas, así como promover la adopción de </w:t>
      </w:r>
      <w:r w:rsidR="007C730C">
        <w:rPr>
          <w:rFonts w:asciiTheme="minorHAnsi" w:hAnsiTheme="minorHAnsi"/>
          <w:color w:val="000000" w:themeColor="text1"/>
          <w:sz w:val="20"/>
          <w:lang w:val="es-EC"/>
        </w:rPr>
        <w:t>g</w:t>
      </w:r>
      <w:r w:rsidR="00A30162">
        <w:rPr>
          <w:rFonts w:asciiTheme="minorHAnsi" w:hAnsiTheme="minorHAnsi"/>
          <w:color w:val="000000" w:themeColor="text1"/>
          <w:sz w:val="20"/>
          <w:lang w:val="es-EC"/>
        </w:rPr>
        <w:t xml:space="preserve">estión integrada de plagas </w:t>
      </w:r>
      <w:r>
        <w:rPr>
          <w:rFonts w:asciiTheme="minorHAnsi" w:hAnsiTheme="minorHAnsi"/>
          <w:color w:val="000000" w:themeColor="text1"/>
          <w:sz w:val="20"/>
        </w:rPr>
        <w:t xml:space="preserve">como prácticas de producción sostenible que evidencien el logro de los mismos niveles de </w:t>
      </w:r>
      <w:r>
        <w:rPr>
          <w:rFonts w:asciiTheme="minorHAnsi" w:hAnsiTheme="minorHAnsi"/>
          <w:sz w:val="20"/>
        </w:rPr>
        <w:t>productividad durante el proceso de abandono del uso de sustancias nocivas.</w:t>
      </w:r>
    </w:p>
    <w:p w14:paraId="4103575C" w14:textId="4CF32C86" w:rsidR="00520BC9" w:rsidRDefault="00674C7C" w:rsidP="007C1ED1">
      <w:pPr>
        <w:pStyle w:val="Default"/>
        <w:spacing w:after="120"/>
        <w:jc w:val="both"/>
        <w:rPr>
          <w:rFonts w:ascii="Calibri" w:hAnsi="Calibri" w:cs="Calibri"/>
          <w:color w:val="auto"/>
          <w:sz w:val="20"/>
          <w:szCs w:val="20"/>
        </w:rPr>
      </w:pPr>
      <w:r>
        <w:rPr>
          <w:rFonts w:ascii="Calibri" w:hAnsi="Calibri"/>
          <w:b/>
          <w:sz w:val="20"/>
        </w:rPr>
        <w:t xml:space="preserve">Resultado 1.4: </w:t>
      </w:r>
      <w:r>
        <w:rPr>
          <w:rFonts w:ascii="Calibri" w:hAnsi="Calibri"/>
          <w:color w:val="auto"/>
          <w:sz w:val="20"/>
        </w:rPr>
        <w:t xml:space="preserve">Fortalecimiento institucional para la identificación, control y disposición final de plaguicidas y sus residuos. Incorporación de estrategias de alerta temprana para la generación de residuos. </w:t>
      </w:r>
    </w:p>
    <w:p w14:paraId="482251AD" w14:textId="21A1C37B" w:rsidR="00F250B8" w:rsidRPr="00CC7998" w:rsidRDefault="00F250B8" w:rsidP="007C1ED1">
      <w:pPr>
        <w:pStyle w:val="Default"/>
        <w:spacing w:after="120"/>
        <w:jc w:val="both"/>
        <w:rPr>
          <w:rFonts w:ascii="Calibri" w:hAnsi="Calibri" w:cs="Calibri"/>
          <w:color w:val="auto"/>
          <w:sz w:val="20"/>
          <w:szCs w:val="20"/>
        </w:rPr>
      </w:pPr>
      <w:r>
        <w:rPr>
          <w:rFonts w:ascii="Calibri" w:hAnsi="Calibri"/>
          <w:color w:val="auto"/>
          <w:sz w:val="20"/>
        </w:rPr>
        <w:t xml:space="preserve">El objetivo de este </w:t>
      </w:r>
      <w:r w:rsidR="00D07201">
        <w:rPr>
          <w:rFonts w:ascii="Calibri" w:hAnsi="Calibri"/>
          <w:color w:val="auto"/>
          <w:sz w:val="20"/>
        </w:rPr>
        <w:t>R</w:t>
      </w:r>
      <w:r>
        <w:rPr>
          <w:rFonts w:ascii="Calibri" w:hAnsi="Calibri"/>
          <w:color w:val="auto"/>
          <w:sz w:val="20"/>
        </w:rPr>
        <w:t xml:space="preserve">esultado es mejorar el cumplimiento de la identificación, control y eliminación final de plaguicidas y sus residuos entre las autoridades encargadas de control, las autoridades locales y el sector privado. Para ello, AGROCALIDAD, MAG, MAATE, MSP, ABG, SENAE, las autoridades locales y el sector privado serán los principales implicados. </w:t>
      </w:r>
    </w:p>
    <w:p w14:paraId="55E14A37" w14:textId="2E483C83" w:rsidR="00520BC9" w:rsidRDefault="00520BC9"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1.4:</w:t>
      </w:r>
    </w:p>
    <w:p w14:paraId="7807ADE2" w14:textId="084DDD05" w:rsidR="00812C2B" w:rsidRDefault="001C21A0" w:rsidP="007C1ED1">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Refuerzo del Sistema Nacional de Gestión de Residuos: esta actividad dará apoyo a la evaluación del actual sistema nacional de gestión de residuos, que controla todas las etapas de la gestión de residuos, desde la generación hasta la eliminación. Este análisis identificará y definirá los roles e interacciones de los actores clave involucrados (a nivel nacional y local) en la cadena de valor vinculada de plaguicidas y residuos, y promoverá acciones conjuntas entre instituciones, para dar una solución sostenible y mejorada a la gestión integral de este tipo de productos y sus residuos en el país. </w:t>
      </w:r>
    </w:p>
    <w:p w14:paraId="55E4F508" w14:textId="2227183C" w:rsidR="00812C2B" w:rsidRDefault="00533C31" w:rsidP="007C1ED1">
      <w:pPr>
        <w:snapToGrid w:val="0"/>
        <w:spacing w:after="120"/>
        <w:jc w:val="both"/>
        <w:rPr>
          <w:rFonts w:asciiTheme="minorHAnsi" w:hAnsiTheme="minorHAnsi" w:cstheme="minorHAnsi"/>
          <w:sz w:val="20"/>
          <w:szCs w:val="20"/>
        </w:rPr>
      </w:pPr>
      <w:r>
        <w:rPr>
          <w:rFonts w:asciiTheme="minorHAnsi" w:hAnsiTheme="minorHAnsi"/>
          <w:color w:val="000000" w:themeColor="text1"/>
          <w:sz w:val="20"/>
        </w:rPr>
        <w:t xml:space="preserve">Las acciones incluirán el fortalecimiento de los sistemas de identificación y trazabilidad entre las autoridades competentes, considerando la mejora del intercambio y difusión de información para agilizar la toma de decisiones sobre la gestión de agroquímicos y residuos, el desarrollo de mecanismos de respuesta a emergencias, así como la introducción de </w:t>
      </w:r>
      <w:r>
        <w:rPr>
          <w:rFonts w:asciiTheme="minorHAnsi" w:hAnsiTheme="minorHAnsi"/>
          <w:sz w:val="20"/>
        </w:rPr>
        <w:t xml:space="preserve">estrategias de alerta temprana para la </w:t>
      </w:r>
      <w:r>
        <w:rPr>
          <w:rFonts w:asciiTheme="minorHAnsi" w:hAnsiTheme="minorHAnsi"/>
          <w:color w:val="000000" w:themeColor="text1"/>
          <w:sz w:val="20"/>
        </w:rPr>
        <w:t xml:space="preserve">generación de </w:t>
      </w:r>
      <w:r>
        <w:rPr>
          <w:rFonts w:asciiTheme="minorHAnsi" w:hAnsiTheme="minorHAnsi"/>
          <w:sz w:val="20"/>
        </w:rPr>
        <w:t>residuos</w:t>
      </w:r>
      <w:r>
        <w:rPr>
          <w:rFonts w:asciiTheme="minorHAnsi" w:hAnsiTheme="minorHAnsi"/>
          <w:color w:val="000000" w:themeColor="text1"/>
          <w:sz w:val="20"/>
        </w:rPr>
        <w:t xml:space="preserve">. Para ello, el proyecto evaluará la viabilidad y pondrá en marcha una plataforma de </w:t>
      </w:r>
      <w:r w:rsidR="00D43A60">
        <w:rPr>
          <w:rFonts w:asciiTheme="minorHAnsi" w:hAnsiTheme="minorHAnsi"/>
          <w:color w:val="000000" w:themeColor="text1"/>
          <w:sz w:val="20"/>
        </w:rPr>
        <w:t>i</w:t>
      </w:r>
      <w:r>
        <w:rPr>
          <w:rFonts w:asciiTheme="minorHAnsi" w:hAnsiTheme="minorHAnsi"/>
          <w:color w:val="000000" w:themeColor="text1"/>
          <w:sz w:val="20"/>
        </w:rPr>
        <w:t xml:space="preserve">ntercambio </w:t>
      </w:r>
      <w:r w:rsidR="00D43A60">
        <w:rPr>
          <w:rFonts w:asciiTheme="minorHAnsi" w:hAnsiTheme="minorHAnsi"/>
          <w:color w:val="000000" w:themeColor="text1"/>
          <w:sz w:val="20"/>
        </w:rPr>
        <w:t>o</w:t>
      </w:r>
      <w:r>
        <w:rPr>
          <w:rFonts w:asciiTheme="minorHAnsi" w:hAnsiTheme="minorHAnsi"/>
          <w:color w:val="000000" w:themeColor="text1"/>
          <w:sz w:val="20"/>
        </w:rPr>
        <w:t xml:space="preserve">ficial de </w:t>
      </w:r>
      <w:r w:rsidR="00D43A60">
        <w:rPr>
          <w:rFonts w:asciiTheme="minorHAnsi" w:hAnsiTheme="minorHAnsi"/>
          <w:color w:val="000000" w:themeColor="text1"/>
          <w:sz w:val="20"/>
        </w:rPr>
        <w:t>i</w:t>
      </w:r>
      <w:r>
        <w:rPr>
          <w:rFonts w:asciiTheme="minorHAnsi" w:hAnsiTheme="minorHAnsi"/>
          <w:color w:val="000000" w:themeColor="text1"/>
          <w:sz w:val="20"/>
        </w:rPr>
        <w:t xml:space="preserve">nformación. La </w:t>
      </w:r>
      <w:r>
        <w:rPr>
          <w:rFonts w:asciiTheme="minorHAnsi" w:hAnsiTheme="minorHAnsi"/>
          <w:sz w:val="20"/>
        </w:rPr>
        <w:t xml:space="preserve">evaluación incluirá dónde debe alojarse la plataforma. A través de la plataforma se promoverá y facilitará la interacción de los organismos competentes en función de las interacciones necesarias detectadas. En este sentido, a través de esta plataforma se vincularán entidades oficiales ya existentes que hacen uso de la información y toman decisiones en materia de gestión de residuos de COPs/PAPs y plásticos. </w:t>
      </w:r>
    </w:p>
    <w:p w14:paraId="577AE967" w14:textId="0054F191" w:rsidR="00F70232" w:rsidRPr="00FE10AE" w:rsidRDefault="00FE10AE" w:rsidP="007C1ED1">
      <w:pPr>
        <w:snapToGrid w:val="0"/>
        <w:spacing w:after="120"/>
        <w:jc w:val="both"/>
        <w:rPr>
          <w:rFonts w:ascii="Calibri" w:hAnsi="Calibri" w:cs="Calibri"/>
          <w:sz w:val="20"/>
          <w:szCs w:val="20"/>
        </w:rPr>
      </w:pPr>
      <w:r>
        <w:rPr>
          <w:rFonts w:ascii="Calibri" w:hAnsi="Calibri"/>
          <w:sz w:val="20"/>
        </w:rPr>
        <w:t xml:space="preserve">Este </w:t>
      </w:r>
      <w:r w:rsidR="00F15011">
        <w:rPr>
          <w:rFonts w:ascii="Calibri" w:hAnsi="Calibri"/>
          <w:sz w:val="20"/>
        </w:rPr>
        <w:t>FSP</w:t>
      </w:r>
      <w:r>
        <w:rPr>
          <w:rFonts w:ascii="Calibri" w:hAnsi="Calibri"/>
          <w:sz w:val="20"/>
        </w:rPr>
        <w:t xml:space="preserve"> también apoyará el desarrollo de estrategias para fortalecer: i) la vigilancia de eventos relacionados con la exposición a plaguicidas peligrosos y la intoxicación, dentro del </w:t>
      </w:r>
      <w:r>
        <w:rPr>
          <w:rFonts w:ascii="Calibri" w:hAnsi="Calibri"/>
          <w:color w:val="000000" w:themeColor="text1"/>
          <w:sz w:val="20"/>
        </w:rPr>
        <w:t>Sistema de Vigilancia Epidemiológica SIVE-Alerta</w:t>
      </w:r>
      <w:r>
        <w:rPr>
          <w:rFonts w:ascii="Calibri" w:hAnsi="Calibri"/>
          <w:sz w:val="20"/>
        </w:rPr>
        <w:t>, que tiene en cuenta el impacto diferenciado en mujeres y hombres; y ii) el monitoreo de residuos de plaguicidas en alimentos dentro de la Dirección de Seguridad Alimentaria de Agrocalidad.</w:t>
      </w:r>
    </w:p>
    <w:p w14:paraId="4A600C88" w14:textId="35AF18AA" w:rsidR="004F0DC3" w:rsidRDefault="001B3664"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b) Programa de formación: el proyecto diseñará y pondrá en marcha un programa de formación para reforzar las capacidades nacionales y locales de identificación, control y eliminación final de plaguicidas y residuos relacionados. La formación se centrará en los procedimientos, normas y directrices técnicas existentes, así como en aquellos ya actualizados o desarrollados por el proyecto. Esta formación se basará en los resultados obtenidos por la aplicación del PNGQ e identificará las posibilidades de mejora que deben abordarse, además de promover la sostenibilidad de los resultados.</w:t>
      </w:r>
    </w:p>
    <w:p w14:paraId="52A89AD1" w14:textId="0F36F4F5" w:rsidR="00206377" w:rsidRPr="00F61DF2" w:rsidRDefault="00206377"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La formación se dirigirá a los 3 grupos siguientes:</w:t>
      </w:r>
    </w:p>
    <w:p w14:paraId="3874FDC4" w14:textId="4240763A" w:rsidR="00206377" w:rsidRPr="006B5AA6" w:rsidRDefault="00F61DF2" w:rsidP="007C1ED1">
      <w:pPr>
        <w:spacing w:after="120"/>
        <w:ind w:left="720"/>
        <w:jc w:val="both"/>
        <w:rPr>
          <w:rFonts w:asciiTheme="minorHAnsi" w:hAnsiTheme="minorHAnsi" w:cstheme="minorHAnsi"/>
          <w:color w:val="000000" w:themeColor="text1"/>
          <w:sz w:val="20"/>
          <w:szCs w:val="20"/>
        </w:rPr>
      </w:pPr>
      <w:r>
        <w:rPr>
          <w:rFonts w:ascii="Calibri" w:hAnsi="Calibri"/>
          <w:i/>
          <w:sz w:val="20"/>
        </w:rPr>
        <w:t xml:space="preserve">. </w:t>
      </w:r>
      <w:r w:rsidR="00D43A60" w:rsidRPr="00D43A60">
        <w:rPr>
          <w:rFonts w:ascii="Calibri" w:hAnsi="Calibri"/>
          <w:i/>
          <w:sz w:val="20"/>
        </w:rPr>
        <w:t>Inspectorados</w:t>
      </w:r>
      <w:r>
        <w:rPr>
          <w:rFonts w:ascii="Calibri" w:hAnsi="Calibri"/>
          <w:sz w:val="20"/>
        </w:rPr>
        <w:t>: su objetivo es reforzar la capacidad de los equipos de inspección de las administraciones nacionales y locales para que puedan inspeccionar la gestión de los productos agroquímicos, así como el tratamiento, eliminación o disposición de sus residuos (plaguicidas, incluidos los COP</w:t>
      </w:r>
      <w:r w:rsidR="00D43A60">
        <w:rPr>
          <w:rFonts w:ascii="Calibri" w:hAnsi="Calibri"/>
          <w:sz w:val="20"/>
        </w:rPr>
        <w:t>s</w:t>
      </w:r>
      <w:r>
        <w:rPr>
          <w:rFonts w:ascii="Calibri" w:hAnsi="Calibri"/>
          <w:sz w:val="20"/>
        </w:rPr>
        <w:t>/PAP</w:t>
      </w:r>
      <w:r w:rsidR="00D43A60">
        <w:rPr>
          <w:rFonts w:ascii="Calibri" w:hAnsi="Calibri"/>
          <w:sz w:val="20"/>
        </w:rPr>
        <w:t>s</w:t>
      </w:r>
      <w:r>
        <w:rPr>
          <w:rFonts w:ascii="Calibri" w:hAnsi="Calibri"/>
          <w:sz w:val="20"/>
        </w:rPr>
        <w:t xml:space="preserve"> y plásticos), y apoyar la evaluación y el desarrollo de planes de respuesta y remediación tras accidentes con plaguicidas. </w:t>
      </w:r>
      <w:r>
        <w:rPr>
          <w:rFonts w:asciiTheme="minorHAnsi" w:hAnsiTheme="minorHAnsi"/>
          <w:color w:val="000000" w:themeColor="text1"/>
          <w:sz w:val="20"/>
        </w:rPr>
        <w:t>La formación se centrará en los procedimientos, normas y directrices técnicas existentes, así como en aquellos desarrollados por el proyecto.</w:t>
      </w:r>
      <w:r>
        <w:rPr>
          <w:rFonts w:ascii="Calibri" w:hAnsi="Calibri"/>
          <w:color w:val="000000" w:themeColor="text1"/>
          <w:sz w:val="20"/>
        </w:rPr>
        <w:t xml:space="preserve"> Todas las formaciones incluirán un módulo de género y se fomentará en gran medida la participación de las mujeres.</w:t>
      </w:r>
    </w:p>
    <w:p w14:paraId="7BC6ACB7" w14:textId="56431256" w:rsidR="00A93ABF" w:rsidRPr="00F61DF2" w:rsidRDefault="00F61DF2" w:rsidP="007C1ED1">
      <w:pPr>
        <w:spacing w:after="120"/>
        <w:ind w:left="720"/>
        <w:jc w:val="both"/>
        <w:rPr>
          <w:rFonts w:asciiTheme="minorHAnsi" w:hAnsiTheme="minorHAnsi" w:cstheme="minorHAnsi"/>
          <w:color w:val="000000" w:themeColor="text1"/>
          <w:sz w:val="20"/>
          <w:szCs w:val="20"/>
        </w:rPr>
      </w:pPr>
      <w:r>
        <w:rPr>
          <w:rFonts w:ascii="Calibri" w:hAnsi="Calibri"/>
          <w:i/>
          <w:sz w:val="20"/>
        </w:rPr>
        <w:t>. Sector privado (Industria/Importadores/Distribuidores/</w:t>
      </w:r>
      <w:r>
        <w:rPr>
          <w:rFonts w:asciiTheme="minorHAnsi" w:hAnsiTheme="minorHAnsi"/>
          <w:i/>
          <w:sz w:val="20"/>
        </w:rPr>
        <w:t>Empresas de gestión y eliminación de residuos</w:t>
      </w:r>
      <w:r>
        <w:rPr>
          <w:rFonts w:ascii="Calibri" w:hAnsi="Calibri"/>
          <w:i/>
          <w:sz w:val="20"/>
        </w:rPr>
        <w:t>):</w:t>
      </w:r>
      <w:r>
        <w:rPr>
          <w:rFonts w:ascii="Calibri" w:hAnsi="Calibri"/>
          <w:sz w:val="20"/>
        </w:rPr>
        <w:t xml:space="preserve"> </w:t>
      </w:r>
      <w:r w:rsidR="00F86902">
        <w:rPr>
          <w:rFonts w:ascii="Calibri" w:hAnsi="Calibri"/>
          <w:sz w:val="20"/>
        </w:rPr>
        <w:t>e</w:t>
      </w:r>
      <w:r>
        <w:rPr>
          <w:rFonts w:ascii="Calibri" w:hAnsi="Calibri"/>
          <w:sz w:val="20"/>
        </w:rPr>
        <w:t>l programa/plan de capacitación también busca sensibilizar y fortalecer la capacidad del sector industrial para i) introducir mejores prácticas para el manejo de plaguicidas y residuos relacionados y ii) asegurar su cumplimiento con el marco legal nacional, incluyendo la obligación de retirar los plaguicidas obsoletos que se encuentran en el mercado nacional y gestionar su disposición final ambientalmente adecuada, aplicando el principio de corresponsabilidad en materia ambiental así como la "</w:t>
      </w:r>
      <w:r>
        <w:rPr>
          <w:rStyle w:val="Hipervnculo"/>
          <w:rFonts w:asciiTheme="minorHAnsi" w:hAnsiTheme="minorHAnsi"/>
          <w:color w:val="000000" w:themeColor="text1"/>
          <w:sz w:val="20"/>
          <w:u w:val="none"/>
        </w:rPr>
        <w:t xml:space="preserve">Gestión </w:t>
      </w:r>
      <w:r w:rsidR="00122EFF">
        <w:rPr>
          <w:rStyle w:val="Hipervnculo"/>
          <w:rFonts w:asciiTheme="minorHAnsi" w:hAnsiTheme="minorHAnsi"/>
          <w:color w:val="000000" w:themeColor="text1"/>
          <w:sz w:val="20"/>
          <w:u w:val="none"/>
        </w:rPr>
        <w:t>I</w:t>
      </w:r>
      <w:r>
        <w:rPr>
          <w:rStyle w:val="Hipervnculo"/>
          <w:rFonts w:asciiTheme="minorHAnsi" w:hAnsiTheme="minorHAnsi"/>
          <w:color w:val="000000" w:themeColor="text1"/>
          <w:sz w:val="20"/>
          <w:u w:val="none"/>
        </w:rPr>
        <w:t xml:space="preserve">ntegral de </w:t>
      </w:r>
      <w:r w:rsidR="00122EFF">
        <w:rPr>
          <w:rStyle w:val="Hipervnculo"/>
          <w:rFonts w:asciiTheme="minorHAnsi" w:hAnsiTheme="minorHAnsi"/>
          <w:color w:val="000000" w:themeColor="text1"/>
          <w:sz w:val="20"/>
          <w:u w:val="none"/>
        </w:rPr>
        <w:t>R</w:t>
      </w:r>
      <w:r>
        <w:rPr>
          <w:rStyle w:val="Hipervnculo"/>
          <w:rFonts w:asciiTheme="minorHAnsi" w:hAnsiTheme="minorHAnsi"/>
          <w:color w:val="000000" w:themeColor="text1"/>
          <w:sz w:val="20"/>
          <w:u w:val="none"/>
        </w:rPr>
        <w:t xml:space="preserve">esiduos </w:t>
      </w:r>
      <w:r w:rsidR="00122EFF">
        <w:rPr>
          <w:rStyle w:val="Hipervnculo"/>
          <w:rFonts w:asciiTheme="minorHAnsi" w:hAnsiTheme="minorHAnsi"/>
          <w:color w:val="000000" w:themeColor="text1"/>
          <w:sz w:val="20"/>
          <w:u w:val="none"/>
        </w:rPr>
        <w:t>P</w:t>
      </w:r>
      <w:r>
        <w:rPr>
          <w:rStyle w:val="Hipervnculo"/>
          <w:rFonts w:asciiTheme="minorHAnsi" w:hAnsiTheme="minorHAnsi"/>
          <w:color w:val="000000" w:themeColor="text1"/>
          <w:sz w:val="20"/>
          <w:u w:val="none"/>
        </w:rPr>
        <w:t xml:space="preserve">lásticos de </w:t>
      </w:r>
      <w:r w:rsidR="00122EFF">
        <w:rPr>
          <w:rStyle w:val="Hipervnculo"/>
          <w:rFonts w:asciiTheme="minorHAnsi" w:hAnsiTheme="minorHAnsi"/>
          <w:color w:val="000000" w:themeColor="text1"/>
          <w:sz w:val="20"/>
          <w:u w:val="none"/>
        </w:rPr>
        <w:t>U</w:t>
      </w:r>
      <w:r>
        <w:rPr>
          <w:rStyle w:val="Hipervnculo"/>
          <w:rFonts w:asciiTheme="minorHAnsi" w:hAnsiTheme="minorHAnsi"/>
          <w:color w:val="000000" w:themeColor="text1"/>
          <w:sz w:val="20"/>
          <w:u w:val="none"/>
        </w:rPr>
        <w:t xml:space="preserve">so </w:t>
      </w:r>
      <w:r w:rsidR="00122EFF">
        <w:rPr>
          <w:rStyle w:val="Hipervnculo"/>
          <w:rFonts w:asciiTheme="minorHAnsi" w:hAnsiTheme="minorHAnsi"/>
          <w:color w:val="000000" w:themeColor="text1"/>
          <w:sz w:val="20"/>
          <w:u w:val="none"/>
        </w:rPr>
        <w:t>A</w:t>
      </w:r>
      <w:r>
        <w:rPr>
          <w:rStyle w:val="Hipervnculo"/>
          <w:rFonts w:asciiTheme="minorHAnsi" w:hAnsiTheme="minorHAnsi"/>
          <w:color w:val="000000" w:themeColor="text1"/>
          <w:sz w:val="20"/>
          <w:u w:val="none"/>
        </w:rPr>
        <w:t xml:space="preserve">grícola" donde se establece la </w:t>
      </w:r>
      <w:r w:rsidR="00122EFF">
        <w:rPr>
          <w:rStyle w:val="Hipervnculo"/>
          <w:rFonts w:asciiTheme="minorHAnsi" w:hAnsiTheme="minorHAnsi"/>
          <w:color w:val="000000" w:themeColor="text1"/>
          <w:sz w:val="20"/>
          <w:u w:val="none"/>
        </w:rPr>
        <w:t>R</w:t>
      </w:r>
      <w:r>
        <w:rPr>
          <w:rStyle w:val="Hipervnculo"/>
          <w:rFonts w:asciiTheme="minorHAnsi" w:hAnsiTheme="minorHAnsi"/>
          <w:color w:val="000000" w:themeColor="text1"/>
          <w:sz w:val="20"/>
          <w:u w:val="none"/>
        </w:rPr>
        <w:t xml:space="preserve">esponsabilidad </w:t>
      </w:r>
      <w:r w:rsidR="00122EFF">
        <w:rPr>
          <w:rStyle w:val="Hipervnculo"/>
          <w:rFonts w:asciiTheme="minorHAnsi" w:hAnsiTheme="minorHAnsi"/>
          <w:color w:val="000000" w:themeColor="text1"/>
          <w:sz w:val="20"/>
          <w:u w:val="none"/>
        </w:rPr>
        <w:t>E</w:t>
      </w:r>
      <w:r>
        <w:rPr>
          <w:rStyle w:val="Hipervnculo"/>
          <w:rFonts w:asciiTheme="minorHAnsi" w:hAnsiTheme="minorHAnsi"/>
          <w:color w:val="000000" w:themeColor="text1"/>
          <w:sz w:val="20"/>
          <w:u w:val="none"/>
        </w:rPr>
        <w:t xml:space="preserve">xtendida del </w:t>
      </w:r>
      <w:r w:rsidR="00122EFF">
        <w:rPr>
          <w:rStyle w:val="Hipervnculo"/>
          <w:rFonts w:asciiTheme="minorHAnsi" w:hAnsiTheme="minorHAnsi"/>
          <w:color w:val="000000" w:themeColor="text1"/>
          <w:sz w:val="20"/>
          <w:u w:val="none"/>
        </w:rPr>
        <w:t>P</w:t>
      </w:r>
      <w:r>
        <w:rPr>
          <w:rStyle w:val="Hipervnculo"/>
          <w:rFonts w:asciiTheme="minorHAnsi" w:hAnsiTheme="minorHAnsi"/>
          <w:color w:val="000000" w:themeColor="text1"/>
          <w:sz w:val="20"/>
          <w:u w:val="none"/>
        </w:rPr>
        <w:t>roductor (REP).</w:t>
      </w:r>
    </w:p>
    <w:p w14:paraId="4568193A" w14:textId="66233FA9" w:rsidR="00564266" w:rsidRDefault="00F61DF2" w:rsidP="007C1ED1">
      <w:pPr>
        <w:spacing w:after="120"/>
        <w:ind w:left="720"/>
        <w:jc w:val="both"/>
        <w:rPr>
          <w:rFonts w:ascii="Calibri" w:hAnsi="Calibri" w:cs="Calibri"/>
          <w:sz w:val="20"/>
          <w:szCs w:val="20"/>
        </w:rPr>
      </w:pPr>
      <w:r>
        <w:rPr>
          <w:rFonts w:ascii="Calibri" w:hAnsi="Calibri"/>
          <w:i/>
          <w:sz w:val="20"/>
        </w:rPr>
        <w:t>. Gobiernos nacionales/locales</w:t>
      </w:r>
      <w:r>
        <w:rPr>
          <w:rFonts w:ascii="Calibri" w:hAnsi="Calibri"/>
          <w:sz w:val="20"/>
        </w:rPr>
        <w:t xml:space="preserve">: </w:t>
      </w:r>
      <w:r w:rsidR="00F86902">
        <w:rPr>
          <w:rFonts w:ascii="Calibri" w:hAnsi="Calibri"/>
          <w:sz w:val="20"/>
        </w:rPr>
        <w:t>e</w:t>
      </w:r>
      <w:r>
        <w:rPr>
          <w:rFonts w:ascii="Calibri" w:hAnsi="Calibri"/>
          <w:sz w:val="20"/>
        </w:rPr>
        <w:t xml:space="preserve">l programa/plan de formación también reforzará la capacidad de los gobiernos nacionales y locales con competencias en plaguicidas y gestión de residuos para cumplir los requisitos de la normativa nacional y los convenios internacionales sobre productos químicos y residuos. </w:t>
      </w:r>
    </w:p>
    <w:p w14:paraId="19DC8BF8" w14:textId="128C50F1" w:rsidR="00891D5C" w:rsidRPr="006B5AA6" w:rsidRDefault="00ED39EB"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Esta actividad formará a 1.000 personas (500 mujeres, 500 hombres): 300 inspectores, 500 del sector privado y 200 de las administraciones nacionales y locales.</w:t>
      </w:r>
    </w:p>
    <w:p w14:paraId="298C37F7" w14:textId="567F237D" w:rsidR="00251D47" w:rsidRDefault="00FA0CA8" w:rsidP="007C1ED1">
      <w:pPr>
        <w:spacing w:after="120"/>
        <w:jc w:val="both"/>
        <w:rPr>
          <w:rFonts w:ascii="Calibri" w:hAnsi="Calibri" w:cs="Calibri"/>
          <w:sz w:val="20"/>
          <w:szCs w:val="20"/>
        </w:rPr>
      </w:pPr>
      <w:r>
        <w:rPr>
          <w:rFonts w:ascii="Calibri" w:hAnsi="Calibri"/>
          <w:b/>
          <w:sz w:val="20"/>
        </w:rPr>
        <w:t xml:space="preserve">Resultado 1.5: </w:t>
      </w:r>
      <w:r>
        <w:rPr>
          <w:rFonts w:ascii="Calibri" w:hAnsi="Calibri"/>
          <w:sz w:val="20"/>
        </w:rPr>
        <w:t xml:space="preserve">Actualización o elaboración de normativas a todos los niveles (nacional y local), en coherencia con el </w:t>
      </w:r>
      <w:r w:rsidR="00122EFF">
        <w:rPr>
          <w:rFonts w:ascii="Calibri" w:hAnsi="Calibri"/>
          <w:sz w:val="20"/>
        </w:rPr>
        <w:t>C</w:t>
      </w:r>
      <w:r>
        <w:rPr>
          <w:rFonts w:ascii="Calibri" w:hAnsi="Calibri"/>
          <w:sz w:val="20"/>
        </w:rPr>
        <w:t xml:space="preserve">ontrol </w:t>
      </w:r>
      <w:r w:rsidR="00122EFF">
        <w:rPr>
          <w:rFonts w:ascii="Calibri" w:hAnsi="Calibri"/>
          <w:sz w:val="20"/>
        </w:rPr>
        <w:t>R</w:t>
      </w:r>
      <w:r>
        <w:rPr>
          <w:rFonts w:ascii="Calibri" w:hAnsi="Calibri"/>
          <w:sz w:val="20"/>
        </w:rPr>
        <w:t xml:space="preserve">egional del </w:t>
      </w:r>
      <w:r w:rsidR="00122EFF">
        <w:rPr>
          <w:rFonts w:ascii="Calibri" w:hAnsi="Calibri"/>
          <w:sz w:val="20"/>
        </w:rPr>
        <w:t>C</w:t>
      </w:r>
      <w:r>
        <w:rPr>
          <w:rFonts w:ascii="Calibri" w:hAnsi="Calibri"/>
          <w:sz w:val="20"/>
        </w:rPr>
        <w:t xml:space="preserve">omercio de </w:t>
      </w:r>
      <w:r w:rsidR="00122EFF">
        <w:rPr>
          <w:rFonts w:ascii="Calibri" w:hAnsi="Calibri"/>
          <w:sz w:val="20"/>
        </w:rPr>
        <w:t>S</w:t>
      </w:r>
      <w:r>
        <w:rPr>
          <w:rFonts w:ascii="Calibri" w:hAnsi="Calibri"/>
          <w:sz w:val="20"/>
        </w:rPr>
        <w:t xml:space="preserve">ustancias </w:t>
      </w:r>
      <w:r w:rsidR="00122EFF">
        <w:rPr>
          <w:rFonts w:ascii="Calibri" w:hAnsi="Calibri"/>
          <w:sz w:val="20"/>
        </w:rPr>
        <w:t>A</w:t>
      </w:r>
      <w:r>
        <w:rPr>
          <w:rFonts w:ascii="Calibri" w:hAnsi="Calibri"/>
          <w:sz w:val="20"/>
        </w:rPr>
        <w:t xml:space="preserve">groquímicas y aplicadas a lo largo del ciclo de vida de los productos/sustancias. (Teniendo en cuenta el reciclaje de plásticos para uso agrícola) </w:t>
      </w:r>
    </w:p>
    <w:p w14:paraId="6CB7B0B6" w14:textId="3E0DF193" w:rsidR="00486D33" w:rsidRPr="00486D33" w:rsidRDefault="00486D33" w:rsidP="007C1ED1">
      <w:pPr>
        <w:tabs>
          <w:tab w:val="left" w:pos="176"/>
        </w:tabs>
        <w:spacing w:after="120"/>
        <w:jc w:val="both"/>
        <w:rPr>
          <w:rFonts w:asciiTheme="minorHAnsi" w:hAnsiTheme="minorHAnsi" w:cstheme="minorHAnsi"/>
          <w:sz w:val="20"/>
          <w:szCs w:val="20"/>
        </w:rPr>
      </w:pPr>
      <w:r>
        <w:rPr>
          <w:rFonts w:asciiTheme="minorHAnsi" w:hAnsiTheme="minorHAnsi"/>
          <w:sz w:val="20"/>
        </w:rPr>
        <w:t xml:space="preserve">Este </w:t>
      </w:r>
      <w:r w:rsidR="00D07201">
        <w:rPr>
          <w:rFonts w:asciiTheme="minorHAnsi" w:hAnsiTheme="minorHAnsi"/>
          <w:sz w:val="20"/>
        </w:rPr>
        <w:t>R</w:t>
      </w:r>
      <w:r>
        <w:rPr>
          <w:rFonts w:asciiTheme="minorHAnsi" w:hAnsiTheme="minorHAnsi"/>
          <w:sz w:val="20"/>
        </w:rPr>
        <w:t xml:space="preserve">esultado busca fortalecer el marco legal y regulatorio existente para la gestión adecuada del ciclo de vida (GCV) de las sustancias agroquímicas, incluyendo los plásticos de uso agrícola en Ecuador, en coherencia con los </w:t>
      </w:r>
      <w:r w:rsidR="00122EFF">
        <w:rPr>
          <w:rFonts w:asciiTheme="minorHAnsi" w:hAnsiTheme="minorHAnsi"/>
          <w:sz w:val="20"/>
        </w:rPr>
        <w:t>C</w:t>
      </w:r>
      <w:r>
        <w:rPr>
          <w:rFonts w:asciiTheme="minorHAnsi" w:hAnsiTheme="minorHAnsi"/>
          <w:sz w:val="20"/>
        </w:rPr>
        <w:t xml:space="preserve">ompromisos </w:t>
      </w:r>
      <w:r w:rsidR="00122EFF">
        <w:rPr>
          <w:rFonts w:asciiTheme="minorHAnsi" w:hAnsiTheme="minorHAnsi"/>
          <w:sz w:val="20"/>
        </w:rPr>
        <w:t>I</w:t>
      </w:r>
      <w:r>
        <w:rPr>
          <w:rFonts w:asciiTheme="minorHAnsi" w:hAnsiTheme="minorHAnsi"/>
          <w:sz w:val="20"/>
        </w:rPr>
        <w:t xml:space="preserve">nternacionales y el </w:t>
      </w:r>
      <w:r w:rsidR="00122EFF">
        <w:rPr>
          <w:rFonts w:asciiTheme="minorHAnsi" w:hAnsiTheme="minorHAnsi"/>
          <w:sz w:val="20"/>
        </w:rPr>
        <w:t>C</w:t>
      </w:r>
      <w:r>
        <w:rPr>
          <w:rFonts w:asciiTheme="minorHAnsi" w:hAnsiTheme="minorHAnsi"/>
          <w:sz w:val="20"/>
        </w:rPr>
        <w:t xml:space="preserve">ontrol </w:t>
      </w:r>
      <w:r w:rsidR="00122EFF">
        <w:rPr>
          <w:rFonts w:asciiTheme="minorHAnsi" w:hAnsiTheme="minorHAnsi"/>
          <w:sz w:val="20"/>
        </w:rPr>
        <w:t>R</w:t>
      </w:r>
      <w:r>
        <w:rPr>
          <w:rFonts w:asciiTheme="minorHAnsi" w:hAnsiTheme="minorHAnsi"/>
          <w:sz w:val="20"/>
        </w:rPr>
        <w:t xml:space="preserve">egional del </w:t>
      </w:r>
      <w:r w:rsidR="00122EFF">
        <w:rPr>
          <w:rFonts w:asciiTheme="minorHAnsi" w:hAnsiTheme="minorHAnsi"/>
          <w:sz w:val="20"/>
        </w:rPr>
        <w:t>C</w:t>
      </w:r>
      <w:r>
        <w:rPr>
          <w:rFonts w:asciiTheme="minorHAnsi" w:hAnsiTheme="minorHAnsi"/>
          <w:sz w:val="20"/>
        </w:rPr>
        <w:t>omercio.</w:t>
      </w:r>
    </w:p>
    <w:p w14:paraId="5B814178" w14:textId="71678C31" w:rsidR="007E55CB" w:rsidRPr="00EF0495" w:rsidRDefault="007E55CB" w:rsidP="007C1ED1">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1.5:</w:t>
      </w:r>
    </w:p>
    <w:p w14:paraId="51ABC0B4" w14:textId="402CDE93" w:rsidR="00E81BB4" w:rsidRPr="001A013A" w:rsidRDefault="008B540A" w:rsidP="007C1ED1">
      <w:pPr>
        <w:pStyle w:val="GEFFieldtoFillout"/>
        <w:shd w:val="clear" w:color="auto" w:fill="FFFFFF"/>
        <w:tabs>
          <w:tab w:val="left" w:pos="567"/>
        </w:tabs>
        <w:spacing w:after="120"/>
        <w:ind w:left="0"/>
        <w:jc w:val="both"/>
        <w:rPr>
          <w:rFonts w:asciiTheme="minorHAnsi" w:hAnsiTheme="minorHAnsi" w:cstheme="minorHAnsi"/>
          <w:color w:val="000000" w:themeColor="text1"/>
          <w:sz w:val="20"/>
          <w:szCs w:val="20"/>
        </w:rPr>
      </w:pPr>
      <w:r>
        <w:rPr>
          <w:rFonts w:asciiTheme="minorHAnsi" w:hAnsiTheme="minorHAnsi"/>
          <w:sz w:val="20"/>
        </w:rPr>
        <w:t xml:space="preserve">a) Evaluación general de las políticas y normativas nacionales y locales: el proyecto evaluará las políticas, normativas, estándares y medidas existentes a nivel nacional y local relacionadas con la gestión ambiental adecuada de los productos agroquímicos y los residuos relacionados (incluida la gestión de los plásticos) en coherencia con el control regional del comercio. Se ha llevado a cabo una evaluación preliminar durante la fase del PPG y los detalles </w:t>
      </w:r>
      <w:r>
        <w:rPr>
          <w:rFonts w:asciiTheme="minorHAnsi" w:hAnsiTheme="minorHAnsi"/>
          <w:color w:val="000000" w:themeColor="text1"/>
          <w:sz w:val="20"/>
        </w:rPr>
        <w:t>pueden consultarse en el Anexo 14 "Análisis del marco institucional y jurídico".</w:t>
      </w:r>
    </w:p>
    <w:p w14:paraId="451A3E04" w14:textId="32C20F82" w:rsidR="004C37F4" w:rsidRDefault="008B540A" w:rsidP="007C1ED1">
      <w:pPr>
        <w:pStyle w:val="GEFFieldtoFillout"/>
        <w:shd w:val="clear" w:color="auto" w:fill="FFFFFF"/>
        <w:tabs>
          <w:tab w:val="left" w:pos="567"/>
        </w:tabs>
        <w:spacing w:after="120"/>
        <w:ind w:left="0"/>
        <w:jc w:val="both"/>
        <w:rPr>
          <w:rFonts w:asciiTheme="minorHAnsi" w:hAnsiTheme="minorHAnsi" w:cstheme="minorHAnsi"/>
          <w:sz w:val="20"/>
          <w:szCs w:val="20"/>
        </w:rPr>
      </w:pPr>
      <w:r>
        <w:rPr>
          <w:rFonts w:asciiTheme="minorHAnsi" w:hAnsiTheme="minorHAnsi"/>
          <w:sz w:val="20"/>
        </w:rPr>
        <w:t xml:space="preserve">b) Hoja de </w:t>
      </w:r>
      <w:r>
        <w:rPr>
          <w:rFonts w:asciiTheme="minorHAnsi" w:hAnsiTheme="minorHAnsi"/>
          <w:color w:val="000000" w:themeColor="text1"/>
          <w:sz w:val="20"/>
        </w:rPr>
        <w:t xml:space="preserve">ruta </w:t>
      </w:r>
      <w:r>
        <w:rPr>
          <w:rFonts w:asciiTheme="minorHAnsi" w:hAnsiTheme="minorHAnsi"/>
          <w:sz w:val="20"/>
        </w:rPr>
        <w:t xml:space="preserve">del marco legal: basándose en la evaluación, el proyecto </w:t>
      </w:r>
      <w:r>
        <w:rPr>
          <w:rFonts w:asciiTheme="minorHAnsi" w:hAnsiTheme="minorHAnsi"/>
          <w:color w:val="000000" w:themeColor="text1"/>
          <w:sz w:val="20"/>
        </w:rPr>
        <w:t>propondrá una hoja de ruta y el enfoque nacional para redactar/actualizar los instrumentos legales para una gestión adecuada de los productos agroquímicos a lo largo de su ciclo de vida y garantizar una aplicación adecuada. Esta hoja de ruta será validada por el MAATE en coordinación con el Comité Técnico Nacional de Plaguicidas. Mediante la aplicación de una hoja de ruta acordada</w:t>
      </w:r>
      <w:r>
        <w:rPr>
          <w:rFonts w:asciiTheme="minorHAnsi" w:hAnsiTheme="minorHAnsi"/>
          <w:sz w:val="20"/>
        </w:rPr>
        <w:t>, el proyecto garantizará que la redacción jurídica durante el proyecto se realice con un enfoque coherente e integrado, definiendo claramente las funciones y responsabilidades de cada institución. Los instrumentos jurídicos identificados que recibirán apoyo o serán redactados por el proyecto son:</w:t>
      </w:r>
    </w:p>
    <w:p w14:paraId="250B80EB" w14:textId="37F957B0" w:rsidR="001A013A" w:rsidRDefault="001A013A" w:rsidP="007C1ED1">
      <w:pPr>
        <w:pStyle w:val="GEFFieldtoFillout"/>
        <w:shd w:val="clear" w:color="auto" w:fill="FFFFFF"/>
        <w:tabs>
          <w:tab w:val="left" w:pos="567"/>
        </w:tabs>
        <w:spacing w:after="120"/>
        <w:ind w:left="0"/>
        <w:jc w:val="both"/>
        <w:rPr>
          <w:rFonts w:asciiTheme="minorHAnsi" w:hAnsiTheme="minorHAnsi" w:cstheme="minorHAnsi"/>
          <w:sz w:val="20"/>
          <w:szCs w:val="20"/>
        </w:rPr>
      </w:pPr>
      <w:r>
        <w:rPr>
          <w:rFonts w:asciiTheme="minorHAnsi" w:hAnsiTheme="minorHAnsi"/>
          <w:sz w:val="20"/>
        </w:rPr>
        <w:t xml:space="preserve">Además, el proyecto apoyará </w:t>
      </w:r>
      <w:r>
        <w:rPr>
          <w:rFonts w:asciiTheme="minorHAnsi" w:hAnsiTheme="minorHAnsi"/>
          <w:color w:val="000000" w:themeColor="text1"/>
          <w:sz w:val="20"/>
        </w:rPr>
        <w:t>la consulta y la redacción de la(s) política(s) nacional(es</w:t>
      </w:r>
      <w:r>
        <w:rPr>
          <w:rFonts w:asciiTheme="minorHAnsi" w:hAnsiTheme="minorHAnsi"/>
          <w:sz w:val="20"/>
        </w:rPr>
        <w:t>) resultante(s) de los estudios de valoración económica en el marco del Resultado 2.1.</w:t>
      </w:r>
    </w:p>
    <w:p w14:paraId="02B0F9AC" w14:textId="360651FB" w:rsidR="00CE1017" w:rsidRPr="00CE1017" w:rsidRDefault="00ED664F" w:rsidP="007C1ED1">
      <w:pPr>
        <w:spacing w:after="120"/>
        <w:jc w:val="both"/>
        <w:rPr>
          <w:rFonts w:asciiTheme="minorHAnsi" w:hAnsiTheme="minorHAnsi" w:cstheme="minorHAnsi"/>
          <w:noProof/>
          <w:color w:val="000000"/>
          <w:sz w:val="20"/>
          <w:szCs w:val="20"/>
        </w:rPr>
      </w:pPr>
      <w:r>
        <w:rPr>
          <w:rFonts w:asciiTheme="minorHAnsi" w:hAnsiTheme="minorHAnsi"/>
          <w:color w:val="000000"/>
          <w:sz w:val="20"/>
        </w:rPr>
        <w:t>Tal y como se identifica en el Riesgo 2 "</w:t>
      </w:r>
      <w:r>
        <w:rPr>
          <w:rFonts w:asciiTheme="minorHAnsi" w:hAnsiTheme="minorHAnsi"/>
          <w:sz w:val="20"/>
        </w:rPr>
        <w:t>Pérdida de ingresos de las explotaciones agrí</w:t>
      </w:r>
      <w:r w:rsidR="001F7FC6">
        <w:rPr>
          <w:rFonts w:asciiTheme="minorHAnsi" w:hAnsiTheme="minorHAnsi"/>
          <w:sz w:val="20"/>
        </w:rPr>
        <w:t>c</w:t>
      </w:r>
      <w:r>
        <w:rPr>
          <w:rFonts w:asciiTheme="minorHAnsi" w:hAnsiTheme="minorHAnsi"/>
          <w:sz w:val="20"/>
        </w:rPr>
        <w:t xml:space="preserve">olas pequeñas y medianas debido a la prohibición de la importación o restricción del uso de determinados pesticidas peligrosos", </w:t>
      </w:r>
      <w:r>
        <w:rPr>
          <w:rFonts w:asciiTheme="minorHAnsi" w:hAnsiTheme="minorHAnsi"/>
          <w:color w:val="000000"/>
          <w:sz w:val="20"/>
        </w:rPr>
        <w:t>la hoja de ruta del marco legal y todos los instrumentos legales que se apoyen/redacten se tendrán en cuenta en la Evaluación Ambiental y Social Estratégica (EASE) para abordar el potencial de pérdida de ingresos de varios grupos.</w:t>
      </w:r>
    </w:p>
    <w:p w14:paraId="2798FD18" w14:textId="73A5D91F" w:rsidR="00FA0CA8" w:rsidRPr="00AB2127" w:rsidRDefault="00FA0CA8" w:rsidP="00B169FC">
      <w:pPr>
        <w:spacing w:after="120"/>
        <w:jc w:val="both"/>
        <w:rPr>
          <w:rFonts w:asciiTheme="minorHAnsi" w:hAnsiTheme="minorHAnsi" w:cstheme="minorHAnsi"/>
          <w:iCs/>
          <w:sz w:val="20"/>
          <w:szCs w:val="20"/>
        </w:rPr>
      </w:pPr>
      <w:r>
        <w:rPr>
          <w:rFonts w:asciiTheme="minorHAnsi" w:hAnsiTheme="minorHAnsi"/>
          <w:b/>
          <w:sz w:val="20"/>
        </w:rPr>
        <w:t>COMPONENTE 2 DEL PROYECTO</w:t>
      </w:r>
      <w:r w:rsidR="00D07201">
        <w:rPr>
          <w:rFonts w:asciiTheme="minorHAnsi" w:hAnsiTheme="minorHAnsi"/>
          <w:b/>
          <w:sz w:val="20"/>
        </w:rPr>
        <w:t>:</w:t>
      </w:r>
      <w:r>
        <w:rPr>
          <w:rFonts w:asciiTheme="minorHAnsi" w:hAnsiTheme="minorHAnsi"/>
          <w:b/>
          <w:sz w:val="20"/>
        </w:rPr>
        <w:t xml:space="preserve"> </w:t>
      </w:r>
      <w:r>
        <w:rPr>
          <w:rFonts w:asciiTheme="minorHAnsi" w:hAnsiTheme="minorHAnsi"/>
          <w:sz w:val="20"/>
        </w:rPr>
        <w:t>FINANCIACIÓN E INVERSIÓN</w:t>
      </w:r>
    </w:p>
    <w:p w14:paraId="6BCF2E3E" w14:textId="3C876077" w:rsidR="00FA0CA8" w:rsidRPr="00AB2127" w:rsidRDefault="00FA0CA8" w:rsidP="00B169FC">
      <w:pPr>
        <w:spacing w:after="120"/>
        <w:jc w:val="both"/>
        <w:rPr>
          <w:rFonts w:asciiTheme="minorHAnsi" w:hAnsiTheme="minorHAnsi" w:cstheme="minorHAnsi"/>
          <w:kern w:val="24"/>
          <w:sz w:val="20"/>
          <w:szCs w:val="20"/>
        </w:rPr>
      </w:pPr>
      <w:r>
        <w:rPr>
          <w:rFonts w:asciiTheme="minorHAnsi" w:hAnsiTheme="minorHAnsi"/>
          <w:b/>
          <w:sz w:val="20"/>
        </w:rPr>
        <w:t xml:space="preserve">RESULTADO 2: </w:t>
      </w:r>
      <w:r>
        <w:rPr>
          <w:rFonts w:asciiTheme="minorHAnsi" w:hAnsiTheme="minorHAnsi"/>
          <w:sz w:val="20"/>
        </w:rPr>
        <w:t>LA ADOPCIÓN GENERALIZADA DE ALTERNATIVAS INNOVADORAS MÁS SEGURAS Y DE PRÁCTICAS AGRÍCOLAS SOSTENIBLES REDUCE LA DEMANDA DE PRODUCTOS AGROQUÍMICOS Y LOS SUSTITUYE EFICAZMENTE. LOS AGROQUÍMICOS SON IDENTIFICADOS Y GESTIONADOS DE FORMA SOSTENIBLE MEDIANTE SISTEMAS FORTALECIDOS DE REDUCCIÓN O RECICLAJE DE RESIDUOS.</w:t>
      </w:r>
    </w:p>
    <w:p w14:paraId="13E7A5BB" w14:textId="1FCDDEFC" w:rsidR="009B36E1" w:rsidRDefault="003051C5" w:rsidP="00B169FC">
      <w:pPr>
        <w:spacing w:after="120"/>
        <w:jc w:val="both"/>
        <w:rPr>
          <w:rFonts w:asciiTheme="minorHAnsi" w:hAnsiTheme="minorHAnsi" w:cstheme="minorHAnsi"/>
          <w:sz w:val="20"/>
          <w:szCs w:val="20"/>
        </w:rPr>
      </w:pPr>
      <w:r>
        <w:rPr>
          <w:rFonts w:asciiTheme="minorHAnsi" w:hAnsiTheme="minorHAnsi"/>
          <w:b/>
          <w:sz w:val="20"/>
        </w:rPr>
        <w:t xml:space="preserve">Resultado 2.1: </w:t>
      </w:r>
      <w:r>
        <w:rPr>
          <w:rFonts w:asciiTheme="minorHAnsi" w:hAnsiTheme="minorHAnsi"/>
          <w:sz w:val="20"/>
        </w:rPr>
        <w:t>Realización de estudios de valoración económica para evaluar el impacto del elevado consumo per cápita y por hectárea de productos agroquímicos en el gasto público.</w:t>
      </w:r>
    </w:p>
    <w:p w14:paraId="4A92B3DA" w14:textId="308C85C8" w:rsidR="00EE69A3" w:rsidRPr="00EE69A3" w:rsidRDefault="00EE69A3" w:rsidP="00B169FC">
      <w:pPr>
        <w:spacing w:after="120"/>
        <w:jc w:val="both"/>
        <w:rPr>
          <w:rFonts w:asciiTheme="minorHAnsi" w:hAnsiTheme="minorHAnsi" w:cstheme="minorHAnsi"/>
          <w:color w:val="1E1E1E"/>
          <w:sz w:val="20"/>
          <w:szCs w:val="20"/>
          <w:shd w:val="clear" w:color="auto" w:fill="FFFFFF"/>
        </w:rPr>
      </w:pPr>
      <w:r>
        <w:rPr>
          <w:rFonts w:asciiTheme="minorHAnsi" w:hAnsiTheme="minorHAnsi"/>
          <w:sz w:val="20"/>
        </w:rPr>
        <w:t xml:space="preserve">A través de este </w:t>
      </w:r>
      <w:r w:rsidR="00D07201">
        <w:rPr>
          <w:rFonts w:asciiTheme="minorHAnsi" w:hAnsiTheme="minorHAnsi"/>
          <w:sz w:val="20"/>
        </w:rPr>
        <w:t>R</w:t>
      </w:r>
      <w:r>
        <w:rPr>
          <w:rFonts w:asciiTheme="minorHAnsi" w:hAnsiTheme="minorHAnsi"/>
          <w:sz w:val="20"/>
        </w:rPr>
        <w:t xml:space="preserve">esultado, el proyecto llevará a cabo una evaluación de los efectos de los diferentes tipos de gasto público agrícola a nivel nacional en los que se incurre debido al elevado consumo de productos agroquímicos. El objetivo principal es poner a </w:t>
      </w:r>
      <w:r>
        <w:rPr>
          <w:rFonts w:asciiTheme="minorHAnsi" w:hAnsiTheme="minorHAnsi"/>
          <w:color w:val="1E1E1E"/>
          <w:sz w:val="20"/>
          <w:shd w:val="clear" w:color="auto" w:fill="FFFFFF"/>
        </w:rPr>
        <w:t>disposición los resultados de la investigación y las pruebas necesarias para apoyar la mejora de las medidas políticas destinadas a reducir estos costes socioeconómicos, y alcanzar con mayor eficacia los objetivos nacionales de planificación de desarrollo mediante el fomento de prácticas agrícolas sostenibles.</w:t>
      </w:r>
    </w:p>
    <w:p w14:paraId="78BAF11B" w14:textId="5EDA4DB8" w:rsidR="00FB6A4B" w:rsidRDefault="00FB6A4B"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2.1:</w:t>
      </w:r>
    </w:p>
    <w:p w14:paraId="3959B230" w14:textId="12B25FC3" w:rsidR="0087458E" w:rsidRPr="00B87F6E" w:rsidRDefault="00D12A3E" w:rsidP="00B169FC">
      <w:pPr>
        <w:spacing w:after="120"/>
        <w:jc w:val="both"/>
        <w:rPr>
          <w:rFonts w:asciiTheme="minorHAnsi" w:hAnsiTheme="minorHAnsi" w:cstheme="minorHAnsi"/>
          <w:color w:val="333333"/>
          <w:sz w:val="20"/>
          <w:szCs w:val="20"/>
          <w:shd w:val="clear" w:color="auto" w:fill="FCFCFC"/>
        </w:rPr>
      </w:pPr>
      <w:r>
        <w:rPr>
          <w:rFonts w:asciiTheme="minorHAnsi" w:hAnsiTheme="minorHAnsi"/>
          <w:color w:val="000000" w:themeColor="text1"/>
          <w:sz w:val="20"/>
        </w:rPr>
        <w:t xml:space="preserve">a) Desarrollo de estudios de valoración económica: el proyecto evaluará el </w:t>
      </w:r>
      <w:r>
        <w:rPr>
          <w:rFonts w:asciiTheme="minorHAnsi" w:hAnsiTheme="minorHAnsi"/>
          <w:color w:val="000000" w:themeColor="text1"/>
          <w:sz w:val="20"/>
          <w:shd w:val="clear" w:color="auto" w:fill="FFFFFF"/>
        </w:rPr>
        <w:t>gasto público incurrido</w:t>
      </w:r>
      <w:r>
        <w:rPr>
          <w:rFonts w:asciiTheme="minorHAnsi" w:hAnsiTheme="minorHAnsi"/>
          <w:color w:val="000000" w:themeColor="text1"/>
          <w:sz w:val="20"/>
        </w:rPr>
        <w:t xml:space="preserve"> por el </w:t>
      </w:r>
      <w:r w:rsidR="003A0C39">
        <w:rPr>
          <w:rFonts w:asciiTheme="minorHAnsi" w:hAnsiTheme="minorHAnsi"/>
          <w:color w:val="000000" w:themeColor="text1"/>
          <w:sz w:val="20"/>
        </w:rPr>
        <w:t>G</w:t>
      </w:r>
      <w:r>
        <w:rPr>
          <w:rFonts w:asciiTheme="minorHAnsi" w:hAnsiTheme="minorHAnsi"/>
          <w:color w:val="000000" w:themeColor="text1"/>
          <w:sz w:val="20"/>
        </w:rPr>
        <w:t>obierno debido al alto consumo de agroquímicos</w:t>
      </w:r>
      <w:r w:rsidR="00AF4DF6" w:rsidRPr="00A713BD">
        <w:rPr>
          <w:rStyle w:val="Refdenotaalpie"/>
          <w:rFonts w:cstheme="minorHAnsi"/>
          <w:color w:val="000000" w:themeColor="text1"/>
          <w:szCs w:val="20"/>
          <w:lang w:val="en-US"/>
        </w:rPr>
        <w:footnoteReference w:id="20"/>
      </w:r>
      <w:r>
        <w:rPr>
          <w:rFonts w:asciiTheme="minorHAnsi" w:hAnsiTheme="minorHAnsi"/>
          <w:color w:val="000000" w:themeColor="text1"/>
          <w:sz w:val="20"/>
        </w:rPr>
        <w:t xml:space="preserve"> en el sector agrícola (subsidios, subvenciones, transferencias, compras públicas y otros pagos). </w:t>
      </w:r>
      <w:r>
        <w:rPr>
          <w:rFonts w:asciiTheme="minorHAnsi" w:hAnsiTheme="minorHAnsi"/>
          <w:color w:val="000000" w:themeColor="text1"/>
          <w:sz w:val="20"/>
          <w:shd w:val="clear" w:color="auto" w:fill="FCFCFC"/>
        </w:rPr>
        <w:t>La evaluación económica incluye un análisis del efecto neto de cost</w:t>
      </w:r>
      <w:r w:rsidR="000A6C46">
        <w:rPr>
          <w:rFonts w:asciiTheme="minorHAnsi" w:hAnsiTheme="minorHAnsi"/>
          <w:color w:val="000000" w:themeColor="text1"/>
          <w:sz w:val="20"/>
          <w:shd w:val="clear" w:color="auto" w:fill="FCFCFC"/>
        </w:rPr>
        <w:t>o</w:t>
      </w:r>
      <w:r>
        <w:rPr>
          <w:rFonts w:asciiTheme="minorHAnsi" w:hAnsiTheme="minorHAnsi"/>
          <w:color w:val="000000" w:themeColor="text1"/>
          <w:sz w:val="20"/>
          <w:shd w:val="clear" w:color="auto" w:fill="FCFCFC"/>
        </w:rPr>
        <w:t xml:space="preserve">s y beneficios. Cuando los datos necesarios para la evaluación no estén disponibles en el país, los cálculos basados en </w:t>
      </w:r>
      <w:r w:rsidR="000A6C46">
        <w:rPr>
          <w:rFonts w:asciiTheme="minorHAnsi" w:hAnsiTheme="minorHAnsi"/>
          <w:color w:val="000000" w:themeColor="text1"/>
          <w:sz w:val="20"/>
          <w:shd w:val="clear" w:color="auto" w:fill="FCFCFC"/>
        </w:rPr>
        <w:t xml:space="preserve">promedios </w:t>
      </w:r>
      <w:r>
        <w:rPr>
          <w:rFonts w:asciiTheme="minorHAnsi" w:hAnsiTheme="minorHAnsi"/>
          <w:color w:val="000000" w:themeColor="text1"/>
          <w:sz w:val="20"/>
          <w:shd w:val="clear" w:color="auto" w:fill="FCFCFC"/>
        </w:rPr>
        <w:t xml:space="preserve">globales deben considerarse como la mejor información disponible. </w:t>
      </w:r>
      <w:r>
        <w:rPr>
          <w:rFonts w:asciiTheme="minorHAnsi" w:hAnsiTheme="minorHAnsi"/>
          <w:color w:val="000000" w:themeColor="text1"/>
          <w:sz w:val="20"/>
        </w:rPr>
        <w:t>La evaluación incluirá y medirá al menos el cost</w:t>
      </w:r>
      <w:r w:rsidR="000A6C46">
        <w:rPr>
          <w:rFonts w:asciiTheme="minorHAnsi" w:hAnsiTheme="minorHAnsi"/>
          <w:color w:val="000000" w:themeColor="text1"/>
          <w:sz w:val="20"/>
        </w:rPr>
        <w:t>o</w:t>
      </w:r>
      <w:r>
        <w:rPr>
          <w:rFonts w:asciiTheme="minorHAnsi" w:hAnsiTheme="minorHAnsi"/>
          <w:color w:val="000000" w:themeColor="text1"/>
          <w:sz w:val="20"/>
        </w:rPr>
        <w:t xml:space="preserve"> y los beneficios económicos de las siguientes dimensiones: i) </w:t>
      </w:r>
      <w:r w:rsidR="005B3E3D">
        <w:rPr>
          <w:rFonts w:asciiTheme="minorHAnsi" w:hAnsiTheme="minorHAnsi"/>
          <w:color w:val="000000" w:themeColor="text1"/>
          <w:sz w:val="20"/>
        </w:rPr>
        <w:t>v</w:t>
      </w:r>
      <w:r>
        <w:rPr>
          <w:rFonts w:asciiTheme="minorHAnsi" w:hAnsiTheme="minorHAnsi"/>
          <w:color w:val="000000" w:themeColor="text1"/>
          <w:sz w:val="20"/>
        </w:rPr>
        <w:t xml:space="preserve">aloración del </w:t>
      </w:r>
      <w:r w:rsidR="000A6C46">
        <w:rPr>
          <w:rFonts w:asciiTheme="minorHAnsi" w:hAnsiTheme="minorHAnsi"/>
          <w:color w:val="000000" w:themeColor="text1"/>
          <w:sz w:val="20"/>
        </w:rPr>
        <w:t>i</w:t>
      </w:r>
      <w:r>
        <w:rPr>
          <w:rFonts w:asciiTheme="minorHAnsi" w:hAnsiTheme="minorHAnsi"/>
          <w:color w:val="000000" w:themeColor="text1"/>
          <w:sz w:val="20"/>
        </w:rPr>
        <w:t xml:space="preserve">mpacto </w:t>
      </w:r>
      <w:r w:rsidR="000A6C46">
        <w:rPr>
          <w:rFonts w:asciiTheme="minorHAnsi" w:hAnsiTheme="minorHAnsi"/>
          <w:color w:val="000000" w:themeColor="text1"/>
          <w:sz w:val="20"/>
        </w:rPr>
        <w:t>a</w:t>
      </w:r>
      <w:r>
        <w:rPr>
          <w:rFonts w:asciiTheme="minorHAnsi" w:hAnsiTheme="minorHAnsi"/>
          <w:color w:val="000000" w:themeColor="text1"/>
          <w:sz w:val="20"/>
        </w:rPr>
        <w:t xml:space="preserve">mbiental (degradación del medio ambiente, contaminación de los recursos naturales, etc.); ii) </w:t>
      </w:r>
      <w:r w:rsidR="005B3E3D">
        <w:rPr>
          <w:rFonts w:asciiTheme="minorHAnsi" w:hAnsiTheme="minorHAnsi"/>
          <w:color w:val="000000" w:themeColor="text1"/>
          <w:sz w:val="20"/>
        </w:rPr>
        <w:t>v</w:t>
      </w:r>
      <w:r>
        <w:rPr>
          <w:rFonts w:asciiTheme="minorHAnsi" w:hAnsiTheme="minorHAnsi"/>
          <w:color w:val="000000" w:themeColor="text1"/>
          <w:sz w:val="20"/>
        </w:rPr>
        <w:t>aloración de los efectos sobre la Salud Pública</w:t>
      </w:r>
      <w:r w:rsidR="000A6C46">
        <w:rPr>
          <w:rFonts w:asciiTheme="minorHAnsi" w:hAnsiTheme="minorHAnsi"/>
          <w:color w:val="000000" w:themeColor="text1"/>
          <w:sz w:val="20"/>
        </w:rPr>
        <w:t xml:space="preserve"> </w:t>
      </w:r>
      <w:r>
        <w:rPr>
          <w:rFonts w:asciiTheme="minorHAnsi" w:hAnsiTheme="minorHAnsi"/>
          <w:color w:val="000000" w:themeColor="text1"/>
          <w:sz w:val="20"/>
          <w:shd w:val="clear" w:color="auto" w:fill="FFFFFF"/>
        </w:rPr>
        <w:t xml:space="preserve">(los efectos sobre la salud humana abarcan el envenenamiento agudo, incluidos intentos de suicidio, envenenamiento masivo por alimentos contaminados, accidentes químicos en la industria y exposición ocupacional en la agricultura); iii) </w:t>
      </w:r>
      <w:r w:rsidR="005B3E3D">
        <w:rPr>
          <w:rFonts w:asciiTheme="minorHAnsi" w:hAnsiTheme="minorHAnsi"/>
          <w:color w:val="000000" w:themeColor="text1"/>
          <w:sz w:val="20"/>
        </w:rPr>
        <w:t>v</w:t>
      </w:r>
      <w:r>
        <w:rPr>
          <w:rFonts w:asciiTheme="minorHAnsi" w:hAnsiTheme="minorHAnsi"/>
          <w:color w:val="000000" w:themeColor="text1"/>
          <w:sz w:val="20"/>
        </w:rPr>
        <w:t xml:space="preserve">aloración del impacto sobre la </w:t>
      </w:r>
      <w:r w:rsidR="000A6C46">
        <w:rPr>
          <w:rFonts w:asciiTheme="minorHAnsi" w:hAnsiTheme="minorHAnsi"/>
          <w:color w:val="000000" w:themeColor="text1"/>
          <w:sz w:val="20"/>
        </w:rPr>
        <w:t>p</w:t>
      </w:r>
      <w:r>
        <w:rPr>
          <w:rFonts w:asciiTheme="minorHAnsi" w:hAnsiTheme="minorHAnsi"/>
          <w:color w:val="000000" w:themeColor="text1"/>
          <w:sz w:val="20"/>
        </w:rPr>
        <w:t xml:space="preserve">érdida de </w:t>
      </w:r>
      <w:r w:rsidR="000A6C46">
        <w:rPr>
          <w:rFonts w:asciiTheme="minorHAnsi" w:hAnsiTheme="minorHAnsi"/>
          <w:color w:val="000000" w:themeColor="text1"/>
          <w:sz w:val="20"/>
        </w:rPr>
        <w:t>b</w:t>
      </w:r>
      <w:r>
        <w:rPr>
          <w:rFonts w:asciiTheme="minorHAnsi" w:hAnsiTheme="minorHAnsi"/>
          <w:color w:val="000000" w:themeColor="text1"/>
          <w:sz w:val="20"/>
        </w:rPr>
        <w:t>iodiversidad (</w:t>
      </w:r>
      <w:r>
        <w:rPr>
          <w:rFonts w:asciiTheme="minorHAnsi" w:hAnsiTheme="minorHAnsi"/>
          <w:color w:val="333333"/>
          <w:sz w:val="20"/>
          <w:shd w:val="clear" w:color="auto" w:fill="FCFCFC"/>
        </w:rPr>
        <w:t xml:space="preserve">problemas de polinización de cultivos y pérdidas de abejas melíferas; pérdidas de cultivos y productos agrícolas; pérdidas de aves, peces y otros animales silvestres); iv) </w:t>
      </w:r>
      <w:r w:rsidR="005B3E3D">
        <w:rPr>
          <w:rFonts w:asciiTheme="minorHAnsi" w:hAnsiTheme="minorHAnsi"/>
          <w:color w:val="000000" w:themeColor="text1"/>
          <w:sz w:val="20"/>
        </w:rPr>
        <w:t>v</w:t>
      </w:r>
      <w:r>
        <w:rPr>
          <w:rFonts w:asciiTheme="minorHAnsi" w:hAnsiTheme="minorHAnsi"/>
          <w:color w:val="000000" w:themeColor="text1"/>
          <w:sz w:val="20"/>
        </w:rPr>
        <w:t xml:space="preserve">aloración sobre el impacto económico (crecimiento y productividad agrícolas, barreras al comercio internacional, gestión de residuos, </w:t>
      </w:r>
      <w:r>
        <w:rPr>
          <w:rFonts w:asciiTheme="minorHAnsi" w:hAnsiTheme="minorHAnsi"/>
          <w:color w:val="333333"/>
          <w:sz w:val="20"/>
          <w:shd w:val="clear" w:color="auto" w:fill="FCFCFC"/>
        </w:rPr>
        <w:t xml:space="preserve">aumento de los gastos de control derivados de la destrucción de enemigos naturales relacionada con plaguicidas, y del desarrollo de resistencia a plaguicidas en plagas). </w:t>
      </w:r>
      <w:r>
        <w:rPr>
          <w:rFonts w:asciiTheme="minorHAnsi" w:hAnsiTheme="minorHAnsi"/>
          <w:color w:val="000000" w:themeColor="text1"/>
          <w:sz w:val="20"/>
        </w:rPr>
        <w:t xml:space="preserve">Los estudios se detallarán en un informe final que también incluirá recomendaciones sobre las políticas y planes de acción que deben adoptar las principales autoridades públicas competentes para mitigar estos impactos y promover una agricultura sostenible en el país. Se considerará que estas recomendaciones están apoyadas/redactadas en el marco del </w:t>
      </w:r>
      <w:r w:rsidR="000A6C46">
        <w:rPr>
          <w:rFonts w:asciiTheme="minorHAnsi" w:hAnsiTheme="minorHAnsi"/>
          <w:color w:val="000000" w:themeColor="text1"/>
          <w:sz w:val="20"/>
        </w:rPr>
        <w:t>R</w:t>
      </w:r>
      <w:r>
        <w:rPr>
          <w:rFonts w:asciiTheme="minorHAnsi" w:hAnsiTheme="minorHAnsi"/>
          <w:color w:val="000000" w:themeColor="text1"/>
          <w:sz w:val="20"/>
        </w:rPr>
        <w:t>esultado 1.5.</w:t>
      </w:r>
    </w:p>
    <w:p w14:paraId="4115BB32" w14:textId="194C8F7F" w:rsidR="0087458E" w:rsidRPr="00037BA4" w:rsidRDefault="00D12A3E"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b) Difusión del informe: a partir de la evaluación realizada y de las evidencias encontradas, el proyecto sensibilizará a las autoridades competentes para diseñar estratégicamente una hoja de ruta para la elaboración/adaptación de políticas nacionales que promuevan la reducción del uso de agroquímicos y la consecuente minimización de sus múltiples impactos. Esta actividad implicará y se dirigirá principalmente al MAG, AGROCALIDAD, MAATE, MSP.</w:t>
      </w:r>
    </w:p>
    <w:p w14:paraId="009F024C" w14:textId="681F468A" w:rsidR="00881C42" w:rsidRDefault="003051C5" w:rsidP="00B169FC">
      <w:pPr>
        <w:spacing w:after="120"/>
        <w:jc w:val="both"/>
        <w:rPr>
          <w:rFonts w:asciiTheme="minorHAnsi" w:hAnsiTheme="minorHAnsi" w:cstheme="minorHAnsi"/>
          <w:sz w:val="20"/>
          <w:szCs w:val="20"/>
        </w:rPr>
      </w:pPr>
      <w:r>
        <w:rPr>
          <w:rFonts w:asciiTheme="minorHAnsi" w:hAnsiTheme="minorHAnsi"/>
          <w:b/>
          <w:sz w:val="20"/>
        </w:rPr>
        <w:t xml:space="preserve">Resultado 2.2: </w:t>
      </w:r>
      <w:r>
        <w:rPr>
          <w:rFonts w:asciiTheme="minorHAnsi" w:hAnsiTheme="minorHAnsi"/>
          <w:sz w:val="20"/>
        </w:rPr>
        <w:t>Exploración de nuevos incentivos fiscales que favorezcan la reducción y/o sustitución de plaguicidas peligrosos.</w:t>
      </w:r>
    </w:p>
    <w:p w14:paraId="17C47F48" w14:textId="088DFEB3" w:rsidR="00036894" w:rsidRPr="008A6CD8" w:rsidRDefault="00036894" w:rsidP="00B169FC">
      <w:pPr>
        <w:spacing w:after="120"/>
        <w:jc w:val="both"/>
        <w:rPr>
          <w:rFonts w:asciiTheme="minorHAnsi" w:hAnsiTheme="minorHAnsi" w:cstheme="minorHAnsi"/>
          <w:sz w:val="20"/>
          <w:szCs w:val="20"/>
          <w:u w:val="single"/>
        </w:rPr>
      </w:pPr>
      <w:r>
        <w:rPr>
          <w:rFonts w:asciiTheme="minorHAnsi" w:hAnsiTheme="minorHAnsi"/>
          <w:sz w:val="20"/>
        </w:rPr>
        <w:t>Los gastos fiscales son concesiones o exenciones de una estructura impositiva "normal" que reducen la recaudación de ingresos públicos. E</w:t>
      </w:r>
      <w:r w:rsidR="00FE33BA">
        <w:rPr>
          <w:rFonts w:asciiTheme="minorHAnsi" w:hAnsiTheme="minorHAnsi"/>
          <w:sz w:val="20"/>
        </w:rPr>
        <w:t>l</w:t>
      </w:r>
      <w:r>
        <w:rPr>
          <w:rFonts w:asciiTheme="minorHAnsi" w:hAnsiTheme="minorHAnsi"/>
          <w:sz w:val="20"/>
        </w:rPr>
        <w:t xml:space="preserve"> beneficio fiscal puede adoptar la forma de desgravación, exención, deducción o crédito fiscal (FMI, 2014).</w:t>
      </w:r>
      <w:r w:rsidR="00FE33BA">
        <w:rPr>
          <w:rFonts w:asciiTheme="minorHAnsi" w:hAnsiTheme="minorHAnsi"/>
          <w:sz w:val="20"/>
          <w:u w:val="single"/>
        </w:rPr>
        <w:t xml:space="preserve"> </w:t>
      </w:r>
      <w:r>
        <w:rPr>
          <w:rFonts w:asciiTheme="minorHAnsi" w:hAnsiTheme="minorHAnsi"/>
          <w:sz w:val="20"/>
        </w:rPr>
        <w:t xml:space="preserve">Actualmente, en Ecuador se han identificado 14 incentivos fiscales asociados a la </w:t>
      </w:r>
      <w:r w:rsidR="00FE33BA">
        <w:rPr>
          <w:rFonts w:asciiTheme="minorHAnsi" w:hAnsiTheme="minorHAnsi"/>
          <w:sz w:val="20"/>
        </w:rPr>
        <w:t>p</w:t>
      </w:r>
      <w:r>
        <w:rPr>
          <w:rFonts w:asciiTheme="minorHAnsi" w:hAnsiTheme="minorHAnsi"/>
          <w:sz w:val="20"/>
        </w:rPr>
        <w:t xml:space="preserve">roducción </w:t>
      </w:r>
      <w:r w:rsidR="00FE33BA">
        <w:rPr>
          <w:rFonts w:asciiTheme="minorHAnsi" w:hAnsiTheme="minorHAnsi"/>
          <w:sz w:val="20"/>
        </w:rPr>
        <w:t>s</w:t>
      </w:r>
      <w:r>
        <w:rPr>
          <w:rFonts w:asciiTheme="minorHAnsi" w:hAnsiTheme="minorHAnsi"/>
          <w:sz w:val="20"/>
        </w:rPr>
        <w:t xml:space="preserve">ostenible y </w:t>
      </w:r>
      <w:r w:rsidR="00FE33BA">
        <w:rPr>
          <w:rFonts w:asciiTheme="minorHAnsi" w:hAnsiTheme="minorHAnsi"/>
          <w:sz w:val="20"/>
        </w:rPr>
        <w:t>l</w:t>
      </w:r>
      <w:r>
        <w:rPr>
          <w:rFonts w:asciiTheme="minorHAnsi" w:hAnsiTheme="minorHAnsi"/>
          <w:sz w:val="20"/>
        </w:rPr>
        <w:t xml:space="preserve">ibre de </w:t>
      </w:r>
      <w:r w:rsidR="00FE33BA">
        <w:rPr>
          <w:rFonts w:asciiTheme="minorHAnsi" w:hAnsiTheme="minorHAnsi"/>
          <w:sz w:val="20"/>
        </w:rPr>
        <w:t>d</w:t>
      </w:r>
      <w:r>
        <w:rPr>
          <w:rFonts w:asciiTheme="minorHAnsi" w:hAnsiTheme="minorHAnsi"/>
          <w:sz w:val="20"/>
        </w:rPr>
        <w:t xml:space="preserve">eforestación. De los cuales, siete serían favorables, cuatro favorables siempre que estén condicionados (si se establecen límites) y tres desfavorables (Oliva, 2022). Uno de los incentivos fiscales negativos identificados es que los insumos importados o adquiridos en el mercado nacional para los sectores agrícola, acuícola y pesquero, incluidos los PAPs, y otros productos químicos agrícolas peligrosos, no pagan IVA (art. 55, LRTI). </w:t>
      </w:r>
    </w:p>
    <w:p w14:paraId="2545B73F" w14:textId="4A70CF6D" w:rsidR="00881C42" w:rsidRDefault="00881C42" w:rsidP="00B169FC">
      <w:pPr>
        <w:spacing w:after="120"/>
        <w:jc w:val="both"/>
        <w:rPr>
          <w:rFonts w:asciiTheme="minorHAnsi" w:hAnsiTheme="minorHAnsi" w:cstheme="minorHAnsi"/>
          <w:sz w:val="20"/>
          <w:szCs w:val="20"/>
        </w:rPr>
      </w:pPr>
      <w:r>
        <w:rPr>
          <w:rFonts w:asciiTheme="minorHAnsi" w:hAnsiTheme="minorHAnsi"/>
          <w:sz w:val="20"/>
        </w:rPr>
        <w:t xml:space="preserve">A través de este Resultado el </w:t>
      </w:r>
      <w:r w:rsidR="001F7FC6">
        <w:rPr>
          <w:rFonts w:asciiTheme="minorHAnsi" w:hAnsiTheme="minorHAnsi"/>
          <w:sz w:val="20"/>
        </w:rPr>
        <w:t>p</w:t>
      </w:r>
      <w:r>
        <w:rPr>
          <w:rFonts w:asciiTheme="minorHAnsi" w:hAnsiTheme="minorHAnsi"/>
          <w:sz w:val="20"/>
        </w:rPr>
        <w:t xml:space="preserve">royecto evaluará diferentes alternativas de incentivos fiscales a aplicarse en el país para promover la inversión en el sector agrícola favoreciendo la transición hacia una producción baja en químicos/sin ellos. Del mismo modo, se analizarán los incentivos existentes y se desincentivarán o eliminarán los desfavorables. La evaluación </w:t>
      </w:r>
      <w:r>
        <w:rPr>
          <w:rFonts w:asciiTheme="minorHAnsi" w:hAnsiTheme="minorHAnsi"/>
          <w:color w:val="000000" w:themeColor="text1"/>
          <w:sz w:val="20"/>
        </w:rPr>
        <w:t>concluirá en al menos 5 incentivos factibles de aplicarse según el contexto del país y el proyecto promoverá la aplicación de al menos 1 de ellos</w:t>
      </w:r>
      <w:r>
        <w:rPr>
          <w:rFonts w:asciiTheme="minorHAnsi" w:hAnsiTheme="minorHAnsi"/>
          <w:sz w:val="20"/>
        </w:rPr>
        <w:t xml:space="preserve">. </w:t>
      </w:r>
    </w:p>
    <w:p w14:paraId="06273146" w14:textId="77777777" w:rsidR="00CB10B9" w:rsidRDefault="004A68FD" w:rsidP="00B169FC">
      <w:pPr>
        <w:spacing w:after="120"/>
        <w:jc w:val="both"/>
        <w:rPr>
          <w:rFonts w:asciiTheme="minorHAnsi" w:eastAsia="SimSun" w:hAnsiTheme="minorHAnsi" w:cstheme="minorHAnsi"/>
          <w:sz w:val="20"/>
          <w:szCs w:val="20"/>
        </w:rPr>
      </w:pPr>
      <w:r>
        <w:rPr>
          <w:rFonts w:asciiTheme="minorHAnsi" w:hAnsiTheme="minorHAnsi"/>
          <w:sz w:val="20"/>
        </w:rPr>
        <w:t>Se desarrollarán las siguientes actividades para alcanzar el Resultado 2.2:</w:t>
      </w:r>
    </w:p>
    <w:p w14:paraId="0062162F" w14:textId="35C05546" w:rsidR="00CB10B9" w:rsidRPr="008D4B64" w:rsidRDefault="008D4B64" w:rsidP="00B169FC">
      <w:pPr>
        <w:spacing w:after="120"/>
        <w:jc w:val="both"/>
        <w:rPr>
          <w:rFonts w:asciiTheme="minorHAnsi" w:hAnsiTheme="minorHAnsi" w:cstheme="minorHAnsi"/>
          <w:sz w:val="20"/>
          <w:szCs w:val="20"/>
        </w:rPr>
      </w:pPr>
      <w:r>
        <w:rPr>
          <w:rFonts w:asciiTheme="minorHAnsi" w:hAnsiTheme="minorHAnsi"/>
          <w:sz w:val="20"/>
        </w:rPr>
        <w:t xml:space="preserve">a) Evaluación de </w:t>
      </w:r>
      <w:r w:rsidR="00FE33BA">
        <w:rPr>
          <w:rFonts w:asciiTheme="minorHAnsi" w:hAnsiTheme="minorHAnsi"/>
          <w:sz w:val="20"/>
        </w:rPr>
        <w:t>i</w:t>
      </w:r>
      <w:r>
        <w:rPr>
          <w:rFonts w:asciiTheme="minorHAnsi" w:hAnsiTheme="minorHAnsi"/>
          <w:sz w:val="20"/>
        </w:rPr>
        <w:t xml:space="preserve">ncentivos de </w:t>
      </w:r>
      <w:r w:rsidR="00FE33BA">
        <w:rPr>
          <w:rFonts w:asciiTheme="minorHAnsi" w:hAnsiTheme="minorHAnsi"/>
          <w:sz w:val="20"/>
        </w:rPr>
        <w:t>l</w:t>
      </w:r>
      <w:r>
        <w:rPr>
          <w:rFonts w:asciiTheme="minorHAnsi" w:hAnsiTheme="minorHAnsi"/>
          <w:sz w:val="20"/>
        </w:rPr>
        <w:t xml:space="preserve">ínea de </w:t>
      </w:r>
      <w:r w:rsidR="00FE33BA">
        <w:rPr>
          <w:rFonts w:asciiTheme="minorHAnsi" w:hAnsiTheme="minorHAnsi"/>
          <w:sz w:val="20"/>
        </w:rPr>
        <w:t>b</w:t>
      </w:r>
      <w:r>
        <w:rPr>
          <w:rFonts w:asciiTheme="minorHAnsi" w:hAnsiTheme="minorHAnsi"/>
          <w:sz w:val="20"/>
        </w:rPr>
        <w:t xml:space="preserve">ase: al inicio de la implementación, el proyecto identificará los incentivos fiscales existentes en el país relacionados con la actividad agropecuaria y evaluará la incidencia ambiental de cada uno de ellos. </w:t>
      </w:r>
    </w:p>
    <w:p w14:paraId="591114EF" w14:textId="071182D0" w:rsidR="00584F58" w:rsidRDefault="008D4B64" w:rsidP="00B169FC">
      <w:pPr>
        <w:spacing w:after="120"/>
        <w:jc w:val="both"/>
        <w:rPr>
          <w:rFonts w:asciiTheme="minorHAnsi" w:hAnsiTheme="minorHAnsi" w:cstheme="minorHAnsi"/>
          <w:sz w:val="20"/>
          <w:szCs w:val="20"/>
        </w:rPr>
      </w:pPr>
      <w:r>
        <w:rPr>
          <w:rFonts w:asciiTheme="minorHAnsi" w:hAnsiTheme="minorHAnsi"/>
          <w:sz w:val="20"/>
        </w:rPr>
        <w:t>b) Evaluación de nuevos incentivos fiscales: sobre la base del análisis del contexto nacional y del alcance de la actividad a la que se dirige, se evaluarán diferentes opciones de incentivos fiscales (por ejemplo: exención temporal de impuestos/exención fiscal; reducción del tipo impositivo; crédito fiscal a la inversión; etc.). Se considerarán y analizarán adecuadamente los cost</w:t>
      </w:r>
      <w:r w:rsidR="00FE33BA">
        <w:rPr>
          <w:rFonts w:asciiTheme="minorHAnsi" w:hAnsiTheme="minorHAnsi"/>
          <w:sz w:val="20"/>
        </w:rPr>
        <w:t>o</w:t>
      </w:r>
      <w:r>
        <w:rPr>
          <w:rFonts w:asciiTheme="minorHAnsi" w:hAnsiTheme="minorHAnsi"/>
          <w:sz w:val="20"/>
        </w:rPr>
        <w:t xml:space="preserve">s y beneficios de las distintas opciones. Además, se introducirán temas relacionados con la implementación: </w:t>
      </w:r>
      <w:r w:rsidR="00F86902">
        <w:rPr>
          <w:rFonts w:asciiTheme="minorHAnsi" w:hAnsiTheme="minorHAnsi"/>
          <w:sz w:val="20"/>
        </w:rPr>
        <w:t>c</w:t>
      </w:r>
      <w:r>
        <w:rPr>
          <w:rFonts w:asciiTheme="minorHAnsi" w:hAnsiTheme="minorHAnsi"/>
          <w:sz w:val="20"/>
        </w:rPr>
        <w:t>umplimiento inicial de las condiciones; presentación de informes y supervisión continua del cumplimiento; disposiciones de revisión y rescisión; minimización de la posibilidad de corrupción en su concesión y aumento de la transparencia</w:t>
      </w:r>
      <w:r w:rsidR="004256F2">
        <w:rPr>
          <w:rFonts w:asciiTheme="minorHAnsi" w:hAnsiTheme="minorHAnsi"/>
          <w:sz w:val="20"/>
        </w:rPr>
        <w:t>;</w:t>
      </w:r>
      <w:r>
        <w:rPr>
          <w:rFonts w:asciiTheme="minorHAnsi" w:hAnsiTheme="minorHAnsi"/>
          <w:sz w:val="20"/>
        </w:rPr>
        <w:t xml:space="preserve"> y mejora de la gobernanza. </w:t>
      </w:r>
    </w:p>
    <w:p w14:paraId="48BEB555" w14:textId="6675AF86" w:rsidR="00CE1017" w:rsidRPr="00CE1017" w:rsidRDefault="00ED664F" w:rsidP="00B169FC">
      <w:pPr>
        <w:spacing w:after="120"/>
        <w:jc w:val="both"/>
        <w:rPr>
          <w:rFonts w:asciiTheme="minorHAnsi" w:hAnsiTheme="minorHAnsi" w:cstheme="minorHAnsi"/>
          <w:noProof/>
          <w:color w:val="000000"/>
          <w:sz w:val="20"/>
          <w:szCs w:val="20"/>
        </w:rPr>
      </w:pPr>
      <w:r>
        <w:rPr>
          <w:rFonts w:asciiTheme="minorHAnsi" w:hAnsiTheme="minorHAnsi"/>
          <w:color w:val="000000"/>
          <w:sz w:val="20"/>
        </w:rPr>
        <w:t>Tal y como se identifica en el Riesgo 2 "</w:t>
      </w:r>
      <w:r>
        <w:rPr>
          <w:rFonts w:asciiTheme="minorHAnsi" w:hAnsiTheme="minorHAnsi"/>
          <w:sz w:val="20"/>
        </w:rPr>
        <w:t xml:space="preserve">Pérdida de ingresos de las fincas pequeñas y medianas debido a la prohibición de importar o la restricción del uso de determinados pesticidas peligrosos", la </w:t>
      </w:r>
      <w:r>
        <w:rPr>
          <w:rFonts w:asciiTheme="minorHAnsi" w:hAnsiTheme="minorHAnsi"/>
          <w:color w:val="000000"/>
          <w:sz w:val="20"/>
        </w:rPr>
        <w:t>Evaluación de Nuevos Incentivos Fiscales se tendrá en cuenta en la Evaluación Ambiental y Social Estratégica (EASE) para abordar la posible pérdida de ingresos de varios grupos.</w:t>
      </w:r>
    </w:p>
    <w:p w14:paraId="4575FF8C" w14:textId="5EBF20F6" w:rsidR="00DB5458" w:rsidRPr="00037BA4" w:rsidRDefault="008D4B64" w:rsidP="00B169FC">
      <w:pPr>
        <w:spacing w:after="120"/>
        <w:jc w:val="both"/>
        <w:rPr>
          <w:rFonts w:asciiTheme="minorHAnsi" w:hAnsiTheme="minorHAnsi" w:cstheme="minorHAnsi"/>
          <w:sz w:val="20"/>
          <w:szCs w:val="20"/>
        </w:rPr>
      </w:pPr>
      <w:r>
        <w:rPr>
          <w:rFonts w:asciiTheme="minorHAnsi" w:hAnsiTheme="minorHAnsi"/>
          <w:sz w:val="20"/>
        </w:rPr>
        <w:t>c) Reforma de las regulaciones secundarias para limitar o poner salvaguardas a los incentivos fiscales que no tienen validaciones ambientales y que hoy serían desfavorables o que podrían fomentar el uso de agroquímicos. Incluye la reforma del decreto presidencial que regula los bienes con un tipo de IVA del 0% para que los beneficiarios del incentivo cumplan las normas de buenas prácticas medioambientales.</w:t>
      </w:r>
    </w:p>
    <w:p w14:paraId="7C313310" w14:textId="44A1DC53" w:rsidR="00B53ED7" w:rsidRPr="00037BA4" w:rsidRDefault="008D4B64" w:rsidP="00B169FC">
      <w:pPr>
        <w:spacing w:after="120"/>
        <w:jc w:val="both"/>
        <w:rPr>
          <w:rFonts w:asciiTheme="minorHAnsi" w:hAnsiTheme="minorHAnsi" w:cstheme="minorHAnsi"/>
          <w:sz w:val="20"/>
          <w:szCs w:val="20"/>
        </w:rPr>
      </w:pPr>
      <w:r>
        <w:rPr>
          <w:rFonts w:asciiTheme="minorHAnsi" w:hAnsiTheme="minorHAnsi"/>
          <w:sz w:val="20"/>
        </w:rPr>
        <w:t xml:space="preserve">d) Recomendación de </w:t>
      </w:r>
      <w:r w:rsidR="004256F2">
        <w:rPr>
          <w:rFonts w:asciiTheme="minorHAnsi" w:hAnsiTheme="minorHAnsi"/>
          <w:sz w:val="20"/>
        </w:rPr>
        <w:t>i</w:t>
      </w:r>
      <w:r>
        <w:rPr>
          <w:rFonts w:asciiTheme="minorHAnsi" w:hAnsiTheme="minorHAnsi"/>
          <w:sz w:val="20"/>
        </w:rPr>
        <w:t xml:space="preserve">ncentivos </w:t>
      </w:r>
      <w:r w:rsidR="004256F2">
        <w:rPr>
          <w:rFonts w:asciiTheme="minorHAnsi" w:hAnsiTheme="minorHAnsi"/>
          <w:sz w:val="20"/>
        </w:rPr>
        <w:t>f</w:t>
      </w:r>
      <w:r>
        <w:rPr>
          <w:rFonts w:asciiTheme="minorHAnsi" w:hAnsiTheme="minorHAnsi"/>
          <w:sz w:val="20"/>
        </w:rPr>
        <w:t xml:space="preserve">iscales: el análisis previo </w:t>
      </w:r>
      <w:r>
        <w:rPr>
          <w:rFonts w:asciiTheme="minorHAnsi" w:hAnsiTheme="minorHAnsi"/>
          <w:color w:val="000000" w:themeColor="text1"/>
          <w:sz w:val="20"/>
        </w:rPr>
        <w:t xml:space="preserve">entregará al menos 5 alternativas </w:t>
      </w:r>
      <w:r>
        <w:rPr>
          <w:rFonts w:asciiTheme="minorHAnsi" w:hAnsiTheme="minorHAnsi"/>
          <w:sz w:val="20"/>
        </w:rPr>
        <w:t>de incentivos factibles a ser implementados en el país con el objetivo principal de reducir el uso de plaguicidas perjudiciales o promover su sustitución. El proyecto promoverá las alianzas con los principales actores para aplicar al menos 1 de los incentivos recomendados.</w:t>
      </w:r>
    </w:p>
    <w:p w14:paraId="68A8BABF" w14:textId="33E01809" w:rsidR="004A68FD" w:rsidRPr="008D4B64" w:rsidRDefault="008D4B64" w:rsidP="00B169FC">
      <w:pPr>
        <w:spacing w:after="120"/>
        <w:jc w:val="both"/>
        <w:rPr>
          <w:rFonts w:asciiTheme="minorHAnsi" w:hAnsiTheme="minorHAnsi" w:cstheme="minorHAnsi"/>
          <w:sz w:val="20"/>
          <w:szCs w:val="20"/>
        </w:rPr>
      </w:pPr>
      <w:r>
        <w:rPr>
          <w:rFonts w:asciiTheme="minorHAnsi" w:hAnsiTheme="minorHAnsi"/>
          <w:sz w:val="20"/>
        </w:rPr>
        <w:t>e) Captura de lecciones aprendidas: las lecciones aprendidas sobre el análisis y la aplicación se documentarán y difundirán entre las principales partes interesadas.</w:t>
      </w:r>
    </w:p>
    <w:p w14:paraId="1108A840" w14:textId="2CAE87EA" w:rsidR="003051C5" w:rsidRDefault="003051C5" w:rsidP="00B169FC">
      <w:pPr>
        <w:spacing w:after="120"/>
        <w:jc w:val="both"/>
        <w:rPr>
          <w:rFonts w:asciiTheme="minorHAnsi" w:hAnsiTheme="minorHAnsi" w:cstheme="minorHAnsi"/>
          <w:sz w:val="20"/>
          <w:szCs w:val="20"/>
        </w:rPr>
      </w:pPr>
      <w:r>
        <w:rPr>
          <w:rFonts w:asciiTheme="minorHAnsi" w:hAnsiTheme="minorHAnsi"/>
          <w:b/>
          <w:sz w:val="20"/>
        </w:rPr>
        <w:t xml:space="preserve">Resultado 2.3: </w:t>
      </w:r>
      <w:r>
        <w:rPr>
          <w:rFonts w:asciiTheme="minorHAnsi" w:hAnsiTheme="minorHAnsi"/>
          <w:sz w:val="20"/>
        </w:rPr>
        <w:t xml:space="preserve">Reforzar las capacidades financieras para facilitar el acceso al crédito a los agricultores que utilicen buenas prácticas. Crear programas de financiación y gestión de riesgos de las cadenas de valor, aplicando conceptos de recuperación verde considerando criterios de calidad ambiental (contaminación), adaptación y mitigación del cambio climático. </w:t>
      </w:r>
    </w:p>
    <w:p w14:paraId="6D1E3B4E" w14:textId="108E40A2" w:rsidR="00D33F75" w:rsidRDefault="00EA58B7" w:rsidP="00B169FC">
      <w:pPr>
        <w:spacing w:after="120"/>
        <w:jc w:val="both"/>
        <w:rPr>
          <w:rFonts w:asciiTheme="minorHAnsi" w:hAnsiTheme="minorHAnsi" w:cstheme="minorHAnsi"/>
          <w:sz w:val="20"/>
          <w:szCs w:val="20"/>
        </w:rPr>
      </w:pPr>
      <w:r>
        <w:rPr>
          <w:rFonts w:asciiTheme="minorHAnsi" w:hAnsiTheme="minorHAnsi"/>
          <w:sz w:val="20"/>
        </w:rPr>
        <w:t xml:space="preserve">A través de este </w:t>
      </w:r>
      <w:r w:rsidR="004256F2">
        <w:rPr>
          <w:rFonts w:asciiTheme="minorHAnsi" w:hAnsiTheme="minorHAnsi"/>
          <w:sz w:val="20"/>
        </w:rPr>
        <w:t>R</w:t>
      </w:r>
      <w:r>
        <w:rPr>
          <w:rFonts w:asciiTheme="minorHAnsi" w:hAnsiTheme="minorHAnsi"/>
          <w:sz w:val="20"/>
        </w:rPr>
        <w:t xml:space="preserve">esultado, el proyecto establecerá asociaciones con entidades financieras y reforzará su capacidad y comprensión para desarrollar productos financieros adaptados al sector agrícola y evaluar mejor las solicitudes de préstamos de los agricultores que apliquen buenas prácticas. Además, trabajar con pequeñas organizaciones legalmente establecidas (como cooperativas) y agricultores individuales, especialmente con mujeres y agricultores jóvenes, para desarrollar su capacidad financiera en el desarrollo de proyectos financiables y solicitudes de préstamos/inversiones y, posteriormente, solicitar </w:t>
      </w:r>
      <w:r>
        <w:rPr>
          <w:rFonts w:asciiTheme="minorHAnsi" w:hAnsiTheme="minorHAnsi"/>
          <w:color w:val="000000" w:themeColor="text1"/>
          <w:sz w:val="20"/>
        </w:rPr>
        <w:t>acceso a crédito.</w:t>
      </w:r>
      <w:r>
        <w:rPr>
          <w:rFonts w:asciiTheme="minorHAnsi" w:hAnsiTheme="minorHAnsi"/>
          <w:color w:val="000000" w:themeColor="text1"/>
        </w:rPr>
        <w:t xml:space="preserve"> </w:t>
      </w:r>
    </w:p>
    <w:p w14:paraId="60422298" w14:textId="3C525095" w:rsidR="00251D47" w:rsidRPr="00465308" w:rsidRDefault="00465308" w:rsidP="00B169FC">
      <w:pPr>
        <w:spacing w:after="120"/>
        <w:jc w:val="both"/>
        <w:rPr>
          <w:rFonts w:asciiTheme="minorHAnsi" w:hAnsiTheme="minorHAnsi"/>
          <w:color w:val="000000" w:themeColor="text1"/>
          <w:sz w:val="20"/>
          <w:szCs w:val="20"/>
        </w:rPr>
      </w:pPr>
      <w:r>
        <w:rPr>
          <w:rFonts w:asciiTheme="minorHAnsi" w:hAnsiTheme="minorHAnsi"/>
          <w:sz w:val="20"/>
        </w:rPr>
        <w:t xml:space="preserve">Como resultado, al menos </w:t>
      </w:r>
      <w:r>
        <w:rPr>
          <w:rFonts w:asciiTheme="minorHAnsi" w:hAnsiTheme="minorHAnsi"/>
          <w:color w:val="000000" w:themeColor="text1"/>
          <w:sz w:val="20"/>
        </w:rPr>
        <w:t>10</w:t>
      </w:r>
      <w:r>
        <w:rPr>
          <w:rFonts w:asciiTheme="minorHAnsi" w:hAnsiTheme="minorHAnsi"/>
          <w:sz w:val="20"/>
        </w:rPr>
        <w:t xml:space="preserve"> cooperativas financieras recibirán formación </w:t>
      </w:r>
      <w:r>
        <w:rPr>
          <w:rFonts w:asciiTheme="minorHAnsi" w:hAnsiTheme="minorHAnsi"/>
          <w:color w:val="000000" w:themeColor="text1"/>
          <w:sz w:val="20"/>
        </w:rPr>
        <w:t xml:space="preserve">y 2.000 agricultores </w:t>
      </w:r>
      <w:r>
        <w:rPr>
          <w:rFonts w:asciiTheme="minorHAnsi" w:hAnsiTheme="minorHAnsi"/>
          <w:sz w:val="20"/>
        </w:rPr>
        <w:t xml:space="preserve">de cultivos </w:t>
      </w:r>
      <w:r>
        <w:rPr>
          <w:rFonts w:asciiTheme="minorHAnsi" w:hAnsiTheme="minorHAnsi"/>
          <w:color w:val="000000" w:themeColor="text1"/>
          <w:sz w:val="20"/>
        </w:rPr>
        <w:t xml:space="preserve">prioritarios </w:t>
      </w:r>
      <w:r>
        <w:rPr>
          <w:rFonts w:asciiTheme="minorHAnsi" w:hAnsiTheme="minorHAnsi"/>
          <w:sz w:val="20"/>
        </w:rPr>
        <w:t xml:space="preserve">recibirán formación para acceder a </w:t>
      </w:r>
      <w:r>
        <w:rPr>
          <w:rFonts w:asciiTheme="minorHAnsi" w:hAnsiTheme="minorHAnsi"/>
          <w:color w:val="000000" w:themeColor="text1"/>
          <w:sz w:val="20"/>
        </w:rPr>
        <w:t xml:space="preserve">los productos </w:t>
      </w:r>
      <w:r>
        <w:rPr>
          <w:rFonts w:asciiTheme="minorHAnsi" w:hAnsiTheme="minorHAnsi"/>
          <w:sz w:val="20"/>
        </w:rPr>
        <w:t>del Programa de Financiación</w:t>
      </w:r>
      <w:r>
        <w:rPr>
          <w:rFonts w:asciiTheme="minorHAnsi" w:hAnsiTheme="minorHAnsi"/>
          <w:color w:val="000000" w:themeColor="text1"/>
          <w:sz w:val="20"/>
        </w:rPr>
        <w:t>.</w:t>
      </w:r>
    </w:p>
    <w:p w14:paraId="415B9560" w14:textId="77777777" w:rsidR="00D06529" w:rsidRDefault="004F240F"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2.3:</w:t>
      </w:r>
    </w:p>
    <w:p w14:paraId="1010DF2F" w14:textId="3CEA33C7" w:rsidR="0035498C" w:rsidRPr="00037BA4" w:rsidRDefault="008D4B64"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Fortalecimiento de las capacidades financieras: </w:t>
      </w:r>
      <w:r w:rsidR="00F86902">
        <w:rPr>
          <w:rFonts w:asciiTheme="minorHAnsi" w:hAnsiTheme="minorHAnsi"/>
          <w:color w:val="000000" w:themeColor="text1"/>
          <w:sz w:val="20"/>
        </w:rPr>
        <w:t>e</w:t>
      </w:r>
      <w:r>
        <w:rPr>
          <w:rFonts w:asciiTheme="minorHAnsi" w:hAnsiTheme="minorHAnsi"/>
          <w:color w:val="000000" w:themeColor="text1"/>
          <w:sz w:val="20"/>
        </w:rPr>
        <w:t xml:space="preserve">sta actividad pretende captar fuentes potenciales/innovadoras de financiación verde/ambiental a través de la educación y la colaboración para ofrecer productos financieros adaptados al sector agrícola, por ejemplo, instituciones de microfinanciación dispuestas a operar </w:t>
      </w:r>
      <w:r>
        <w:rPr>
          <w:rFonts w:asciiTheme="minorHAnsi" w:hAnsiTheme="minorHAnsi"/>
          <w:sz w:val="20"/>
        </w:rPr>
        <w:t>o facilitar en los territorios de intervención.</w:t>
      </w:r>
      <w:r>
        <w:rPr>
          <w:rFonts w:asciiTheme="minorHAnsi" w:hAnsiTheme="minorHAnsi"/>
          <w:color w:val="000000" w:themeColor="text1"/>
          <w:sz w:val="20"/>
        </w:rPr>
        <w:t xml:space="preserve"> </w:t>
      </w:r>
      <w:r>
        <w:rPr>
          <w:rFonts w:asciiTheme="minorHAnsi" w:hAnsiTheme="minorHAnsi"/>
          <w:sz w:val="20"/>
        </w:rPr>
        <w:t xml:space="preserve">Esto incluye la formación del personal de las entidades financieras en la evaluación de inversiones agrícolas </w:t>
      </w:r>
      <w:r>
        <w:rPr>
          <w:rFonts w:asciiTheme="minorHAnsi" w:hAnsiTheme="minorHAnsi"/>
          <w:color w:val="000000" w:themeColor="text1"/>
          <w:sz w:val="20"/>
        </w:rPr>
        <w:t>(incluyendo conceptos de recuperación verde, considerando criterios de calidad ambiental, adaptación y mitigación del cambio climático, evaluación de riesgos y gestión de cadenas de valor, evaluación de requisitos legales y técnicos, etc.</w:t>
      </w:r>
      <w:r>
        <w:rPr>
          <w:rFonts w:asciiTheme="minorHAnsi" w:hAnsiTheme="minorHAnsi"/>
          <w:sz w:val="20"/>
        </w:rPr>
        <w:t xml:space="preserve">), así como la valoración de garantías de préstamos para evaluar el caso económico de préstamos, arrendamientos o incluso, participación en el capital con la debida atención a la igualdad de género en la inclusión financiera. </w:t>
      </w:r>
    </w:p>
    <w:p w14:paraId="78A80830" w14:textId="68E25F7D" w:rsidR="00AE5262" w:rsidRPr="00037BA4" w:rsidRDefault="00422C16" w:rsidP="00B169FC">
      <w:pPr>
        <w:snapToGrid w:val="0"/>
        <w:spacing w:after="120"/>
        <w:jc w:val="both"/>
        <w:rPr>
          <w:rFonts w:asciiTheme="minorHAnsi" w:hAnsiTheme="minorHAnsi" w:cstheme="minorHAnsi"/>
          <w:color w:val="000000" w:themeColor="text1"/>
          <w:sz w:val="20"/>
          <w:szCs w:val="20"/>
        </w:rPr>
      </w:pPr>
      <w:r>
        <w:rPr>
          <w:rFonts w:asciiTheme="minorHAnsi" w:hAnsiTheme="minorHAnsi"/>
          <w:sz w:val="20"/>
        </w:rPr>
        <w:t xml:space="preserve">Además, se impartirá formación sobre el sistema de Análisis de Riesgos Ambientales y Sociales (ARAS), cuyo objetivo </w:t>
      </w:r>
      <w:r>
        <w:rPr>
          <w:rFonts w:asciiTheme="minorHAnsi" w:hAnsiTheme="minorHAnsi"/>
          <w:color w:val="000000" w:themeColor="text1"/>
          <w:sz w:val="20"/>
        </w:rPr>
        <w:t>es que las instituciones financieras identifiquen y evalúen de forma fácil y cómoda los riesgos ambientales y sociales en los que incurren sus beneficiarios en el desarrollo de sus actividades. El ARAS debe formar parte de la gestión general del riesgo de crédito de las Instituciones Financieras Intermediarias (IFI) para garantizar su aplicación. Los procedimientos para la implementación del ARAS deben cubrir todo el ciclo de crédito, teniendo como base mínima el cumplimiento de la normativa local y los convenios/tratados internacionales suscritos por Ecuador. El reglamento ARAS debe dar directrices generales para, al menos, los siguientes procesos:</w:t>
      </w:r>
    </w:p>
    <w:p w14:paraId="614F0ACD" w14:textId="77777777" w:rsidR="00AE5262" w:rsidRPr="0084378F" w:rsidRDefault="00AE5262">
      <w:pPr>
        <w:pStyle w:val="Prrafodelista"/>
        <w:numPr>
          <w:ilvl w:val="0"/>
          <w:numId w:val="23"/>
        </w:numPr>
        <w:snapToGrid w:val="0"/>
        <w:spacing w:after="60"/>
        <w:jc w:val="both"/>
        <w:rPr>
          <w:rFonts w:asciiTheme="minorHAnsi" w:hAnsiTheme="minorHAnsi" w:cstheme="minorHAnsi"/>
          <w:color w:val="000000" w:themeColor="text1"/>
          <w:sz w:val="20"/>
          <w:szCs w:val="20"/>
        </w:rPr>
      </w:pPr>
      <w:r>
        <w:rPr>
          <w:rFonts w:asciiTheme="minorHAnsi" w:hAnsiTheme="minorHAnsi"/>
          <w:color w:val="000000" w:themeColor="text1"/>
          <w:sz w:val="20"/>
        </w:rPr>
        <w:t>Identificación y categorización de riesgo</w:t>
      </w:r>
    </w:p>
    <w:p w14:paraId="305E53EF" w14:textId="77777777" w:rsidR="00AE5262" w:rsidRPr="0084378F" w:rsidRDefault="00AE5262">
      <w:pPr>
        <w:pStyle w:val="Prrafodelista"/>
        <w:numPr>
          <w:ilvl w:val="0"/>
          <w:numId w:val="23"/>
        </w:numPr>
        <w:snapToGrid w:val="0"/>
        <w:spacing w:after="60"/>
        <w:jc w:val="both"/>
        <w:rPr>
          <w:rFonts w:asciiTheme="minorHAnsi" w:hAnsiTheme="minorHAnsi" w:cstheme="minorHAnsi"/>
          <w:color w:val="000000" w:themeColor="text1"/>
          <w:sz w:val="20"/>
          <w:szCs w:val="20"/>
        </w:rPr>
      </w:pPr>
      <w:r>
        <w:rPr>
          <w:rFonts w:asciiTheme="minorHAnsi" w:hAnsiTheme="minorHAnsi"/>
          <w:color w:val="000000" w:themeColor="text1"/>
          <w:sz w:val="20"/>
        </w:rPr>
        <w:t>Evaluación de riesgos</w:t>
      </w:r>
    </w:p>
    <w:p w14:paraId="2DC6BC29" w14:textId="77777777" w:rsidR="00AE5262" w:rsidRPr="0084378F" w:rsidRDefault="00AE5262">
      <w:pPr>
        <w:pStyle w:val="Prrafodelista"/>
        <w:numPr>
          <w:ilvl w:val="0"/>
          <w:numId w:val="23"/>
        </w:numPr>
        <w:snapToGrid w:val="0"/>
        <w:spacing w:after="60"/>
        <w:jc w:val="both"/>
        <w:rPr>
          <w:rFonts w:asciiTheme="minorHAnsi" w:hAnsiTheme="minorHAnsi" w:cstheme="minorHAnsi"/>
          <w:color w:val="000000" w:themeColor="text1"/>
          <w:sz w:val="20"/>
          <w:szCs w:val="20"/>
        </w:rPr>
      </w:pPr>
      <w:r>
        <w:rPr>
          <w:rFonts w:asciiTheme="minorHAnsi" w:hAnsiTheme="minorHAnsi"/>
          <w:color w:val="000000" w:themeColor="text1"/>
          <w:sz w:val="20"/>
        </w:rPr>
        <w:t>Mitigación de riesgos</w:t>
      </w:r>
    </w:p>
    <w:p w14:paraId="3C2D3D8C" w14:textId="77777777" w:rsidR="00AE5262" w:rsidRPr="0084378F" w:rsidRDefault="00AE5262">
      <w:pPr>
        <w:pStyle w:val="Prrafodelista"/>
        <w:numPr>
          <w:ilvl w:val="0"/>
          <w:numId w:val="23"/>
        </w:numPr>
        <w:snapToGrid w:val="0"/>
        <w:spacing w:after="60"/>
        <w:jc w:val="both"/>
        <w:rPr>
          <w:rFonts w:asciiTheme="minorHAnsi" w:hAnsiTheme="minorHAnsi" w:cstheme="minorHAnsi"/>
          <w:color w:val="000000" w:themeColor="text1"/>
          <w:sz w:val="20"/>
          <w:szCs w:val="20"/>
        </w:rPr>
      </w:pPr>
      <w:r>
        <w:rPr>
          <w:rFonts w:asciiTheme="minorHAnsi" w:hAnsiTheme="minorHAnsi"/>
          <w:color w:val="000000" w:themeColor="text1"/>
          <w:sz w:val="20"/>
        </w:rPr>
        <w:t>Seguimiento y control de riesgos</w:t>
      </w:r>
    </w:p>
    <w:p w14:paraId="2E9EF6BB" w14:textId="7FD1365A" w:rsidR="00AE5262" w:rsidRPr="0084378F" w:rsidRDefault="00AE5262">
      <w:pPr>
        <w:pStyle w:val="Prrafodelista"/>
        <w:numPr>
          <w:ilvl w:val="0"/>
          <w:numId w:val="23"/>
        </w:numPr>
        <w:snapToGrid w:val="0"/>
        <w:spacing w:after="6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Mecanismos de participación y </w:t>
      </w:r>
      <w:r w:rsidR="009024C2">
        <w:rPr>
          <w:rFonts w:asciiTheme="minorHAnsi" w:hAnsiTheme="minorHAnsi"/>
          <w:color w:val="000000" w:themeColor="text1"/>
          <w:sz w:val="20"/>
        </w:rPr>
        <w:t>reclamos</w:t>
      </w:r>
    </w:p>
    <w:p w14:paraId="02B8CC3A" w14:textId="7A8AFD3E" w:rsidR="00422C16" w:rsidRPr="00AE5262" w:rsidRDefault="00AE5262">
      <w:pPr>
        <w:pStyle w:val="Prrafodelista"/>
        <w:numPr>
          <w:ilvl w:val="0"/>
          <w:numId w:val="23"/>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Políticas de divulgación</w:t>
      </w:r>
    </w:p>
    <w:p w14:paraId="51058D65" w14:textId="181F0B77" w:rsidR="0059627D" w:rsidRPr="009E088A" w:rsidRDefault="008A01FD" w:rsidP="00B169FC">
      <w:pPr>
        <w:pStyle w:val="Default"/>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Esta actividad </w:t>
      </w:r>
      <w:r>
        <w:rPr>
          <w:rFonts w:asciiTheme="minorHAnsi" w:hAnsiTheme="minorHAnsi"/>
          <w:sz w:val="20"/>
        </w:rPr>
        <w:t xml:space="preserve">mejorará la exitosa experiencia obtenida en la iniciativa BIOFIN y el </w:t>
      </w:r>
      <w:r w:rsidR="009024C2">
        <w:rPr>
          <w:rFonts w:asciiTheme="minorHAnsi" w:hAnsiTheme="minorHAnsi"/>
          <w:sz w:val="20"/>
        </w:rPr>
        <w:t>p</w:t>
      </w:r>
      <w:r>
        <w:rPr>
          <w:rFonts w:asciiTheme="minorHAnsi" w:hAnsiTheme="minorHAnsi"/>
          <w:sz w:val="20"/>
        </w:rPr>
        <w:t>rograma PROAmazonia en Ecuador, trabajando en estrecha colaboración con la Corporación Nacional de Finanzas Populares y Solidarias (CONAFIPS) y BanEcuador</w:t>
      </w:r>
      <w:r>
        <w:rPr>
          <w:rFonts w:asciiTheme="minorHAnsi" w:hAnsiTheme="minorHAnsi"/>
          <w:color w:val="000000" w:themeColor="text1"/>
          <w:sz w:val="20"/>
        </w:rPr>
        <w:t>.</w:t>
      </w:r>
    </w:p>
    <w:p w14:paraId="5D0E3049" w14:textId="407B6719" w:rsidR="0059627D" w:rsidRPr="008D4B64" w:rsidRDefault="008D4B64" w:rsidP="00B169FC">
      <w:pPr>
        <w:tabs>
          <w:tab w:val="left" w:pos="851"/>
        </w:tabs>
        <w:spacing w:after="120"/>
        <w:ind w:right="-5"/>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b) Apoyo para capacitar a los agricultores organizados para que puedan acceder a los fondos. </w:t>
      </w:r>
    </w:p>
    <w:p w14:paraId="2420757B" w14:textId="1A185988" w:rsidR="00551933" w:rsidRDefault="0059627D" w:rsidP="00B169FC">
      <w:pPr>
        <w:pStyle w:val="Default"/>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La formación de los agricultores en gestión empresarial y de operaciones les proporcionará las herramientas no sólo para acceder a la financiación, sino también para ejecutar con éxito sus planes de inversión (adaptados al contexto local) para crear una agricultura sostenible y más rentable, con el objetivo de mejorar los ingresos de los agricultores a través de la consecución de mejores precios de los cultivos facilitados por cadenas de suministro transparentes y responsables.  Incluye talleres y eventos de sensibilización para concienciar a los agricultores (incluidas mujeres y jóvenes agricultores) sobre la debida diligencia, el cumplimiento de la normativa y el acceso a distintos tipos de fuentes de financiación. </w:t>
      </w:r>
    </w:p>
    <w:p w14:paraId="0158AEA9" w14:textId="4051FD93" w:rsidR="009E088A" w:rsidRPr="000B58F0" w:rsidRDefault="00551933" w:rsidP="00B169FC">
      <w:pPr>
        <w:pStyle w:val="Default"/>
        <w:spacing w:after="120"/>
        <w:jc w:val="both"/>
        <w:rPr>
          <w:rFonts w:asciiTheme="minorHAnsi" w:hAnsiTheme="minorHAnsi" w:cstheme="minorHAnsi"/>
          <w:color w:val="000000" w:themeColor="text1"/>
          <w:sz w:val="20"/>
          <w:szCs w:val="20"/>
        </w:rPr>
      </w:pPr>
      <w:r>
        <w:rPr>
          <w:rFonts w:asciiTheme="minorHAnsi" w:hAnsiTheme="minorHAnsi"/>
          <w:sz w:val="20"/>
        </w:rPr>
        <w:t>Esta actividad incluye la creación de una guía amigable para los agricultores para ayudarles con sus solicitudes de préstamo.</w:t>
      </w:r>
    </w:p>
    <w:p w14:paraId="3D4AB3AB" w14:textId="3C22FF57" w:rsidR="009C749F" w:rsidRPr="008D4B64" w:rsidRDefault="008D4B64" w:rsidP="00B169FC">
      <w:pPr>
        <w:tabs>
          <w:tab w:val="left" w:pos="851"/>
        </w:tabs>
        <w:spacing w:after="120"/>
        <w:ind w:right="-5"/>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c) Programa de financiación creado: </w:t>
      </w:r>
    </w:p>
    <w:p w14:paraId="67BF3B3C" w14:textId="16863096" w:rsidR="00914A48" w:rsidRPr="008D4B64" w:rsidRDefault="00914A48" w:rsidP="00B169FC">
      <w:pPr>
        <w:tabs>
          <w:tab w:val="left" w:pos="851"/>
        </w:tabs>
        <w:spacing w:after="120"/>
        <w:ind w:right="-5"/>
        <w:jc w:val="both"/>
        <w:rPr>
          <w:rFonts w:asciiTheme="minorHAnsi" w:hAnsiTheme="minorHAnsi" w:cstheme="minorHAnsi"/>
          <w:color w:val="FF0000"/>
          <w:sz w:val="20"/>
          <w:szCs w:val="20"/>
        </w:rPr>
      </w:pPr>
      <w:r>
        <w:rPr>
          <w:rFonts w:asciiTheme="minorHAnsi" w:hAnsiTheme="minorHAnsi"/>
          <w:sz w:val="20"/>
        </w:rPr>
        <w:t>En coordinación con las entidades financieras, esta actividad reforzará o establecerá un producto financiero adaptado y con condiciones financieras asequibles para los agricultores que apliquen buenas prácticas agrícolas (como la Gestión Integrada de Plagas (GIP), prácticas agroecológicas, producción ecológica, etc.) que permitan la reducción de plaguicidas peligrosos en cultivos prioritarios. Este producto financiero a medida también tendrá en cuenta la promoción de la producción agrícola diversificada (frente al monocultivo). Puede implicar varios elementos complementarios, como:</w:t>
      </w:r>
    </w:p>
    <w:p w14:paraId="2E50692E" w14:textId="77777777" w:rsidR="00914A48" w:rsidRPr="00914A48" w:rsidRDefault="00914A48">
      <w:pPr>
        <w:pStyle w:val="Default"/>
        <w:numPr>
          <w:ilvl w:val="0"/>
          <w:numId w:val="27"/>
        </w:numPr>
        <w:spacing w:after="120"/>
        <w:ind w:left="850"/>
        <w:jc w:val="both"/>
        <w:rPr>
          <w:rFonts w:asciiTheme="minorHAnsi" w:hAnsiTheme="minorHAnsi" w:cstheme="minorHAnsi"/>
          <w:sz w:val="20"/>
          <w:szCs w:val="20"/>
        </w:rPr>
      </w:pPr>
      <w:r>
        <w:rPr>
          <w:rFonts w:asciiTheme="minorHAnsi" w:hAnsiTheme="minorHAnsi"/>
          <w:sz w:val="20"/>
        </w:rPr>
        <w:t>Un entorno normativo adecuado para que las instituciones financieras orienten la gestión de los riesgos ambientales y sociales, así como para promover la oferta de este tipo de productos financieros.</w:t>
      </w:r>
    </w:p>
    <w:p w14:paraId="5DDFD144" w14:textId="461FFEB7" w:rsidR="00914A48" w:rsidRPr="00914A48" w:rsidRDefault="00914A48">
      <w:pPr>
        <w:pStyle w:val="Default"/>
        <w:numPr>
          <w:ilvl w:val="0"/>
          <w:numId w:val="27"/>
        </w:numPr>
        <w:spacing w:after="120"/>
        <w:ind w:left="850"/>
        <w:jc w:val="both"/>
        <w:rPr>
          <w:rFonts w:asciiTheme="minorHAnsi" w:hAnsiTheme="minorHAnsi" w:cstheme="minorHAnsi"/>
          <w:color w:val="000000" w:themeColor="text1"/>
          <w:sz w:val="20"/>
          <w:szCs w:val="20"/>
        </w:rPr>
      </w:pPr>
      <w:r>
        <w:rPr>
          <w:rFonts w:asciiTheme="minorHAnsi" w:hAnsiTheme="minorHAnsi"/>
          <w:color w:val="000000" w:themeColor="text1"/>
          <w:sz w:val="20"/>
        </w:rPr>
        <w:t>Ampliar la oferta de productos y servicios financieros para la producción agrícola sostenible (crédito, seguros y Fondo Nacional de Garantía de la CFN).</w:t>
      </w:r>
    </w:p>
    <w:p w14:paraId="6E6C0973" w14:textId="77777777" w:rsidR="00914A48" w:rsidRPr="00914A48" w:rsidRDefault="00914A48">
      <w:pPr>
        <w:pStyle w:val="Default"/>
        <w:numPr>
          <w:ilvl w:val="0"/>
          <w:numId w:val="27"/>
        </w:numPr>
        <w:spacing w:after="120"/>
        <w:ind w:left="850"/>
        <w:jc w:val="both"/>
        <w:rPr>
          <w:rFonts w:asciiTheme="minorHAnsi" w:hAnsiTheme="minorHAnsi" w:cstheme="minorHAnsi"/>
          <w:color w:val="000000" w:themeColor="text1"/>
          <w:sz w:val="20"/>
          <w:szCs w:val="20"/>
        </w:rPr>
      </w:pPr>
      <w:r>
        <w:rPr>
          <w:rFonts w:asciiTheme="minorHAnsi" w:hAnsiTheme="minorHAnsi"/>
          <w:color w:val="000000" w:themeColor="text1"/>
          <w:sz w:val="20"/>
        </w:rPr>
        <w:t>Promoción de la educación financiera, especialmente en los sectores productivos relacionados con las cadenas de producción agrícola.</w:t>
      </w:r>
    </w:p>
    <w:p w14:paraId="3583298C" w14:textId="2B327958" w:rsidR="00D54535" w:rsidRPr="008D4B64" w:rsidRDefault="00914A48">
      <w:pPr>
        <w:pStyle w:val="Default"/>
        <w:numPr>
          <w:ilvl w:val="0"/>
          <w:numId w:val="27"/>
        </w:numPr>
        <w:spacing w:after="120"/>
        <w:ind w:left="850"/>
        <w:jc w:val="both"/>
        <w:rPr>
          <w:rFonts w:asciiTheme="minorHAnsi" w:hAnsiTheme="minorHAnsi" w:cstheme="minorHAnsi"/>
          <w:color w:val="000000" w:themeColor="text1"/>
          <w:sz w:val="20"/>
          <w:szCs w:val="20"/>
        </w:rPr>
      </w:pPr>
      <w:r>
        <w:rPr>
          <w:rFonts w:asciiTheme="minorHAnsi" w:hAnsiTheme="minorHAnsi"/>
          <w:color w:val="000000" w:themeColor="text1"/>
          <w:sz w:val="20"/>
        </w:rPr>
        <w:t>Esta actividad también ayudará técnicamente al menos a 5 agricultores de diferentes cultivos (</w:t>
      </w:r>
      <w:r>
        <w:rPr>
          <w:rFonts w:asciiTheme="minorHAnsi" w:hAnsiTheme="minorHAnsi"/>
          <w:sz w:val="20"/>
        </w:rPr>
        <w:t>maíz, papa, brócoli, tomate, arroz, banano cebada, trigo y pitahaya, entre otros</w:t>
      </w:r>
      <w:r>
        <w:rPr>
          <w:rFonts w:asciiTheme="minorHAnsi" w:hAnsiTheme="minorHAnsi"/>
          <w:color w:val="000000" w:themeColor="text1"/>
          <w:sz w:val="20"/>
        </w:rPr>
        <w:t>) que apliquen buenas prácticas agrícolas para solicitar y obtener créditos blandos disponibles a través del programa creado por el proyecto. Esta actividad incluirá la certificación de estos agricultores en BPA. La selección de cultivos durante la ejecución del proyecto se acordará con AGROCALIDAD y el MAG.</w:t>
      </w:r>
    </w:p>
    <w:p w14:paraId="636C529B" w14:textId="563C5236" w:rsidR="0042751F" w:rsidRDefault="003051C5" w:rsidP="00B169FC">
      <w:pPr>
        <w:spacing w:after="120"/>
        <w:jc w:val="both"/>
        <w:rPr>
          <w:rFonts w:asciiTheme="minorHAnsi" w:hAnsiTheme="minorHAnsi" w:cstheme="minorHAnsi"/>
          <w:sz w:val="20"/>
          <w:szCs w:val="20"/>
        </w:rPr>
      </w:pPr>
      <w:r>
        <w:rPr>
          <w:rFonts w:asciiTheme="minorHAnsi" w:hAnsiTheme="minorHAnsi"/>
          <w:b/>
          <w:sz w:val="20"/>
        </w:rPr>
        <w:t>Resultado 2.4:</w:t>
      </w:r>
      <w:r>
        <w:rPr>
          <w:rFonts w:asciiTheme="minorHAnsi" w:hAnsiTheme="minorHAnsi"/>
          <w:sz w:val="20"/>
        </w:rPr>
        <w:t xml:space="preserve"> Fortalecimiento de la capacidad de las </w:t>
      </w:r>
      <w:r w:rsidR="00E34A0B">
        <w:rPr>
          <w:rFonts w:asciiTheme="minorHAnsi" w:hAnsiTheme="minorHAnsi"/>
          <w:sz w:val="20"/>
        </w:rPr>
        <w:t>U</w:t>
      </w:r>
      <w:r>
        <w:rPr>
          <w:rFonts w:asciiTheme="minorHAnsi" w:hAnsiTheme="minorHAnsi"/>
          <w:sz w:val="20"/>
        </w:rPr>
        <w:t xml:space="preserve">nidades </w:t>
      </w:r>
      <w:r w:rsidR="00E34A0B">
        <w:rPr>
          <w:rFonts w:asciiTheme="minorHAnsi" w:hAnsiTheme="minorHAnsi"/>
          <w:sz w:val="20"/>
        </w:rPr>
        <w:t>N</w:t>
      </w:r>
      <w:r>
        <w:rPr>
          <w:rFonts w:asciiTheme="minorHAnsi" w:hAnsiTheme="minorHAnsi"/>
          <w:sz w:val="20"/>
        </w:rPr>
        <w:t xml:space="preserve">acionales de </w:t>
      </w:r>
      <w:r w:rsidR="00E34A0B">
        <w:rPr>
          <w:rFonts w:asciiTheme="minorHAnsi" w:hAnsiTheme="minorHAnsi"/>
          <w:sz w:val="20"/>
        </w:rPr>
        <w:t>E</w:t>
      </w:r>
      <w:r>
        <w:rPr>
          <w:rFonts w:asciiTheme="minorHAnsi" w:hAnsiTheme="minorHAnsi"/>
          <w:sz w:val="20"/>
        </w:rPr>
        <w:t>xtensión dependientes de AGROCALIDAD, Ministerio de Agricultura, y Seguro Social Campesino, como de las asociaciones privadas para acceder a los mecanismos financieros e incentivos creados por el proyecto y sobre mejores prácticas agrícolas sostenibles para aumentar los ingresos y reducir el uso de agroquímicos nocivos en cultivos prioritarios.</w:t>
      </w:r>
    </w:p>
    <w:p w14:paraId="13A808C1" w14:textId="632AD0A9" w:rsidR="006E542A" w:rsidRDefault="006E542A" w:rsidP="00B169FC">
      <w:pPr>
        <w:spacing w:after="120"/>
        <w:jc w:val="both"/>
        <w:rPr>
          <w:rFonts w:asciiTheme="minorHAnsi" w:hAnsiTheme="minorHAnsi" w:cstheme="minorHAnsi"/>
          <w:sz w:val="20"/>
          <w:szCs w:val="20"/>
        </w:rPr>
      </w:pPr>
      <w:r>
        <w:rPr>
          <w:rFonts w:asciiTheme="minorHAnsi" w:hAnsiTheme="minorHAnsi"/>
          <w:sz w:val="20"/>
        </w:rPr>
        <w:t xml:space="preserve">A través de este </w:t>
      </w:r>
      <w:r w:rsidR="009024C2">
        <w:rPr>
          <w:rFonts w:asciiTheme="minorHAnsi" w:hAnsiTheme="minorHAnsi"/>
          <w:sz w:val="20"/>
        </w:rPr>
        <w:t xml:space="preserve">Resultado </w:t>
      </w:r>
      <w:r>
        <w:rPr>
          <w:rFonts w:asciiTheme="minorHAnsi" w:hAnsiTheme="minorHAnsi"/>
          <w:sz w:val="20"/>
        </w:rPr>
        <w:t>el proyecto buscará fortalecer a las unidades de extensión dependientes de AGROCALIDAD, del Ministerio de Agricultura y Ganadería (MAG) y del Seguro Social Campesino (SSC), así como a las asociaciones privadas, en el acceso al financiamiento y a las prácticas agrícolas sostenibles para que sean capaces de replicar y difundir el conocimiento a los agricultores y consecuentemente, incrementar la demanda de este tipo de mecanismo financiero que promueve mejores prácticas agrícolas sostenibles.</w:t>
      </w:r>
    </w:p>
    <w:p w14:paraId="1E0862A1" w14:textId="0C98AE00" w:rsidR="006E542A" w:rsidRDefault="00E51746" w:rsidP="00B169FC">
      <w:pPr>
        <w:spacing w:after="120"/>
        <w:jc w:val="both"/>
        <w:rPr>
          <w:rFonts w:asciiTheme="minorHAnsi" w:hAnsiTheme="minorHAnsi" w:cstheme="minorHAnsi"/>
          <w:sz w:val="20"/>
          <w:szCs w:val="20"/>
        </w:rPr>
      </w:pPr>
      <w:r>
        <w:rPr>
          <w:rFonts w:asciiTheme="minorHAnsi" w:hAnsiTheme="minorHAnsi"/>
          <w:sz w:val="20"/>
        </w:rPr>
        <w:t xml:space="preserve">A través de esta actividad se </w:t>
      </w:r>
      <w:r>
        <w:rPr>
          <w:rFonts w:asciiTheme="minorHAnsi" w:hAnsiTheme="minorHAnsi"/>
          <w:color w:val="000000" w:themeColor="text1"/>
          <w:sz w:val="20"/>
        </w:rPr>
        <w:t>formará a 250 personas (125 mujeres y 125 hombres)</w:t>
      </w:r>
      <w:r>
        <w:rPr>
          <w:rFonts w:asciiTheme="minorHAnsi" w:hAnsiTheme="minorHAnsi"/>
          <w:sz w:val="20"/>
        </w:rPr>
        <w:t>. Se entregarán certificados de formación para esta actividad.</w:t>
      </w:r>
    </w:p>
    <w:p w14:paraId="26B2ADBF" w14:textId="068CCD2A" w:rsidR="00DD5240" w:rsidRDefault="00DD5240"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2.4:</w:t>
      </w:r>
    </w:p>
    <w:p w14:paraId="4DCFC3A9" w14:textId="4B41F645" w:rsidR="00753A7D" w:rsidRPr="008D4B64" w:rsidRDefault="008D4B64"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Programa de </w:t>
      </w:r>
      <w:r w:rsidR="001A0F47">
        <w:rPr>
          <w:rFonts w:asciiTheme="minorHAnsi" w:hAnsiTheme="minorHAnsi"/>
          <w:color w:val="000000" w:themeColor="text1"/>
          <w:sz w:val="20"/>
        </w:rPr>
        <w:t>d</w:t>
      </w:r>
      <w:r>
        <w:rPr>
          <w:rFonts w:asciiTheme="minorHAnsi" w:hAnsiTheme="minorHAnsi"/>
          <w:color w:val="000000" w:themeColor="text1"/>
          <w:sz w:val="20"/>
        </w:rPr>
        <w:t xml:space="preserve">esarrollo de </w:t>
      </w:r>
      <w:r w:rsidR="001A0F47">
        <w:rPr>
          <w:rFonts w:asciiTheme="minorHAnsi" w:hAnsiTheme="minorHAnsi"/>
          <w:color w:val="000000" w:themeColor="text1"/>
          <w:sz w:val="20"/>
        </w:rPr>
        <w:t>c</w:t>
      </w:r>
      <w:r>
        <w:rPr>
          <w:rFonts w:asciiTheme="minorHAnsi" w:hAnsiTheme="minorHAnsi"/>
          <w:color w:val="000000" w:themeColor="text1"/>
          <w:sz w:val="20"/>
        </w:rPr>
        <w:t xml:space="preserve">apacidades: diseñar e implementar un </w:t>
      </w:r>
      <w:r>
        <w:rPr>
          <w:rFonts w:asciiTheme="minorHAnsi" w:hAnsiTheme="minorHAnsi"/>
          <w:sz w:val="20"/>
        </w:rPr>
        <w:t>programa de</w:t>
      </w:r>
      <w:r w:rsidR="00114BFB">
        <w:rPr>
          <w:rFonts w:asciiTheme="minorHAnsi" w:hAnsiTheme="minorHAnsi"/>
          <w:sz w:val="20"/>
        </w:rPr>
        <w:t xml:space="preserve"> </w:t>
      </w:r>
      <w:r>
        <w:rPr>
          <w:rFonts w:asciiTheme="minorHAnsi" w:hAnsiTheme="minorHAnsi"/>
          <w:color w:val="000000" w:themeColor="text1"/>
          <w:sz w:val="20"/>
        </w:rPr>
        <w:t xml:space="preserve">formación </w:t>
      </w:r>
      <w:r>
        <w:rPr>
          <w:rFonts w:asciiTheme="minorHAnsi" w:hAnsiTheme="minorHAnsi"/>
          <w:sz w:val="20"/>
        </w:rPr>
        <w:t>a nivel nacional y local para fortalecer las capacidades institucionales de AGROCALIDAD, SSC, MAG, ABG, CONGOPE. El programa entregará un certificado de formación e incluirá:</w:t>
      </w:r>
    </w:p>
    <w:p w14:paraId="3587A013" w14:textId="1E1ED23E" w:rsidR="006C5E82" w:rsidRPr="006C7F28" w:rsidRDefault="001A35B8">
      <w:pPr>
        <w:pStyle w:val="Prrafodelista"/>
        <w:numPr>
          <w:ilvl w:val="0"/>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Mecanismos financieros e incentivos desarrollados por el proyecto: esta actividad pretende difundir y crear capacidad para los diferentes mecanismos financieros desarrollados por el proyecto, centrándose principalmente en crear la demanda necesaria por parte de los agricultores. Las unidades de extensión serán formadas en los diferentes requisitos y prácticas agrícolas para aplicar los incentivos, préstamos o cualquier otro mecanismo financiero creado por el proyecto para difundir y promover su adquisición con el consiguiente resultado de reducción de agroquímicos y aumento de ingresos de los agricultores. Esta actividad también tratará de promover la generación de mecanismos financieros centrados en prácticas agrícolas sostenibles más allá de la vida útil del proyecto. Como parte del programa, los representantes de las diferentes unidades de extensión participarán en el proceso de solicitud que apoyará el proyecto para su aprendizaje efectivo (</w:t>
      </w:r>
      <w:r w:rsidR="00817691">
        <w:rPr>
          <w:rFonts w:asciiTheme="minorHAnsi" w:hAnsiTheme="minorHAnsi"/>
          <w:color w:val="000000" w:themeColor="text1"/>
          <w:sz w:val="20"/>
        </w:rPr>
        <w:t>de acuerdo</w:t>
      </w:r>
      <w:r w:rsidR="00402C18">
        <w:rPr>
          <w:rFonts w:asciiTheme="minorHAnsi" w:hAnsiTheme="minorHAnsi"/>
          <w:color w:val="000000" w:themeColor="text1"/>
          <w:sz w:val="20"/>
        </w:rPr>
        <w:t xml:space="preserve"> </w:t>
      </w:r>
      <w:r>
        <w:rPr>
          <w:rFonts w:asciiTheme="minorHAnsi" w:hAnsiTheme="minorHAnsi"/>
          <w:color w:val="000000" w:themeColor="text1"/>
          <w:sz w:val="20"/>
        </w:rPr>
        <w:t>con el Resultado 2.3)</w:t>
      </w:r>
      <w:r w:rsidR="00E21282">
        <w:rPr>
          <w:rFonts w:asciiTheme="minorHAnsi" w:hAnsiTheme="minorHAnsi"/>
          <w:color w:val="000000" w:themeColor="text1"/>
          <w:sz w:val="20"/>
        </w:rPr>
        <w:t>.</w:t>
      </w:r>
    </w:p>
    <w:p w14:paraId="37736C9D" w14:textId="1F7469CB" w:rsidR="001B14C2" w:rsidRPr="008D4B64" w:rsidRDefault="00DD5240">
      <w:pPr>
        <w:pStyle w:val="Prrafodelista"/>
        <w:numPr>
          <w:ilvl w:val="0"/>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Agricultura sostenible: </w:t>
      </w:r>
      <w:r w:rsidR="00F86902">
        <w:rPr>
          <w:rFonts w:asciiTheme="minorHAnsi" w:hAnsiTheme="minorHAnsi"/>
          <w:color w:val="000000" w:themeColor="text1"/>
          <w:sz w:val="20"/>
        </w:rPr>
        <w:t>e</w:t>
      </w:r>
      <w:r>
        <w:rPr>
          <w:rFonts w:asciiTheme="minorHAnsi" w:hAnsiTheme="minorHAnsi"/>
          <w:color w:val="000000" w:themeColor="text1"/>
          <w:sz w:val="20"/>
        </w:rPr>
        <w:t xml:space="preserve">sta actividad pretende reforzar las capacidades y los conocimientos de cada uno de los actores identificados sobre las prácticas agrícolas sostenibles existentes que tienen como resultado la reducción del uso de pesticidas nocivos. Favoreciendo también el impacto sobre el medio ambiente, la biodiversidad y sobre la salud pública (tanto de los agricultores como de los consumidores de los distintos cultivos). Incluirá al menos lo siguiente: </w:t>
      </w:r>
    </w:p>
    <w:p w14:paraId="621A936E" w14:textId="4DF3DFED" w:rsidR="001B14C2" w:rsidRPr="00FF6BE9" w:rsidRDefault="001B14C2">
      <w:pPr>
        <w:pStyle w:val="Prrafodelista"/>
        <w:numPr>
          <w:ilvl w:val="1"/>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Formación sobre riesgos y formas seguras de utilizar plaguicidas: medidas de prevención, equipos de protección individual (EPI), periodo de espera entre aplicaciones. Etiquetado, gestión, almacenamiento seguro y eliminación. Riesgos para la salud y el medio ambiente.</w:t>
      </w:r>
    </w:p>
    <w:p w14:paraId="3096DF58" w14:textId="28187721" w:rsidR="001B14C2" w:rsidRPr="00FF6BE9" w:rsidRDefault="001B14C2">
      <w:pPr>
        <w:pStyle w:val="Prrafodelista"/>
        <w:numPr>
          <w:ilvl w:val="1"/>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Alternativas disponibles para los plaguicidas químicos (especialmente POPs/PAPs): alternativas menos peligrosas, bioplaguicidas (microbianos y bioquímicos). </w:t>
      </w:r>
    </w:p>
    <w:p w14:paraId="2702FA87" w14:textId="19009492" w:rsidR="001B14C2" w:rsidRPr="002D58CE" w:rsidRDefault="001B14C2">
      <w:pPr>
        <w:pStyle w:val="Prrafodelista"/>
        <w:numPr>
          <w:ilvl w:val="1"/>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Tecnologías existentes que impulsen la agricultura de precisión para los pequeños agricultores y viabilidad de su aplicación a escala local.</w:t>
      </w:r>
      <w:r w:rsidR="00A60529">
        <w:rPr>
          <w:rStyle w:val="Refdenotaalpie"/>
          <w:rFonts w:cstheme="minorHAnsi"/>
          <w:color w:val="000000" w:themeColor="text1"/>
          <w:szCs w:val="20"/>
        </w:rPr>
        <w:footnoteReference w:id="21"/>
      </w:r>
    </w:p>
    <w:p w14:paraId="3851D26D" w14:textId="0BEE0DF4" w:rsidR="001B14C2" w:rsidRPr="00ED648B" w:rsidRDefault="001B14C2">
      <w:pPr>
        <w:pStyle w:val="Prrafodelista"/>
        <w:numPr>
          <w:ilvl w:val="1"/>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Gestión </w:t>
      </w:r>
      <w:r w:rsidR="00F86902">
        <w:rPr>
          <w:rFonts w:asciiTheme="minorHAnsi" w:hAnsiTheme="minorHAnsi"/>
          <w:color w:val="000000" w:themeColor="text1"/>
          <w:sz w:val="20"/>
        </w:rPr>
        <w:t>I</w:t>
      </w:r>
      <w:r>
        <w:rPr>
          <w:rFonts w:asciiTheme="minorHAnsi" w:hAnsiTheme="minorHAnsi"/>
          <w:color w:val="000000" w:themeColor="text1"/>
          <w:sz w:val="20"/>
        </w:rPr>
        <w:t xml:space="preserve">ntegrada de </w:t>
      </w:r>
      <w:r w:rsidR="00F86902">
        <w:rPr>
          <w:rFonts w:asciiTheme="minorHAnsi" w:hAnsiTheme="minorHAnsi"/>
          <w:color w:val="000000" w:themeColor="text1"/>
          <w:sz w:val="20"/>
        </w:rPr>
        <w:t>P</w:t>
      </w:r>
      <w:r>
        <w:rPr>
          <w:rFonts w:asciiTheme="minorHAnsi" w:hAnsiTheme="minorHAnsi"/>
          <w:color w:val="000000" w:themeColor="text1"/>
          <w:sz w:val="20"/>
        </w:rPr>
        <w:t xml:space="preserve">lagas (GIP): </w:t>
      </w:r>
      <w:r w:rsidR="00F86902">
        <w:rPr>
          <w:rFonts w:asciiTheme="minorHAnsi" w:hAnsiTheme="minorHAnsi"/>
          <w:color w:val="000000" w:themeColor="text1"/>
          <w:sz w:val="20"/>
        </w:rPr>
        <w:t>b</w:t>
      </w:r>
      <w:r>
        <w:rPr>
          <w:rFonts w:asciiTheme="minorHAnsi" w:hAnsiTheme="minorHAnsi"/>
          <w:color w:val="000000" w:themeColor="text1"/>
          <w:sz w:val="20"/>
        </w:rPr>
        <w:t>eneficios (salud, ambiente, cost</w:t>
      </w:r>
      <w:r w:rsidR="00E21282">
        <w:rPr>
          <w:rFonts w:asciiTheme="minorHAnsi" w:hAnsiTheme="minorHAnsi"/>
          <w:color w:val="000000" w:themeColor="text1"/>
          <w:sz w:val="20"/>
        </w:rPr>
        <w:t>o</w:t>
      </w:r>
      <w:r>
        <w:rPr>
          <w:rFonts w:asciiTheme="minorHAnsi" w:hAnsiTheme="minorHAnsi"/>
          <w:color w:val="000000" w:themeColor="text1"/>
          <w:sz w:val="20"/>
        </w:rPr>
        <w:t xml:space="preserve">s y eficacia); </w:t>
      </w:r>
      <w:r w:rsidR="00817691">
        <w:rPr>
          <w:rFonts w:asciiTheme="minorHAnsi" w:hAnsiTheme="minorHAnsi"/>
          <w:color w:val="000000" w:themeColor="text1"/>
          <w:sz w:val="20"/>
        </w:rPr>
        <w:t>m</w:t>
      </w:r>
      <w:r>
        <w:rPr>
          <w:rFonts w:asciiTheme="minorHAnsi" w:hAnsiTheme="minorHAnsi"/>
          <w:color w:val="000000" w:themeColor="text1"/>
          <w:sz w:val="20"/>
        </w:rPr>
        <w:t xml:space="preserve">edidas de control de enfermedades y plagas para la GIP: control químico, mecánico, biológico, de cultivos; </w:t>
      </w:r>
      <w:r w:rsidR="00817691">
        <w:rPr>
          <w:rFonts w:asciiTheme="minorHAnsi" w:hAnsiTheme="minorHAnsi"/>
          <w:color w:val="000000" w:themeColor="text1"/>
          <w:sz w:val="20"/>
        </w:rPr>
        <w:t>h</w:t>
      </w:r>
      <w:r>
        <w:rPr>
          <w:rFonts w:asciiTheme="minorHAnsi" w:hAnsiTheme="minorHAnsi"/>
          <w:color w:val="000000" w:themeColor="text1"/>
          <w:sz w:val="20"/>
        </w:rPr>
        <w:t xml:space="preserve">erramientas de diagnóstico de plagas; </w:t>
      </w:r>
      <w:r w:rsidR="00817691">
        <w:rPr>
          <w:rFonts w:asciiTheme="minorHAnsi" w:hAnsiTheme="minorHAnsi"/>
          <w:color w:val="000000" w:themeColor="text1"/>
          <w:sz w:val="20"/>
        </w:rPr>
        <w:t>e</w:t>
      </w:r>
      <w:r>
        <w:rPr>
          <w:rFonts w:asciiTheme="minorHAnsi" w:hAnsiTheme="minorHAnsi"/>
          <w:color w:val="000000" w:themeColor="text1"/>
          <w:sz w:val="20"/>
        </w:rPr>
        <w:t>strategia provisional de GIP adaptada a los cultivos pertinentes basada en las necesidades locales. Enfoque de producción agroecológica y orgánica (</w:t>
      </w:r>
      <w:r w:rsidR="00817691">
        <w:rPr>
          <w:rFonts w:asciiTheme="minorHAnsi" w:hAnsiTheme="minorHAnsi"/>
          <w:color w:val="000000" w:themeColor="text1"/>
          <w:sz w:val="20"/>
        </w:rPr>
        <w:t>de acuerdo</w:t>
      </w:r>
      <w:r w:rsidR="00402C18">
        <w:rPr>
          <w:rFonts w:asciiTheme="minorHAnsi" w:hAnsiTheme="minorHAnsi"/>
          <w:color w:val="000000" w:themeColor="text1"/>
          <w:sz w:val="20"/>
        </w:rPr>
        <w:t xml:space="preserve"> </w:t>
      </w:r>
      <w:r>
        <w:rPr>
          <w:rFonts w:asciiTheme="minorHAnsi" w:hAnsiTheme="minorHAnsi"/>
          <w:color w:val="000000" w:themeColor="text1"/>
          <w:sz w:val="20"/>
        </w:rPr>
        <w:t xml:space="preserve">con el </w:t>
      </w:r>
      <w:r w:rsidR="00E21282">
        <w:rPr>
          <w:rFonts w:asciiTheme="minorHAnsi" w:hAnsiTheme="minorHAnsi"/>
          <w:color w:val="000000" w:themeColor="text1"/>
          <w:sz w:val="20"/>
        </w:rPr>
        <w:t>R</w:t>
      </w:r>
      <w:r>
        <w:rPr>
          <w:rFonts w:asciiTheme="minorHAnsi" w:hAnsiTheme="minorHAnsi"/>
          <w:color w:val="000000" w:themeColor="text1"/>
          <w:sz w:val="20"/>
        </w:rPr>
        <w:t>esultado 3.1).</w:t>
      </w:r>
    </w:p>
    <w:p w14:paraId="36028115" w14:textId="7235904F" w:rsidR="001B14C2" w:rsidRPr="002D58CE" w:rsidRDefault="001B14C2">
      <w:pPr>
        <w:pStyle w:val="Prrafodelista"/>
        <w:numPr>
          <w:ilvl w:val="1"/>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Gestión de plásticos: gestión de envases vacíos y otros plásticos de uso agrícola. Segregación, procedimiento de triple lavado, recogida, transporte y eliminación/reciclado. (de acuerdo con el </w:t>
      </w:r>
      <w:r w:rsidR="00817691">
        <w:rPr>
          <w:rFonts w:asciiTheme="minorHAnsi" w:hAnsiTheme="minorHAnsi"/>
          <w:color w:val="000000" w:themeColor="text1"/>
          <w:sz w:val="20"/>
        </w:rPr>
        <w:t>R</w:t>
      </w:r>
      <w:r>
        <w:rPr>
          <w:rFonts w:asciiTheme="minorHAnsi" w:hAnsiTheme="minorHAnsi"/>
          <w:color w:val="000000" w:themeColor="text1"/>
          <w:sz w:val="20"/>
        </w:rPr>
        <w:t>esultado 2.5)</w:t>
      </w:r>
    </w:p>
    <w:p w14:paraId="4C0BC6A9" w14:textId="16725E28" w:rsidR="001B14C2" w:rsidRPr="002D58CE" w:rsidRDefault="001B14C2">
      <w:pPr>
        <w:pStyle w:val="Prrafodelista"/>
        <w:numPr>
          <w:ilvl w:val="1"/>
          <w:numId w:val="24"/>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Proceso de certificación de Buenas Prácticas Agrícolas: alcance, ventajas, directrices y promoción.</w:t>
      </w:r>
    </w:p>
    <w:p w14:paraId="166920A1" w14:textId="1E50A566" w:rsidR="00422DA4" w:rsidRPr="001E0D2B" w:rsidRDefault="008D4B64" w:rsidP="00B169FC">
      <w:pPr>
        <w:snapToGrid w:val="0"/>
        <w:spacing w:after="120"/>
        <w:jc w:val="both"/>
        <w:rPr>
          <w:rFonts w:ascii="Calibri" w:hAnsi="Calibri" w:cs="Calibri"/>
          <w:color w:val="000000" w:themeColor="text1"/>
          <w:sz w:val="20"/>
          <w:szCs w:val="20"/>
        </w:rPr>
      </w:pPr>
      <w:r>
        <w:rPr>
          <w:rFonts w:asciiTheme="minorHAnsi" w:hAnsiTheme="minorHAnsi"/>
          <w:color w:val="000000" w:themeColor="text1"/>
          <w:sz w:val="20"/>
        </w:rPr>
        <w:t xml:space="preserve">b) Se crearán </w:t>
      </w:r>
      <w:r w:rsidR="00E21282">
        <w:rPr>
          <w:rFonts w:asciiTheme="minorHAnsi" w:hAnsiTheme="minorHAnsi"/>
          <w:color w:val="000000" w:themeColor="text1"/>
          <w:sz w:val="20"/>
        </w:rPr>
        <w:t>m</w:t>
      </w:r>
      <w:r>
        <w:rPr>
          <w:rFonts w:asciiTheme="minorHAnsi" w:hAnsiTheme="minorHAnsi"/>
          <w:color w:val="000000" w:themeColor="text1"/>
          <w:sz w:val="20"/>
        </w:rPr>
        <w:t xml:space="preserve">anuales de </w:t>
      </w:r>
      <w:r w:rsidR="00E21282">
        <w:rPr>
          <w:rFonts w:asciiTheme="minorHAnsi" w:hAnsiTheme="minorHAnsi"/>
          <w:color w:val="000000" w:themeColor="text1"/>
          <w:sz w:val="20"/>
        </w:rPr>
        <w:t>p</w:t>
      </w:r>
      <w:r>
        <w:rPr>
          <w:rFonts w:asciiTheme="minorHAnsi" w:hAnsiTheme="minorHAnsi"/>
          <w:color w:val="000000" w:themeColor="text1"/>
          <w:sz w:val="20"/>
        </w:rPr>
        <w:t>rocedimientos tanto para documentar la formación impartida como para que esta información esté disponible para futuras formaciones y sea accesible en los diferentes puntos de extensión a nivel nacional, provincial y municipal</w:t>
      </w:r>
      <w:r>
        <w:rPr>
          <w:rFonts w:ascii="Calibri" w:hAnsi="Calibri"/>
          <w:color w:val="000000" w:themeColor="text1"/>
          <w:sz w:val="20"/>
        </w:rPr>
        <w:t xml:space="preserve">. Tanto en la formación como en los manuales se tendrá en cuenta la adopción de un lenguaje apropiado que permita una comunicación eficaz entre la gran variedad de actores y públicos a los que se quiere llegar: agricultores, cooperativas de financiación y personal de las unidades de extensión. La estructura de los manuales se definirá adecuadamente durante la ejecución del proyecto. </w:t>
      </w:r>
      <w:r>
        <w:rPr>
          <w:rFonts w:asciiTheme="minorHAnsi" w:hAnsiTheme="minorHAnsi"/>
          <w:color w:val="000000"/>
          <w:sz w:val="20"/>
        </w:rPr>
        <w:t>Además, se desarrollará un curso de formación abierto masivo en línea (MOOC) que estará disponible en la plataforma del MAATE.</w:t>
      </w:r>
    </w:p>
    <w:p w14:paraId="5D482449" w14:textId="16E5F660" w:rsidR="003051C5" w:rsidRPr="00FC51D5" w:rsidRDefault="003051C5" w:rsidP="00B169FC">
      <w:pPr>
        <w:snapToGrid w:val="0"/>
        <w:spacing w:after="120"/>
        <w:jc w:val="both"/>
        <w:rPr>
          <w:rFonts w:asciiTheme="minorHAnsi" w:hAnsiTheme="minorHAnsi" w:cstheme="minorHAnsi"/>
          <w:sz w:val="20"/>
          <w:szCs w:val="20"/>
        </w:rPr>
      </w:pPr>
      <w:r>
        <w:rPr>
          <w:rFonts w:asciiTheme="minorHAnsi" w:hAnsiTheme="minorHAnsi"/>
          <w:b/>
          <w:sz w:val="20"/>
        </w:rPr>
        <w:t xml:space="preserve">Resultado 2.5: </w:t>
      </w:r>
      <w:r>
        <w:rPr>
          <w:rFonts w:asciiTheme="minorHAnsi" w:hAnsiTheme="minorHAnsi"/>
          <w:sz w:val="20"/>
        </w:rPr>
        <w:t xml:space="preserve">Apoyo técnico al </w:t>
      </w:r>
      <w:r w:rsidR="003A0C39">
        <w:rPr>
          <w:rFonts w:asciiTheme="minorHAnsi" w:hAnsiTheme="minorHAnsi"/>
          <w:sz w:val="20"/>
        </w:rPr>
        <w:t>G</w:t>
      </w:r>
      <w:r>
        <w:rPr>
          <w:rFonts w:asciiTheme="minorHAnsi" w:hAnsiTheme="minorHAnsi"/>
          <w:sz w:val="20"/>
        </w:rPr>
        <w:t>obierno en materia de contratación pública para evitar la adquisición de sustancias peligrosas y eliminar los productos almacenados existentes de COPs/PAPs, y desarrollo de capacidades para gestionar o reciclar de forma sostenible los residuos plásticos y otros tipos de residuos asociados a los productos agroquímicos nocivos.</w:t>
      </w:r>
    </w:p>
    <w:p w14:paraId="2D77F7FB" w14:textId="16821730" w:rsidR="00B31667" w:rsidRDefault="000A25AC" w:rsidP="00B169FC">
      <w:pPr>
        <w:spacing w:after="120"/>
        <w:jc w:val="both"/>
        <w:rPr>
          <w:rFonts w:ascii="Calibri" w:hAnsi="Calibri" w:cs="Calibri"/>
          <w:iCs/>
          <w:sz w:val="20"/>
          <w:szCs w:val="20"/>
        </w:rPr>
      </w:pPr>
      <w:r>
        <w:rPr>
          <w:rFonts w:asciiTheme="minorHAnsi" w:hAnsiTheme="minorHAnsi"/>
          <w:sz w:val="20"/>
        </w:rPr>
        <w:t xml:space="preserve">A través de este </w:t>
      </w:r>
      <w:r w:rsidR="00817691">
        <w:rPr>
          <w:rFonts w:asciiTheme="minorHAnsi" w:hAnsiTheme="minorHAnsi"/>
          <w:sz w:val="20"/>
        </w:rPr>
        <w:t>Resultado</w:t>
      </w:r>
      <w:r>
        <w:rPr>
          <w:rFonts w:asciiTheme="minorHAnsi" w:hAnsiTheme="minorHAnsi"/>
          <w:sz w:val="20"/>
        </w:rPr>
        <w:t xml:space="preserve">, el proyecto ayudará técnicamente al Gobierno a desarrollar un plan nacional para promover la eliminación de al </w:t>
      </w:r>
      <w:r>
        <w:rPr>
          <w:rFonts w:asciiTheme="minorHAnsi" w:hAnsiTheme="minorHAnsi"/>
          <w:color w:val="000000" w:themeColor="text1"/>
          <w:sz w:val="20"/>
        </w:rPr>
        <w:t xml:space="preserve">menos 77 Tm de pesticidas obsoletos identificados por la actualización del inventario PNGQ, almacenados en diferentes regiones del país. Para ello, se desarrollarán actividades en estrecha coordinación con AGROCALIDAD, MAATE, CONGOPE y </w:t>
      </w:r>
      <w:r w:rsidR="00817691">
        <w:rPr>
          <w:rFonts w:asciiTheme="minorHAnsi" w:hAnsiTheme="minorHAnsi"/>
          <w:color w:val="000000" w:themeColor="text1"/>
          <w:sz w:val="20"/>
        </w:rPr>
        <w:t>e</w:t>
      </w:r>
      <w:r>
        <w:rPr>
          <w:rFonts w:asciiTheme="minorHAnsi" w:hAnsiTheme="minorHAnsi"/>
          <w:color w:val="000000" w:themeColor="text1"/>
          <w:sz w:val="20"/>
        </w:rPr>
        <w:t xml:space="preserve">mpresas </w:t>
      </w:r>
      <w:r w:rsidR="00817691">
        <w:rPr>
          <w:rFonts w:asciiTheme="minorHAnsi" w:hAnsiTheme="minorHAnsi"/>
          <w:color w:val="000000" w:themeColor="text1"/>
          <w:sz w:val="20"/>
        </w:rPr>
        <w:t>p</w:t>
      </w:r>
      <w:r>
        <w:rPr>
          <w:rFonts w:asciiTheme="minorHAnsi" w:hAnsiTheme="minorHAnsi"/>
          <w:color w:val="000000" w:themeColor="text1"/>
          <w:sz w:val="20"/>
        </w:rPr>
        <w:t>rivadas. Además, esta actividad ayudará económicamente a la eliminación nacional de 58 Tm de residuos contaminados con DDT</w:t>
      </w:r>
      <w:r>
        <w:rPr>
          <w:sz w:val="20"/>
        </w:rPr>
        <w:t>,</w:t>
      </w:r>
      <w:r>
        <w:rPr>
          <w:rFonts w:ascii="Calibri" w:hAnsi="Calibri"/>
          <w:color w:val="000000" w:themeColor="text1"/>
          <w:sz w:val="20"/>
        </w:rPr>
        <w:t xml:space="preserve"> propiedad del Ministerio de Salud Pública. </w:t>
      </w:r>
    </w:p>
    <w:p w14:paraId="3873BD94" w14:textId="2D4BABF3" w:rsidR="00D97A73" w:rsidRDefault="00B31667" w:rsidP="00B169FC">
      <w:pPr>
        <w:snapToGrid w:val="0"/>
        <w:spacing w:after="120"/>
        <w:jc w:val="both"/>
        <w:rPr>
          <w:rFonts w:asciiTheme="minorHAnsi" w:hAnsiTheme="minorHAnsi" w:cstheme="minorHAnsi"/>
          <w:sz w:val="20"/>
          <w:szCs w:val="20"/>
        </w:rPr>
      </w:pPr>
      <w:r>
        <w:rPr>
          <w:rFonts w:asciiTheme="minorHAnsi" w:hAnsiTheme="minorHAnsi"/>
          <w:sz w:val="20"/>
        </w:rPr>
        <w:t>En cuanto a la gestión de plásticos, este Resultado pondrá a prueba un modelo de negocio para demostrar la gestión adecuada (incluyendo la reducción, reciclaje y  recuperación) de residuos plásticos relacionados con productos agroquímicos (envases vacíos, fundas de plástico utilizadas para cubrir y proteger la fruta durante su maduración, películas de plástico utilizadas para cubrir invernaderos y otros) que contienen COPs u otros plaguicidas altamente peligrosos para una operación económicamente sostenible y apoyar una estrategia de replicación.</w:t>
      </w:r>
    </w:p>
    <w:p w14:paraId="4B104A17" w14:textId="762B144F" w:rsidR="00ED664F" w:rsidRPr="00B31667" w:rsidRDefault="00ED664F" w:rsidP="00B169FC">
      <w:pPr>
        <w:spacing w:after="120"/>
        <w:jc w:val="both"/>
        <w:rPr>
          <w:rFonts w:asciiTheme="minorHAnsi" w:hAnsiTheme="minorHAnsi" w:cstheme="minorHAnsi"/>
          <w:sz w:val="20"/>
          <w:szCs w:val="20"/>
        </w:rPr>
      </w:pPr>
      <w:r>
        <w:rPr>
          <w:rFonts w:asciiTheme="minorHAnsi" w:hAnsiTheme="minorHAnsi"/>
          <w:sz w:val="20"/>
        </w:rPr>
        <w:t xml:space="preserve">Según lo identificado en el Riesgo 5 "Liberación accidental de plaguicidas COP y PAP en el medio ambiente debido a </w:t>
      </w:r>
      <w:r w:rsidR="00E35139">
        <w:rPr>
          <w:rFonts w:asciiTheme="minorHAnsi" w:hAnsiTheme="minorHAnsi"/>
          <w:sz w:val="20"/>
        </w:rPr>
        <w:t xml:space="preserve">la </w:t>
      </w:r>
      <w:r>
        <w:rPr>
          <w:rFonts w:asciiTheme="minorHAnsi" w:hAnsiTheme="minorHAnsi"/>
          <w:sz w:val="20"/>
        </w:rPr>
        <w:t xml:space="preserve">manipulación, almacenamiento, transporte y contenedores de tratamiento/eliminación inadecuados, que exponen a los trabajadores, comunidades locales y ecosistemas naturales", se llevará a cabo una evaluación específica para cada una de las demostraciones piloto (eliminación de los COPs y PAPs existentes (Actividad a) y gestión integrada de los residuos plásticos relacionados con productos agroquímicos (Actividad b)) sobre los riesgos relacionados con los </w:t>
      </w:r>
      <w:r w:rsidR="00E35139">
        <w:rPr>
          <w:rFonts w:asciiTheme="minorHAnsi" w:hAnsiTheme="minorHAnsi"/>
          <w:sz w:val="20"/>
        </w:rPr>
        <w:t xml:space="preserve">derrames </w:t>
      </w:r>
      <w:r>
        <w:rPr>
          <w:rFonts w:asciiTheme="minorHAnsi" w:hAnsiTheme="minorHAnsi"/>
          <w:sz w:val="20"/>
        </w:rPr>
        <w:t xml:space="preserve">accidentales y la salud y seguridad en el trabajo. La evaluación identificará los receptores sensibles desde el punto de vista ambiental que puedan verse afectados por </w:t>
      </w:r>
      <w:r w:rsidR="00E35139">
        <w:rPr>
          <w:rFonts w:asciiTheme="minorHAnsi" w:hAnsiTheme="minorHAnsi"/>
          <w:sz w:val="20"/>
        </w:rPr>
        <w:t xml:space="preserve">derrames </w:t>
      </w:r>
      <w:r>
        <w:rPr>
          <w:rFonts w:asciiTheme="minorHAnsi" w:hAnsiTheme="minorHAnsi"/>
          <w:sz w:val="20"/>
        </w:rPr>
        <w:t xml:space="preserve">accidentales, de modo que se elaborarán medidas paliativas que se incluirán en </w:t>
      </w:r>
      <w:r w:rsidR="00C60C54">
        <w:rPr>
          <w:rFonts w:asciiTheme="minorHAnsi" w:hAnsiTheme="minorHAnsi"/>
          <w:sz w:val="20"/>
          <w:lang w:val="es-EC"/>
        </w:rPr>
        <w:t>EIAS</w:t>
      </w:r>
      <w:r>
        <w:rPr>
          <w:rFonts w:asciiTheme="minorHAnsi" w:hAnsiTheme="minorHAnsi"/>
          <w:sz w:val="20"/>
        </w:rPr>
        <w:t xml:space="preserve"> independientes.</w:t>
      </w:r>
    </w:p>
    <w:p w14:paraId="0955C6FA" w14:textId="48E2DB74" w:rsidR="00000782" w:rsidRDefault="00612D24"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2.5:</w:t>
      </w:r>
    </w:p>
    <w:p w14:paraId="4209C237" w14:textId="2AD5DC21" w:rsidR="00160992" w:rsidRPr="001428F5" w:rsidRDefault="001428F5"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a) Apoyo técnico al Gobierno:</w:t>
      </w:r>
    </w:p>
    <w:p w14:paraId="55E18CC9" w14:textId="61176225" w:rsidR="00160992" w:rsidRDefault="00B31667" w:rsidP="00B169FC">
      <w:pPr>
        <w:snapToGrid w:val="0"/>
        <w:spacing w:after="120"/>
        <w:jc w:val="both"/>
        <w:rPr>
          <w:rFonts w:asciiTheme="minorHAnsi" w:hAnsiTheme="minorHAnsi" w:cstheme="minorHAnsi"/>
          <w:sz w:val="20"/>
          <w:szCs w:val="20"/>
        </w:rPr>
      </w:pPr>
      <w:r>
        <w:rPr>
          <w:rFonts w:asciiTheme="minorHAnsi" w:hAnsiTheme="minorHAnsi"/>
          <w:sz w:val="20"/>
        </w:rPr>
        <w:t xml:space="preserve">Desarrollo del Plan Nacional: </w:t>
      </w:r>
      <w:r w:rsidR="004713BF">
        <w:rPr>
          <w:rFonts w:asciiTheme="minorHAnsi" w:hAnsiTheme="minorHAnsi"/>
          <w:sz w:val="20"/>
        </w:rPr>
        <w:t>c</w:t>
      </w:r>
      <w:r>
        <w:rPr>
          <w:rFonts w:asciiTheme="minorHAnsi" w:hAnsiTheme="minorHAnsi"/>
          <w:sz w:val="20"/>
        </w:rPr>
        <w:t xml:space="preserve">omo primera actividad, se validarán las </w:t>
      </w:r>
      <w:r w:rsidR="00257A99">
        <w:rPr>
          <w:rFonts w:asciiTheme="minorHAnsi" w:hAnsiTheme="minorHAnsi"/>
          <w:sz w:val="20"/>
        </w:rPr>
        <w:t xml:space="preserve">actuales cantidades almacenadas </w:t>
      </w:r>
      <w:r>
        <w:rPr>
          <w:rFonts w:asciiTheme="minorHAnsi" w:hAnsiTheme="minorHAnsi"/>
          <w:sz w:val="20"/>
        </w:rPr>
        <w:t xml:space="preserve">de plaguicidas obsoletos y COPs/ PAPs con el fin de confirmar su ubicación, volúmenes, ingredientes activos, condiciones de envasado, etc. Además, el proyecto analizará la capacidad nacional de tratamiento y eliminación de plaguicidas obsoletos, COPs y PAPs de acuerdo con las directrices internacionales existentes sobre las Mejores Tecnologías Disponibles (MTD) y las Mejores Prácticas </w:t>
      </w:r>
      <w:r w:rsidR="00F86902">
        <w:rPr>
          <w:rFonts w:asciiTheme="minorHAnsi" w:hAnsiTheme="minorHAnsi"/>
          <w:sz w:val="20"/>
        </w:rPr>
        <w:t>A</w:t>
      </w:r>
      <w:r>
        <w:rPr>
          <w:rFonts w:asciiTheme="minorHAnsi" w:hAnsiTheme="minorHAnsi"/>
          <w:sz w:val="20"/>
        </w:rPr>
        <w:t xml:space="preserve">mbientales (MPA) para tratar y gestionar estos plaguicidas de forma respetuosa con el medio ambiente. Sobre esta base, la actividad impulsará la coordinación entre las principales partes interesadas de todo el país (titulares, empresas de tratamiento, autoridades gubernamentales) y desarrollará un plan nacional para promover el tratamiento/eliminación de forma optimizada de al menos </w:t>
      </w:r>
      <w:r>
        <w:rPr>
          <w:rFonts w:asciiTheme="minorHAnsi" w:hAnsiTheme="minorHAnsi"/>
          <w:color w:val="000000" w:themeColor="text1"/>
          <w:sz w:val="20"/>
        </w:rPr>
        <w:t xml:space="preserve">77 Tm de plaguicidas obsoletos identificados por el inventario PNGQ </w:t>
      </w:r>
      <w:r>
        <w:rPr>
          <w:rFonts w:asciiTheme="minorHAnsi" w:hAnsiTheme="minorHAnsi"/>
          <w:sz w:val="20"/>
        </w:rPr>
        <w:t>propiedad de los titulares de todo el país.</w:t>
      </w:r>
    </w:p>
    <w:p w14:paraId="714E294B" w14:textId="4C3401F6" w:rsidR="008F3497" w:rsidRPr="00B63589" w:rsidRDefault="00E877AE" w:rsidP="00B169FC">
      <w:pPr>
        <w:snapToGrid w:val="0"/>
        <w:spacing w:after="120"/>
        <w:jc w:val="both"/>
        <w:rPr>
          <w:rFonts w:asciiTheme="minorHAnsi" w:hAnsiTheme="minorHAnsi" w:cstheme="minorHAnsi"/>
          <w:color w:val="000000" w:themeColor="text1"/>
          <w:sz w:val="20"/>
          <w:szCs w:val="20"/>
        </w:rPr>
      </w:pPr>
      <w:r>
        <w:rPr>
          <w:rFonts w:asciiTheme="minorHAnsi" w:hAnsiTheme="minorHAnsi"/>
          <w:sz w:val="20"/>
        </w:rPr>
        <w:t xml:space="preserve">Además, el proyecto apoyará económicamente la </w:t>
      </w:r>
      <w:r>
        <w:rPr>
          <w:rFonts w:asciiTheme="minorHAnsi" w:hAnsiTheme="minorHAnsi"/>
          <w:color w:val="000000" w:themeColor="text1"/>
          <w:sz w:val="20"/>
        </w:rPr>
        <w:t xml:space="preserve">eliminación nacional </w:t>
      </w:r>
      <w:r>
        <w:rPr>
          <w:rFonts w:asciiTheme="minorHAnsi" w:hAnsiTheme="minorHAnsi"/>
          <w:sz w:val="20"/>
        </w:rPr>
        <w:t>de 58 toneladas de residuos contaminados con DDT propiedad del Ministerio de Salud Pública</w:t>
      </w:r>
      <w:r>
        <w:rPr>
          <w:sz w:val="20"/>
        </w:rPr>
        <w:t>.</w:t>
      </w:r>
    </w:p>
    <w:p w14:paraId="6CB955F3" w14:textId="6A07FB9B" w:rsidR="009B09D0" w:rsidRDefault="00AB3C84" w:rsidP="00B169FC">
      <w:pPr>
        <w:snapToGrid w:val="0"/>
        <w:spacing w:after="120"/>
        <w:jc w:val="both"/>
        <w:rPr>
          <w:rFonts w:asciiTheme="minorHAnsi" w:hAnsiTheme="minorHAnsi" w:cstheme="minorHAnsi"/>
          <w:sz w:val="20"/>
          <w:szCs w:val="20"/>
        </w:rPr>
      </w:pPr>
      <w:r>
        <w:rPr>
          <w:rFonts w:asciiTheme="minorHAnsi" w:hAnsiTheme="minorHAnsi"/>
          <w:sz w:val="20"/>
        </w:rPr>
        <w:t xml:space="preserve">Evitar sustancias peligrosas: </w:t>
      </w:r>
      <w:r w:rsidR="004713BF">
        <w:rPr>
          <w:rFonts w:asciiTheme="minorHAnsi" w:hAnsiTheme="minorHAnsi"/>
          <w:sz w:val="20"/>
        </w:rPr>
        <w:t>c</w:t>
      </w:r>
      <w:r>
        <w:rPr>
          <w:rFonts w:asciiTheme="minorHAnsi" w:hAnsiTheme="minorHAnsi"/>
          <w:sz w:val="20"/>
        </w:rPr>
        <w:t xml:space="preserve">omo primer paso, esta actividad evaluará y aprenderá de las experiencias exitosas del </w:t>
      </w:r>
      <w:r w:rsidR="00E35139">
        <w:rPr>
          <w:rFonts w:asciiTheme="minorHAnsi" w:hAnsiTheme="minorHAnsi"/>
          <w:sz w:val="20"/>
        </w:rPr>
        <w:t>p</w:t>
      </w:r>
      <w:r>
        <w:rPr>
          <w:rFonts w:asciiTheme="minorHAnsi" w:hAnsiTheme="minorHAnsi"/>
          <w:sz w:val="20"/>
        </w:rPr>
        <w:t>royecto P</w:t>
      </w:r>
      <w:r w:rsidR="00E47493">
        <w:rPr>
          <w:rFonts w:asciiTheme="minorHAnsi" w:hAnsiTheme="minorHAnsi"/>
          <w:sz w:val="20"/>
        </w:rPr>
        <w:t>RO</w:t>
      </w:r>
      <w:r>
        <w:rPr>
          <w:rFonts w:asciiTheme="minorHAnsi" w:hAnsiTheme="minorHAnsi"/>
          <w:sz w:val="20"/>
        </w:rPr>
        <w:t xml:space="preserve">Amazonia junto con la Secretaría de Contratación Pública (SERCOP) para replicar las actividades destinadas a la compra responsable en el ámbito del proyecto FARM. Esta actividad también considerará el desarrollo/actualización de los procedimientos de las entidades públicas para evitar la adquisición de sustancias peligrosas, y el personal implicado en la contratación pública recibirá la formación adecuada sobre estos procedimientos. Esta actividad beneficiará especialmente a las unidades de contratación de las siguientes instituciones: ARCSA (MSP), AGROCALIDAD, MAG, CONGOPE y gobiernos municipales. </w:t>
      </w:r>
    </w:p>
    <w:p w14:paraId="4194C890" w14:textId="5A1A8517" w:rsidR="0052538C" w:rsidRDefault="00AB3C84" w:rsidP="00B169FC">
      <w:pPr>
        <w:snapToGrid w:val="0"/>
        <w:spacing w:after="120"/>
        <w:jc w:val="both"/>
        <w:rPr>
          <w:rFonts w:asciiTheme="minorHAnsi" w:hAnsiTheme="minorHAnsi" w:cstheme="minorHAnsi"/>
          <w:sz w:val="20"/>
          <w:szCs w:val="20"/>
        </w:rPr>
      </w:pPr>
      <w:r>
        <w:rPr>
          <w:rFonts w:asciiTheme="minorHAnsi" w:hAnsiTheme="minorHAnsi"/>
          <w:sz w:val="20"/>
        </w:rPr>
        <w:t>Además, para prevenir y minimizar la caducidad de estos productos, esta actividad incluye la formación y sensibilización de los principales actores de la cadena de valor agrícola (producción, distribución, comercialización y uso) mediante la introducción de buenas prácticas, tales como los procedimientos de compra sostenible. Para ello, esta actividad se basará en los esfuerzos ya realizados por el PNGQ y mejorará la difusión de conocimientos.</w:t>
      </w:r>
    </w:p>
    <w:p w14:paraId="45B2A1CF" w14:textId="24A65B77" w:rsidR="004D2CA4" w:rsidRPr="0061320A" w:rsidRDefault="004D2CA4" w:rsidP="00B169FC">
      <w:pPr>
        <w:snapToGrid w:val="0"/>
        <w:spacing w:after="120"/>
        <w:jc w:val="both"/>
        <w:rPr>
          <w:rFonts w:asciiTheme="minorHAnsi" w:hAnsiTheme="minorHAnsi" w:cstheme="minorHAnsi"/>
          <w:sz w:val="20"/>
          <w:szCs w:val="20"/>
        </w:rPr>
      </w:pPr>
      <w:r>
        <w:rPr>
          <w:rFonts w:ascii="Calibri" w:hAnsi="Calibri"/>
          <w:sz w:val="20"/>
        </w:rPr>
        <w:t xml:space="preserve">En particular, esta actividad </w:t>
      </w:r>
      <w:r>
        <w:rPr>
          <w:rFonts w:ascii="Calibri" w:hAnsi="Calibri"/>
          <w:color w:val="000000" w:themeColor="text1"/>
          <w:sz w:val="20"/>
        </w:rPr>
        <w:t xml:space="preserve">apoyará a la Dirección Nacional de Estrategias de Prevención y Control </w:t>
      </w:r>
      <w:r>
        <w:rPr>
          <w:rFonts w:ascii="Calibri" w:hAnsi="Calibri"/>
          <w:sz w:val="20"/>
        </w:rPr>
        <w:t xml:space="preserve">del Ministerio de Salud Pública (MSP) para disponer de procedimientos en relación a la gestión de plaguicidas (incluyendo compra, almacenamiento, registros, gestión y eliminación) a nivel nacional, regional y distrital, con el fin de mejorar la gestión de las </w:t>
      </w:r>
      <w:r w:rsidR="00206AD8">
        <w:rPr>
          <w:rFonts w:ascii="Calibri" w:hAnsi="Calibri"/>
          <w:sz w:val="20"/>
        </w:rPr>
        <w:t xml:space="preserve">cantidades almacenadas </w:t>
      </w:r>
      <w:r>
        <w:rPr>
          <w:rFonts w:ascii="Calibri" w:hAnsi="Calibri"/>
          <w:sz w:val="20"/>
        </w:rPr>
        <w:t xml:space="preserve"> actuales, y minimizar la generación de residuos de plaguicidas propiedad de las bodegas nacionales, zonales y distritales para el control de enfermedades metaxénicas y zoonóticas.</w:t>
      </w:r>
    </w:p>
    <w:p w14:paraId="24939AD9" w14:textId="0EF8AC6E" w:rsidR="00584CA3" w:rsidRPr="001428F5" w:rsidRDefault="001428F5"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 xml:space="preserve">b) Creación de capacidad de gestión de residuos plásticos: </w:t>
      </w:r>
    </w:p>
    <w:p w14:paraId="66A08A3B" w14:textId="4C7E6029" w:rsidR="00C02AAE" w:rsidRPr="00341EBC" w:rsidRDefault="009E2BCC" w:rsidP="00B169FC">
      <w:pPr>
        <w:pStyle w:val="Prrafodelista"/>
        <w:spacing w:after="120"/>
        <w:ind w:left="0"/>
        <w:jc w:val="both"/>
        <w:rPr>
          <w:rFonts w:asciiTheme="minorHAnsi" w:eastAsia="Arial Unicode MS" w:hAnsiTheme="minorHAnsi" w:cstheme="minorHAnsi"/>
          <w:color w:val="FF0000"/>
          <w:sz w:val="20"/>
          <w:szCs w:val="20"/>
          <w:bdr w:val="none" w:sz="0" w:space="0" w:color="auto" w:frame="1"/>
        </w:rPr>
      </w:pPr>
      <w:r>
        <w:rPr>
          <w:rFonts w:asciiTheme="minorHAnsi" w:hAnsiTheme="minorHAnsi"/>
          <w:sz w:val="20"/>
        </w:rPr>
        <w:t xml:space="preserve">Se </w:t>
      </w:r>
      <w:r>
        <w:rPr>
          <w:rFonts w:asciiTheme="minorHAnsi" w:hAnsiTheme="minorHAnsi"/>
          <w:sz w:val="20"/>
          <w:bdr w:val="none" w:sz="0" w:space="0" w:color="auto" w:frame="1"/>
        </w:rPr>
        <w:t>diseñará, implementará, probará y refinará un modelo de negocio para llevar a cabo una operación económicamente sostenible para la gestión integral de residuos plásticos relacionados con agroquímicos (</w:t>
      </w:r>
      <w:r>
        <w:rPr>
          <w:rFonts w:asciiTheme="minorHAnsi" w:hAnsiTheme="minorHAnsi"/>
          <w:sz w:val="20"/>
        </w:rPr>
        <w:t xml:space="preserve">envases vacíos, fundas de plástico utilizadas para cubrir y proteger la fruta durante la maduración, lámina de plástico utilizada para cubrir invernaderos y otros) </w:t>
      </w:r>
      <w:r>
        <w:rPr>
          <w:rFonts w:asciiTheme="minorHAnsi" w:hAnsiTheme="minorHAnsi"/>
          <w:sz w:val="20"/>
          <w:bdr w:val="none" w:sz="0" w:space="0" w:color="auto" w:frame="1"/>
        </w:rPr>
        <w:t xml:space="preserve">con COPs o plaguicidas altamente peligrosos. Se seleccionará una Organización de la Sociedad Civil (OSC), que recibirá asistencia técnica y </w:t>
      </w:r>
      <w:r>
        <w:rPr>
          <w:rFonts w:asciiTheme="minorHAnsi" w:hAnsiTheme="minorHAnsi"/>
          <w:color w:val="000000" w:themeColor="text1"/>
          <w:sz w:val="20"/>
          <w:bdr w:val="none" w:sz="0" w:space="0" w:color="auto" w:frame="1"/>
        </w:rPr>
        <w:t>formación sobre el modelo de negocio para poner en marcha el proyecto piloto. Esto se llevará a cabo bajo la dirección de la Unidad de Coordinación del Proyecto (UCP) y la participación de los productores de cultivos en: i) la producción de banano ubicada en El Guabo (Provincia de El Oro) y ii) la producción de flores ubicada en Pedro Moncayo (Provincia de Pichincha).</w:t>
      </w:r>
    </w:p>
    <w:p w14:paraId="4C5131FC" w14:textId="78BBA4C6" w:rsidR="00584CA3" w:rsidRPr="00584CA3" w:rsidRDefault="00584CA3" w:rsidP="00B169FC">
      <w:pPr>
        <w:pStyle w:val="Prrafodelista"/>
        <w:spacing w:after="120"/>
        <w:ind w:left="0"/>
        <w:jc w:val="both"/>
        <w:rPr>
          <w:rFonts w:asciiTheme="minorHAnsi" w:eastAsia="Arial Unicode MS" w:hAnsiTheme="minorHAnsi" w:cstheme="minorHAnsi"/>
          <w:sz w:val="20"/>
          <w:szCs w:val="20"/>
          <w:bdr w:val="none" w:sz="0" w:space="0" w:color="auto" w:frame="1"/>
        </w:rPr>
      </w:pPr>
      <w:r>
        <w:rPr>
          <w:rFonts w:asciiTheme="minorHAnsi" w:hAnsiTheme="minorHAnsi"/>
          <w:sz w:val="20"/>
          <w:bdr w:val="none" w:sz="0" w:space="0" w:color="auto" w:frame="1"/>
        </w:rPr>
        <w:t>El proyecto piloto se centrará en la aplicación de las MTD/MPA para la gestión de residuos plásticos agrícolas y estudiará su correcta manipulación: almacenamiento, enjuag</w:t>
      </w:r>
      <w:r w:rsidR="00482C3C">
        <w:rPr>
          <w:rFonts w:asciiTheme="minorHAnsi" w:hAnsiTheme="minorHAnsi"/>
          <w:sz w:val="20"/>
          <w:bdr w:val="none" w:sz="0" w:space="0" w:color="auto" w:frame="1"/>
        </w:rPr>
        <w:t>u</w:t>
      </w:r>
      <w:r>
        <w:rPr>
          <w:rFonts w:asciiTheme="minorHAnsi" w:hAnsiTheme="minorHAnsi"/>
          <w:sz w:val="20"/>
          <w:bdr w:val="none" w:sz="0" w:space="0" w:color="auto" w:frame="1"/>
        </w:rPr>
        <w:t>e, trituración, compactación y reciclado en productos semiacabados. En particular, se buscará la potencial recuperación de materiales a través del reciclado. Además, el proyecto piloto incluirá actividades para minimizar el uso del plástico y la generación de residuos, así como la evaluación y adopción de alternativas para el plástico de uso agrícola. Los resultados del proyecto piloto se utilizarán para identificar las mejores tecnologías y prácticas que puedan proyectarse y desplegarse a escala nacional en una fase posterior.</w:t>
      </w:r>
    </w:p>
    <w:p w14:paraId="61F7703B" w14:textId="77777777" w:rsidR="00584CA3" w:rsidRPr="00584CA3" w:rsidRDefault="00584CA3" w:rsidP="00B169FC">
      <w:pPr>
        <w:pStyle w:val="Prrafodelista"/>
        <w:spacing w:after="120"/>
        <w:ind w:left="0"/>
        <w:jc w:val="both"/>
        <w:rPr>
          <w:rFonts w:asciiTheme="minorHAnsi" w:eastAsia="Arial Unicode MS" w:hAnsiTheme="minorHAnsi" w:cstheme="minorHAnsi"/>
          <w:sz w:val="20"/>
          <w:szCs w:val="20"/>
          <w:bdr w:val="none" w:sz="0" w:space="0" w:color="auto" w:frame="1"/>
        </w:rPr>
      </w:pPr>
      <w:r>
        <w:rPr>
          <w:rFonts w:asciiTheme="minorHAnsi" w:hAnsiTheme="minorHAnsi"/>
          <w:sz w:val="20"/>
          <w:bdr w:val="none" w:sz="0" w:space="0" w:color="auto" w:frame="1"/>
        </w:rPr>
        <w:t>Los cultivadores serán seleccionados como socios en función de su interés en participar, y se fomentará la participación de las mujeres. Se identificarán y cuantificarán la cantidad y el tipo de residuos plásticos. Y a partir de ahí, se diseña, implementa, prueba y ajusta un sistema de gestión. Al final del proyecto piloto, se desarrollará la replicabilidad y la escalabilidad, se elaborarán directrices y se impartirá formación para la replicación. Esta actividad tiene potencial de creación de empleo gracias a su ejecución y replicabilidad.</w:t>
      </w:r>
    </w:p>
    <w:p w14:paraId="24D02BC2" w14:textId="3FA9CD15" w:rsidR="00C02AAE" w:rsidRPr="00E22947" w:rsidRDefault="00584CA3" w:rsidP="00B169F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Theme="minorHAnsi" w:hAnsiTheme="minorHAnsi" w:cstheme="minorHAnsi"/>
          <w:color w:val="auto"/>
          <w:sz w:val="20"/>
          <w:szCs w:val="20"/>
        </w:rPr>
      </w:pPr>
      <w:r>
        <w:rPr>
          <w:rFonts w:asciiTheme="minorHAnsi" w:hAnsiTheme="minorHAnsi"/>
          <w:sz w:val="20"/>
          <w:bdr w:val="none" w:sz="0" w:space="0" w:color="auto" w:frame="1"/>
        </w:rPr>
        <w:t xml:space="preserve">La secuencia de implementación de la actividad es: a) Preparación de OSC para implementar el piloto:  i) Selección de las OSC, ii) Formación de las OSC, iii) Acompañamiento del modelo de negocio; b) </w:t>
      </w:r>
      <w:r>
        <w:rPr>
          <w:rFonts w:asciiTheme="minorHAnsi" w:hAnsiTheme="minorHAnsi"/>
          <w:color w:val="auto"/>
          <w:sz w:val="20"/>
        </w:rPr>
        <w:t xml:space="preserve">Implementación piloto: i) Acuerdos desarrollados con OSC, ii) Identificación de empresas de </w:t>
      </w:r>
      <w:r w:rsidR="00482C3C">
        <w:rPr>
          <w:rFonts w:asciiTheme="minorHAnsi" w:hAnsiTheme="minorHAnsi"/>
          <w:color w:val="auto"/>
          <w:sz w:val="20"/>
        </w:rPr>
        <w:t>a</w:t>
      </w:r>
      <w:r>
        <w:rPr>
          <w:rFonts w:asciiTheme="minorHAnsi" w:hAnsiTheme="minorHAnsi"/>
          <w:color w:val="auto"/>
          <w:sz w:val="20"/>
        </w:rPr>
        <w:t xml:space="preserve">groquímicos y </w:t>
      </w:r>
      <w:r w:rsidR="00482C3C">
        <w:rPr>
          <w:rFonts w:asciiTheme="minorHAnsi" w:hAnsiTheme="minorHAnsi"/>
          <w:sz w:val="20"/>
          <w:bdr w:val="none" w:sz="0" w:space="0" w:color="auto" w:frame="1"/>
        </w:rPr>
        <w:t>p</w:t>
      </w:r>
      <w:r>
        <w:rPr>
          <w:rFonts w:asciiTheme="minorHAnsi" w:hAnsiTheme="minorHAnsi"/>
          <w:sz w:val="20"/>
          <w:bdr w:val="none" w:sz="0" w:space="0" w:color="auto" w:frame="1"/>
        </w:rPr>
        <w:t>lásticos y empresas de tratamiento/gestión de residuos peligrosos.</w:t>
      </w:r>
    </w:p>
    <w:p w14:paraId="2884C823" w14:textId="39651ABA" w:rsidR="00535B19" w:rsidRDefault="00CF62F0" w:rsidP="00B169FC">
      <w:pPr>
        <w:pStyle w:val="Default"/>
        <w:spacing w:after="120"/>
        <w:jc w:val="both"/>
        <w:rPr>
          <w:rFonts w:ascii="Calibri" w:hAnsi="Calibri" w:cs="Calibri"/>
          <w:color w:val="auto"/>
          <w:sz w:val="20"/>
          <w:szCs w:val="20"/>
        </w:rPr>
      </w:pPr>
      <w:r>
        <w:rPr>
          <w:rFonts w:ascii="Calibri" w:hAnsi="Calibri"/>
          <w:color w:val="auto"/>
          <w:sz w:val="20"/>
        </w:rPr>
        <w:t xml:space="preserve">Esta actividad también identificará las iniciativas actuales de reciclado/infrarreciclaje (downclycling) de plásticos agrícolas en el país y dará apoyo para desarrollar licencias medioambientales. Además, seguirá ampliando la campaña "aliados del medio ambiente" a escala nacional para reforzar la concienciación sobre la identificación, recolección y eliminación final no sólo de los envases vacíos, sino también de todos los plásticos que intervienen en la producción de cultivos. </w:t>
      </w:r>
    </w:p>
    <w:p w14:paraId="143DF80F" w14:textId="569CE172" w:rsidR="00364123" w:rsidRDefault="003051C5" w:rsidP="00B169FC">
      <w:pPr>
        <w:spacing w:after="120"/>
        <w:jc w:val="both"/>
        <w:rPr>
          <w:rFonts w:asciiTheme="minorHAnsi" w:hAnsiTheme="minorHAnsi" w:cstheme="minorHAnsi"/>
          <w:sz w:val="20"/>
          <w:szCs w:val="20"/>
        </w:rPr>
      </w:pPr>
      <w:r>
        <w:rPr>
          <w:rFonts w:asciiTheme="minorHAnsi" w:hAnsiTheme="minorHAnsi"/>
          <w:b/>
          <w:sz w:val="20"/>
        </w:rPr>
        <w:t xml:space="preserve">Resultado 2.6: </w:t>
      </w:r>
      <w:r>
        <w:rPr>
          <w:rFonts w:asciiTheme="minorHAnsi" w:hAnsiTheme="minorHAnsi"/>
          <w:sz w:val="20"/>
        </w:rPr>
        <w:t xml:space="preserve">Desarrollo de un </w:t>
      </w:r>
      <w:r w:rsidR="00F253D9">
        <w:rPr>
          <w:rFonts w:asciiTheme="minorHAnsi" w:hAnsiTheme="minorHAnsi"/>
          <w:sz w:val="20"/>
        </w:rPr>
        <w:t>M</w:t>
      </w:r>
      <w:r>
        <w:rPr>
          <w:rFonts w:asciiTheme="minorHAnsi" w:hAnsiTheme="minorHAnsi"/>
          <w:sz w:val="20"/>
        </w:rPr>
        <w:t xml:space="preserve">ecanismo de </w:t>
      </w:r>
      <w:r w:rsidR="00F253D9">
        <w:rPr>
          <w:rFonts w:asciiTheme="minorHAnsi" w:hAnsiTheme="minorHAnsi"/>
          <w:sz w:val="20"/>
        </w:rPr>
        <w:t>F</w:t>
      </w:r>
      <w:r>
        <w:rPr>
          <w:rFonts w:asciiTheme="minorHAnsi" w:hAnsiTheme="minorHAnsi"/>
          <w:sz w:val="20"/>
        </w:rPr>
        <w:t xml:space="preserve">ondos </w:t>
      </w:r>
      <w:r w:rsidR="00F253D9">
        <w:rPr>
          <w:rFonts w:asciiTheme="minorHAnsi" w:hAnsiTheme="minorHAnsi"/>
          <w:sz w:val="20"/>
        </w:rPr>
        <w:t>C</w:t>
      </w:r>
      <w:r>
        <w:rPr>
          <w:rFonts w:asciiTheme="minorHAnsi" w:hAnsiTheme="minorHAnsi"/>
          <w:sz w:val="20"/>
        </w:rPr>
        <w:t>oncursables para identificar y financiar propuestas e iniciativas innovadoras para reducir el uso de PAPs.</w:t>
      </w:r>
    </w:p>
    <w:p w14:paraId="238B94D1" w14:textId="4EA9FA22" w:rsidR="00364123" w:rsidRDefault="00320C03" w:rsidP="00B169FC">
      <w:pPr>
        <w:spacing w:after="120"/>
        <w:jc w:val="both"/>
        <w:rPr>
          <w:rFonts w:asciiTheme="minorHAnsi" w:hAnsiTheme="minorHAnsi" w:cstheme="minorHAnsi"/>
          <w:sz w:val="20"/>
          <w:szCs w:val="20"/>
        </w:rPr>
      </w:pPr>
      <w:r>
        <w:rPr>
          <w:rFonts w:asciiTheme="minorHAnsi" w:hAnsiTheme="minorHAnsi"/>
          <w:sz w:val="20"/>
        </w:rPr>
        <w:t>A través de este Resultado y basándose en las experiencias exitosas previas y en las lecciones aprendidas del PNGQ y del Programa de Pequeñas Donaciones del FMAM</w:t>
      </w:r>
      <w:r w:rsidR="003716B1">
        <w:rPr>
          <w:rStyle w:val="Refdenotaalpie"/>
          <w:rFonts w:cstheme="minorHAnsi"/>
          <w:szCs w:val="20"/>
          <w:lang w:val="en-US"/>
        </w:rPr>
        <w:footnoteReference w:id="22"/>
      </w:r>
      <w:r>
        <w:rPr>
          <w:rFonts w:asciiTheme="minorHAnsi" w:hAnsiTheme="minorHAnsi"/>
          <w:sz w:val="20"/>
        </w:rPr>
        <w:t>, el proyecto desarrollará un Mecanismo de Fondos Concursables para financiar 3 iniciativas agrícolas innovadoras y verdes que cumplan con las características requeridas.</w:t>
      </w:r>
    </w:p>
    <w:p w14:paraId="15290CFE" w14:textId="55FCFB1C" w:rsidR="008B3A4C" w:rsidRDefault="008B3A4C" w:rsidP="00D30427">
      <w:pPr>
        <w:spacing w:after="120"/>
        <w:jc w:val="both"/>
        <w:rPr>
          <w:rFonts w:asciiTheme="minorHAnsi" w:hAnsiTheme="minorHAnsi" w:cstheme="minorHAnsi"/>
          <w:sz w:val="20"/>
          <w:szCs w:val="20"/>
        </w:rPr>
      </w:pPr>
      <w:r>
        <w:rPr>
          <w:rFonts w:asciiTheme="minorHAnsi" w:hAnsiTheme="minorHAnsi"/>
          <w:sz w:val="20"/>
        </w:rPr>
        <w:t xml:space="preserve">Como se indica en el </w:t>
      </w:r>
      <w:r w:rsidR="00E23E05">
        <w:rPr>
          <w:rFonts w:asciiTheme="minorHAnsi" w:hAnsiTheme="minorHAnsi"/>
          <w:sz w:val="20"/>
        </w:rPr>
        <w:t>R</w:t>
      </w:r>
      <w:r>
        <w:rPr>
          <w:rFonts w:asciiTheme="minorHAnsi" w:hAnsiTheme="minorHAnsi"/>
          <w:sz w:val="20"/>
        </w:rPr>
        <w:t>iesgo 6, el Mecanismo de Fondos Concursables incorporará los criterios de EAS</w:t>
      </w:r>
      <w:r w:rsidR="00D30427">
        <w:rPr>
          <w:rFonts w:asciiTheme="minorHAnsi" w:hAnsiTheme="minorHAnsi"/>
          <w:sz w:val="20"/>
        </w:rPr>
        <w:t xml:space="preserve"> (</w:t>
      </w:r>
      <w:r w:rsidR="00D30427" w:rsidRPr="00D30427">
        <w:rPr>
          <w:rFonts w:asciiTheme="minorHAnsi" w:hAnsiTheme="minorHAnsi"/>
          <w:sz w:val="20"/>
        </w:rPr>
        <w:t>Estándares Ambientales y Sociales</w:t>
      </w:r>
      <w:r w:rsidR="00D30427">
        <w:rPr>
          <w:rFonts w:asciiTheme="minorHAnsi" w:hAnsiTheme="minorHAnsi"/>
          <w:sz w:val="20"/>
        </w:rPr>
        <w:t>)</w:t>
      </w:r>
      <w:r>
        <w:rPr>
          <w:rFonts w:asciiTheme="minorHAnsi" w:hAnsiTheme="minorHAnsi"/>
          <w:sz w:val="20"/>
        </w:rPr>
        <w:t xml:space="preserve"> durante el proceso de selección, incluida la evaluación de los lugares d</w:t>
      </w:r>
      <w:r w:rsidR="00482C3C">
        <w:rPr>
          <w:rFonts w:asciiTheme="minorHAnsi" w:hAnsiTheme="minorHAnsi"/>
          <w:sz w:val="20"/>
        </w:rPr>
        <w:t>o</w:t>
      </w:r>
      <w:r>
        <w:rPr>
          <w:rFonts w:asciiTheme="minorHAnsi" w:hAnsiTheme="minorHAnsi"/>
          <w:sz w:val="20"/>
        </w:rPr>
        <w:t>nde se desarrollan estas actividades. Esto se aclarará mediante un procedimiento operativo de salvaguardia para el Mecanismo de Fondos Concursables, que se establecerá antes de la puesta en marcha del mecanismo. Esto incluirá una lista de criterios de exclusión para eliminar los lugares de alto riesgo y las actividades que puedan provocar desplazamientos económicos o físicos. Todas las iniciativas de subvención propuestas se someterán a un análisis ambiental</w:t>
      </w:r>
      <w:r w:rsidR="00CE32E6">
        <w:rPr>
          <w:rFonts w:asciiTheme="minorHAnsi" w:hAnsiTheme="minorHAnsi"/>
          <w:sz w:val="20"/>
        </w:rPr>
        <w:t xml:space="preserve"> </w:t>
      </w:r>
      <w:r>
        <w:rPr>
          <w:rFonts w:asciiTheme="minorHAnsi" w:hAnsiTheme="minorHAnsi"/>
          <w:sz w:val="20"/>
        </w:rPr>
        <w:t>y social para determinar el nivel de evaluación/</w:t>
      </w:r>
      <w:r w:rsidR="00206AD8">
        <w:rPr>
          <w:rFonts w:asciiTheme="minorHAnsi" w:hAnsiTheme="minorHAnsi"/>
          <w:sz w:val="20"/>
        </w:rPr>
        <w:t>gestión necesaria</w:t>
      </w:r>
      <w:r>
        <w:rPr>
          <w:rFonts w:asciiTheme="minorHAnsi" w:hAnsiTheme="minorHAnsi"/>
          <w:sz w:val="20"/>
        </w:rPr>
        <w:t>, si fuera el caso, según el procedimiento de salvaguardia operativa.</w:t>
      </w:r>
    </w:p>
    <w:p w14:paraId="53C0CA8C" w14:textId="2E81253E" w:rsidR="00D65BFD" w:rsidRDefault="00D65BFD"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2.6:</w:t>
      </w:r>
    </w:p>
    <w:p w14:paraId="2FC6A0BB" w14:textId="078928BA" w:rsidR="00151728" w:rsidRPr="00037BA4" w:rsidRDefault="00897329"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Definición de Mecanismo de Fondos Concursables (MFC): basándose en las mejores prácticas de la estrategia desarrollada por el PNGQ y el Programa de Pequeñas Donaciones (PPD), esta actividad elaborará y aprobará una estrategia para el establecimiento de un </w:t>
      </w:r>
      <w:r w:rsidR="00F253D9">
        <w:rPr>
          <w:rFonts w:asciiTheme="minorHAnsi" w:hAnsiTheme="minorHAnsi"/>
          <w:color w:val="000000" w:themeColor="text1"/>
          <w:sz w:val="20"/>
        </w:rPr>
        <w:t>M</w:t>
      </w:r>
      <w:r>
        <w:rPr>
          <w:rFonts w:asciiTheme="minorHAnsi" w:hAnsiTheme="minorHAnsi"/>
          <w:color w:val="000000" w:themeColor="text1"/>
          <w:sz w:val="20"/>
        </w:rPr>
        <w:t xml:space="preserve">ecanismo de </w:t>
      </w:r>
      <w:r w:rsidR="00F253D9">
        <w:rPr>
          <w:rFonts w:asciiTheme="minorHAnsi" w:hAnsiTheme="minorHAnsi"/>
          <w:color w:val="000000" w:themeColor="text1"/>
          <w:sz w:val="20"/>
        </w:rPr>
        <w:t>F</w:t>
      </w:r>
      <w:r>
        <w:rPr>
          <w:rFonts w:asciiTheme="minorHAnsi" w:hAnsiTheme="minorHAnsi"/>
          <w:color w:val="000000" w:themeColor="text1"/>
          <w:sz w:val="20"/>
        </w:rPr>
        <w:t xml:space="preserve">ondos </w:t>
      </w:r>
      <w:r w:rsidR="00F253D9">
        <w:rPr>
          <w:rFonts w:asciiTheme="minorHAnsi" w:hAnsiTheme="minorHAnsi"/>
          <w:color w:val="000000" w:themeColor="text1"/>
          <w:sz w:val="20"/>
        </w:rPr>
        <w:t>C</w:t>
      </w:r>
      <w:r>
        <w:rPr>
          <w:rFonts w:asciiTheme="minorHAnsi" w:hAnsiTheme="minorHAnsi"/>
          <w:color w:val="000000" w:themeColor="text1"/>
          <w:sz w:val="20"/>
        </w:rPr>
        <w:t xml:space="preserve">oncursables que estimule propuestas innovadoras que promuevan el desarrollo de soluciones a problemas sociales y/o medioambientales en el sector agrícola. Este fondo concursable estudiará iniciativas centradas en la reducción del uso de PAPs, así como en la gestión ambiental adecuada de los plásticos agrícolas. La estrategia incorpora consideraciones de género y promoverá la capacitación de las mujeres en el sector agrícola. La estrategia también incluye un paquete de solicitud (modelo de propuesta, presupuesto, periodo de ejecución y documentación de apoyo) y procedimientos de seguimiento e información. </w:t>
      </w:r>
    </w:p>
    <w:p w14:paraId="30C6F564" w14:textId="33EC25C3" w:rsidR="004104F3" w:rsidRPr="00897329" w:rsidRDefault="00897329"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b) Comunicación del MFC: una vez definido el mecanismo, el </w:t>
      </w:r>
      <w:r w:rsidR="00CE32E6">
        <w:rPr>
          <w:rFonts w:asciiTheme="minorHAnsi" w:hAnsiTheme="minorHAnsi"/>
          <w:color w:val="000000" w:themeColor="text1"/>
          <w:sz w:val="20"/>
        </w:rPr>
        <w:t>p</w:t>
      </w:r>
      <w:r>
        <w:rPr>
          <w:rFonts w:asciiTheme="minorHAnsi" w:hAnsiTheme="minorHAnsi"/>
          <w:color w:val="000000" w:themeColor="text1"/>
          <w:sz w:val="20"/>
        </w:rPr>
        <w:t>royecto procederá a divulgar y compartir información sobre las oportunidades de financiación del MFC a escala nacional con los socios del proyecto y las partes interesadas. Se publicará una convocatoria de candidaturas.</w:t>
      </w:r>
    </w:p>
    <w:p w14:paraId="6EBC1C00" w14:textId="05717A8B" w:rsidR="00A03EF6" w:rsidRPr="00897329" w:rsidRDefault="00897329"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c) Evaluación de las propuestas: el proyecto definirá un Comité de Evaluación para analizar y evaluar las solicitudes recibidas, que se valorarán desde una perspectiva técnica y financiera. Como resultado de los procesos de evaluación, se seleccionarán 3 iniciativas para recibir apoyo del proyecto. Entre las iniciativas seleccionadas: i) al menos 1 debe apoyar a una organización con un enfoque de género/grupos liderados por mujeres, ii) al menos 1 debe ser una propuesta de la academia (o en alianza con la academia)</w:t>
      </w:r>
      <w:r w:rsidR="00CE32E6">
        <w:rPr>
          <w:rFonts w:asciiTheme="minorHAnsi" w:hAnsiTheme="minorHAnsi"/>
          <w:color w:val="000000" w:themeColor="text1"/>
          <w:sz w:val="20"/>
        </w:rPr>
        <w:t xml:space="preserve"> y</w:t>
      </w:r>
      <w:r>
        <w:rPr>
          <w:rFonts w:asciiTheme="minorHAnsi" w:hAnsiTheme="minorHAnsi"/>
          <w:color w:val="000000" w:themeColor="text1"/>
          <w:sz w:val="20"/>
        </w:rPr>
        <w:t xml:space="preserve"> iii) al menos 1 debe incluir una propuesta de reciclaje de residuos plásticos.</w:t>
      </w:r>
    </w:p>
    <w:p w14:paraId="405FD85E" w14:textId="016FEFD6" w:rsidR="00E77431" w:rsidRPr="00037BA4" w:rsidRDefault="00897329"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d) Puesta en marcha de iniciativas: </w:t>
      </w:r>
      <w:r w:rsidR="004713BF">
        <w:rPr>
          <w:rFonts w:asciiTheme="minorHAnsi" w:hAnsiTheme="minorHAnsi"/>
          <w:color w:val="000000" w:themeColor="text1"/>
          <w:sz w:val="20"/>
        </w:rPr>
        <w:t>e</w:t>
      </w:r>
      <w:r>
        <w:rPr>
          <w:rFonts w:asciiTheme="minorHAnsi" w:hAnsiTheme="minorHAnsi"/>
          <w:color w:val="000000" w:themeColor="text1"/>
          <w:sz w:val="20"/>
        </w:rPr>
        <w:t xml:space="preserve">l </w:t>
      </w:r>
      <w:r w:rsidR="00CE32E6">
        <w:rPr>
          <w:rFonts w:asciiTheme="minorHAnsi" w:hAnsiTheme="minorHAnsi"/>
          <w:color w:val="000000" w:themeColor="text1"/>
          <w:sz w:val="20"/>
        </w:rPr>
        <w:t>p</w:t>
      </w:r>
      <w:r>
        <w:rPr>
          <w:rFonts w:asciiTheme="minorHAnsi" w:hAnsiTheme="minorHAnsi"/>
          <w:color w:val="000000" w:themeColor="text1"/>
          <w:sz w:val="20"/>
        </w:rPr>
        <w:t xml:space="preserve">royecto financiará la ejecución de las actividades diseñadas en el marco de cada una de las iniciativas seleccionadas y se encargará de supervisar periódicamente la ejecución y los resultados. Cada una de las iniciativas seleccionadas dispondrá de un presupuesto de 50.000 USD para la realización de sus actividades. </w:t>
      </w:r>
    </w:p>
    <w:p w14:paraId="20B47E53" w14:textId="5D6CCDCF" w:rsidR="006F6609" w:rsidRPr="004443E9" w:rsidRDefault="00897329"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e) Captura de lecciones aprendidas: </w:t>
      </w:r>
      <w:r w:rsidR="004713BF">
        <w:rPr>
          <w:rFonts w:asciiTheme="minorHAnsi" w:hAnsiTheme="minorHAnsi"/>
          <w:color w:val="000000" w:themeColor="text1"/>
          <w:sz w:val="20"/>
        </w:rPr>
        <w:t>e</w:t>
      </w:r>
      <w:r>
        <w:rPr>
          <w:rFonts w:asciiTheme="minorHAnsi" w:hAnsiTheme="minorHAnsi"/>
          <w:color w:val="000000" w:themeColor="text1"/>
          <w:sz w:val="20"/>
        </w:rPr>
        <w:t xml:space="preserve">l </w:t>
      </w:r>
      <w:r w:rsidR="00CE32E6">
        <w:rPr>
          <w:rFonts w:asciiTheme="minorHAnsi" w:hAnsiTheme="minorHAnsi"/>
          <w:color w:val="000000" w:themeColor="text1"/>
          <w:sz w:val="20"/>
        </w:rPr>
        <w:t>p</w:t>
      </w:r>
      <w:r>
        <w:rPr>
          <w:rFonts w:asciiTheme="minorHAnsi" w:hAnsiTheme="minorHAnsi"/>
          <w:color w:val="000000" w:themeColor="text1"/>
          <w:sz w:val="20"/>
        </w:rPr>
        <w:t xml:space="preserve">royecto garantizará que cada una de las iniciativas documente las lecciones aprendidas a través de un </w:t>
      </w:r>
      <w:r w:rsidR="00CE32E6">
        <w:rPr>
          <w:rFonts w:asciiTheme="minorHAnsi" w:hAnsiTheme="minorHAnsi"/>
          <w:color w:val="000000" w:themeColor="text1"/>
          <w:sz w:val="20"/>
        </w:rPr>
        <w:t>i</w:t>
      </w:r>
      <w:r>
        <w:rPr>
          <w:rFonts w:asciiTheme="minorHAnsi" w:hAnsiTheme="minorHAnsi"/>
          <w:color w:val="000000" w:themeColor="text1"/>
          <w:sz w:val="20"/>
        </w:rPr>
        <w:t xml:space="preserve">nforme </w:t>
      </w:r>
      <w:r w:rsidR="00CE32E6">
        <w:rPr>
          <w:rFonts w:asciiTheme="minorHAnsi" w:hAnsiTheme="minorHAnsi"/>
          <w:color w:val="000000" w:themeColor="text1"/>
          <w:sz w:val="20"/>
        </w:rPr>
        <w:t>f</w:t>
      </w:r>
      <w:r>
        <w:rPr>
          <w:rFonts w:asciiTheme="minorHAnsi" w:hAnsiTheme="minorHAnsi"/>
          <w:color w:val="000000" w:themeColor="text1"/>
          <w:sz w:val="20"/>
        </w:rPr>
        <w:t>inal y diseñe una estrategia de comunicación para difundirlas dirigiéndose a audiencias clave con el fin de promover su réplica a nivel nacional.</w:t>
      </w:r>
    </w:p>
    <w:p w14:paraId="150F981A" w14:textId="322064B4" w:rsidR="006F6609" w:rsidRPr="00D67C4C" w:rsidRDefault="006F6609" w:rsidP="00B169FC">
      <w:pPr>
        <w:spacing w:after="120"/>
        <w:jc w:val="both"/>
        <w:rPr>
          <w:rFonts w:asciiTheme="minorHAnsi" w:hAnsiTheme="minorHAnsi" w:cstheme="minorHAnsi"/>
          <w:iCs/>
          <w:sz w:val="20"/>
          <w:szCs w:val="20"/>
        </w:rPr>
      </w:pPr>
      <w:r>
        <w:rPr>
          <w:rFonts w:asciiTheme="minorHAnsi" w:hAnsiTheme="minorHAnsi"/>
          <w:b/>
          <w:sz w:val="20"/>
        </w:rPr>
        <w:t>COMPONENTE 3 DEL PROYECTO</w:t>
      </w:r>
      <w:r w:rsidR="00CE32E6">
        <w:rPr>
          <w:rFonts w:asciiTheme="minorHAnsi" w:hAnsiTheme="minorHAnsi"/>
          <w:b/>
          <w:sz w:val="20"/>
        </w:rPr>
        <w:t>:</w:t>
      </w:r>
      <w:r>
        <w:rPr>
          <w:rFonts w:asciiTheme="minorHAnsi" w:hAnsiTheme="minorHAnsi"/>
          <w:b/>
          <w:sz w:val="20"/>
        </w:rPr>
        <w:t xml:space="preserve"> </w:t>
      </w:r>
      <w:r>
        <w:rPr>
          <w:rFonts w:asciiTheme="minorHAnsi" w:hAnsiTheme="minorHAnsi"/>
          <w:sz w:val="20"/>
        </w:rPr>
        <w:t>DESARROLLO DE CAPACIDADES Y DIFUSIÓN DE CONOCIMIENTOS</w:t>
      </w:r>
    </w:p>
    <w:p w14:paraId="20270C4D" w14:textId="09AB87A5" w:rsidR="006F6609" w:rsidRPr="00D67C4C" w:rsidRDefault="006F6609" w:rsidP="00B169FC">
      <w:pPr>
        <w:spacing w:after="120"/>
        <w:jc w:val="both"/>
        <w:rPr>
          <w:rFonts w:asciiTheme="minorHAnsi" w:hAnsiTheme="minorHAnsi" w:cstheme="minorHAnsi"/>
          <w:iCs/>
          <w:sz w:val="20"/>
          <w:szCs w:val="20"/>
        </w:rPr>
      </w:pPr>
      <w:r>
        <w:rPr>
          <w:rFonts w:asciiTheme="minorHAnsi" w:hAnsiTheme="minorHAnsi"/>
          <w:b/>
          <w:sz w:val="20"/>
        </w:rPr>
        <w:t xml:space="preserve">RESULTADO 3: </w:t>
      </w:r>
      <w:r>
        <w:rPr>
          <w:rFonts w:asciiTheme="minorHAnsi" w:hAnsiTheme="minorHAnsi"/>
          <w:sz w:val="20"/>
        </w:rPr>
        <w:t>LAS PLATAFORMAS DE INFORMACIÓN Y GC CATALIZAN LA TOMA DE DECISIONES Y LAS INVERSIONES BASADAS EN EVIDENCIAS, Y POTENCIAN EL APROVECHAMIENTO, LA REPRODUCCIÓN Y EL IMPACTO DE FARM.</w:t>
      </w:r>
    </w:p>
    <w:p w14:paraId="6FEDC3EE" w14:textId="214717BB" w:rsidR="006D2D0E" w:rsidRDefault="006F6609" w:rsidP="00B169FC">
      <w:pPr>
        <w:spacing w:after="120"/>
        <w:jc w:val="both"/>
        <w:rPr>
          <w:rFonts w:asciiTheme="minorHAnsi" w:hAnsiTheme="minorHAnsi" w:cstheme="minorHAnsi"/>
          <w:sz w:val="20"/>
          <w:szCs w:val="20"/>
        </w:rPr>
      </w:pPr>
      <w:r>
        <w:rPr>
          <w:rFonts w:asciiTheme="minorHAnsi" w:hAnsiTheme="minorHAnsi"/>
          <w:b/>
          <w:sz w:val="20"/>
        </w:rPr>
        <w:t xml:space="preserve">Resultado 3.1: </w:t>
      </w:r>
      <w:r>
        <w:rPr>
          <w:rFonts w:asciiTheme="minorHAnsi" w:hAnsiTheme="minorHAnsi"/>
          <w:sz w:val="20"/>
        </w:rPr>
        <w:t>Promoción de la investigación y acción participativa en agroecología, para diseñar e implementar con los agricultores y la población local</w:t>
      </w:r>
      <w:r w:rsidR="00875294">
        <w:rPr>
          <w:rFonts w:asciiTheme="minorHAnsi" w:hAnsiTheme="minorHAnsi"/>
          <w:sz w:val="20"/>
        </w:rPr>
        <w:t>,</w:t>
      </w:r>
      <w:r>
        <w:rPr>
          <w:rFonts w:asciiTheme="minorHAnsi" w:hAnsiTheme="minorHAnsi"/>
          <w:sz w:val="20"/>
        </w:rPr>
        <w:t xml:space="preserve"> y propuestas que aumenten la sostenibilidad agrícola a través de unidades de extensión públicas y privadas (Agrocalidad, MAG, Seguro Social Campesino y Asociaciones Privadas).</w:t>
      </w:r>
    </w:p>
    <w:p w14:paraId="01A1711A" w14:textId="4B35B610" w:rsidR="0020319A" w:rsidRDefault="00432A70"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través de este </w:t>
      </w:r>
      <w:r w:rsidR="00CE32E6">
        <w:rPr>
          <w:rFonts w:asciiTheme="minorHAnsi" w:hAnsiTheme="minorHAnsi"/>
          <w:color w:val="000000" w:themeColor="text1"/>
          <w:sz w:val="20"/>
        </w:rPr>
        <w:t>Resultado</w:t>
      </w:r>
      <w:r>
        <w:rPr>
          <w:rFonts w:asciiTheme="minorHAnsi" w:hAnsiTheme="minorHAnsi"/>
          <w:color w:val="000000" w:themeColor="text1"/>
          <w:sz w:val="20"/>
        </w:rPr>
        <w:t xml:space="preserve">, el proyecto promoverá situar a los grupos de productores en el centro del proceso de transición agroecológica mediante la introducción de investigación y acción participativas en agroecología. Este enfoque tiene dos ventajas principales: i) </w:t>
      </w:r>
      <w:r w:rsidR="00875294">
        <w:rPr>
          <w:rFonts w:asciiTheme="minorHAnsi" w:hAnsiTheme="minorHAnsi"/>
          <w:color w:val="000000" w:themeColor="text1"/>
          <w:sz w:val="20"/>
        </w:rPr>
        <w:t>C</w:t>
      </w:r>
      <w:r>
        <w:rPr>
          <w:rFonts w:asciiTheme="minorHAnsi" w:hAnsiTheme="minorHAnsi"/>
          <w:color w:val="000000" w:themeColor="text1"/>
          <w:sz w:val="20"/>
        </w:rPr>
        <w:t xml:space="preserve">onsigue realizar un diagnóstico holístico de la situación de partida que concierne tanto a la explotación agrícola como a la sociedad local y más amplia, y la definición de una situación realista con criterios de sostenibilidad; ii) </w:t>
      </w:r>
      <w:r w:rsidR="00875294">
        <w:rPr>
          <w:rFonts w:asciiTheme="minorHAnsi" w:hAnsiTheme="minorHAnsi"/>
          <w:color w:val="000000" w:themeColor="text1"/>
          <w:sz w:val="20"/>
        </w:rPr>
        <w:t>L</w:t>
      </w:r>
      <w:r>
        <w:rPr>
          <w:rFonts w:asciiTheme="minorHAnsi" w:hAnsiTheme="minorHAnsi"/>
          <w:color w:val="000000" w:themeColor="text1"/>
          <w:sz w:val="20"/>
        </w:rPr>
        <w:t>os agricultores se movilizan para alcanzar los objetivos propuestos y establecen relaciones con redes o asociaciones constituyentes que consiguen facilitar el cambio en diferentes entornos, sentando bases sólidas de desarrollo rural sostenible.</w:t>
      </w:r>
    </w:p>
    <w:p w14:paraId="42B4A3C1" w14:textId="66966238" w:rsidR="00574605" w:rsidRDefault="00574605"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Las actividades de este </w:t>
      </w:r>
      <w:r w:rsidR="00875294">
        <w:rPr>
          <w:rFonts w:asciiTheme="minorHAnsi" w:hAnsiTheme="minorHAnsi"/>
          <w:color w:val="000000" w:themeColor="text1"/>
          <w:sz w:val="20"/>
        </w:rPr>
        <w:t>R</w:t>
      </w:r>
      <w:r>
        <w:rPr>
          <w:rFonts w:asciiTheme="minorHAnsi" w:hAnsiTheme="minorHAnsi"/>
          <w:color w:val="000000" w:themeColor="text1"/>
          <w:sz w:val="20"/>
        </w:rPr>
        <w:t>esultado se llevarán a cabo en los siguientes lugares seleccionados: Santa Cruz (Islas Galápagos) y Tosagua (provincia de Manabí)</w:t>
      </w:r>
      <w:r>
        <w:rPr>
          <w:rFonts w:asciiTheme="minorHAnsi" w:hAnsiTheme="minorHAnsi"/>
          <w:color w:val="FF0000"/>
          <w:sz w:val="20"/>
        </w:rPr>
        <w:t>.</w:t>
      </w:r>
    </w:p>
    <w:p w14:paraId="49DA0680" w14:textId="1A7EECE2" w:rsidR="004959CD" w:rsidRDefault="006D2D0E"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3.1:</w:t>
      </w:r>
    </w:p>
    <w:p w14:paraId="125266E8" w14:textId="24AB5B21" w:rsidR="004959CD" w:rsidRPr="001F728C" w:rsidRDefault="001F728C"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Acuerdo: </w:t>
      </w:r>
      <w:r>
        <w:rPr>
          <w:rFonts w:asciiTheme="minorHAnsi" w:hAnsiTheme="minorHAnsi"/>
          <w:sz w:val="20"/>
        </w:rPr>
        <w:t>antes de la ejecución, se firmará un acuerdo entre las partes implicadas, en el que se documentarán las responsabilidades y compromisos asumidos por cada una de ellas en el marco del proyecto. En estos proyectos participarán las autoridades locales, los productores agrícolas y las universidades locales.</w:t>
      </w:r>
    </w:p>
    <w:p w14:paraId="2F58BBDC" w14:textId="3242F974" w:rsidR="0010453B" w:rsidRPr="00037BA4" w:rsidRDefault="001F728C" w:rsidP="00B169FC">
      <w:pPr>
        <w:spacing w:after="120"/>
        <w:jc w:val="both"/>
        <w:rPr>
          <w:rFonts w:asciiTheme="minorHAnsi" w:hAnsiTheme="minorHAnsi" w:cstheme="minorHAnsi"/>
          <w:sz w:val="20"/>
          <w:szCs w:val="20"/>
        </w:rPr>
      </w:pPr>
      <w:r>
        <w:rPr>
          <w:rFonts w:asciiTheme="minorHAnsi" w:hAnsiTheme="minorHAnsi"/>
          <w:sz w:val="20"/>
        </w:rPr>
        <w:t xml:space="preserve">b) Diagnóstico inicial y observación participativa: </w:t>
      </w:r>
      <w:r w:rsidR="004713BF">
        <w:rPr>
          <w:rFonts w:asciiTheme="minorHAnsi" w:hAnsiTheme="minorHAnsi"/>
          <w:sz w:val="20"/>
        </w:rPr>
        <w:t>e</w:t>
      </w:r>
      <w:r>
        <w:rPr>
          <w:rFonts w:asciiTheme="minorHAnsi" w:hAnsiTheme="minorHAnsi"/>
          <w:sz w:val="20"/>
        </w:rPr>
        <w:t xml:space="preserve">l objetivo de esta fase es estimar a priori el "potencial agroecológico local". Es decir, los recursos sociales, ecológicos, económicos y culturales presentes en el territorio que pueden movilizarse para una eventual transición agroecológica. En esta fase es clave el entendimiento mutuo entre los investigadores y los agentes sociales implicados en el proceso. En esta fase se construyen espacios formales de participación y monitoreo del proceso. </w:t>
      </w:r>
    </w:p>
    <w:p w14:paraId="6A46474F" w14:textId="11804E97" w:rsidR="003E228A" w:rsidRPr="001F728C" w:rsidRDefault="001F728C" w:rsidP="00B169FC">
      <w:pPr>
        <w:spacing w:after="120"/>
        <w:jc w:val="both"/>
        <w:rPr>
          <w:rFonts w:asciiTheme="minorHAnsi" w:hAnsiTheme="minorHAnsi" w:cstheme="minorHAnsi"/>
          <w:sz w:val="20"/>
          <w:szCs w:val="20"/>
        </w:rPr>
      </w:pPr>
      <w:r>
        <w:rPr>
          <w:rFonts w:asciiTheme="minorHAnsi" w:hAnsiTheme="minorHAnsi"/>
          <w:sz w:val="20"/>
        </w:rPr>
        <w:t xml:space="preserve">c) Investigación participativa: </w:t>
      </w:r>
      <w:r w:rsidR="004713BF">
        <w:rPr>
          <w:rFonts w:asciiTheme="minorHAnsi" w:hAnsiTheme="minorHAnsi"/>
          <w:sz w:val="20"/>
        </w:rPr>
        <w:t>s</w:t>
      </w:r>
      <w:r>
        <w:rPr>
          <w:rFonts w:asciiTheme="minorHAnsi" w:hAnsiTheme="minorHAnsi"/>
          <w:sz w:val="20"/>
        </w:rPr>
        <w:t xml:space="preserve">e realizará un diagnóstico participativo de los problemas presentes en la producción agrícola local, incluyendo aspectos ambientales, económicos entre otros. El análisis incluirá el establecimiento de las relaciones entre los problemas (causa-efecto, sinergias...), categorizarlos por orden de importancia, identificar soluciones, establecer un orden de prioridad para aplicar las soluciones, asignar tareas y establecer un proceso de monitoreo del proceso de transición. Esta actividad convierte el diagnóstico en un plan de acción, implicando a todos los agentes locales en su elaboración y creando grupos de trabajo. Este </w:t>
      </w:r>
      <w:r w:rsidR="00F46CDE">
        <w:rPr>
          <w:rFonts w:asciiTheme="minorHAnsi" w:hAnsiTheme="minorHAnsi"/>
          <w:sz w:val="20"/>
        </w:rPr>
        <w:t>p</w:t>
      </w:r>
      <w:r>
        <w:rPr>
          <w:rFonts w:asciiTheme="minorHAnsi" w:hAnsiTheme="minorHAnsi"/>
          <w:sz w:val="20"/>
        </w:rPr>
        <w:t>lan incluye actividades para generar información que refuerce el proceso de transición agroecológica y debe tener la mayor legitimidad posible.</w:t>
      </w:r>
      <w:r>
        <w:t xml:space="preserve"> </w:t>
      </w:r>
      <w:r>
        <w:rPr>
          <w:rFonts w:asciiTheme="minorHAnsi" w:hAnsiTheme="minorHAnsi"/>
          <w:sz w:val="20"/>
        </w:rPr>
        <w:t>Además, se evaluará el consumo potencial de agua de estas actividades para garantizar un uso eficiente de estos recursos. La investigación participativa con los agricultores es esencial.</w:t>
      </w:r>
    </w:p>
    <w:p w14:paraId="086DF9DD" w14:textId="6A4E3025" w:rsidR="00302FF3" w:rsidRPr="00037BA4" w:rsidRDefault="001F728C" w:rsidP="00703C0B">
      <w:pPr>
        <w:snapToGrid w:val="0"/>
        <w:spacing w:after="120"/>
        <w:jc w:val="both"/>
        <w:rPr>
          <w:rFonts w:asciiTheme="minorHAnsi" w:hAnsiTheme="minorHAnsi" w:cstheme="minorHAnsi"/>
          <w:sz w:val="20"/>
          <w:szCs w:val="20"/>
        </w:rPr>
      </w:pPr>
      <w:r>
        <w:rPr>
          <w:rFonts w:asciiTheme="minorHAnsi" w:hAnsiTheme="minorHAnsi"/>
          <w:sz w:val="20"/>
        </w:rPr>
        <w:t>d) Acción participativa:</w:t>
      </w:r>
      <w:r>
        <w:t xml:space="preserve"> </w:t>
      </w:r>
      <w:r>
        <w:rPr>
          <w:rFonts w:asciiTheme="minorHAnsi" w:hAnsiTheme="minorHAnsi"/>
          <w:sz w:val="20"/>
        </w:rPr>
        <w:t>esta actividad supone el desarrollo de las acciones incluidas en el plan de acción, que se estructuran en grupos de trabajo. En esta fase, las actividades de difusión son fundamentales. Se promoverá la creación de redes de trabajo conjunto entre grupos sociales con intereses similares (agricultores, consumidores, técnicos, etc.). Los objetivos de estas redes son generar sinergias mediante la puesta en marcha de acciones conjuntas, optimizar el uso de los recursos disponibles, movilizar recursos económicos, facilitar el intercambio de información, apoyar las iniciativas y acciones decididas en el seno de las redes y servir de foros de debate. Estas redes también contribuirán a la sostenibilidad de las actividades y los resultados previstos.</w:t>
      </w:r>
    </w:p>
    <w:p w14:paraId="1B77AC82" w14:textId="6AAE08D8" w:rsidR="00744070" w:rsidRPr="00B7771A" w:rsidRDefault="001F728C" w:rsidP="00B169FC">
      <w:pPr>
        <w:spacing w:after="120"/>
        <w:jc w:val="both"/>
        <w:rPr>
          <w:rFonts w:asciiTheme="minorHAnsi" w:hAnsiTheme="minorHAnsi" w:cstheme="minorHAnsi"/>
          <w:sz w:val="20"/>
          <w:szCs w:val="20"/>
        </w:rPr>
      </w:pPr>
      <w:r>
        <w:rPr>
          <w:rFonts w:asciiTheme="minorHAnsi" w:hAnsiTheme="minorHAnsi"/>
          <w:sz w:val="20"/>
        </w:rPr>
        <w:t>e) Evaluación y difusión: esta actividad implica la verificación de los conocimientos producidos y la evaluación de la eficacia de los cambios logrados como resultado de la acción mediante el monitoreo de los indicadores propuestos. Esta fase de evaluación permite tanto valorar el propio proceso como generar información continua para reorientarlo en caso necesario. Además, los conocimientos producidos y las lecciones aprendidas se documentarán en un informe de investigación que dé cuenta de las acciones, reflexiones y transformaciones propiciadas a lo largo de la investigación. El proyecto difundirá esta información entre los principales interesados y beneficiarios.</w:t>
      </w:r>
    </w:p>
    <w:p w14:paraId="6D72318C" w14:textId="71406CF4" w:rsidR="00B7771A" w:rsidRPr="00346D29" w:rsidRDefault="00B7771A"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Además, esta actividad apoyará la coordinación y cooperación entre los actores clave (productores agroecológicos y AGROCALIDAD) para desarrollar un mecanismo de validación/reconocimiento de la producción agroecológica basado en Sistemas Participativos de Garantía (SPG).</w:t>
      </w:r>
    </w:p>
    <w:p w14:paraId="026E60FF" w14:textId="0253A397" w:rsidR="006D2D0E" w:rsidRDefault="006F6609" w:rsidP="00B169FC">
      <w:pPr>
        <w:spacing w:after="120"/>
        <w:jc w:val="both"/>
        <w:rPr>
          <w:rFonts w:asciiTheme="minorHAnsi" w:hAnsiTheme="minorHAnsi" w:cstheme="minorHAnsi"/>
          <w:sz w:val="20"/>
          <w:szCs w:val="20"/>
        </w:rPr>
      </w:pPr>
      <w:r>
        <w:rPr>
          <w:rFonts w:asciiTheme="minorHAnsi" w:hAnsiTheme="minorHAnsi"/>
          <w:b/>
          <w:sz w:val="20"/>
        </w:rPr>
        <w:t>Resultado 3.2:</w:t>
      </w:r>
      <w:r>
        <w:rPr>
          <w:rFonts w:asciiTheme="minorHAnsi" w:hAnsiTheme="minorHAnsi"/>
          <w:sz w:val="20"/>
        </w:rPr>
        <w:t xml:space="preserve"> Facilitar la identificación, documentación, sistematización y diseminación, para que los actores clave a nivel nacional y global reciban, compartan y apliquen el conocimiento generado por el </w:t>
      </w:r>
      <w:r w:rsidR="000259B9">
        <w:rPr>
          <w:rFonts w:asciiTheme="minorHAnsi" w:hAnsiTheme="minorHAnsi"/>
          <w:sz w:val="20"/>
        </w:rPr>
        <w:t>p</w:t>
      </w:r>
      <w:r>
        <w:rPr>
          <w:rFonts w:asciiTheme="minorHAnsi" w:hAnsiTheme="minorHAnsi"/>
          <w:sz w:val="20"/>
        </w:rPr>
        <w:t>royecto, incorporando un enfoque integrado que incluya las mejores prácticas agrícolas y opciones no químicas.</w:t>
      </w:r>
    </w:p>
    <w:p w14:paraId="76B61E57" w14:textId="5B1DB553" w:rsidR="006354D9" w:rsidRDefault="006354D9"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3.2:</w:t>
      </w:r>
    </w:p>
    <w:p w14:paraId="38CB584C" w14:textId="5DB79C30" w:rsidR="00FC618B" w:rsidRPr="00CC1053" w:rsidRDefault="006354D9" w:rsidP="00B169FC">
      <w:pPr>
        <w:spacing w:after="120"/>
        <w:jc w:val="both"/>
        <w:rPr>
          <w:rFonts w:asciiTheme="minorHAnsi" w:hAnsiTheme="minorHAnsi" w:cstheme="minorHAnsi"/>
          <w:color w:val="000000" w:themeColor="text1"/>
          <w:sz w:val="20"/>
          <w:szCs w:val="20"/>
        </w:rPr>
      </w:pPr>
      <w:r>
        <w:rPr>
          <w:rFonts w:asciiTheme="minorHAnsi" w:hAnsiTheme="minorHAnsi"/>
          <w:sz w:val="20"/>
        </w:rPr>
        <w:t xml:space="preserve">a) Lecciones aprendidas y conocimientos adquiridos: </w:t>
      </w:r>
      <w:r w:rsidR="004713BF">
        <w:rPr>
          <w:rFonts w:asciiTheme="minorHAnsi" w:hAnsiTheme="minorHAnsi"/>
          <w:sz w:val="20"/>
        </w:rPr>
        <w:t>d</w:t>
      </w:r>
      <w:r>
        <w:rPr>
          <w:rFonts w:asciiTheme="minorHAnsi" w:hAnsiTheme="minorHAnsi"/>
          <w:sz w:val="20"/>
        </w:rPr>
        <w:t xml:space="preserve">e manera anual, el proyecto identificará, documentará y sistematizará las experiencias resultantes de la implementación de las actividades del proyecto obteniendo lecciones aprendidas, </w:t>
      </w:r>
      <w:r>
        <w:rPr>
          <w:rFonts w:asciiTheme="minorHAnsi" w:hAnsiTheme="minorHAnsi"/>
          <w:color w:val="000000" w:themeColor="text1"/>
          <w:sz w:val="20"/>
        </w:rPr>
        <w:t xml:space="preserve">rescatando todo el conocimiento acumulado a lo largo de los años, testimonios e historias de vida y buenas prácticas del sector, para la generación de guías y/o manuales de buenas prácticas implementadas a lo largo de la vida del proyecto, </w:t>
      </w:r>
      <w:r>
        <w:rPr>
          <w:rFonts w:asciiTheme="minorHAnsi" w:hAnsiTheme="minorHAnsi"/>
          <w:sz w:val="20"/>
        </w:rPr>
        <w:t>incorporando un enfoque integral que incluya las mejores prácticas agrícolas y opciones no químicas.</w:t>
      </w:r>
    </w:p>
    <w:p w14:paraId="2F1D30A8" w14:textId="326746F1" w:rsidR="000A6AF0" w:rsidRDefault="00682B92" w:rsidP="00B169FC">
      <w:pPr>
        <w:spacing w:after="120"/>
        <w:jc w:val="both"/>
        <w:rPr>
          <w:rFonts w:asciiTheme="minorHAnsi" w:hAnsiTheme="minorHAnsi" w:cstheme="minorBidi"/>
          <w:sz w:val="20"/>
          <w:szCs w:val="20"/>
        </w:rPr>
      </w:pPr>
      <w:r>
        <w:rPr>
          <w:rFonts w:asciiTheme="minorHAnsi" w:hAnsiTheme="minorHAnsi"/>
          <w:sz w:val="20"/>
        </w:rPr>
        <w:t xml:space="preserve">Todo lo que se haga a nivel local será registrado y supervisado y servirá de lección a tener en cuenta en otros sectores similares. La aplicación de las estrategias a nivel local servirá de base para los planteamientos a nivel nacional y su escalabilidad. El proyecto tratará de implicar a todos los agentes pertinentes a lo largo de su ejecución. </w:t>
      </w:r>
    </w:p>
    <w:p w14:paraId="33C67858" w14:textId="67EFD074" w:rsidR="0007230F" w:rsidRPr="008D137D" w:rsidRDefault="00CC1053" w:rsidP="00B169FC">
      <w:pPr>
        <w:snapToGrid w:val="0"/>
        <w:spacing w:after="120"/>
        <w:jc w:val="both"/>
        <w:rPr>
          <w:rFonts w:asciiTheme="minorHAnsi" w:hAnsiTheme="minorHAnsi" w:cstheme="minorHAnsi"/>
          <w:color w:val="000000" w:themeColor="text1"/>
          <w:sz w:val="20"/>
          <w:szCs w:val="20"/>
        </w:rPr>
      </w:pPr>
      <w:r>
        <w:rPr>
          <w:rFonts w:asciiTheme="minorHAnsi" w:hAnsiTheme="minorHAnsi"/>
          <w:sz w:val="20"/>
        </w:rPr>
        <w:t xml:space="preserve">b) Difusión de conocimientos: el </w:t>
      </w:r>
      <w:r w:rsidR="00A30162">
        <w:rPr>
          <w:rFonts w:asciiTheme="minorHAnsi" w:hAnsiTheme="minorHAnsi"/>
          <w:sz w:val="20"/>
        </w:rPr>
        <w:t>Child project</w:t>
      </w:r>
      <w:r>
        <w:rPr>
          <w:rFonts w:asciiTheme="minorHAnsi" w:hAnsiTheme="minorHAnsi"/>
          <w:sz w:val="20"/>
        </w:rPr>
        <w:t xml:space="preserve"> garantizará que estas experiencias estén disponibles a nivel local para las partes interesadas nacionales, así como a nivel mundial </w:t>
      </w:r>
      <w:r>
        <w:rPr>
          <w:rFonts w:asciiTheme="minorHAnsi" w:hAnsiTheme="minorHAnsi"/>
          <w:color w:val="000000" w:themeColor="text1"/>
          <w:sz w:val="20"/>
        </w:rPr>
        <w:t xml:space="preserve">a través de la plataforma global prevista en el marco de FARM y las estrategias de divulgación. </w:t>
      </w:r>
    </w:p>
    <w:p w14:paraId="027B00E1" w14:textId="70A49D5E" w:rsidR="0007230F" w:rsidRPr="008D137D" w:rsidRDefault="0007230F" w:rsidP="00B169FC">
      <w:pPr>
        <w:snapToGrid w:val="0"/>
        <w:spacing w:after="120"/>
        <w:jc w:val="both"/>
        <w:rPr>
          <w:rFonts w:asciiTheme="minorHAnsi" w:hAnsiTheme="minorHAnsi" w:cstheme="minorBidi"/>
          <w:color w:val="000000" w:themeColor="text1"/>
          <w:sz w:val="20"/>
          <w:szCs w:val="20"/>
        </w:rPr>
      </w:pPr>
      <w:r>
        <w:rPr>
          <w:rFonts w:asciiTheme="minorHAnsi" w:hAnsiTheme="minorHAnsi"/>
          <w:color w:val="000000" w:themeColor="text1"/>
          <w:sz w:val="20"/>
        </w:rPr>
        <w:t>Para ello, se utilizarán y promoverán igualmente las plataformas de conocimiento existentes en los ámbitos de la agricultura, la inclusión financiera y otras áreas pertinentes para compartir los resultados. Estas plataformas incluyen la Plataforma de Conocimiento sobre Crecimiento Verde (GGKP, por sus siglas en inglés), el Centro Internacional de Agricultura y Biociencias, la Plataforma Mundial del Conocimiento para la Acción del FMAM y el Programa de Productos Básicos Verdes (Green Commodities) del PNUD.</w:t>
      </w:r>
    </w:p>
    <w:p w14:paraId="6F57D8C6" w14:textId="67FE158A" w:rsidR="006354D9" w:rsidRPr="008D137D" w:rsidRDefault="00A81668"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c) Aplicar el Plan de Participación de las Partes Interesadas detallado en el Anexo 8 y descrito brevemente en la siguiente sección "Participación de las Partes Interesadas".</w:t>
      </w:r>
    </w:p>
    <w:p w14:paraId="1824094F" w14:textId="79249B17" w:rsidR="006354D9" w:rsidRPr="008D137D" w:rsidRDefault="00A81668"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d) Aplicar el Plan de Acción de Género detallado en el Anexo 10 y descrito brevemente en la siguiente sección "Igualdad de género y capacitación de las mujeres" para la integración de la perspectiva de género y la sensibilización a diferentes niveles de los grupos destinatarios clave relacionados. </w:t>
      </w:r>
    </w:p>
    <w:p w14:paraId="1AA75E48" w14:textId="421BB2B3" w:rsidR="006C31DA" w:rsidRDefault="00F32ED3" w:rsidP="00B169FC">
      <w:pPr>
        <w:snapToGrid w:val="0"/>
        <w:spacing w:after="120"/>
        <w:jc w:val="both"/>
        <w:rPr>
          <w:rFonts w:asciiTheme="minorHAnsi" w:hAnsiTheme="minorHAnsi" w:cstheme="minorHAnsi"/>
          <w:sz w:val="20"/>
          <w:szCs w:val="20"/>
        </w:rPr>
      </w:pPr>
      <w:r>
        <w:rPr>
          <w:rFonts w:asciiTheme="minorHAnsi" w:hAnsiTheme="minorHAnsi"/>
          <w:sz w:val="20"/>
        </w:rPr>
        <w:t xml:space="preserve">e) Diseño de un Plan Nacional de Replicación y Sostenibilidad: durante el cuarto año de ejecución del proyecto, se apoyará el diseño de un Plan Nacional de Replicación y Sostenibilidad. </w:t>
      </w:r>
    </w:p>
    <w:p w14:paraId="01C8535B" w14:textId="2FC18491" w:rsidR="006C31DA" w:rsidRDefault="006C31DA" w:rsidP="00B169FC">
      <w:pPr>
        <w:snapToGrid w:val="0"/>
        <w:spacing w:after="120"/>
        <w:jc w:val="both"/>
        <w:rPr>
          <w:rFonts w:asciiTheme="minorHAnsi" w:hAnsiTheme="minorHAnsi" w:cstheme="minorHAnsi"/>
          <w:sz w:val="20"/>
          <w:szCs w:val="20"/>
        </w:rPr>
      </w:pPr>
      <w:r>
        <w:rPr>
          <w:rFonts w:asciiTheme="minorHAnsi" w:hAnsiTheme="minorHAnsi"/>
          <w:sz w:val="20"/>
        </w:rPr>
        <w:t>El Plan Nacional de Replicación definirá la estrategia para replicar ampliamente los resultados del proyecto y del Programa Global en Ecuador. Para ello, también identificará mecanismos financieros adecuados, programas disponibles o estrategias nacionales que puedan apoyar su aplicación en los años siguientes.</w:t>
      </w:r>
    </w:p>
    <w:p w14:paraId="66162860" w14:textId="137ADE95" w:rsidR="006C31DA" w:rsidRDefault="006C31DA" w:rsidP="00B169FC">
      <w:pPr>
        <w:snapToGrid w:val="0"/>
        <w:spacing w:after="120"/>
        <w:jc w:val="both"/>
        <w:rPr>
          <w:rFonts w:asciiTheme="minorHAnsi" w:hAnsiTheme="minorHAnsi" w:cstheme="minorHAnsi"/>
          <w:sz w:val="20"/>
          <w:szCs w:val="20"/>
        </w:rPr>
      </w:pPr>
      <w:r>
        <w:rPr>
          <w:rFonts w:asciiTheme="minorHAnsi" w:hAnsiTheme="minorHAnsi"/>
          <w:sz w:val="20"/>
        </w:rPr>
        <w:t xml:space="preserve">En cuanto al plan de sostenibilidad, este busca garantizar los resultados obtenidos una vez finalizado el proyecto. El plan identificará y documentará los mecanismos adecuados y los responsables vinculados para garantizar la sostenibilidad de cada resultado del proyecto. </w:t>
      </w:r>
    </w:p>
    <w:p w14:paraId="6BB9B1A6" w14:textId="1BC733FD" w:rsidR="006C31DA" w:rsidRDefault="006C31DA" w:rsidP="00B169FC">
      <w:pPr>
        <w:snapToGrid w:val="0"/>
        <w:spacing w:after="120"/>
        <w:jc w:val="both"/>
        <w:rPr>
          <w:rFonts w:asciiTheme="minorHAnsi" w:hAnsiTheme="minorHAnsi" w:cstheme="minorHAnsi"/>
          <w:sz w:val="20"/>
          <w:szCs w:val="20"/>
        </w:rPr>
      </w:pPr>
      <w:r>
        <w:rPr>
          <w:rFonts w:asciiTheme="minorHAnsi" w:hAnsiTheme="minorHAnsi"/>
          <w:sz w:val="20"/>
        </w:rPr>
        <w:t>Ambos planes se difundirán adecuadamente entre las principales partes interesadas.</w:t>
      </w:r>
    </w:p>
    <w:p w14:paraId="25998417" w14:textId="2AC42FD9" w:rsidR="00583FE0" w:rsidRDefault="006F6609" w:rsidP="00B169FC">
      <w:pPr>
        <w:spacing w:after="120"/>
        <w:jc w:val="both"/>
        <w:rPr>
          <w:rFonts w:asciiTheme="minorHAnsi" w:hAnsiTheme="minorHAnsi" w:cstheme="minorHAnsi"/>
          <w:sz w:val="20"/>
          <w:szCs w:val="20"/>
        </w:rPr>
      </w:pPr>
      <w:r>
        <w:rPr>
          <w:rFonts w:asciiTheme="minorHAnsi" w:hAnsiTheme="minorHAnsi"/>
          <w:b/>
          <w:sz w:val="20"/>
        </w:rPr>
        <w:t xml:space="preserve">Resultado 3.3: </w:t>
      </w:r>
      <w:r>
        <w:rPr>
          <w:rFonts w:asciiTheme="minorHAnsi" w:hAnsiTheme="minorHAnsi"/>
          <w:sz w:val="20"/>
        </w:rPr>
        <w:t>Formación y capacitación. Estrategias de sensibilización, diálogo e intercambio creadas para ayudar al sector rural a crear una agricultura ecológica saludable y vincular su trabajo con consumidores responsables.</w:t>
      </w:r>
    </w:p>
    <w:p w14:paraId="58E35F32" w14:textId="761CDC03" w:rsidR="005E32EA" w:rsidRDefault="005E32EA" w:rsidP="00B169FC">
      <w:pPr>
        <w:spacing w:after="120"/>
        <w:jc w:val="both"/>
        <w:rPr>
          <w:rFonts w:asciiTheme="minorHAnsi" w:hAnsiTheme="minorHAnsi" w:cstheme="minorHAnsi"/>
          <w:sz w:val="20"/>
          <w:szCs w:val="20"/>
        </w:rPr>
      </w:pPr>
      <w:r>
        <w:rPr>
          <w:rFonts w:asciiTheme="minorHAnsi" w:hAnsiTheme="minorHAnsi"/>
          <w:sz w:val="20"/>
        </w:rPr>
        <w:t xml:space="preserve">El principal objetivo de este </w:t>
      </w:r>
      <w:r w:rsidR="000259B9">
        <w:rPr>
          <w:rFonts w:asciiTheme="minorHAnsi" w:hAnsiTheme="minorHAnsi"/>
          <w:sz w:val="20"/>
        </w:rPr>
        <w:t>R</w:t>
      </w:r>
      <w:r>
        <w:rPr>
          <w:rFonts w:asciiTheme="minorHAnsi" w:hAnsiTheme="minorHAnsi"/>
          <w:sz w:val="20"/>
        </w:rPr>
        <w:t>esultado es capacitar a los agricultores proporcionándoles conocimientos e información para la adopción de prácticas agrícolas sostenibles y promover el intercambio de experiencias entre ellos. Este Resultado también garantizará la difusión de los conocimientos producidos y las lecciones aprendidas durante la ejecución del Resultado 3.1. Además, el proyecto vinculará su trabajo con mercados y consumidores responsables, así como sensibilizará al público en general sobre los cultivos saludables y promoverá su demanda.</w:t>
      </w:r>
    </w:p>
    <w:p w14:paraId="61750A80" w14:textId="7505C78B" w:rsidR="00542AE9" w:rsidRPr="000D27EC" w:rsidRDefault="00542AE9"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Este Resultado evidenciará la formación de 1.400 agricultores (700 hombres y 700 mujeres), así como la sensibilización de 2.000 personas (1.000 hombres y 1.000 mujeres).</w:t>
      </w:r>
    </w:p>
    <w:p w14:paraId="4E2AF10D" w14:textId="1B7C388B" w:rsidR="009E79D4" w:rsidRDefault="006D2D0E"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3.3:</w:t>
      </w:r>
    </w:p>
    <w:p w14:paraId="7B16DC91" w14:textId="4C31522E" w:rsidR="004214D8" w:rsidRDefault="00902BCF" w:rsidP="00B169FC">
      <w:pPr>
        <w:spacing w:after="120"/>
        <w:jc w:val="both"/>
        <w:rPr>
          <w:rFonts w:asciiTheme="minorHAnsi" w:hAnsiTheme="minorHAnsi" w:cstheme="minorHAnsi"/>
          <w:color w:val="000000" w:themeColor="text1"/>
          <w:sz w:val="20"/>
          <w:szCs w:val="20"/>
          <w:shd w:val="clear" w:color="auto" w:fill="FFFFFF"/>
        </w:rPr>
      </w:pPr>
      <w:r>
        <w:rPr>
          <w:rFonts w:asciiTheme="minorHAnsi" w:hAnsiTheme="minorHAnsi"/>
          <w:color w:val="000000" w:themeColor="text1"/>
          <w:sz w:val="20"/>
        </w:rPr>
        <w:t>a) Talleres de formación: para que los agricultores conozcan la gestión integrada de plagas, la producción ecológica y el enfoque de evaluación agroecológica de la gestión de plagas y enfermedades en las explotaciones agrícolas. Los agricultores recibirán formación sobre</w:t>
      </w:r>
      <w:r>
        <w:rPr>
          <w:rFonts w:asciiTheme="minorHAnsi" w:hAnsiTheme="minorHAnsi"/>
          <w:color w:val="000000" w:themeColor="text1"/>
          <w:sz w:val="20"/>
          <w:shd w:val="clear" w:color="auto" w:fill="FFFFFF"/>
        </w:rPr>
        <w:t xml:space="preserve">: peligros de los plaguicidas, gestión de residuos de plaguicidas y plásticos, reconocimiento de los organismos importantes (plagas y organismos beneficiosos) en sus campos, biología y ecología de los organismos, cómo determinar los niveles de población de las plagas, cómo elegir el mejor método y producto para su control, alternativas disponibles a los plaguicidas químicos peligrosos, tecnologías accesibles existentes para la </w:t>
      </w:r>
      <w:r>
        <w:rPr>
          <w:rFonts w:asciiTheme="minorHAnsi" w:hAnsiTheme="minorHAnsi"/>
          <w:color w:val="000000" w:themeColor="text1"/>
          <w:sz w:val="20"/>
        </w:rPr>
        <w:t xml:space="preserve">agricultura de precisión </w:t>
      </w:r>
      <w:r>
        <w:rPr>
          <w:rFonts w:asciiTheme="minorHAnsi" w:hAnsiTheme="minorHAnsi"/>
          <w:color w:val="000000" w:themeColor="text1"/>
          <w:sz w:val="20"/>
          <w:shd w:val="clear" w:color="auto" w:fill="FFFFFF"/>
        </w:rPr>
        <w:t>y cómo tomar decisiones en los campos de acuerdo con sus nuevos conocimientos y un sencillo análisis de cost</w:t>
      </w:r>
      <w:r w:rsidR="000259B9">
        <w:rPr>
          <w:rFonts w:asciiTheme="minorHAnsi" w:hAnsiTheme="minorHAnsi"/>
          <w:color w:val="000000" w:themeColor="text1"/>
          <w:sz w:val="20"/>
          <w:shd w:val="clear" w:color="auto" w:fill="FFFFFF"/>
        </w:rPr>
        <w:t>o</w:t>
      </w:r>
      <w:r>
        <w:rPr>
          <w:rFonts w:asciiTheme="minorHAnsi" w:hAnsiTheme="minorHAnsi"/>
          <w:color w:val="000000" w:themeColor="text1"/>
          <w:sz w:val="20"/>
          <w:shd w:val="clear" w:color="auto" w:fill="FFFFFF"/>
        </w:rPr>
        <w:t>s y beneficios. Proporcionar información con pruebas claras de que la aplicación de prácticas agrícolas sostenibles no sólo genera ahorro, sino que también crea valor para sus cosechas y que el mercado está dispuesto a pagar un precio diferencial por ello. Se identificarán indicadores para supervisar la eficacia de la formación.</w:t>
      </w:r>
    </w:p>
    <w:p w14:paraId="2BF44069" w14:textId="054D937C" w:rsidR="00BE7BEC" w:rsidRDefault="00BE7BEC" w:rsidP="00B169FC">
      <w:pPr>
        <w:spacing w:after="120"/>
        <w:jc w:val="both"/>
        <w:rPr>
          <w:rFonts w:asciiTheme="minorHAnsi" w:hAnsiTheme="minorHAnsi" w:cstheme="minorHAnsi"/>
          <w:color w:val="000000" w:themeColor="text1"/>
          <w:sz w:val="20"/>
          <w:szCs w:val="20"/>
          <w:shd w:val="clear" w:color="auto" w:fill="FFFFFF"/>
        </w:rPr>
      </w:pPr>
      <w:r>
        <w:rPr>
          <w:rFonts w:asciiTheme="minorHAnsi" w:hAnsiTheme="minorHAnsi"/>
          <w:color w:val="000000" w:themeColor="text1"/>
          <w:sz w:val="20"/>
          <w:shd w:val="clear" w:color="auto" w:fill="FFFFFF"/>
        </w:rPr>
        <w:t>El proyecto considerará el modelo de asociación público-privada con TI para promover las mejores prácticas agrícolas, la producción orgánica y agroecológica utilizando la tecnología digital. Esto podría contribuir a colmar las lagunas digitales en las zonas rurales.</w:t>
      </w:r>
    </w:p>
    <w:p w14:paraId="6FE3BD72" w14:textId="77777777" w:rsidR="00BE7BEC" w:rsidRPr="002152FE" w:rsidRDefault="00BE7BEC" w:rsidP="00B169FC">
      <w:pPr>
        <w:spacing w:after="120"/>
        <w:jc w:val="both"/>
        <w:rPr>
          <w:rFonts w:asciiTheme="minorHAnsi" w:hAnsiTheme="minorHAnsi" w:cstheme="minorHAnsi"/>
          <w:color w:val="000000" w:themeColor="text1"/>
          <w:sz w:val="20"/>
          <w:szCs w:val="20"/>
          <w:lang w:val="es-EC"/>
        </w:rPr>
      </w:pPr>
    </w:p>
    <w:p w14:paraId="7CB89F90" w14:textId="1B2A888D" w:rsidR="009D752E" w:rsidRPr="00902BCF" w:rsidRDefault="00902BCF"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b) Estrategia de comunicación: diseño y aplicación de una estrategia de comunicación </w:t>
      </w:r>
      <w:r>
        <w:rPr>
          <w:rFonts w:asciiTheme="minorHAnsi" w:hAnsiTheme="minorHAnsi"/>
          <w:sz w:val="20"/>
        </w:rPr>
        <w:t>(uso de SMS, radio, redes sociales, reuniones comunitarias</w:t>
      </w:r>
      <w:r w:rsidR="00B4651A">
        <w:rPr>
          <w:rStyle w:val="Refdenotaalpie"/>
          <w:rFonts w:cstheme="minorHAnsi"/>
          <w:szCs w:val="20"/>
          <w:lang w:val="en-US"/>
        </w:rPr>
        <w:footnoteReference w:id="23"/>
      </w:r>
      <w:r>
        <w:rPr>
          <w:rFonts w:asciiTheme="minorHAnsi" w:hAnsiTheme="minorHAnsi"/>
          <w:sz w:val="20"/>
        </w:rPr>
        <w:t xml:space="preserve">, agentes de extensión del </w:t>
      </w:r>
      <w:r w:rsidR="003A0C39">
        <w:rPr>
          <w:rFonts w:asciiTheme="minorHAnsi" w:hAnsiTheme="minorHAnsi"/>
          <w:sz w:val="20"/>
        </w:rPr>
        <w:t>G</w:t>
      </w:r>
      <w:r>
        <w:rPr>
          <w:rFonts w:asciiTheme="minorHAnsi" w:hAnsiTheme="minorHAnsi"/>
          <w:sz w:val="20"/>
        </w:rPr>
        <w:t>obierno y puntos de venta al por menor)</w:t>
      </w:r>
      <w:r w:rsidR="00E458ED">
        <w:rPr>
          <w:rFonts w:asciiTheme="minorHAnsi" w:hAnsiTheme="minorHAnsi"/>
          <w:sz w:val="20"/>
        </w:rPr>
        <w:t>.</w:t>
      </w:r>
      <w:r>
        <w:rPr>
          <w:rFonts w:asciiTheme="minorHAnsi" w:hAnsiTheme="minorHAnsi"/>
          <w:sz w:val="20"/>
        </w:rPr>
        <w:t xml:space="preserve"> </w:t>
      </w:r>
    </w:p>
    <w:p w14:paraId="253500C8" w14:textId="10305D28" w:rsidR="00B4228E" w:rsidRPr="00902BCF" w:rsidRDefault="00902BCF" w:rsidP="00B169F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c) Intercambio entre agricultores: coordinación de intercambios periódicos entre agricultores para promover el diálogo, debatir y compartir experiencias relacionadas con la aplicación de prácticas de producción sostenibles. </w:t>
      </w:r>
    </w:p>
    <w:p w14:paraId="0025B23E" w14:textId="333CDC95" w:rsidR="00CD68FA" w:rsidRPr="00902BCF" w:rsidRDefault="00902BCF"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d) Apoyo al </w:t>
      </w:r>
      <w:r>
        <w:rPr>
          <w:rFonts w:ascii="Calibri" w:hAnsi="Calibri"/>
          <w:sz w:val="20"/>
        </w:rPr>
        <w:t xml:space="preserve">desarrollo de un marco político y jurídico para las Buenas Prácticas Agrícolas (BPA) y la Agricultura </w:t>
      </w:r>
      <w:r w:rsidR="00E47493">
        <w:rPr>
          <w:rFonts w:ascii="Calibri" w:hAnsi="Calibri"/>
          <w:sz w:val="20"/>
        </w:rPr>
        <w:t>O</w:t>
      </w:r>
      <w:r w:rsidR="008D37FB">
        <w:rPr>
          <w:rFonts w:ascii="Calibri" w:hAnsi="Calibri"/>
          <w:sz w:val="20"/>
        </w:rPr>
        <w:t xml:space="preserve">rgánica </w:t>
      </w:r>
      <w:r>
        <w:rPr>
          <w:rFonts w:ascii="Calibri" w:hAnsi="Calibri"/>
          <w:sz w:val="20"/>
        </w:rPr>
        <w:t>(A</w:t>
      </w:r>
      <w:r w:rsidR="008D37FB">
        <w:rPr>
          <w:rFonts w:ascii="Calibri" w:hAnsi="Calibri"/>
          <w:sz w:val="20"/>
        </w:rPr>
        <w:t>O</w:t>
      </w:r>
      <w:r>
        <w:rPr>
          <w:rFonts w:ascii="Calibri" w:hAnsi="Calibri"/>
          <w:sz w:val="20"/>
        </w:rPr>
        <w:t xml:space="preserve">): apoyo al sello de agricultura familiar, las certificaciones ecológicas y </w:t>
      </w:r>
      <w:r w:rsidR="00C60C54">
        <w:rPr>
          <w:rFonts w:ascii="Calibri" w:hAnsi="Calibri"/>
          <w:sz w:val="20"/>
          <w:lang w:val="es-EC"/>
        </w:rPr>
        <w:t xml:space="preserve">en </w:t>
      </w:r>
      <w:r>
        <w:rPr>
          <w:rFonts w:ascii="Calibri" w:hAnsi="Calibri"/>
          <w:sz w:val="20"/>
        </w:rPr>
        <w:t xml:space="preserve">BPA, facilitando el desarrollo de grupos, y procesos de certificación transparentes y eficientes para promover la confianza del mercado. </w:t>
      </w:r>
    </w:p>
    <w:p w14:paraId="3D650893" w14:textId="40E70E5B" w:rsidR="00CD68FA" w:rsidRPr="002A4D02" w:rsidRDefault="00902BCF" w:rsidP="00B169FC">
      <w:pPr>
        <w:spacing w:after="120"/>
        <w:jc w:val="both"/>
        <w:rPr>
          <w:rFonts w:asciiTheme="minorHAnsi" w:hAnsiTheme="minorHAnsi" w:cstheme="minorHAnsi"/>
          <w:color w:val="FF0000"/>
          <w:sz w:val="20"/>
          <w:szCs w:val="20"/>
        </w:rPr>
      </w:pPr>
      <w:r>
        <w:rPr>
          <w:rFonts w:asciiTheme="minorHAnsi" w:hAnsiTheme="minorHAnsi"/>
          <w:color w:val="000000" w:themeColor="text1"/>
          <w:sz w:val="20"/>
        </w:rPr>
        <w:t xml:space="preserve">e) Promoción de mercados responsables: </w:t>
      </w:r>
      <w:r w:rsidR="004713BF">
        <w:rPr>
          <w:rFonts w:asciiTheme="minorHAnsi" w:hAnsiTheme="minorHAnsi"/>
          <w:color w:val="000000" w:themeColor="text1"/>
          <w:sz w:val="20"/>
        </w:rPr>
        <w:t>e</w:t>
      </w:r>
      <w:r>
        <w:rPr>
          <w:rFonts w:asciiTheme="minorHAnsi" w:hAnsiTheme="minorHAnsi"/>
          <w:color w:val="000000" w:themeColor="text1"/>
          <w:sz w:val="20"/>
        </w:rPr>
        <w:t>sta actividad se coordinará con el Ministerio de Producción, Comercio Exterior, Inversión y Pesca (MPCEIP) y el proyecto garantizará el acceso a mercados responsables mediante acuerdos de compra a largo plazo. Al colectivizar la oferta, los programas para pequeños agricultores pueden aprovechar la posición negociadora de los agricultores, aumentando el valor que reciben por sus cosechas. Los avances en el espacio agrotecnológico relacionados con la creación de mercados digitales pueden ofrecer soluciones a las iniciativas dirigidas a la inclusión de los pequeños agricultores. El proyecto apoyará el fortalecimiento y la ampliación de las plataformas de mercado existentes, como "La Cosecha del Día/Day's Harvest" (Heifer Ecuador). El proyecto llevará a cabo una evaluación para identificar las oportunidades que tienen los agricultores ecológicos en buen estado de vender a un precio más alto las cosechas producidas de forma responsable. El proyecto negociará al menos 5 acuerdos con mercados responsables.</w:t>
      </w:r>
    </w:p>
    <w:p w14:paraId="2D61369B" w14:textId="7B1E84CF" w:rsidR="00CD68FA" w:rsidRPr="00037BA4" w:rsidRDefault="00902BCF"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f) Campaña de sensibilización: </w:t>
      </w:r>
      <w:r w:rsidR="004713BF">
        <w:rPr>
          <w:rFonts w:asciiTheme="minorHAnsi" w:hAnsiTheme="minorHAnsi"/>
          <w:color w:val="000000" w:themeColor="text1"/>
          <w:sz w:val="20"/>
        </w:rPr>
        <w:t>e</w:t>
      </w:r>
      <w:r>
        <w:rPr>
          <w:rFonts w:asciiTheme="minorHAnsi" w:hAnsiTheme="minorHAnsi"/>
          <w:color w:val="000000" w:themeColor="text1"/>
          <w:sz w:val="20"/>
        </w:rPr>
        <w:t xml:space="preserve">sta actividad diseñará y pondrá en marcha una campaña de sensibilización. El principal objetivo será concienciar al público en general para crear consumidores responsables que requieran productos ecológicos saludables. Se compartirá información sobre el impacto de los pesticidas en la salud y el medio ambiente. Además, se informará de las diferencias en la apariencia de los productos debido a las diferentes prácticas agrícolas adoptadas, así como de los diferentes mercados donde se puede comprar la producción sana para su consumo. </w:t>
      </w:r>
    </w:p>
    <w:p w14:paraId="48AF7938" w14:textId="05418910" w:rsidR="006F6609" w:rsidRPr="00B300CC" w:rsidRDefault="006F6609" w:rsidP="00B169FC">
      <w:pPr>
        <w:spacing w:after="120"/>
        <w:jc w:val="both"/>
        <w:rPr>
          <w:rFonts w:asciiTheme="minorHAnsi" w:hAnsiTheme="minorHAnsi" w:cstheme="minorHAnsi"/>
          <w:sz w:val="20"/>
          <w:szCs w:val="20"/>
        </w:rPr>
      </w:pPr>
      <w:r>
        <w:rPr>
          <w:rFonts w:asciiTheme="minorHAnsi" w:hAnsiTheme="minorHAnsi"/>
          <w:b/>
          <w:sz w:val="20"/>
        </w:rPr>
        <w:t>Resultado 3.4:</w:t>
      </w:r>
      <w:r>
        <w:rPr>
          <w:rFonts w:asciiTheme="minorHAnsi" w:hAnsiTheme="minorHAnsi"/>
          <w:sz w:val="20"/>
        </w:rPr>
        <w:t xml:space="preserve"> Promover el intercambio de conocimientos y experiencias en esquemas de cooperación Sur-Sur y entre los actores del programa global para fortalecer las capacidades de las regiones en el desarrollo sostenible de la agricultura, considerando a compradores y productores, para asegurar la motivación en el uso de mejores prácticas ambientales para ofrecer productos sostenibles a través del componente global.</w:t>
      </w:r>
    </w:p>
    <w:p w14:paraId="488EC347" w14:textId="2F2DEE2B" w:rsidR="00ED2695" w:rsidRPr="003C0FF9" w:rsidRDefault="009D2FA3"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través de este </w:t>
      </w:r>
      <w:r w:rsidR="00E458ED">
        <w:rPr>
          <w:rFonts w:asciiTheme="minorHAnsi" w:hAnsiTheme="minorHAnsi"/>
          <w:color w:val="000000" w:themeColor="text1"/>
          <w:sz w:val="20"/>
        </w:rPr>
        <w:t>Resultado</w:t>
      </w:r>
      <w:r>
        <w:rPr>
          <w:rFonts w:asciiTheme="minorHAnsi" w:hAnsiTheme="minorHAnsi"/>
          <w:color w:val="000000" w:themeColor="text1"/>
          <w:sz w:val="20"/>
        </w:rPr>
        <w:t xml:space="preserve">, el proyecto apoyará la estrategia del programa basada en la generación y difusión de los conocimientos necesarios para ampliar la adopción de prácticas agrícolas que reduzcan el uso de insumos agrícolas perjudiciales. Los conocimientos y la información generados en cada uno de los componentes de este </w:t>
      </w:r>
      <w:r w:rsidR="00A30162">
        <w:rPr>
          <w:rFonts w:asciiTheme="minorHAnsi" w:hAnsiTheme="minorHAnsi"/>
          <w:color w:val="000000" w:themeColor="text1"/>
          <w:sz w:val="20"/>
        </w:rPr>
        <w:t xml:space="preserve">Child </w:t>
      </w:r>
      <w:r w:rsidR="00E458ED">
        <w:rPr>
          <w:rFonts w:asciiTheme="minorHAnsi" w:hAnsiTheme="minorHAnsi"/>
          <w:color w:val="000000" w:themeColor="text1"/>
          <w:sz w:val="20"/>
        </w:rPr>
        <w:t>P</w:t>
      </w:r>
      <w:r w:rsidR="00A30162">
        <w:rPr>
          <w:rFonts w:asciiTheme="minorHAnsi" w:hAnsiTheme="minorHAnsi"/>
          <w:color w:val="000000" w:themeColor="text1"/>
          <w:sz w:val="20"/>
        </w:rPr>
        <w:t>roject</w:t>
      </w:r>
      <w:r w:rsidR="001A2067">
        <w:rPr>
          <w:rFonts w:asciiTheme="minorHAnsi" w:hAnsiTheme="minorHAnsi"/>
          <w:color w:val="000000" w:themeColor="text1"/>
          <w:sz w:val="20"/>
        </w:rPr>
        <w:t xml:space="preserve"> </w:t>
      </w:r>
      <w:r>
        <w:rPr>
          <w:rFonts w:asciiTheme="minorHAnsi" w:hAnsiTheme="minorHAnsi"/>
          <w:color w:val="000000" w:themeColor="text1"/>
          <w:sz w:val="20"/>
        </w:rPr>
        <w:t>se recogerán y compartirán</w:t>
      </w:r>
      <w:r w:rsidR="00E458ED">
        <w:rPr>
          <w:rFonts w:asciiTheme="minorHAnsi" w:hAnsiTheme="minorHAnsi"/>
          <w:color w:val="000000" w:themeColor="text1"/>
          <w:sz w:val="20"/>
        </w:rPr>
        <w:t>.</w:t>
      </w:r>
      <w:r>
        <w:rPr>
          <w:rFonts w:asciiTheme="minorHAnsi" w:hAnsiTheme="minorHAnsi"/>
          <w:color w:val="000000" w:themeColor="text1"/>
          <w:sz w:val="20"/>
        </w:rPr>
        <w:t xml:space="preserve"> </w:t>
      </w:r>
    </w:p>
    <w:p w14:paraId="15105E9E" w14:textId="151E51A7" w:rsidR="009E79D4" w:rsidRPr="00B436D3" w:rsidRDefault="009E79D4" w:rsidP="00B169FC">
      <w:pPr>
        <w:snapToGrid w:val="0"/>
        <w:spacing w:after="120"/>
        <w:rPr>
          <w:rFonts w:asciiTheme="minorHAnsi" w:hAnsiTheme="minorHAnsi" w:cstheme="minorHAnsi"/>
          <w:color w:val="000000" w:themeColor="text1"/>
          <w:sz w:val="20"/>
          <w:szCs w:val="20"/>
        </w:rPr>
      </w:pPr>
      <w:r>
        <w:rPr>
          <w:rFonts w:asciiTheme="minorHAnsi" w:hAnsiTheme="minorHAnsi"/>
          <w:color w:val="000000" w:themeColor="text1"/>
          <w:sz w:val="20"/>
        </w:rPr>
        <w:t>Se desarrollarán las siguientes actividades para alcanzar el Resultado 3.4:</w:t>
      </w:r>
    </w:p>
    <w:p w14:paraId="1EC77698" w14:textId="5F039D2C" w:rsidR="0036789F" w:rsidRDefault="0007230F" w:rsidP="00B169FC">
      <w:pPr>
        <w:pStyle w:val="GEFFieldtoFillout"/>
        <w:shd w:val="clear" w:color="auto" w:fill="FFFFFF"/>
        <w:tabs>
          <w:tab w:val="left" w:pos="567"/>
        </w:tabs>
        <w:spacing w:after="120"/>
        <w:ind w:left="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Se garantizará una estrecha coordinación e intercambio de información y de buenas prácticas con el Programa Global FARM y con los proyectos </w:t>
      </w:r>
      <w:r w:rsidR="001A2067">
        <w:rPr>
          <w:rStyle w:val="normaltextrun"/>
          <w:rFonts w:asciiTheme="minorHAnsi" w:hAnsiTheme="minorHAnsi"/>
          <w:color w:val="000000" w:themeColor="text1"/>
          <w:sz w:val="20"/>
          <w:lang w:val="es-EC"/>
        </w:rPr>
        <w:t>Child</w:t>
      </w:r>
      <w:r w:rsidR="001A2067">
        <w:rPr>
          <w:rFonts w:asciiTheme="minorHAnsi" w:hAnsiTheme="minorHAnsi"/>
          <w:color w:val="000000" w:themeColor="text1"/>
          <w:sz w:val="20"/>
        </w:rPr>
        <w:t xml:space="preserve"> </w:t>
      </w:r>
      <w:r>
        <w:rPr>
          <w:rFonts w:asciiTheme="minorHAnsi" w:hAnsiTheme="minorHAnsi"/>
          <w:color w:val="000000" w:themeColor="text1"/>
          <w:sz w:val="20"/>
        </w:rPr>
        <w:t xml:space="preserve">FARM de Uruguay, Kenia, India, Vietnam, RDP Lao y Filipinas, fomentando un entorno de cooperación </w:t>
      </w:r>
      <w:r w:rsidR="00395854">
        <w:rPr>
          <w:rFonts w:asciiTheme="minorHAnsi" w:hAnsiTheme="minorHAnsi"/>
          <w:color w:val="000000" w:themeColor="text1"/>
          <w:sz w:val="20"/>
        </w:rPr>
        <w:t>S</w:t>
      </w:r>
      <w:r>
        <w:rPr>
          <w:rFonts w:asciiTheme="minorHAnsi" w:hAnsiTheme="minorHAnsi"/>
          <w:color w:val="000000" w:themeColor="text1"/>
          <w:sz w:val="20"/>
        </w:rPr>
        <w:t>ur-</w:t>
      </w:r>
      <w:r w:rsidR="00395854">
        <w:rPr>
          <w:rFonts w:asciiTheme="minorHAnsi" w:hAnsiTheme="minorHAnsi"/>
          <w:color w:val="000000" w:themeColor="text1"/>
          <w:sz w:val="20"/>
        </w:rPr>
        <w:t>S</w:t>
      </w:r>
      <w:r>
        <w:rPr>
          <w:rFonts w:asciiTheme="minorHAnsi" w:hAnsiTheme="minorHAnsi"/>
          <w:color w:val="000000" w:themeColor="text1"/>
          <w:sz w:val="20"/>
        </w:rPr>
        <w:t xml:space="preserve">ur. Este intercambio de información y buenas prácticas se hará en ambas direcciones. Por un lado, el proyecto aprenderá de las experiencias (éxitos y fracasos) y los conocimientos generados por el Programa Global y los demás proyectos </w:t>
      </w:r>
      <w:r w:rsidR="001A2067">
        <w:rPr>
          <w:rStyle w:val="normaltextrun"/>
          <w:rFonts w:asciiTheme="minorHAnsi" w:hAnsiTheme="minorHAnsi"/>
          <w:color w:val="000000" w:themeColor="text1"/>
          <w:sz w:val="20"/>
          <w:lang w:val="es-EC"/>
        </w:rPr>
        <w:t>Child</w:t>
      </w:r>
      <w:r>
        <w:rPr>
          <w:rFonts w:asciiTheme="minorHAnsi" w:hAnsiTheme="minorHAnsi"/>
          <w:color w:val="000000" w:themeColor="text1"/>
          <w:sz w:val="20"/>
        </w:rPr>
        <w:t xml:space="preserve">, y garantizará el intercambio de la información pertinente entre los principales actores nacionales. Por otro lado, los productos de conocimiento, las lecciones aprendidas y las actividades de difusión a nivel local y nacional se compartirán con el Programa Global, que capturará, almacenará, organizará y difundirá este conocimiento a una red global, incluida la Secretaría del Convenio de Estocolmo y el SAICM, de acuerdo con las </w:t>
      </w:r>
      <w:r w:rsidR="00A33068">
        <w:rPr>
          <w:rFonts w:asciiTheme="minorHAnsi" w:hAnsiTheme="minorHAnsi"/>
          <w:color w:val="000000" w:themeColor="text1"/>
          <w:sz w:val="20"/>
        </w:rPr>
        <w:t xml:space="preserve">comunicaciones, participación de </w:t>
      </w:r>
      <w:r w:rsidR="00F46CDE">
        <w:rPr>
          <w:rFonts w:asciiTheme="minorHAnsi" w:hAnsiTheme="minorHAnsi"/>
          <w:color w:val="000000" w:themeColor="text1"/>
          <w:sz w:val="20"/>
        </w:rPr>
        <w:t>partes interesadas</w:t>
      </w:r>
      <w:r w:rsidR="00A33068">
        <w:rPr>
          <w:rFonts w:asciiTheme="minorHAnsi" w:hAnsiTheme="minorHAnsi"/>
          <w:color w:val="000000" w:themeColor="text1"/>
          <w:sz w:val="20"/>
        </w:rPr>
        <w:t xml:space="preserve"> y </w:t>
      </w:r>
      <w:r>
        <w:rPr>
          <w:rFonts w:asciiTheme="minorHAnsi" w:hAnsiTheme="minorHAnsi"/>
          <w:color w:val="000000" w:themeColor="text1"/>
          <w:sz w:val="20"/>
        </w:rPr>
        <w:t xml:space="preserve">estrategias </w:t>
      </w:r>
      <w:r w:rsidR="00A33068">
        <w:rPr>
          <w:rFonts w:asciiTheme="minorHAnsi" w:hAnsiTheme="minorHAnsi"/>
          <w:color w:val="000000" w:themeColor="text1"/>
          <w:sz w:val="20"/>
        </w:rPr>
        <w:t xml:space="preserve">de género </w:t>
      </w:r>
      <w:r>
        <w:rPr>
          <w:rFonts w:asciiTheme="minorHAnsi" w:hAnsiTheme="minorHAnsi"/>
          <w:color w:val="000000" w:themeColor="text1"/>
          <w:sz w:val="20"/>
        </w:rPr>
        <w:t xml:space="preserve">aprobadas </w:t>
      </w:r>
      <w:r w:rsidR="009271B4">
        <w:rPr>
          <w:rFonts w:asciiTheme="minorHAnsi" w:hAnsiTheme="minorHAnsi"/>
          <w:color w:val="000000" w:themeColor="text1"/>
          <w:sz w:val="20"/>
        </w:rPr>
        <w:t xml:space="preserve">por la </w:t>
      </w:r>
      <w:r>
        <w:rPr>
          <w:rFonts w:asciiTheme="minorHAnsi" w:hAnsiTheme="minorHAnsi"/>
          <w:color w:val="000000" w:themeColor="text1"/>
          <w:sz w:val="20"/>
        </w:rPr>
        <w:t xml:space="preserve">Gestión del Conocimiento (GC), del FARM. El proyecto global pondrá a disposición estas experiencias a través de la plataforma global prevista en el marco de FARM y de estrategias de divulgación. El </w:t>
      </w:r>
      <w:r w:rsidR="00A30162">
        <w:rPr>
          <w:rFonts w:asciiTheme="minorHAnsi" w:hAnsiTheme="minorHAnsi"/>
          <w:color w:val="000000" w:themeColor="text1"/>
          <w:sz w:val="20"/>
        </w:rPr>
        <w:t xml:space="preserve">Child </w:t>
      </w:r>
      <w:r w:rsidR="009271B4">
        <w:rPr>
          <w:rFonts w:asciiTheme="minorHAnsi" w:hAnsiTheme="minorHAnsi"/>
          <w:color w:val="000000" w:themeColor="text1"/>
          <w:sz w:val="20"/>
        </w:rPr>
        <w:t>P</w:t>
      </w:r>
      <w:r w:rsidR="00A30162">
        <w:rPr>
          <w:rFonts w:asciiTheme="minorHAnsi" w:hAnsiTheme="minorHAnsi"/>
          <w:color w:val="000000" w:themeColor="text1"/>
          <w:sz w:val="20"/>
        </w:rPr>
        <w:t>roject</w:t>
      </w:r>
      <w:r>
        <w:rPr>
          <w:rFonts w:asciiTheme="minorHAnsi" w:hAnsiTheme="minorHAnsi"/>
          <w:color w:val="000000" w:themeColor="text1"/>
          <w:sz w:val="20"/>
        </w:rPr>
        <w:t xml:space="preserve"> participará activamente en reuniones y actos internacionales y garantizará el flujo de información entre los convenios internacionales, organismos donantes y principales actores y responsables de la toma de decisiones a escala regional, nacional y local.</w:t>
      </w:r>
    </w:p>
    <w:p w14:paraId="58F55704" w14:textId="4E4340A1" w:rsidR="00E31754" w:rsidRDefault="00606CE0" w:rsidP="00A40C0E">
      <w:pPr>
        <w:pStyle w:val="GEFFieldtoFillout"/>
        <w:shd w:val="clear" w:color="auto" w:fill="FFFFFF"/>
        <w:tabs>
          <w:tab w:val="left" w:pos="567"/>
        </w:tabs>
        <w:spacing w:after="120"/>
        <w:ind w:left="0"/>
        <w:jc w:val="both"/>
        <w:rPr>
          <w:rFonts w:asciiTheme="minorHAnsi" w:hAnsiTheme="minorHAnsi" w:cstheme="minorHAnsi"/>
          <w:color w:val="000000" w:themeColor="text1"/>
          <w:sz w:val="20"/>
          <w:szCs w:val="20"/>
        </w:rPr>
      </w:pPr>
      <w:r>
        <w:rPr>
          <w:rFonts w:asciiTheme="minorHAnsi" w:hAnsiTheme="minorHAnsi"/>
          <w:color w:val="000000" w:themeColor="text1"/>
          <w:sz w:val="20"/>
        </w:rPr>
        <w:t>El enfoque tendrá como objetivo conectar a los profesionales y responsables de la toma de decisiones locales y globales de los gobiernos, la sociedad civil y las empresas de otros países que participan en el programa mundial FARM. A través del Componente Global, el proyecto pondrá en contacto a compradores internacionales y productores locales, para garantizar que el comprador motive a los productores en el uso de las mejores prácticas ambientales y las mejores técnicas disponibles para ofrecer productos responsables.</w:t>
      </w:r>
    </w:p>
    <w:p w14:paraId="580B5D6D" w14:textId="3E094812" w:rsidR="00500694" w:rsidRPr="00D67C4C" w:rsidRDefault="00500694" w:rsidP="00B169FC">
      <w:pPr>
        <w:spacing w:after="120"/>
        <w:jc w:val="both"/>
        <w:rPr>
          <w:rFonts w:asciiTheme="minorHAnsi" w:hAnsiTheme="minorHAnsi" w:cstheme="minorHAnsi"/>
          <w:iCs/>
          <w:sz w:val="20"/>
          <w:szCs w:val="20"/>
        </w:rPr>
      </w:pPr>
      <w:r>
        <w:rPr>
          <w:rFonts w:asciiTheme="minorHAnsi" w:hAnsiTheme="minorHAnsi"/>
          <w:b/>
          <w:sz w:val="20"/>
        </w:rPr>
        <w:t>COMPONENTE 4 DEL PROYECTO</w:t>
      </w:r>
      <w:r w:rsidR="009271B4">
        <w:rPr>
          <w:rFonts w:asciiTheme="minorHAnsi" w:hAnsiTheme="minorHAnsi"/>
          <w:b/>
          <w:sz w:val="20"/>
        </w:rPr>
        <w:t>:</w:t>
      </w:r>
      <w:r>
        <w:rPr>
          <w:rFonts w:asciiTheme="minorHAnsi" w:hAnsiTheme="minorHAnsi"/>
          <w:b/>
          <w:sz w:val="20"/>
        </w:rPr>
        <w:t xml:space="preserve"> </w:t>
      </w:r>
      <w:r>
        <w:rPr>
          <w:rFonts w:asciiTheme="minorHAnsi" w:hAnsiTheme="minorHAnsi"/>
          <w:sz w:val="20"/>
        </w:rPr>
        <w:t>MONITOREO Y EVALUACIÓN</w:t>
      </w:r>
    </w:p>
    <w:p w14:paraId="0CEF6BE8" w14:textId="070612E3" w:rsidR="00500694" w:rsidRPr="00D67C4C" w:rsidRDefault="00500694" w:rsidP="00B169FC">
      <w:pPr>
        <w:spacing w:after="120"/>
        <w:jc w:val="both"/>
        <w:rPr>
          <w:rFonts w:asciiTheme="minorHAnsi" w:hAnsiTheme="minorHAnsi" w:cstheme="minorHAnsi"/>
          <w:iCs/>
          <w:sz w:val="20"/>
          <w:szCs w:val="20"/>
        </w:rPr>
      </w:pPr>
      <w:r>
        <w:rPr>
          <w:rFonts w:asciiTheme="minorHAnsi" w:hAnsiTheme="minorHAnsi"/>
          <w:b/>
          <w:sz w:val="20"/>
        </w:rPr>
        <w:t xml:space="preserve">RESULTADO 4: </w:t>
      </w:r>
      <w:r>
        <w:rPr>
          <w:rFonts w:asciiTheme="minorHAnsi" w:hAnsiTheme="minorHAnsi"/>
          <w:sz w:val="20"/>
        </w:rPr>
        <w:t>MONITOREO Y EVALUACIÓN</w:t>
      </w:r>
    </w:p>
    <w:p w14:paraId="116AD6B9" w14:textId="5EF4E513" w:rsidR="00500694" w:rsidRDefault="00500694" w:rsidP="00B169FC">
      <w:pPr>
        <w:spacing w:after="120"/>
        <w:jc w:val="both"/>
        <w:rPr>
          <w:rFonts w:asciiTheme="minorHAnsi" w:hAnsiTheme="minorHAnsi" w:cstheme="minorHAnsi"/>
          <w:sz w:val="20"/>
          <w:szCs w:val="20"/>
        </w:rPr>
      </w:pPr>
      <w:r>
        <w:rPr>
          <w:rFonts w:asciiTheme="minorHAnsi" w:hAnsiTheme="minorHAnsi"/>
          <w:b/>
          <w:sz w:val="20"/>
        </w:rPr>
        <w:t xml:space="preserve">Resultado 4.1: </w:t>
      </w:r>
      <w:r>
        <w:rPr>
          <w:rFonts w:asciiTheme="minorHAnsi" w:hAnsiTheme="minorHAnsi"/>
          <w:sz w:val="20"/>
        </w:rPr>
        <w:t>M&amp;E y gestión adaptativa aplicadas para evaluar el rendimiento del proyecto y el impacto de los BAG.</w:t>
      </w:r>
    </w:p>
    <w:p w14:paraId="09787CEC" w14:textId="575EAC5A" w:rsidR="00524D92" w:rsidRPr="002D64E1" w:rsidRDefault="00524D92"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Los resultados del proyecto, tal y como se describen en el Marco de Resultados del Proyecto (Sección V), se supervisarán periódicamente durante la ejecución para garantizar que el proyecto logre efectivamente sus resultados. Los resultados de las evaluaciones se recogerán en una evaluación intermedia y otra final, y las lecciones aprendidas se integrarán en el proyecto mediante una gestión adaptativa de la retroalimentación. El </w:t>
      </w:r>
      <w:r w:rsidR="002F0B32">
        <w:rPr>
          <w:rFonts w:asciiTheme="minorHAnsi" w:hAnsiTheme="minorHAnsi"/>
          <w:color w:val="000000" w:themeColor="text1"/>
          <w:sz w:val="20"/>
        </w:rPr>
        <w:t>M</w:t>
      </w:r>
      <w:r>
        <w:rPr>
          <w:rFonts w:asciiTheme="minorHAnsi" w:hAnsiTheme="minorHAnsi"/>
          <w:color w:val="000000" w:themeColor="text1"/>
          <w:sz w:val="20"/>
        </w:rPr>
        <w:t xml:space="preserve">onitoreo y </w:t>
      </w:r>
      <w:r w:rsidR="002F0B32">
        <w:rPr>
          <w:rFonts w:asciiTheme="minorHAnsi" w:hAnsiTheme="minorHAnsi"/>
          <w:color w:val="000000" w:themeColor="text1"/>
          <w:sz w:val="20"/>
        </w:rPr>
        <w:t>E</w:t>
      </w:r>
      <w:r>
        <w:rPr>
          <w:rFonts w:asciiTheme="minorHAnsi" w:hAnsiTheme="minorHAnsi"/>
          <w:color w:val="000000" w:themeColor="text1"/>
          <w:sz w:val="20"/>
        </w:rPr>
        <w:t xml:space="preserve">valuación a nivel de proyecto se llevarán a cabo de conformidad con los requisitos del PNUD, tal y como se indica en el documento </w:t>
      </w:r>
      <w:hyperlink r:id="rId14" w:history="1">
        <w:r>
          <w:rPr>
            <w:rFonts w:asciiTheme="minorHAnsi" w:hAnsiTheme="minorHAnsi"/>
            <w:color w:val="000000" w:themeColor="text1"/>
            <w:sz w:val="20"/>
          </w:rPr>
          <w:t>POPP del PNUD</w:t>
        </w:r>
      </w:hyperlink>
      <w:r>
        <w:rPr>
          <w:rFonts w:asciiTheme="minorHAnsi" w:hAnsiTheme="minorHAnsi"/>
          <w:color w:val="000000" w:themeColor="text1"/>
          <w:sz w:val="20"/>
        </w:rPr>
        <w:t xml:space="preserve"> y </w:t>
      </w:r>
      <w:hyperlink r:id="rId15" w:history="1">
        <w:r>
          <w:rPr>
            <w:rFonts w:asciiTheme="minorHAnsi" w:hAnsiTheme="minorHAnsi"/>
            <w:color w:val="000000" w:themeColor="text1"/>
            <w:sz w:val="20"/>
          </w:rPr>
          <w:t>la Política de Evaluación del PNUD</w:t>
        </w:r>
      </w:hyperlink>
      <w:r>
        <w:rPr>
          <w:rFonts w:asciiTheme="minorHAnsi" w:hAnsiTheme="minorHAnsi"/>
          <w:color w:val="000000" w:themeColor="text1"/>
          <w:sz w:val="20"/>
        </w:rPr>
        <w:t>.</w:t>
      </w:r>
    </w:p>
    <w:p w14:paraId="6E5D1AE3" w14:textId="223F56F6" w:rsidR="00524D92" w:rsidRPr="002D64E1" w:rsidRDefault="00524D92"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Como práctica habitual en todos los proyectos del PNUD, se garantizará un monitoreo continuo de los resultados y logros del FSP, al tiempo que se justificará la aplicación de una gestión adaptativa del proyecto tras la conclusión de la Revisión Intermedia (</w:t>
      </w:r>
      <w:r w:rsidR="0019735C">
        <w:rPr>
          <w:rFonts w:asciiTheme="minorHAnsi" w:hAnsiTheme="minorHAnsi"/>
          <w:color w:val="000000" w:themeColor="text1"/>
          <w:sz w:val="20"/>
          <w:lang w:val="es-EC"/>
        </w:rPr>
        <w:t>MTR</w:t>
      </w:r>
      <w:r>
        <w:rPr>
          <w:rFonts w:asciiTheme="minorHAnsi" w:hAnsiTheme="minorHAnsi"/>
          <w:color w:val="000000" w:themeColor="text1"/>
          <w:sz w:val="20"/>
        </w:rPr>
        <w:t>). La Unidad de Gestión del Proyecto (véase la Sección VII sobre Disposiciones de Gobernanza y Gestión para obtener información detallada) diseñará el sistema de M&amp;E del proyecto y será responsable de la ejecución del Plan de M&amp;E del proyecto (véase la Sección VI a continuación), incluidos el Taller de Inicio del Proyecto, los talleres anuales de planificación y los Informes de Ejecución del Proyecto (PIR).</w:t>
      </w:r>
    </w:p>
    <w:p w14:paraId="04DD564D" w14:textId="77777777" w:rsidR="00524D92" w:rsidRPr="002D64E1" w:rsidRDefault="00524D92"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Las siguientes actividades se llevarán a cabo para lograr el Resultado F.1:</w:t>
      </w:r>
    </w:p>
    <w:p w14:paraId="3A4487BD" w14:textId="57504415" w:rsidR="00524D92" w:rsidRPr="002D64E1" w:rsidRDefault="008D1624" w:rsidP="00B169F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a) Desarrollo del </w:t>
      </w:r>
      <w:r w:rsidR="008D37FB">
        <w:rPr>
          <w:rFonts w:asciiTheme="minorHAnsi" w:hAnsiTheme="minorHAnsi"/>
          <w:color w:val="000000" w:themeColor="text1"/>
          <w:sz w:val="20"/>
        </w:rPr>
        <w:t>t</w:t>
      </w:r>
      <w:r>
        <w:rPr>
          <w:rFonts w:asciiTheme="minorHAnsi" w:hAnsiTheme="minorHAnsi"/>
          <w:color w:val="000000" w:themeColor="text1"/>
          <w:sz w:val="20"/>
        </w:rPr>
        <w:t xml:space="preserve">aller de </w:t>
      </w:r>
      <w:r w:rsidR="008D37FB">
        <w:rPr>
          <w:rFonts w:asciiTheme="minorHAnsi" w:hAnsiTheme="minorHAnsi"/>
          <w:color w:val="000000" w:themeColor="text1"/>
          <w:sz w:val="20"/>
        </w:rPr>
        <w:t>i</w:t>
      </w:r>
      <w:r>
        <w:rPr>
          <w:rFonts w:asciiTheme="minorHAnsi" w:hAnsiTheme="minorHAnsi"/>
          <w:color w:val="000000" w:themeColor="text1"/>
          <w:sz w:val="20"/>
        </w:rPr>
        <w:t xml:space="preserve">nicio del </w:t>
      </w:r>
      <w:r w:rsidR="008D37FB">
        <w:rPr>
          <w:rFonts w:asciiTheme="minorHAnsi" w:hAnsiTheme="minorHAnsi"/>
          <w:color w:val="000000" w:themeColor="text1"/>
          <w:sz w:val="20"/>
        </w:rPr>
        <w:t>p</w:t>
      </w:r>
      <w:r>
        <w:rPr>
          <w:rFonts w:asciiTheme="minorHAnsi" w:hAnsiTheme="minorHAnsi"/>
          <w:color w:val="000000" w:themeColor="text1"/>
          <w:sz w:val="20"/>
        </w:rPr>
        <w:t>royecto.</w:t>
      </w:r>
    </w:p>
    <w:p w14:paraId="7218273D" w14:textId="75654637" w:rsidR="00524D92" w:rsidRPr="002D64E1" w:rsidRDefault="008D1624" w:rsidP="00017F66">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b) Monitoreo:</w:t>
      </w:r>
    </w:p>
    <w:p w14:paraId="50C37D57" w14:textId="77777777" w:rsidR="008D1624" w:rsidRDefault="00524D92">
      <w:pPr>
        <w:pStyle w:val="Prrafodelista"/>
        <w:numPr>
          <w:ilvl w:val="0"/>
          <w:numId w:val="38"/>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Marco de resultados del proyecto (indicadores de resultados, indicadores básicos del FMAM, indicadores de referencia y objetivos anuales).</w:t>
      </w:r>
    </w:p>
    <w:p w14:paraId="3AA1DE2D" w14:textId="277ADC6A" w:rsidR="00524D92" w:rsidRPr="008D1624" w:rsidRDefault="00524D92">
      <w:pPr>
        <w:pStyle w:val="Prrafodelista"/>
        <w:numPr>
          <w:ilvl w:val="0"/>
          <w:numId w:val="38"/>
        </w:num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Matriz de Riesgos del Proyecto, Marco Social y Ambiental/Procedimientos de Evaluación Social y Ambiental (</w:t>
      </w:r>
      <w:r w:rsidR="00343360">
        <w:rPr>
          <w:rFonts w:asciiTheme="minorHAnsi" w:hAnsiTheme="minorHAnsi"/>
          <w:color w:val="000000" w:themeColor="text1"/>
          <w:sz w:val="20"/>
          <w:lang w:val="es-EC"/>
        </w:rPr>
        <w:t>ESMF</w:t>
      </w:r>
      <w:r>
        <w:rPr>
          <w:rFonts w:asciiTheme="minorHAnsi" w:hAnsiTheme="minorHAnsi"/>
          <w:color w:val="000000" w:themeColor="text1"/>
          <w:sz w:val="20"/>
        </w:rPr>
        <w:t xml:space="preserve">/SESP), Análisis de Género y Plan de Acción, y Plan de Participación de las Partes Interesadas. </w:t>
      </w:r>
    </w:p>
    <w:p w14:paraId="6ED534F8" w14:textId="11FA4841" w:rsidR="00524D92" w:rsidRPr="002D64E1" w:rsidRDefault="008D1624" w:rsidP="00017F66">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c) Celebración de </w:t>
      </w:r>
      <w:r w:rsidR="008D37FB">
        <w:rPr>
          <w:rFonts w:asciiTheme="minorHAnsi" w:hAnsiTheme="minorHAnsi"/>
          <w:color w:val="000000" w:themeColor="text1"/>
          <w:sz w:val="20"/>
        </w:rPr>
        <w:t>r</w:t>
      </w:r>
      <w:r>
        <w:rPr>
          <w:rFonts w:asciiTheme="minorHAnsi" w:hAnsiTheme="minorHAnsi"/>
          <w:color w:val="000000" w:themeColor="text1"/>
          <w:sz w:val="20"/>
        </w:rPr>
        <w:t xml:space="preserve">euniones de </w:t>
      </w:r>
      <w:r w:rsidR="008D37FB">
        <w:rPr>
          <w:rFonts w:asciiTheme="minorHAnsi" w:hAnsiTheme="minorHAnsi"/>
          <w:color w:val="000000" w:themeColor="text1"/>
          <w:sz w:val="20"/>
        </w:rPr>
        <w:t>d</w:t>
      </w:r>
      <w:r>
        <w:rPr>
          <w:rFonts w:asciiTheme="minorHAnsi" w:hAnsiTheme="minorHAnsi"/>
          <w:color w:val="000000" w:themeColor="text1"/>
          <w:sz w:val="20"/>
        </w:rPr>
        <w:t xml:space="preserve">irección del </w:t>
      </w:r>
      <w:r w:rsidR="008D37FB">
        <w:rPr>
          <w:rFonts w:asciiTheme="minorHAnsi" w:hAnsiTheme="minorHAnsi"/>
          <w:color w:val="000000" w:themeColor="text1"/>
          <w:sz w:val="20"/>
        </w:rPr>
        <w:t>p</w:t>
      </w:r>
      <w:r>
        <w:rPr>
          <w:rFonts w:asciiTheme="minorHAnsi" w:hAnsiTheme="minorHAnsi"/>
          <w:color w:val="000000" w:themeColor="text1"/>
          <w:sz w:val="20"/>
        </w:rPr>
        <w:t>royecto.</w:t>
      </w:r>
    </w:p>
    <w:p w14:paraId="045DF905" w14:textId="1299ACB3" w:rsidR="00524D92" w:rsidRPr="002D64E1" w:rsidRDefault="008D1624" w:rsidP="00017F66">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d) Realización de la Revisión </w:t>
      </w:r>
      <w:r w:rsidR="008D37FB">
        <w:rPr>
          <w:rFonts w:asciiTheme="minorHAnsi" w:hAnsiTheme="minorHAnsi"/>
          <w:color w:val="000000" w:themeColor="text1"/>
          <w:sz w:val="20"/>
        </w:rPr>
        <w:t>I</w:t>
      </w:r>
      <w:r>
        <w:rPr>
          <w:rFonts w:asciiTheme="minorHAnsi" w:hAnsiTheme="minorHAnsi"/>
          <w:color w:val="000000" w:themeColor="text1"/>
          <w:sz w:val="20"/>
        </w:rPr>
        <w:t>ntermedia (</w:t>
      </w:r>
      <w:r w:rsidR="0019735C">
        <w:rPr>
          <w:rFonts w:asciiTheme="minorHAnsi" w:hAnsiTheme="minorHAnsi"/>
          <w:color w:val="000000" w:themeColor="text1"/>
          <w:sz w:val="20"/>
          <w:lang w:val="es-EC"/>
        </w:rPr>
        <w:t>MTR</w:t>
      </w:r>
      <w:r>
        <w:rPr>
          <w:rFonts w:asciiTheme="minorHAnsi" w:hAnsiTheme="minorHAnsi"/>
          <w:color w:val="000000" w:themeColor="text1"/>
          <w:sz w:val="20"/>
        </w:rPr>
        <w:t xml:space="preserve">): </w:t>
      </w:r>
      <w:r w:rsidR="004713BF">
        <w:rPr>
          <w:rFonts w:asciiTheme="minorHAnsi" w:hAnsiTheme="minorHAnsi"/>
          <w:color w:val="000000" w:themeColor="text1"/>
          <w:sz w:val="20"/>
        </w:rPr>
        <w:t>l</w:t>
      </w:r>
      <w:r>
        <w:rPr>
          <w:rFonts w:asciiTheme="minorHAnsi" w:hAnsiTheme="minorHAnsi"/>
          <w:color w:val="000000" w:themeColor="text1"/>
          <w:sz w:val="20"/>
        </w:rPr>
        <w:t xml:space="preserve">a MTR se llevará a cabo después de la segunda presentación del PIR; evaluará el progreso de cada actividad del proyecto y la consecución de los indicadores del proyecto presentados en el Marco de Resultados del Proyecto (Sección V) y el Plan de Trabajo Plurianual (Anexo 4). Esta revisión también tendrá en cuenta una </w:t>
      </w:r>
      <w:r w:rsidR="00D447BB">
        <w:rPr>
          <w:rFonts w:asciiTheme="minorHAnsi" w:hAnsiTheme="minorHAnsi"/>
          <w:color w:val="000000" w:themeColor="text1"/>
          <w:sz w:val="20"/>
        </w:rPr>
        <w:t>e</w:t>
      </w:r>
      <w:r>
        <w:rPr>
          <w:rFonts w:asciiTheme="minorHAnsi" w:hAnsiTheme="minorHAnsi"/>
          <w:color w:val="000000" w:themeColor="text1"/>
          <w:sz w:val="20"/>
        </w:rPr>
        <w:t xml:space="preserve">valuación de </w:t>
      </w:r>
      <w:r w:rsidR="00D447BB">
        <w:rPr>
          <w:rFonts w:asciiTheme="minorHAnsi" w:hAnsiTheme="minorHAnsi"/>
          <w:color w:val="000000" w:themeColor="text1"/>
          <w:sz w:val="20"/>
        </w:rPr>
        <w:t>g</w:t>
      </w:r>
      <w:r>
        <w:rPr>
          <w:rFonts w:asciiTheme="minorHAnsi" w:hAnsiTheme="minorHAnsi"/>
          <w:color w:val="000000" w:themeColor="text1"/>
          <w:sz w:val="20"/>
        </w:rPr>
        <w:t xml:space="preserve">énero del impacto del proyecto completada como parte de la MTR y el desembolso de los recursos financieros y la cofinanciación proporcionada por los socios del proyecto, y supervisará y evaluará los aspectos administrativos para la ejecución del proyecto. La evaluación </w:t>
      </w:r>
      <w:r w:rsidR="007C5123">
        <w:rPr>
          <w:rFonts w:asciiTheme="minorHAnsi" w:hAnsiTheme="minorHAnsi"/>
          <w:color w:val="000000" w:themeColor="text1"/>
          <w:sz w:val="20"/>
          <w:lang w:val="es-EC"/>
        </w:rPr>
        <w:t>MTR</w:t>
      </w:r>
      <w:r>
        <w:rPr>
          <w:rFonts w:asciiTheme="minorHAnsi" w:hAnsiTheme="minorHAnsi"/>
          <w:color w:val="000000" w:themeColor="text1"/>
          <w:sz w:val="20"/>
        </w:rPr>
        <w:t xml:space="preserve"> también servirá de base para la gestión adaptativa del proyecto y para mejorar su ejecución durante el resto de su duración. </w:t>
      </w:r>
    </w:p>
    <w:p w14:paraId="6AC96697" w14:textId="2C83190F" w:rsidR="00B97496" w:rsidRPr="002D64E1" w:rsidRDefault="008D1624" w:rsidP="00017F66">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e) Realización de la Evaluación Terminal (</w:t>
      </w:r>
      <w:r w:rsidR="0019735C">
        <w:rPr>
          <w:rFonts w:asciiTheme="minorHAnsi" w:hAnsiTheme="minorHAnsi"/>
          <w:color w:val="000000" w:themeColor="text1"/>
          <w:sz w:val="20"/>
          <w:lang w:val="es-EC"/>
        </w:rPr>
        <w:t>TE</w:t>
      </w:r>
      <w:r>
        <w:rPr>
          <w:rFonts w:asciiTheme="minorHAnsi" w:hAnsiTheme="minorHAnsi"/>
          <w:color w:val="000000" w:themeColor="text1"/>
          <w:sz w:val="20"/>
        </w:rPr>
        <w:t xml:space="preserve">): </w:t>
      </w:r>
      <w:r w:rsidR="004713BF">
        <w:rPr>
          <w:rFonts w:asciiTheme="minorHAnsi" w:hAnsiTheme="minorHAnsi"/>
          <w:color w:val="000000" w:themeColor="text1"/>
          <w:sz w:val="20"/>
        </w:rPr>
        <w:t>l</w:t>
      </w:r>
      <w:r>
        <w:rPr>
          <w:rFonts w:asciiTheme="minorHAnsi" w:hAnsiTheme="minorHAnsi"/>
          <w:color w:val="000000" w:themeColor="text1"/>
          <w:sz w:val="20"/>
        </w:rPr>
        <w:t xml:space="preserve">a </w:t>
      </w:r>
      <w:r w:rsidR="0019735C">
        <w:rPr>
          <w:rFonts w:asciiTheme="minorHAnsi" w:hAnsiTheme="minorHAnsi"/>
          <w:color w:val="000000" w:themeColor="text1"/>
          <w:sz w:val="20"/>
          <w:lang w:val="es-EC"/>
        </w:rPr>
        <w:t xml:space="preserve">TE </w:t>
      </w:r>
      <w:r>
        <w:rPr>
          <w:rFonts w:asciiTheme="minorHAnsi" w:hAnsiTheme="minorHAnsi"/>
          <w:color w:val="000000" w:themeColor="text1"/>
          <w:sz w:val="20"/>
        </w:rPr>
        <w:t xml:space="preserve">tiene por objeto evaluar si se han desarrollado todas las actividades previstas del proyecto, se han desembolsado los recursos concedidos por el FMAM y se han gastado de conformidad con las políticas y normas del FMAM y del PNUD, siguiendo las actividades establecidas en el presente Documento de Proyecto. La </w:t>
      </w:r>
      <w:r w:rsidR="0019735C">
        <w:rPr>
          <w:rFonts w:asciiTheme="minorHAnsi" w:hAnsiTheme="minorHAnsi"/>
          <w:color w:val="000000" w:themeColor="text1"/>
          <w:sz w:val="20"/>
          <w:lang w:val="es-EC"/>
        </w:rPr>
        <w:t>TE</w:t>
      </w:r>
      <w:r>
        <w:rPr>
          <w:rFonts w:asciiTheme="minorHAnsi" w:hAnsiTheme="minorHAnsi"/>
          <w:color w:val="000000" w:themeColor="text1"/>
          <w:sz w:val="20"/>
        </w:rPr>
        <w:t xml:space="preserve"> también extraerá e identificará las lecciones aprendidas, cómo difundirlas de la manera más eficaz y formulará recomendaciones para garantizar que los resultados del proyecto sean sostenibles.</w:t>
      </w:r>
    </w:p>
    <w:p w14:paraId="0FCF1AFC" w14:textId="16538715" w:rsidR="00500694" w:rsidRPr="00A91421" w:rsidRDefault="00500694" w:rsidP="00017F66">
      <w:pPr>
        <w:spacing w:after="120"/>
        <w:jc w:val="both"/>
        <w:rPr>
          <w:rFonts w:asciiTheme="minorHAnsi" w:hAnsiTheme="minorHAnsi" w:cstheme="minorHAnsi"/>
          <w:kern w:val="24"/>
          <w:sz w:val="20"/>
          <w:szCs w:val="20"/>
        </w:rPr>
      </w:pPr>
      <w:r>
        <w:rPr>
          <w:rFonts w:asciiTheme="minorHAnsi" w:hAnsiTheme="minorHAnsi"/>
          <w:b/>
          <w:sz w:val="20"/>
        </w:rPr>
        <w:t xml:space="preserve">Resultado 4.2: </w:t>
      </w:r>
      <w:r>
        <w:rPr>
          <w:rFonts w:asciiTheme="minorHAnsi" w:hAnsiTheme="minorHAnsi"/>
          <w:sz w:val="20"/>
        </w:rPr>
        <w:t>Herramientas de M&amp;E proporcionadas para evaluar los avances, retos y lecciones aprendidas; y para garantizar la sostenibilidad futura de los logros conseguidos a través del proyecto en la reducción/sustitución de PAPs y residuos.</w:t>
      </w:r>
    </w:p>
    <w:p w14:paraId="1E76775D" w14:textId="3C65199C" w:rsidR="00CA6060" w:rsidRDefault="00C3509E" w:rsidP="00017F66">
      <w:pPr>
        <w:spacing w:after="120"/>
        <w:jc w:val="both"/>
        <w:rPr>
          <w:rFonts w:asciiTheme="minorHAnsi" w:hAnsiTheme="minorHAnsi" w:cstheme="minorHAnsi"/>
          <w:sz w:val="20"/>
          <w:szCs w:val="20"/>
        </w:rPr>
      </w:pPr>
      <w:r>
        <w:rPr>
          <w:rFonts w:asciiTheme="minorHAnsi" w:hAnsiTheme="minorHAnsi"/>
          <w:sz w:val="20"/>
        </w:rPr>
        <w:t xml:space="preserve">A través de este </w:t>
      </w:r>
      <w:r w:rsidR="00DC0FD6">
        <w:rPr>
          <w:rFonts w:asciiTheme="minorHAnsi" w:hAnsiTheme="minorHAnsi"/>
          <w:sz w:val="20"/>
        </w:rPr>
        <w:t>R</w:t>
      </w:r>
      <w:r>
        <w:rPr>
          <w:rFonts w:asciiTheme="minorHAnsi" w:hAnsiTheme="minorHAnsi"/>
          <w:sz w:val="20"/>
        </w:rPr>
        <w:t xml:space="preserve">esultado, el proyecto apoyará el enfoque programático de M&amp;E de FARM, cuyo objetivo es acceder a los datos de todos los proyectos </w:t>
      </w:r>
      <w:r w:rsidR="001A2067">
        <w:rPr>
          <w:rStyle w:val="normaltextrun"/>
          <w:rFonts w:asciiTheme="minorHAnsi" w:hAnsiTheme="minorHAnsi"/>
          <w:color w:val="000000" w:themeColor="text1"/>
          <w:sz w:val="20"/>
          <w:lang w:val="es-EC"/>
        </w:rPr>
        <w:t>Child</w:t>
      </w:r>
      <w:r w:rsidR="001A2067">
        <w:rPr>
          <w:rFonts w:asciiTheme="minorHAnsi" w:hAnsiTheme="minorHAnsi"/>
          <w:sz w:val="20"/>
        </w:rPr>
        <w:t xml:space="preserve"> </w:t>
      </w:r>
      <w:r>
        <w:rPr>
          <w:rFonts w:asciiTheme="minorHAnsi" w:hAnsiTheme="minorHAnsi"/>
          <w:sz w:val="20"/>
        </w:rPr>
        <w:t xml:space="preserve">y recopilarlos, ponerlos a disposición (pull) y presentarlos periódicamente (push) a las partes interesadas del proyecto. </w:t>
      </w:r>
      <w:r>
        <w:rPr>
          <w:rFonts w:ascii="Calibri" w:hAnsi="Calibri"/>
          <w:sz w:val="20"/>
        </w:rPr>
        <w:t>El objetivo de este resultado será garantizar la coordinación general, el monitoreo y la evaluación del Programa Global FARM en su conjunto.</w:t>
      </w:r>
    </w:p>
    <w:p w14:paraId="1E6E9D11" w14:textId="0D944241" w:rsidR="000A5D87" w:rsidRPr="00813464" w:rsidRDefault="00CA6060" w:rsidP="00813464">
      <w:pPr>
        <w:snapToGrid w:val="0"/>
        <w:spacing w:after="120"/>
        <w:jc w:val="both"/>
        <w:rPr>
          <w:rFonts w:ascii="Calibri" w:hAnsi="Calibri" w:cs="Calibri"/>
          <w:sz w:val="20"/>
          <w:szCs w:val="18"/>
          <w:u w:val="single"/>
        </w:rPr>
      </w:pPr>
      <w:r>
        <w:rPr>
          <w:rFonts w:asciiTheme="minorHAnsi" w:hAnsiTheme="minorHAnsi"/>
          <w:color w:val="000000" w:themeColor="text1"/>
          <w:sz w:val="20"/>
          <w:u w:val="single"/>
        </w:rPr>
        <w:t xml:space="preserve">Monitoreo y </w:t>
      </w:r>
      <w:r w:rsidR="002F0B32">
        <w:rPr>
          <w:rFonts w:asciiTheme="minorHAnsi" w:hAnsiTheme="minorHAnsi"/>
          <w:color w:val="000000" w:themeColor="text1"/>
          <w:sz w:val="20"/>
          <w:u w:val="single"/>
        </w:rPr>
        <w:t>E</w:t>
      </w:r>
      <w:r>
        <w:rPr>
          <w:rFonts w:asciiTheme="minorHAnsi" w:hAnsiTheme="minorHAnsi"/>
          <w:color w:val="000000" w:themeColor="text1"/>
          <w:sz w:val="20"/>
          <w:u w:val="single"/>
        </w:rPr>
        <w:t>valuación de los programas FARM</w:t>
      </w:r>
    </w:p>
    <w:p w14:paraId="2820BE25" w14:textId="14556E46" w:rsidR="001C5829" w:rsidRPr="001C5829" w:rsidRDefault="000A5D87" w:rsidP="001C5829">
      <w:pPr>
        <w:pStyle w:val="paragraph0"/>
        <w:spacing w:before="0" w:beforeAutospacing="0" w:after="120" w:afterAutospacing="0"/>
        <w:jc w:val="both"/>
        <w:textAlignment w:val="baseline"/>
        <w:rPr>
          <w:rStyle w:val="eop"/>
          <w:rFonts w:asciiTheme="minorHAnsi" w:hAnsiTheme="minorHAnsi" w:cstheme="minorHAnsi"/>
          <w:sz w:val="20"/>
          <w:szCs w:val="20"/>
        </w:rPr>
      </w:pPr>
      <w:r>
        <w:rPr>
          <w:rStyle w:val="normaltextrun"/>
          <w:rFonts w:asciiTheme="minorHAnsi" w:hAnsiTheme="minorHAnsi"/>
          <w:sz w:val="20"/>
        </w:rPr>
        <w:t xml:space="preserve">Además de los requisitos de monitoreo y evaluación para cada </w:t>
      </w:r>
      <w:r w:rsidR="00A30162">
        <w:rPr>
          <w:rStyle w:val="normaltextrun"/>
          <w:rFonts w:asciiTheme="minorHAnsi" w:hAnsiTheme="minorHAnsi"/>
          <w:sz w:val="20"/>
        </w:rPr>
        <w:t xml:space="preserve">Child </w:t>
      </w:r>
      <w:r w:rsidR="002475FF">
        <w:rPr>
          <w:rStyle w:val="normaltextrun"/>
          <w:rFonts w:asciiTheme="minorHAnsi" w:hAnsiTheme="minorHAnsi"/>
          <w:sz w:val="20"/>
        </w:rPr>
        <w:t>P</w:t>
      </w:r>
      <w:r w:rsidR="00A30162">
        <w:rPr>
          <w:rStyle w:val="normaltextrun"/>
          <w:rFonts w:asciiTheme="minorHAnsi" w:hAnsiTheme="minorHAnsi"/>
          <w:sz w:val="20"/>
        </w:rPr>
        <w:t>roject</w:t>
      </w:r>
      <w:r>
        <w:rPr>
          <w:rStyle w:val="normaltextrun"/>
          <w:rFonts w:asciiTheme="minorHAnsi" w:hAnsiTheme="minorHAnsi"/>
          <w:sz w:val="20"/>
        </w:rPr>
        <w:t xml:space="preserve"> según los requisitos habituales del Organismo de Ejecución, el </w:t>
      </w:r>
      <w:r w:rsidR="00E7567D">
        <w:rPr>
          <w:rStyle w:val="normaltextrun"/>
          <w:rFonts w:asciiTheme="minorHAnsi" w:hAnsiTheme="minorHAnsi"/>
          <w:sz w:val="20"/>
        </w:rPr>
        <w:t>p</w:t>
      </w:r>
      <w:r>
        <w:rPr>
          <w:rStyle w:val="normaltextrun"/>
          <w:rFonts w:asciiTheme="minorHAnsi" w:hAnsiTheme="minorHAnsi"/>
          <w:sz w:val="20"/>
        </w:rPr>
        <w:t xml:space="preserve">rograma FARM </w:t>
      </w:r>
      <w:r>
        <w:rPr>
          <w:rStyle w:val="normaltextrun"/>
          <w:rFonts w:asciiTheme="minorHAnsi" w:hAnsiTheme="minorHAnsi"/>
          <w:color w:val="000000" w:themeColor="text1"/>
          <w:sz w:val="20"/>
        </w:rPr>
        <w:t xml:space="preserve">también tiene requisitos programáticos de monitoreo y evaluación según lo establecido por la Política de Monitoreo del FMAM (ME/PL/03). El Organismo Coordinador (PNUMA) y el Proyecto </w:t>
      </w:r>
      <w:r w:rsidR="00A30162">
        <w:rPr>
          <w:rStyle w:val="normaltextrun"/>
          <w:rFonts w:asciiTheme="minorHAnsi" w:hAnsiTheme="minorHAnsi"/>
          <w:color w:val="000000" w:themeColor="text1"/>
          <w:sz w:val="20"/>
          <w:lang w:val="es-EC"/>
        </w:rPr>
        <w:t>Child</w:t>
      </w:r>
      <w:r>
        <w:rPr>
          <w:rStyle w:val="normaltextrun"/>
          <w:rFonts w:asciiTheme="minorHAnsi" w:hAnsiTheme="minorHAnsi"/>
          <w:color w:val="000000" w:themeColor="text1"/>
          <w:sz w:val="20"/>
        </w:rPr>
        <w:t xml:space="preserve"> de Coordinación Global informan anualmente a la Secretaría del FMAM sobre los resultados a nivel de programa. La GGKP preparará un Informe de Avance Anual de FARM que documente el progreso hacia los resultados a nivel de programa, los principales hitos alcanzados en el programa FARM y la participación de FARM </w:t>
      </w:r>
      <w:r>
        <w:rPr>
          <w:rStyle w:val="normaltextrun"/>
          <w:rFonts w:asciiTheme="minorHAnsi" w:hAnsiTheme="minorHAnsi"/>
          <w:sz w:val="20"/>
        </w:rPr>
        <w:t xml:space="preserve">en foros regionales o globales.  Este informe se basará en la información facilitada por los proyectos </w:t>
      </w:r>
      <w:r w:rsidR="001A2067">
        <w:rPr>
          <w:rStyle w:val="normaltextrun"/>
          <w:rFonts w:asciiTheme="minorHAnsi" w:hAnsiTheme="minorHAnsi"/>
          <w:sz w:val="20"/>
        </w:rPr>
        <w:t>Child</w:t>
      </w:r>
      <w:r>
        <w:rPr>
          <w:rStyle w:val="normaltextrun"/>
          <w:rFonts w:asciiTheme="minorHAnsi" w:hAnsiTheme="minorHAnsi"/>
          <w:sz w:val="20"/>
        </w:rPr>
        <w:t>. El sistema programático de M&amp;E está diseñado para cumplir los siguientes requisitos:</w:t>
      </w:r>
      <w:r>
        <w:rPr>
          <w:rStyle w:val="eop"/>
          <w:rFonts w:asciiTheme="minorHAnsi" w:hAnsiTheme="minorHAnsi"/>
          <w:sz w:val="20"/>
        </w:rPr>
        <w:t> </w:t>
      </w:r>
    </w:p>
    <w:p w14:paraId="5768AFB7" w14:textId="196382D8" w:rsidR="000A5D87" w:rsidRPr="000A5D87" w:rsidRDefault="000A5D87">
      <w:pPr>
        <w:pStyle w:val="paragraph0"/>
        <w:numPr>
          <w:ilvl w:val="0"/>
          <w:numId w:val="40"/>
        </w:numPr>
        <w:spacing w:before="0" w:beforeAutospacing="0" w:after="120" w:afterAutospacing="0"/>
        <w:jc w:val="both"/>
        <w:textAlignment w:val="baseline"/>
        <w:rPr>
          <w:rFonts w:asciiTheme="minorHAnsi" w:hAnsiTheme="minorHAnsi" w:cstheme="minorHAnsi"/>
          <w:sz w:val="20"/>
          <w:szCs w:val="20"/>
        </w:rPr>
      </w:pPr>
      <w:r>
        <w:rPr>
          <w:rStyle w:val="normaltextrun"/>
          <w:rFonts w:asciiTheme="minorHAnsi" w:hAnsiTheme="minorHAnsi"/>
          <w:sz w:val="20"/>
        </w:rPr>
        <w:t>Fomentar la rendición de cuentas mediante el seguimiento de los avances realizados:</w:t>
      </w:r>
      <w:r>
        <w:rPr>
          <w:rStyle w:val="eop"/>
          <w:rFonts w:asciiTheme="minorHAnsi" w:hAnsiTheme="minorHAnsi"/>
          <w:sz w:val="20"/>
        </w:rPr>
        <w:t> </w:t>
      </w:r>
    </w:p>
    <w:p w14:paraId="6629E48F" w14:textId="69DD5F49" w:rsidR="000A5D87" w:rsidRPr="000A5D87" w:rsidRDefault="000A5D87">
      <w:pPr>
        <w:pStyle w:val="paragraph0"/>
        <w:numPr>
          <w:ilvl w:val="1"/>
          <w:numId w:val="41"/>
        </w:numPr>
        <w:spacing w:before="0" w:beforeAutospacing="0" w:after="60" w:afterAutospacing="0"/>
        <w:jc w:val="both"/>
        <w:textAlignment w:val="baseline"/>
        <w:rPr>
          <w:rFonts w:asciiTheme="minorHAnsi" w:hAnsiTheme="minorHAnsi" w:cstheme="minorHAnsi"/>
          <w:sz w:val="20"/>
          <w:szCs w:val="20"/>
        </w:rPr>
      </w:pPr>
      <w:r>
        <w:rPr>
          <w:rStyle w:val="normaltextrun"/>
          <w:rFonts w:asciiTheme="minorHAnsi" w:hAnsiTheme="minorHAnsi"/>
          <w:sz w:val="20"/>
        </w:rPr>
        <w:t>Los Beneficios Ambientales Globales (Indicadores básicos)</w:t>
      </w:r>
      <w:r>
        <w:rPr>
          <w:rStyle w:val="eop"/>
          <w:rFonts w:asciiTheme="minorHAnsi" w:hAnsiTheme="minorHAnsi"/>
          <w:sz w:val="20"/>
        </w:rPr>
        <w:t> </w:t>
      </w:r>
    </w:p>
    <w:p w14:paraId="70321D0F" w14:textId="3D97A4E3" w:rsidR="000A5D87" w:rsidRPr="000A5D87" w:rsidRDefault="000A5D87">
      <w:pPr>
        <w:pStyle w:val="paragraph0"/>
        <w:numPr>
          <w:ilvl w:val="1"/>
          <w:numId w:val="41"/>
        </w:numPr>
        <w:spacing w:before="0" w:beforeAutospacing="0" w:after="60" w:afterAutospacing="0"/>
        <w:jc w:val="both"/>
        <w:textAlignment w:val="baseline"/>
        <w:rPr>
          <w:rFonts w:asciiTheme="minorHAnsi" w:hAnsiTheme="minorHAnsi" w:cstheme="minorHAnsi"/>
          <w:sz w:val="20"/>
          <w:szCs w:val="20"/>
        </w:rPr>
      </w:pPr>
      <w:r>
        <w:rPr>
          <w:rStyle w:val="normaltextrun"/>
          <w:rFonts w:asciiTheme="minorHAnsi" w:hAnsiTheme="minorHAnsi"/>
          <w:sz w:val="20"/>
        </w:rPr>
        <w:t xml:space="preserve">La suma de los avances hacia los productos y resultados de los proyectos </w:t>
      </w:r>
      <w:r w:rsidR="001A2067">
        <w:rPr>
          <w:rStyle w:val="normaltextrun"/>
          <w:rFonts w:asciiTheme="minorHAnsi" w:hAnsiTheme="minorHAnsi"/>
          <w:sz w:val="20"/>
        </w:rPr>
        <w:t>Child</w:t>
      </w:r>
      <w:r>
        <w:rPr>
          <w:rStyle w:val="normaltextrun"/>
          <w:rFonts w:asciiTheme="minorHAnsi" w:hAnsiTheme="minorHAnsi"/>
          <w:sz w:val="20"/>
        </w:rPr>
        <w:t xml:space="preserve"> descritos en los marcos de resultados de los proyectos </w:t>
      </w:r>
      <w:r w:rsidR="001A2067">
        <w:rPr>
          <w:rStyle w:val="normaltextrun"/>
          <w:rFonts w:asciiTheme="minorHAnsi" w:hAnsiTheme="minorHAnsi"/>
          <w:sz w:val="20"/>
        </w:rPr>
        <w:t>Child</w:t>
      </w:r>
      <w:r>
        <w:rPr>
          <w:rStyle w:val="normaltextrun"/>
          <w:rFonts w:asciiTheme="minorHAnsi" w:hAnsiTheme="minorHAnsi"/>
          <w:sz w:val="20"/>
        </w:rPr>
        <w:t xml:space="preserve"> (Indicadores Comunes FARM)</w:t>
      </w:r>
    </w:p>
    <w:p w14:paraId="6C1388B0" w14:textId="199F60B4" w:rsidR="000A5D87" w:rsidRPr="0074747D" w:rsidRDefault="000A5D87">
      <w:pPr>
        <w:pStyle w:val="paragraph0"/>
        <w:numPr>
          <w:ilvl w:val="0"/>
          <w:numId w:val="40"/>
        </w:numPr>
        <w:spacing w:before="0" w:beforeAutospacing="0" w:after="60" w:afterAutospacing="0"/>
        <w:jc w:val="both"/>
        <w:textAlignment w:val="baseline"/>
        <w:rPr>
          <w:rFonts w:asciiTheme="minorHAnsi" w:hAnsiTheme="minorHAnsi" w:cstheme="minorHAnsi"/>
          <w:sz w:val="20"/>
          <w:szCs w:val="20"/>
        </w:rPr>
      </w:pPr>
      <w:r>
        <w:rPr>
          <w:rStyle w:val="normaltextrun"/>
          <w:rFonts w:asciiTheme="minorHAnsi" w:hAnsiTheme="minorHAnsi"/>
          <w:sz w:val="20"/>
        </w:rPr>
        <w:t xml:space="preserve">Promover el aprendizaje </w:t>
      </w:r>
      <w:r>
        <w:rPr>
          <w:rStyle w:val="normaltextrun"/>
          <w:rFonts w:asciiTheme="minorHAnsi" w:hAnsiTheme="minorHAnsi"/>
          <w:color w:val="000000" w:themeColor="text1"/>
          <w:sz w:val="20"/>
        </w:rPr>
        <w:t>mediante la</w:t>
      </w:r>
      <w:r>
        <w:rPr>
          <w:rStyle w:val="normaltextrun"/>
          <w:rFonts w:asciiTheme="minorHAnsi" w:hAnsiTheme="minorHAnsi"/>
          <w:sz w:val="20"/>
        </w:rPr>
        <w:t xml:space="preserve"> generación de conocimientos y el intercambio de experiencias y mejores prácticas de los programas con ac</w:t>
      </w:r>
      <w:r w:rsidR="003C0162">
        <w:rPr>
          <w:rStyle w:val="normaltextrun"/>
          <w:rFonts w:asciiTheme="minorHAnsi" w:hAnsiTheme="minorHAnsi"/>
          <w:sz w:val="20"/>
        </w:rPr>
        <w:t>t</w:t>
      </w:r>
      <w:r>
        <w:rPr>
          <w:rStyle w:val="normaltextrun"/>
          <w:rFonts w:asciiTheme="minorHAnsi" w:hAnsiTheme="minorHAnsi"/>
          <w:sz w:val="20"/>
        </w:rPr>
        <w:t>ores internos y externos.</w:t>
      </w:r>
      <w:r>
        <w:rPr>
          <w:rStyle w:val="eop"/>
          <w:rFonts w:asciiTheme="minorHAnsi" w:hAnsiTheme="minorHAnsi"/>
          <w:sz w:val="20"/>
        </w:rPr>
        <w:t> </w:t>
      </w:r>
    </w:p>
    <w:p w14:paraId="33B83B92" w14:textId="44B76B98" w:rsidR="0094799F" w:rsidRPr="0094799F" w:rsidRDefault="0094799F" w:rsidP="0094799F">
      <w:pPr>
        <w:pStyle w:val="paragraph0"/>
        <w:spacing w:before="0" w:beforeAutospacing="0" w:after="120" w:afterAutospacing="0"/>
        <w:jc w:val="both"/>
        <w:textAlignment w:val="baseline"/>
        <w:rPr>
          <w:rStyle w:val="eop"/>
          <w:rFonts w:eastAsia="SimSun" w:cs="Calibri"/>
          <w:sz w:val="20"/>
          <w:szCs w:val="20"/>
        </w:rPr>
      </w:pPr>
      <w:r>
        <w:rPr>
          <w:rStyle w:val="normaltextrun"/>
          <w:rFonts w:ascii="Calibri" w:hAnsi="Calibri"/>
          <w:color w:val="000000" w:themeColor="text1"/>
          <w:sz w:val="20"/>
        </w:rPr>
        <w:t xml:space="preserve">La GGKP desarrollará un panel de control del programa para que las partes interesadas puedan ver los progresos realizados en relación con los resultados consolidados de todos los proyectos </w:t>
      </w:r>
      <w:r w:rsidR="001A2067">
        <w:rPr>
          <w:rStyle w:val="normaltextrun"/>
          <w:rFonts w:ascii="Calibri" w:hAnsi="Calibri"/>
          <w:color w:val="000000" w:themeColor="text1"/>
          <w:sz w:val="20"/>
        </w:rPr>
        <w:t>Child</w:t>
      </w:r>
      <w:r>
        <w:rPr>
          <w:rStyle w:val="normaltextrun"/>
          <w:rFonts w:ascii="Calibri" w:hAnsi="Calibri"/>
          <w:color w:val="000000" w:themeColor="text1"/>
          <w:sz w:val="20"/>
        </w:rPr>
        <w:t>. El conjunto de Indicadores Comunes FARM complementará los Indicadores Básicos del FMAM y proporcionará dat</w:t>
      </w:r>
      <w:r w:rsidR="003C0162">
        <w:rPr>
          <w:rStyle w:val="normaltextrun"/>
          <w:rFonts w:ascii="Calibri" w:hAnsi="Calibri"/>
          <w:color w:val="000000" w:themeColor="text1"/>
          <w:sz w:val="20"/>
        </w:rPr>
        <w:t>o</w:t>
      </w:r>
      <w:r>
        <w:rPr>
          <w:rStyle w:val="normaltextrun"/>
          <w:rFonts w:ascii="Calibri" w:hAnsi="Calibri"/>
          <w:color w:val="000000" w:themeColor="text1"/>
          <w:sz w:val="20"/>
        </w:rPr>
        <w:t xml:space="preserve">s más detallados sobre el progreso y el aprendizaje de los proyectos </w:t>
      </w:r>
      <w:r w:rsidR="001A2067">
        <w:rPr>
          <w:rStyle w:val="normaltextrun"/>
          <w:rFonts w:ascii="Calibri" w:hAnsi="Calibri"/>
          <w:color w:val="000000" w:themeColor="text1"/>
          <w:sz w:val="20"/>
        </w:rPr>
        <w:t>Child</w:t>
      </w:r>
      <w:r>
        <w:rPr>
          <w:rStyle w:val="normaltextrun"/>
          <w:rFonts w:ascii="Calibri" w:hAnsi="Calibri"/>
          <w:color w:val="000000" w:themeColor="text1"/>
          <w:sz w:val="20"/>
        </w:rPr>
        <w:t xml:space="preserve">. Estos indicadores del </w:t>
      </w:r>
      <w:r w:rsidR="003C0162">
        <w:rPr>
          <w:rStyle w:val="normaltextrun"/>
          <w:rFonts w:ascii="Calibri" w:hAnsi="Calibri"/>
          <w:color w:val="000000" w:themeColor="text1"/>
          <w:sz w:val="20"/>
        </w:rPr>
        <w:t>p</w:t>
      </w:r>
      <w:r>
        <w:rPr>
          <w:rStyle w:val="normaltextrun"/>
          <w:rFonts w:ascii="Calibri" w:hAnsi="Calibri"/>
          <w:color w:val="000000" w:themeColor="text1"/>
          <w:sz w:val="20"/>
        </w:rPr>
        <w:t xml:space="preserve">rograma se desarrollarán durante el primer año de ejecución, pero se basarán en gran medida en los marcos lógicos de los proyectos </w:t>
      </w:r>
      <w:r w:rsidR="001A2067">
        <w:rPr>
          <w:rStyle w:val="normaltextrun"/>
          <w:rFonts w:ascii="Calibri" w:hAnsi="Calibri"/>
          <w:color w:val="000000" w:themeColor="text1"/>
          <w:sz w:val="20"/>
        </w:rPr>
        <w:t>Child</w:t>
      </w:r>
      <w:r>
        <w:rPr>
          <w:rStyle w:val="normaltextrun"/>
          <w:rFonts w:ascii="Calibri" w:hAnsi="Calibri"/>
          <w:color w:val="000000" w:themeColor="text1"/>
          <w:sz w:val="20"/>
        </w:rPr>
        <w:t>. </w:t>
      </w:r>
      <w:r>
        <w:rPr>
          <w:rStyle w:val="eop"/>
          <w:sz w:val="20"/>
        </w:rPr>
        <w:t> </w:t>
      </w:r>
    </w:p>
    <w:p w14:paraId="5C80848C" w14:textId="36C23186" w:rsidR="002B3759" w:rsidRPr="00B40560" w:rsidRDefault="00580AE6" w:rsidP="000434EF">
      <w:pPr>
        <w:pStyle w:val="paragraph0"/>
        <w:spacing w:before="0" w:beforeAutospacing="0" w:after="120" w:afterAutospacing="0"/>
        <w:jc w:val="both"/>
        <w:textAlignment w:val="baseline"/>
        <w:rPr>
          <w:rStyle w:val="normaltextrun"/>
          <w:rFonts w:asciiTheme="minorHAnsi" w:eastAsia="SimSun" w:hAnsiTheme="minorHAnsi" w:cstheme="minorHAnsi"/>
          <w:color w:val="000000" w:themeColor="text1"/>
          <w:sz w:val="20"/>
          <w:szCs w:val="20"/>
        </w:rPr>
      </w:pPr>
      <w:r>
        <w:rPr>
          <w:rStyle w:val="normaltextrun"/>
          <w:rFonts w:ascii="Calibri" w:hAnsi="Calibri"/>
          <w:color w:val="000000" w:themeColor="text1"/>
          <w:sz w:val="20"/>
        </w:rPr>
        <w:t xml:space="preserve">El ciclo conjunto de planificación, seguimiento y evaluación utilizará, siempre que sea posible, los planes e informes existentes elaborados por los proyectos </w:t>
      </w:r>
      <w:r w:rsidR="001A2067">
        <w:rPr>
          <w:rStyle w:val="normaltextrun"/>
          <w:rFonts w:ascii="Calibri" w:hAnsi="Calibri"/>
          <w:color w:val="000000" w:themeColor="text1"/>
          <w:sz w:val="20"/>
        </w:rPr>
        <w:t>Child</w:t>
      </w:r>
      <w:r>
        <w:rPr>
          <w:rStyle w:val="normaltextrun"/>
          <w:rFonts w:ascii="Calibri" w:hAnsi="Calibri"/>
          <w:color w:val="000000" w:themeColor="text1"/>
          <w:sz w:val="20"/>
        </w:rPr>
        <w:t xml:space="preserve"> para reducir al mínimo la carga adicional de presentación de informes</w:t>
      </w:r>
      <w:r>
        <w:rPr>
          <w:rStyle w:val="normaltextrun"/>
          <w:rFonts w:asciiTheme="minorHAnsi" w:hAnsiTheme="minorHAnsi"/>
          <w:color w:val="000000" w:themeColor="text1"/>
          <w:sz w:val="20"/>
        </w:rPr>
        <w:t>:</w:t>
      </w:r>
    </w:p>
    <w:p w14:paraId="553DBBB7" w14:textId="7638B67A" w:rsidR="00F07CC2" w:rsidRPr="00B40560" w:rsidRDefault="00580AE6">
      <w:pPr>
        <w:pStyle w:val="paragraph0"/>
        <w:numPr>
          <w:ilvl w:val="0"/>
          <w:numId w:val="42"/>
        </w:numPr>
        <w:spacing w:before="0" w:beforeAutospacing="0" w:after="120" w:afterAutospacing="0"/>
        <w:jc w:val="both"/>
        <w:textAlignment w:val="baseline"/>
        <w:rPr>
          <w:rFonts w:asciiTheme="minorHAnsi" w:hAnsiTheme="minorHAnsi" w:cstheme="minorHAnsi"/>
          <w:color w:val="000000" w:themeColor="text1"/>
          <w:sz w:val="20"/>
          <w:szCs w:val="20"/>
        </w:rPr>
      </w:pPr>
      <w:r>
        <w:rPr>
          <w:rStyle w:val="normaltextrun"/>
          <w:rFonts w:asciiTheme="minorHAnsi" w:hAnsiTheme="minorHAnsi"/>
          <w:color w:val="000000" w:themeColor="text1"/>
          <w:sz w:val="20"/>
        </w:rPr>
        <w:t xml:space="preserve">Cada </w:t>
      </w:r>
      <w:r w:rsidR="00A30162">
        <w:rPr>
          <w:rStyle w:val="normaltextrun"/>
          <w:rFonts w:asciiTheme="minorHAnsi" w:hAnsiTheme="minorHAnsi"/>
          <w:color w:val="000000" w:themeColor="text1"/>
          <w:sz w:val="20"/>
        </w:rPr>
        <w:t xml:space="preserve">Child </w:t>
      </w:r>
      <w:r w:rsidR="002475FF">
        <w:rPr>
          <w:rStyle w:val="normaltextrun"/>
          <w:rFonts w:asciiTheme="minorHAnsi" w:hAnsiTheme="minorHAnsi"/>
          <w:color w:val="000000" w:themeColor="text1"/>
          <w:sz w:val="20"/>
        </w:rPr>
        <w:t>P</w:t>
      </w:r>
      <w:r w:rsidR="00A30162">
        <w:rPr>
          <w:rStyle w:val="normaltextrun"/>
          <w:rFonts w:asciiTheme="minorHAnsi" w:hAnsiTheme="minorHAnsi"/>
          <w:color w:val="000000" w:themeColor="text1"/>
          <w:sz w:val="20"/>
        </w:rPr>
        <w:t>roject</w:t>
      </w:r>
      <w:r>
        <w:rPr>
          <w:rStyle w:val="normaltextrun"/>
          <w:rFonts w:asciiTheme="minorHAnsi" w:hAnsiTheme="minorHAnsi"/>
          <w:color w:val="000000" w:themeColor="text1"/>
          <w:sz w:val="20"/>
        </w:rPr>
        <w:t xml:space="preserve"> prepara y copia su </w:t>
      </w:r>
      <w:r>
        <w:rPr>
          <w:rStyle w:val="normaltextrun"/>
          <w:rFonts w:asciiTheme="minorHAnsi" w:hAnsiTheme="minorHAnsi"/>
          <w:b/>
          <w:color w:val="000000" w:themeColor="text1"/>
          <w:sz w:val="20"/>
        </w:rPr>
        <w:t>plan de trabajo</w:t>
      </w:r>
      <w:r>
        <w:rPr>
          <w:rStyle w:val="normaltextrun"/>
          <w:rFonts w:asciiTheme="minorHAnsi" w:hAnsiTheme="minorHAnsi"/>
          <w:color w:val="000000" w:themeColor="text1"/>
          <w:sz w:val="20"/>
        </w:rPr>
        <w:t xml:space="preserve"> anual a la GGKP en diciembre / enero. La GGKP consolidará esta información en el borrador del plan de trabajo global de FARM, centrándose en actividades transversales compartidas como la comunicación, gestión del conocimiento, participación global de las partes interesadas, etc.</w:t>
      </w:r>
      <w:r>
        <w:rPr>
          <w:rStyle w:val="eop"/>
          <w:rFonts w:asciiTheme="minorHAnsi" w:hAnsiTheme="minorHAnsi"/>
          <w:color w:val="000000" w:themeColor="text1"/>
          <w:sz w:val="20"/>
        </w:rPr>
        <w:t> </w:t>
      </w:r>
      <w:r>
        <w:rPr>
          <w:rStyle w:val="normaltextrun"/>
          <w:rFonts w:ascii="Calibri" w:hAnsi="Calibri"/>
          <w:sz w:val="20"/>
        </w:rPr>
        <w:t xml:space="preserve">La GGKP, en su función de coordinación global, establecerá contactos regulares e informales entre los expertos técnicos de los diferentes proyectos </w:t>
      </w:r>
      <w:r w:rsidR="001A2067">
        <w:rPr>
          <w:rStyle w:val="normaltextrun"/>
          <w:rFonts w:ascii="Calibri" w:hAnsi="Calibri"/>
          <w:sz w:val="20"/>
        </w:rPr>
        <w:t>Child</w:t>
      </w:r>
      <w:r>
        <w:rPr>
          <w:rStyle w:val="normaltextrun"/>
          <w:rFonts w:ascii="Calibri" w:hAnsi="Calibri"/>
          <w:sz w:val="20"/>
        </w:rPr>
        <w:t xml:space="preserve"> sobre cuatro aspectos transversales: gestión del conocimiento, comunicación, participación de las partes interesadas y género. Coordinarán </w:t>
      </w:r>
      <w:r>
        <w:rPr>
          <w:rStyle w:val="normaltextrun"/>
          <w:rFonts w:ascii="Calibri" w:hAnsi="Calibri"/>
          <w:b/>
          <w:sz w:val="20"/>
        </w:rPr>
        <w:t>reuniones</w:t>
      </w:r>
      <w:r>
        <w:rPr>
          <w:rStyle w:val="normaltextrun"/>
          <w:rFonts w:ascii="Calibri" w:hAnsi="Calibri"/>
          <w:sz w:val="20"/>
        </w:rPr>
        <w:t xml:space="preserve"> periódicas (trimestrales) de </w:t>
      </w:r>
      <w:r>
        <w:rPr>
          <w:rStyle w:val="normaltextrun"/>
          <w:rFonts w:ascii="Calibri" w:hAnsi="Calibri"/>
          <w:b/>
          <w:sz w:val="20"/>
        </w:rPr>
        <w:t>grupos de trabajo</w:t>
      </w:r>
      <w:r>
        <w:rPr>
          <w:rStyle w:val="normaltextrun"/>
          <w:rFonts w:ascii="Calibri" w:hAnsi="Calibri"/>
          <w:sz w:val="20"/>
        </w:rPr>
        <w:t xml:space="preserve"> </w:t>
      </w:r>
      <w:r>
        <w:rPr>
          <w:rStyle w:val="normaltextrun"/>
          <w:rFonts w:ascii="Calibri" w:hAnsi="Calibri"/>
          <w:b/>
          <w:sz w:val="20"/>
        </w:rPr>
        <w:t>temáticos</w:t>
      </w:r>
      <w:r>
        <w:rPr>
          <w:rStyle w:val="normaltextrun"/>
          <w:rFonts w:ascii="Calibri" w:hAnsi="Calibri"/>
          <w:sz w:val="20"/>
        </w:rPr>
        <w:t xml:space="preserve"> para los diferentes temas transversales con el fin de maximizar el aprendizaje y establecer una Comunidad de Prácticas FARM activa y conectada. Se tratará de reuniones virtuales, combinadas con funciones interactivas en línea como el Foro Verde GGKP o las Comunidades de Prácticas SAICM.</w:t>
      </w:r>
      <w:r>
        <w:rPr>
          <w:rStyle w:val="eop"/>
          <w:sz w:val="22"/>
        </w:rPr>
        <w:t> </w:t>
      </w:r>
    </w:p>
    <w:p w14:paraId="4C7742EB" w14:textId="77777777" w:rsidR="00F07CC2" w:rsidRPr="00F07CC2" w:rsidRDefault="00F07CC2" w:rsidP="00F07CC2">
      <w:pPr>
        <w:jc w:val="both"/>
        <w:textAlignment w:val="baseline"/>
        <w:rPr>
          <w:rFonts w:asciiTheme="minorHAnsi" w:hAnsiTheme="minorHAnsi" w:cstheme="minorHAnsi"/>
          <w:color w:val="000000" w:themeColor="text1"/>
          <w:sz w:val="20"/>
          <w:szCs w:val="20"/>
        </w:rPr>
      </w:pPr>
      <w:r>
        <w:rPr>
          <w:rFonts w:asciiTheme="minorHAnsi" w:hAnsiTheme="minorHAnsi"/>
          <w:color w:val="000000" w:themeColor="text1"/>
          <w:sz w:val="20"/>
        </w:rPr>
        <w:t>Además de los informes periódicos, el programa FARM también organizará eventos regulares para el intercambio de información y coordinación.  </w:t>
      </w:r>
    </w:p>
    <w:p w14:paraId="7CB30DC5" w14:textId="77777777" w:rsidR="00F07CC2" w:rsidRPr="002152FE" w:rsidRDefault="00F07CC2" w:rsidP="00F07CC2">
      <w:pPr>
        <w:pStyle w:val="paragraph0"/>
        <w:spacing w:before="0" w:beforeAutospacing="0" w:after="0" w:afterAutospacing="0"/>
        <w:jc w:val="both"/>
        <w:textAlignment w:val="baseline"/>
        <w:rPr>
          <w:rFonts w:asciiTheme="minorHAnsi" w:hAnsiTheme="minorHAnsi" w:cstheme="minorHAnsi"/>
          <w:color w:val="000000" w:themeColor="text1"/>
          <w:sz w:val="20"/>
          <w:szCs w:val="20"/>
          <w:lang w:val="es-EC"/>
        </w:rPr>
      </w:pPr>
    </w:p>
    <w:p w14:paraId="1F71F480" w14:textId="1F4B13A0" w:rsidR="00F07CC2" w:rsidRPr="000434EF" w:rsidRDefault="00F07CC2">
      <w:pPr>
        <w:pStyle w:val="paragraph0"/>
        <w:numPr>
          <w:ilvl w:val="0"/>
          <w:numId w:val="43"/>
        </w:numPr>
        <w:spacing w:before="0" w:beforeAutospacing="0" w:after="0" w:afterAutospacing="0"/>
        <w:jc w:val="both"/>
        <w:textAlignment w:val="baseline"/>
        <w:rPr>
          <w:rFonts w:asciiTheme="minorHAnsi" w:hAnsiTheme="minorHAnsi" w:cstheme="minorHAnsi"/>
          <w:color w:val="000000" w:themeColor="text1"/>
          <w:sz w:val="20"/>
          <w:szCs w:val="20"/>
        </w:rPr>
      </w:pPr>
      <w:r>
        <w:rPr>
          <w:rStyle w:val="normaltextrun"/>
          <w:rFonts w:asciiTheme="minorHAnsi" w:hAnsiTheme="minorHAnsi"/>
          <w:color w:val="000000" w:themeColor="text1"/>
          <w:sz w:val="20"/>
        </w:rPr>
        <w:t xml:space="preserve">En febrero-marzo de cada año se celebra </w:t>
      </w:r>
      <w:r>
        <w:rPr>
          <w:rStyle w:val="normaltextrun"/>
          <w:rFonts w:asciiTheme="minorHAnsi" w:hAnsiTheme="minorHAnsi"/>
          <w:b/>
          <w:color w:val="000000" w:themeColor="text1"/>
          <w:sz w:val="20"/>
        </w:rPr>
        <w:t xml:space="preserve">la </w:t>
      </w:r>
      <w:r w:rsidR="0009467E">
        <w:rPr>
          <w:rStyle w:val="normaltextrun"/>
          <w:rFonts w:asciiTheme="minorHAnsi" w:hAnsiTheme="minorHAnsi"/>
          <w:b/>
          <w:color w:val="000000" w:themeColor="text1"/>
          <w:sz w:val="20"/>
        </w:rPr>
        <w:t>R</w:t>
      </w:r>
      <w:r>
        <w:rPr>
          <w:rStyle w:val="normaltextrun"/>
          <w:rFonts w:asciiTheme="minorHAnsi" w:hAnsiTheme="minorHAnsi"/>
          <w:b/>
          <w:color w:val="000000" w:themeColor="text1"/>
          <w:sz w:val="20"/>
        </w:rPr>
        <w:t xml:space="preserve">eunión </w:t>
      </w:r>
      <w:r w:rsidR="0009467E">
        <w:rPr>
          <w:rStyle w:val="normaltextrun"/>
          <w:rFonts w:asciiTheme="minorHAnsi" w:hAnsiTheme="minorHAnsi"/>
          <w:b/>
          <w:color w:val="000000" w:themeColor="text1"/>
          <w:sz w:val="20"/>
        </w:rPr>
        <w:t>A</w:t>
      </w:r>
      <w:r>
        <w:rPr>
          <w:rStyle w:val="normaltextrun"/>
          <w:rFonts w:asciiTheme="minorHAnsi" w:hAnsiTheme="minorHAnsi"/>
          <w:b/>
          <w:color w:val="000000" w:themeColor="text1"/>
          <w:sz w:val="20"/>
        </w:rPr>
        <w:t xml:space="preserve">nual de </w:t>
      </w:r>
      <w:r w:rsidR="0009467E">
        <w:rPr>
          <w:rStyle w:val="normaltextrun"/>
          <w:rFonts w:asciiTheme="minorHAnsi" w:hAnsiTheme="minorHAnsi"/>
          <w:b/>
          <w:color w:val="000000" w:themeColor="text1"/>
          <w:sz w:val="20"/>
        </w:rPr>
        <w:t>C</w:t>
      </w:r>
      <w:r>
        <w:rPr>
          <w:rStyle w:val="normaltextrun"/>
          <w:rFonts w:asciiTheme="minorHAnsi" w:hAnsiTheme="minorHAnsi"/>
          <w:b/>
          <w:color w:val="000000" w:themeColor="text1"/>
          <w:sz w:val="20"/>
        </w:rPr>
        <w:t xml:space="preserve">oordinación </w:t>
      </w:r>
      <w:r>
        <w:rPr>
          <w:rStyle w:val="normaltextrun"/>
          <w:rFonts w:asciiTheme="minorHAnsi" w:hAnsiTheme="minorHAnsi"/>
          <w:color w:val="000000" w:themeColor="text1"/>
          <w:sz w:val="20"/>
        </w:rPr>
        <w:t xml:space="preserve">del Grupo de Coordinación del Programa </w:t>
      </w:r>
      <w:r>
        <w:rPr>
          <w:rStyle w:val="normaltextrun"/>
          <w:rFonts w:asciiTheme="minorHAnsi" w:hAnsiTheme="minorHAnsi"/>
          <w:b/>
          <w:color w:val="000000" w:themeColor="text1"/>
          <w:sz w:val="20"/>
        </w:rPr>
        <w:t xml:space="preserve">FARM </w:t>
      </w:r>
      <w:r>
        <w:rPr>
          <w:rStyle w:val="normaltextrun"/>
          <w:rFonts w:asciiTheme="minorHAnsi" w:hAnsiTheme="minorHAnsi"/>
          <w:color w:val="000000" w:themeColor="text1"/>
          <w:sz w:val="20"/>
        </w:rPr>
        <w:t xml:space="preserve">(Organismos de </w:t>
      </w:r>
      <w:r w:rsidR="00C71B5B">
        <w:rPr>
          <w:rStyle w:val="normaltextrun"/>
          <w:rFonts w:asciiTheme="minorHAnsi" w:hAnsiTheme="minorHAnsi"/>
          <w:color w:val="000000" w:themeColor="text1"/>
          <w:sz w:val="20"/>
        </w:rPr>
        <w:t>i</w:t>
      </w:r>
      <w:r>
        <w:rPr>
          <w:rStyle w:val="normaltextrun"/>
          <w:rFonts w:asciiTheme="minorHAnsi" w:hAnsiTheme="minorHAnsi"/>
          <w:color w:val="000000" w:themeColor="text1"/>
          <w:sz w:val="20"/>
        </w:rPr>
        <w:t xml:space="preserve">mplementación y </w:t>
      </w:r>
      <w:r w:rsidR="00C71B5B">
        <w:rPr>
          <w:rStyle w:val="normaltextrun"/>
          <w:rFonts w:asciiTheme="minorHAnsi" w:hAnsiTheme="minorHAnsi"/>
          <w:color w:val="000000" w:themeColor="text1"/>
          <w:sz w:val="20"/>
        </w:rPr>
        <w:t>e</w:t>
      </w:r>
      <w:r>
        <w:rPr>
          <w:rStyle w:val="normaltextrun"/>
          <w:rFonts w:asciiTheme="minorHAnsi" w:hAnsiTheme="minorHAnsi"/>
          <w:color w:val="000000" w:themeColor="text1"/>
          <w:sz w:val="20"/>
        </w:rPr>
        <w:t xml:space="preserve">jecución de los proyectos </w:t>
      </w:r>
      <w:r w:rsidR="001A2067">
        <w:rPr>
          <w:rStyle w:val="normaltextrun"/>
          <w:rFonts w:asciiTheme="minorHAnsi" w:hAnsiTheme="minorHAnsi"/>
          <w:color w:val="000000" w:themeColor="text1"/>
          <w:sz w:val="20"/>
          <w:lang w:val="es-EC"/>
        </w:rPr>
        <w:t>Child</w:t>
      </w:r>
      <w:r>
        <w:rPr>
          <w:rStyle w:val="normaltextrun"/>
          <w:rFonts w:asciiTheme="minorHAnsi" w:hAnsiTheme="minorHAnsi"/>
          <w:color w:val="000000" w:themeColor="text1"/>
          <w:sz w:val="20"/>
        </w:rPr>
        <w:t xml:space="preserve">). En esta reunión se examinarán los avances logrados, se revisarán los planes de trabajo de los proyectos </w:t>
      </w:r>
      <w:r w:rsidR="001A2067">
        <w:rPr>
          <w:rStyle w:val="normaltextrun"/>
          <w:rFonts w:asciiTheme="minorHAnsi" w:hAnsiTheme="minorHAnsi"/>
          <w:color w:val="000000" w:themeColor="text1"/>
          <w:sz w:val="20"/>
          <w:lang w:val="es-EC"/>
        </w:rPr>
        <w:t>Child</w:t>
      </w:r>
      <w:r w:rsidR="001A2067">
        <w:rPr>
          <w:rStyle w:val="normaltextrun"/>
          <w:rFonts w:asciiTheme="minorHAnsi" w:hAnsiTheme="minorHAnsi"/>
          <w:color w:val="000000" w:themeColor="text1"/>
          <w:sz w:val="20"/>
        </w:rPr>
        <w:t xml:space="preserve"> </w:t>
      </w:r>
      <w:r>
        <w:rPr>
          <w:rStyle w:val="normaltextrun"/>
          <w:rFonts w:asciiTheme="minorHAnsi" w:hAnsiTheme="minorHAnsi"/>
          <w:color w:val="000000" w:themeColor="text1"/>
          <w:sz w:val="20"/>
        </w:rPr>
        <w:t>y se coordinarán los proyectos.</w:t>
      </w:r>
    </w:p>
    <w:p w14:paraId="02FF535C" w14:textId="52618D8A" w:rsidR="000434EF" w:rsidRDefault="00F07CC2">
      <w:pPr>
        <w:pStyle w:val="paragraph0"/>
        <w:numPr>
          <w:ilvl w:val="0"/>
          <w:numId w:val="43"/>
        </w:numPr>
        <w:spacing w:before="0" w:beforeAutospacing="0" w:after="0" w:afterAutospacing="0"/>
        <w:jc w:val="both"/>
        <w:textAlignment w:val="baseline"/>
        <w:rPr>
          <w:rFonts w:asciiTheme="minorHAnsi" w:hAnsiTheme="minorHAnsi" w:cstheme="minorHAnsi"/>
          <w:color w:val="000000" w:themeColor="text1"/>
          <w:sz w:val="20"/>
          <w:szCs w:val="20"/>
        </w:rPr>
      </w:pPr>
      <w:r>
        <w:rPr>
          <w:rStyle w:val="normaltextrun"/>
          <w:rFonts w:asciiTheme="minorHAnsi" w:hAnsiTheme="minorHAnsi"/>
          <w:b/>
          <w:color w:val="000000" w:themeColor="text1"/>
          <w:sz w:val="20"/>
        </w:rPr>
        <w:t xml:space="preserve">Foro </w:t>
      </w:r>
      <w:r w:rsidR="0009467E">
        <w:rPr>
          <w:rStyle w:val="normaltextrun"/>
          <w:rFonts w:asciiTheme="minorHAnsi" w:hAnsiTheme="minorHAnsi"/>
          <w:b/>
          <w:color w:val="000000" w:themeColor="text1"/>
          <w:sz w:val="20"/>
        </w:rPr>
        <w:t>B</w:t>
      </w:r>
      <w:r>
        <w:rPr>
          <w:rStyle w:val="normaltextrun"/>
          <w:rFonts w:asciiTheme="minorHAnsi" w:hAnsiTheme="minorHAnsi"/>
          <w:b/>
          <w:color w:val="000000" w:themeColor="text1"/>
          <w:sz w:val="20"/>
        </w:rPr>
        <w:t xml:space="preserve">ianual de </w:t>
      </w:r>
      <w:r w:rsidR="0009467E">
        <w:rPr>
          <w:rStyle w:val="normaltextrun"/>
          <w:rFonts w:asciiTheme="minorHAnsi" w:hAnsiTheme="minorHAnsi"/>
          <w:b/>
          <w:color w:val="000000" w:themeColor="text1"/>
          <w:sz w:val="20"/>
        </w:rPr>
        <w:t>S</w:t>
      </w:r>
      <w:r>
        <w:rPr>
          <w:rStyle w:val="normaltextrun"/>
          <w:rFonts w:asciiTheme="minorHAnsi" w:hAnsiTheme="minorHAnsi"/>
          <w:b/>
          <w:color w:val="000000" w:themeColor="text1"/>
          <w:sz w:val="20"/>
        </w:rPr>
        <w:t>ocios de FARM.</w:t>
      </w:r>
      <w:r>
        <w:rPr>
          <w:rStyle w:val="normaltextrun"/>
          <w:rFonts w:asciiTheme="minorHAnsi" w:hAnsiTheme="minorHAnsi"/>
          <w:color w:val="000000" w:themeColor="text1"/>
          <w:sz w:val="20"/>
        </w:rPr>
        <w:t xml:space="preserve"> Esta reunión brinda la oportunidad a un grupo más amplio de partes interesadas (por ejemplo, </w:t>
      </w:r>
      <w:r w:rsidR="003C0162">
        <w:rPr>
          <w:rStyle w:val="normaltextrun"/>
          <w:rFonts w:asciiTheme="minorHAnsi" w:hAnsiTheme="minorHAnsi"/>
          <w:color w:val="000000" w:themeColor="text1"/>
          <w:sz w:val="20"/>
        </w:rPr>
        <w:t>o</w:t>
      </w:r>
      <w:r>
        <w:rPr>
          <w:rStyle w:val="normaltextrun"/>
          <w:rFonts w:asciiTheme="minorHAnsi" w:hAnsiTheme="minorHAnsi"/>
          <w:color w:val="000000" w:themeColor="text1"/>
          <w:sz w:val="20"/>
        </w:rPr>
        <w:t xml:space="preserve">rganismos d ejecución de proyectos </w:t>
      </w:r>
      <w:r w:rsidR="001A2067">
        <w:rPr>
          <w:rStyle w:val="normaltextrun"/>
          <w:rFonts w:asciiTheme="minorHAnsi" w:hAnsiTheme="minorHAnsi"/>
          <w:color w:val="000000" w:themeColor="text1"/>
          <w:sz w:val="20"/>
        </w:rPr>
        <w:t>Child</w:t>
      </w:r>
      <w:r>
        <w:rPr>
          <w:rStyle w:val="normaltextrun"/>
          <w:rFonts w:asciiTheme="minorHAnsi" w:hAnsiTheme="minorHAnsi"/>
          <w:color w:val="000000" w:themeColor="text1"/>
          <w:sz w:val="20"/>
        </w:rPr>
        <w:t xml:space="preserve"> y socios de ejecución) de compartir lecciones, conocimientos y comunicaciones, con el fin de fundamentar la planificación anual para el año siguiente. Los proyectos </w:t>
      </w:r>
      <w:r w:rsidR="001A2067">
        <w:rPr>
          <w:rStyle w:val="normaltextrun"/>
          <w:rFonts w:asciiTheme="minorHAnsi" w:hAnsiTheme="minorHAnsi"/>
          <w:color w:val="000000" w:themeColor="text1"/>
          <w:sz w:val="20"/>
          <w:lang w:val="es-EC"/>
        </w:rPr>
        <w:t>Child</w:t>
      </w:r>
      <w:r w:rsidR="001A2067">
        <w:rPr>
          <w:rStyle w:val="normaltextrun"/>
          <w:rFonts w:asciiTheme="minorHAnsi" w:hAnsiTheme="minorHAnsi"/>
          <w:color w:val="000000" w:themeColor="text1"/>
          <w:sz w:val="20"/>
        </w:rPr>
        <w:t xml:space="preserve"> </w:t>
      </w:r>
      <w:r>
        <w:rPr>
          <w:rStyle w:val="normaltextrun"/>
          <w:rFonts w:asciiTheme="minorHAnsi" w:hAnsiTheme="minorHAnsi"/>
          <w:color w:val="000000" w:themeColor="text1"/>
          <w:sz w:val="20"/>
        </w:rPr>
        <w:t xml:space="preserve">financiarán la participación de sus principales representantes en el </w:t>
      </w:r>
      <w:r w:rsidR="00331B49">
        <w:rPr>
          <w:rStyle w:val="normaltextrun"/>
          <w:rFonts w:asciiTheme="minorHAnsi" w:hAnsiTheme="minorHAnsi"/>
          <w:color w:val="000000" w:themeColor="text1"/>
          <w:sz w:val="20"/>
        </w:rPr>
        <w:t>f</w:t>
      </w:r>
      <w:r>
        <w:rPr>
          <w:rStyle w:val="normaltextrun"/>
          <w:rFonts w:asciiTheme="minorHAnsi" w:hAnsiTheme="minorHAnsi"/>
          <w:color w:val="000000" w:themeColor="text1"/>
          <w:sz w:val="20"/>
        </w:rPr>
        <w:t xml:space="preserve">oro, mientras que el </w:t>
      </w:r>
      <w:r w:rsidR="00A30162">
        <w:rPr>
          <w:rStyle w:val="normaltextrun"/>
          <w:rFonts w:asciiTheme="minorHAnsi" w:hAnsiTheme="minorHAnsi"/>
          <w:color w:val="000000" w:themeColor="text1"/>
          <w:sz w:val="20"/>
        </w:rPr>
        <w:t xml:space="preserve">Child </w:t>
      </w:r>
      <w:r w:rsidR="002475FF">
        <w:rPr>
          <w:rStyle w:val="normaltextrun"/>
          <w:rFonts w:asciiTheme="minorHAnsi" w:hAnsiTheme="minorHAnsi"/>
          <w:color w:val="000000" w:themeColor="text1"/>
          <w:sz w:val="20"/>
        </w:rPr>
        <w:t>P</w:t>
      </w:r>
      <w:r w:rsidR="00A30162">
        <w:rPr>
          <w:rStyle w:val="normaltextrun"/>
          <w:rFonts w:asciiTheme="minorHAnsi" w:hAnsiTheme="minorHAnsi"/>
          <w:color w:val="000000" w:themeColor="text1"/>
          <w:sz w:val="20"/>
        </w:rPr>
        <w:t>roject</w:t>
      </w:r>
      <w:r>
        <w:rPr>
          <w:rStyle w:val="normaltextrun"/>
          <w:rFonts w:asciiTheme="minorHAnsi" w:hAnsiTheme="minorHAnsi"/>
          <w:color w:val="000000" w:themeColor="text1"/>
          <w:sz w:val="20"/>
        </w:rPr>
        <w:t xml:space="preserve"> global también incluirá presupuesto para invitar a países participantes no pertenecientes a la FARM por rotación regional (Fecha: Octubre)</w:t>
      </w:r>
      <w:r w:rsidR="00331B49">
        <w:rPr>
          <w:rStyle w:val="normaltextrun"/>
          <w:rFonts w:asciiTheme="minorHAnsi" w:hAnsiTheme="minorHAnsi"/>
          <w:color w:val="000000" w:themeColor="text1"/>
          <w:sz w:val="20"/>
        </w:rPr>
        <w:t>.</w:t>
      </w:r>
      <w:r>
        <w:rPr>
          <w:rStyle w:val="eop"/>
          <w:rFonts w:asciiTheme="minorHAnsi" w:hAnsiTheme="minorHAnsi"/>
          <w:color w:val="000000" w:themeColor="text1"/>
          <w:sz w:val="20"/>
        </w:rPr>
        <w:t> </w:t>
      </w:r>
    </w:p>
    <w:p w14:paraId="09599EAE" w14:textId="037FB5D0" w:rsidR="00F07CC2" w:rsidRPr="00254558" w:rsidRDefault="00F07CC2">
      <w:pPr>
        <w:pStyle w:val="paragraph0"/>
        <w:numPr>
          <w:ilvl w:val="0"/>
          <w:numId w:val="43"/>
        </w:numPr>
        <w:spacing w:before="0" w:beforeAutospacing="0" w:after="120" w:afterAutospacing="0"/>
        <w:jc w:val="both"/>
        <w:textAlignment w:val="baseline"/>
        <w:rPr>
          <w:rStyle w:val="normaltextrun"/>
          <w:rFonts w:asciiTheme="minorHAnsi" w:hAnsiTheme="minorHAnsi" w:cstheme="minorHAnsi"/>
          <w:color w:val="000000" w:themeColor="text1"/>
          <w:sz w:val="20"/>
          <w:szCs w:val="20"/>
        </w:rPr>
      </w:pPr>
      <w:r>
        <w:rPr>
          <w:rStyle w:val="normaltextrun"/>
          <w:rFonts w:asciiTheme="minorHAnsi" w:hAnsiTheme="minorHAnsi"/>
          <w:sz w:val="20"/>
        </w:rPr>
        <w:t xml:space="preserve">La GGKP, en su papel de coordinación global, establecerá contactos regulares e informales entre los expertos técnicos de los diferentes proyectos </w:t>
      </w:r>
      <w:r w:rsidR="001A2067">
        <w:rPr>
          <w:rStyle w:val="normaltextrun"/>
          <w:rFonts w:asciiTheme="minorHAnsi" w:hAnsiTheme="minorHAnsi"/>
          <w:sz w:val="20"/>
        </w:rPr>
        <w:t>Child</w:t>
      </w:r>
      <w:r>
        <w:rPr>
          <w:rStyle w:val="normaltextrun"/>
          <w:rFonts w:asciiTheme="minorHAnsi" w:hAnsiTheme="minorHAnsi"/>
          <w:sz w:val="20"/>
        </w:rPr>
        <w:t xml:space="preserve">, sobre cuatro aspectos transversales: gestión del conocimiento, comunicación, compromiso de las partes interesadas y género. Coordinarán </w:t>
      </w:r>
      <w:r>
        <w:rPr>
          <w:rStyle w:val="normaltextrun"/>
          <w:rFonts w:asciiTheme="minorHAnsi" w:hAnsiTheme="minorHAnsi"/>
          <w:b/>
          <w:sz w:val="20"/>
        </w:rPr>
        <w:t>reuniones</w:t>
      </w:r>
      <w:r>
        <w:rPr>
          <w:rStyle w:val="normaltextrun"/>
          <w:rFonts w:asciiTheme="minorHAnsi" w:hAnsiTheme="minorHAnsi"/>
          <w:sz w:val="20"/>
        </w:rPr>
        <w:t xml:space="preserve"> periódicas (trimestrales) de </w:t>
      </w:r>
      <w:r>
        <w:rPr>
          <w:rStyle w:val="normaltextrun"/>
          <w:rFonts w:asciiTheme="minorHAnsi" w:hAnsiTheme="minorHAnsi"/>
          <w:b/>
          <w:sz w:val="20"/>
        </w:rPr>
        <w:t>grupos de trabajo</w:t>
      </w:r>
      <w:r>
        <w:rPr>
          <w:rStyle w:val="normaltextrun"/>
          <w:rFonts w:asciiTheme="minorHAnsi" w:hAnsiTheme="minorHAnsi"/>
          <w:sz w:val="20"/>
        </w:rPr>
        <w:t xml:space="preserve"> </w:t>
      </w:r>
      <w:r>
        <w:rPr>
          <w:rStyle w:val="normaltextrun"/>
          <w:rFonts w:asciiTheme="minorHAnsi" w:hAnsiTheme="minorHAnsi"/>
          <w:b/>
          <w:sz w:val="20"/>
        </w:rPr>
        <w:t>temáticos</w:t>
      </w:r>
      <w:r>
        <w:rPr>
          <w:rStyle w:val="normaltextrun"/>
          <w:rFonts w:asciiTheme="minorHAnsi" w:hAnsiTheme="minorHAnsi"/>
          <w:sz w:val="20"/>
        </w:rPr>
        <w:t xml:space="preserve"> sobre los diferentes temas transversales para maximizar el aprendizaje y establecer una Comunidad de Práctica FARM activa y conectada</w:t>
      </w:r>
      <w:r w:rsidR="00331B49">
        <w:rPr>
          <w:rStyle w:val="normaltextrun"/>
          <w:rFonts w:asciiTheme="minorHAnsi" w:hAnsiTheme="minorHAnsi"/>
          <w:sz w:val="20"/>
        </w:rPr>
        <w:t>.</w:t>
      </w:r>
      <w:r>
        <w:rPr>
          <w:rStyle w:val="eop"/>
          <w:rFonts w:asciiTheme="minorHAnsi" w:hAnsiTheme="minorHAnsi"/>
          <w:sz w:val="20"/>
        </w:rPr>
        <w:t> </w:t>
      </w:r>
    </w:p>
    <w:p w14:paraId="4CD4E0A7" w14:textId="043EDA41" w:rsidR="002B3759" w:rsidRPr="0007286C" w:rsidRDefault="002B3759" w:rsidP="008B0AD2">
      <w:pPr>
        <w:pStyle w:val="paragraph0"/>
        <w:spacing w:before="0" w:beforeAutospacing="0" w:after="120" w:afterAutospacing="0"/>
        <w:jc w:val="both"/>
        <w:textAlignment w:val="baseline"/>
        <w:rPr>
          <w:rFonts w:asciiTheme="minorHAnsi" w:hAnsiTheme="minorHAnsi" w:cstheme="minorHAnsi"/>
          <w:sz w:val="20"/>
          <w:szCs w:val="20"/>
        </w:rPr>
      </w:pPr>
      <w:r>
        <w:rPr>
          <w:rStyle w:val="normaltextrun"/>
          <w:rFonts w:asciiTheme="minorHAnsi" w:hAnsiTheme="minorHAnsi"/>
          <w:sz w:val="20"/>
        </w:rPr>
        <w:t xml:space="preserve">A mitad de la ejecución, y a medida que los proyectos </w:t>
      </w:r>
      <w:r w:rsidR="001A2067">
        <w:rPr>
          <w:rStyle w:val="normaltextrun"/>
          <w:rFonts w:asciiTheme="minorHAnsi" w:hAnsiTheme="minorHAnsi"/>
          <w:sz w:val="20"/>
        </w:rPr>
        <w:t>Child</w:t>
      </w:r>
      <w:r>
        <w:rPr>
          <w:rStyle w:val="normaltextrun"/>
          <w:rFonts w:asciiTheme="minorHAnsi" w:hAnsiTheme="minorHAnsi"/>
          <w:sz w:val="20"/>
        </w:rPr>
        <w:t xml:space="preserve"> realicen sus </w:t>
      </w:r>
      <w:r w:rsidR="0009467E">
        <w:rPr>
          <w:rStyle w:val="normaltextrun"/>
          <w:rFonts w:asciiTheme="minorHAnsi" w:hAnsiTheme="minorHAnsi"/>
          <w:sz w:val="20"/>
        </w:rPr>
        <w:t>R</w:t>
      </w:r>
      <w:r>
        <w:rPr>
          <w:rStyle w:val="normaltextrun"/>
          <w:rFonts w:asciiTheme="minorHAnsi" w:hAnsiTheme="minorHAnsi"/>
          <w:sz w:val="20"/>
        </w:rPr>
        <w:t xml:space="preserve">evisiones de </w:t>
      </w:r>
      <w:r w:rsidR="0009467E">
        <w:rPr>
          <w:rStyle w:val="normaltextrun"/>
          <w:rFonts w:asciiTheme="minorHAnsi" w:hAnsiTheme="minorHAnsi"/>
          <w:sz w:val="20"/>
        </w:rPr>
        <w:t>M</w:t>
      </w:r>
      <w:r>
        <w:rPr>
          <w:rStyle w:val="normaltextrun"/>
          <w:rFonts w:asciiTheme="minorHAnsi" w:hAnsiTheme="minorHAnsi"/>
          <w:sz w:val="20"/>
        </w:rPr>
        <w:t xml:space="preserve">itad de </w:t>
      </w:r>
      <w:r w:rsidR="0009467E">
        <w:rPr>
          <w:rStyle w:val="normaltextrun"/>
          <w:rFonts w:asciiTheme="minorHAnsi" w:hAnsiTheme="minorHAnsi"/>
          <w:sz w:val="20"/>
        </w:rPr>
        <w:t>P</w:t>
      </w:r>
      <w:r>
        <w:rPr>
          <w:rStyle w:val="normaltextrun"/>
          <w:rFonts w:asciiTheme="minorHAnsi" w:hAnsiTheme="minorHAnsi"/>
          <w:sz w:val="20"/>
        </w:rPr>
        <w:t>eríodo (MTR) por separado, las Agencias de Ejecución compartirán los informes con la Agencia Principal. El PNUMA recopilará un resumen de las lecciones aprendidas y las recomendaciones de medidas correctivas para presentarlas y debatirlas en el Grupo de Coordinación del Programa. </w:t>
      </w:r>
      <w:r>
        <w:rPr>
          <w:rStyle w:val="eop"/>
          <w:rFonts w:asciiTheme="minorHAnsi" w:hAnsiTheme="minorHAnsi"/>
          <w:sz w:val="20"/>
        </w:rPr>
        <w:t> </w:t>
      </w:r>
    </w:p>
    <w:p w14:paraId="1DBB429B" w14:textId="24F902D0" w:rsidR="002B3759" w:rsidRPr="0007286C" w:rsidRDefault="002B3759" w:rsidP="008B0AD2">
      <w:pPr>
        <w:pStyle w:val="paragraph0"/>
        <w:spacing w:before="0" w:beforeAutospacing="0" w:after="120" w:afterAutospacing="0"/>
        <w:jc w:val="both"/>
        <w:textAlignment w:val="baseline"/>
        <w:rPr>
          <w:rFonts w:asciiTheme="minorHAnsi" w:hAnsiTheme="minorHAnsi" w:cstheme="minorHAnsi"/>
          <w:sz w:val="20"/>
          <w:szCs w:val="20"/>
        </w:rPr>
      </w:pPr>
      <w:r>
        <w:rPr>
          <w:rStyle w:val="normaltextrun"/>
          <w:rFonts w:asciiTheme="minorHAnsi" w:hAnsiTheme="minorHAnsi"/>
          <w:sz w:val="20"/>
        </w:rPr>
        <w:t xml:space="preserve">Tras la </w:t>
      </w:r>
      <w:r w:rsidR="0009467E">
        <w:rPr>
          <w:rStyle w:val="normaltextrun"/>
          <w:rFonts w:asciiTheme="minorHAnsi" w:hAnsiTheme="minorHAnsi"/>
          <w:sz w:val="20"/>
        </w:rPr>
        <w:t>E</w:t>
      </w:r>
      <w:r>
        <w:rPr>
          <w:rStyle w:val="normaltextrun"/>
          <w:rFonts w:asciiTheme="minorHAnsi" w:hAnsiTheme="minorHAnsi"/>
          <w:sz w:val="20"/>
        </w:rPr>
        <w:t xml:space="preserve">valuación </w:t>
      </w:r>
      <w:r w:rsidR="0009467E">
        <w:rPr>
          <w:rStyle w:val="normaltextrun"/>
          <w:rFonts w:asciiTheme="minorHAnsi" w:hAnsiTheme="minorHAnsi"/>
          <w:sz w:val="20"/>
        </w:rPr>
        <w:t>F</w:t>
      </w:r>
      <w:r>
        <w:rPr>
          <w:rStyle w:val="normaltextrun"/>
          <w:rFonts w:asciiTheme="minorHAnsi" w:hAnsiTheme="minorHAnsi"/>
          <w:sz w:val="20"/>
        </w:rPr>
        <w:t xml:space="preserve">inal </w:t>
      </w:r>
      <w:r w:rsidR="0009467E">
        <w:rPr>
          <w:rStyle w:val="normaltextrun"/>
          <w:rFonts w:asciiTheme="minorHAnsi" w:hAnsiTheme="minorHAnsi"/>
          <w:sz w:val="20"/>
        </w:rPr>
        <w:t>I</w:t>
      </w:r>
      <w:r>
        <w:rPr>
          <w:rStyle w:val="normaltextrun"/>
          <w:rFonts w:asciiTheme="minorHAnsi" w:hAnsiTheme="minorHAnsi"/>
          <w:sz w:val="20"/>
        </w:rPr>
        <w:t>ndependiente (</w:t>
      </w:r>
      <w:r w:rsidR="0019735C">
        <w:rPr>
          <w:rStyle w:val="normaltextrun"/>
          <w:rFonts w:asciiTheme="minorHAnsi" w:hAnsiTheme="minorHAnsi"/>
          <w:sz w:val="20"/>
          <w:lang w:val="es-EC"/>
        </w:rPr>
        <w:t>TE</w:t>
      </w:r>
      <w:r>
        <w:rPr>
          <w:rStyle w:val="normaltextrun"/>
          <w:rFonts w:asciiTheme="minorHAnsi" w:hAnsiTheme="minorHAnsi"/>
          <w:sz w:val="20"/>
        </w:rPr>
        <w:t xml:space="preserve">) de cada </w:t>
      </w:r>
      <w:r w:rsidR="00A30162">
        <w:rPr>
          <w:rStyle w:val="normaltextrun"/>
          <w:rFonts w:asciiTheme="minorHAnsi" w:hAnsiTheme="minorHAnsi"/>
          <w:sz w:val="20"/>
        </w:rPr>
        <w:t xml:space="preserve">Child </w:t>
      </w:r>
      <w:r w:rsidR="002475FF">
        <w:rPr>
          <w:rStyle w:val="normaltextrun"/>
          <w:rFonts w:asciiTheme="minorHAnsi" w:hAnsiTheme="minorHAnsi"/>
          <w:sz w:val="20"/>
        </w:rPr>
        <w:t>P</w:t>
      </w:r>
      <w:r w:rsidR="00A30162">
        <w:rPr>
          <w:rStyle w:val="normaltextrun"/>
          <w:rFonts w:asciiTheme="minorHAnsi" w:hAnsiTheme="minorHAnsi"/>
          <w:sz w:val="20"/>
        </w:rPr>
        <w:t>roject</w:t>
      </w:r>
      <w:r>
        <w:rPr>
          <w:rStyle w:val="normaltextrun"/>
          <w:rFonts w:asciiTheme="minorHAnsi" w:hAnsiTheme="minorHAnsi"/>
          <w:sz w:val="20"/>
        </w:rPr>
        <w:t xml:space="preserve">, la agencia líder también llevará a cabo una evaluación final programática de acuerdo con las directrices de evaluación del FMAM (REF). La Oficina de Evaluación del PNUMA llevará a cabo la evaluación técnica del programa FARM. La </w:t>
      </w:r>
      <w:r w:rsidR="00F15011">
        <w:rPr>
          <w:rStyle w:val="normaltextrun"/>
          <w:rFonts w:asciiTheme="minorHAnsi" w:hAnsiTheme="minorHAnsi"/>
          <w:sz w:val="20"/>
          <w:lang w:val="es-EC"/>
        </w:rPr>
        <w:t>TE</w:t>
      </w:r>
      <w:r>
        <w:rPr>
          <w:rStyle w:val="normaltextrun"/>
          <w:rFonts w:asciiTheme="minorHAnsi" w:hAnsiTheme="minorHAnsi"/>
          <w:sz w:val="20"/>
        </w:rPr>
        <w:t xml:space="preserve"> de FARM proporcionará una evaluación independiente de los resultados del proyecto (pertinencia, eficacia y eficiencia) y determinará la probabilidad de impacto y sostenibilidad.</w:t>
      </w:r>
      <w:r>
        <w:rPr>
          <w:rStyle w:val="eop"/>
          <w:rFonts w:asciiTheme="minorHAnsi" w:hAnsiTheme="minorHAnsi"/>
          <w:sz w:val="20"/>
        </w:rPr>
        <w:t> </w:t>
      </w:r>
    </w:p>
    <w:p w14:paraId="5A024799" w14:textId="0355BB46" w:rsidR="00966EF0" w:rsidRPr="00A562E4" w:rsidRDefault="00966EF0" w:rsidP="00B169FC">
      <w:pPr>
        <w:spacing w:after="120"/>
        <w:rPr>
          <w:rFonts w:eastAsia="Calibri" w:cs="Calibri"/>
          <w:i/>
          <w:iCs/>
          <w:sz w:val="20"/>
          <w:szCs w:val="20"/>
          <w:highlight w:val="yellow"/>
        </w:rPr>
      </w:pPr>
      <w:r>
        <w:rPr>
          <w:rFonts w:ascii="Calibri" w:hAnsi="Calibri"/>
          <w:sz w:val="20"/>
          <w:u w:val="single"/>
        </w:rPr>
        <w:t>Alianzas</w:t>
      </w:r>
      <w:r>
        <w:rPr>
          <w:rFonts w:ascii="Calibri" w:hAnsi="Calibri"/>
          <w:sz w:val="20"/>
        </w:rPr>
        <w:t>:</w:t>
      </w:r>
      <w:r>
        <w:rPr>
          <w:rFonts w:ascii="Calibri" w:hAnsi="Calibri"/>
          <w:i/>
          <w:sz w:val="20"/>
        </w:rPr>
        <w:t xml:space="preserve">  </w:t>
      </w:r>
    </w:p>
    <w:p w14:paraId="25AF1571" w14:textId="77777777" w:rsidR="00A600FA" w:rsidRDefault="0003353F" w:rsidP="00A600FA">
      <w:pPr>
        <w:autoSpaceDE w:val="0"/>
        <w:autoSpaceDN w:val="0"/>
        <w:spacing w:after="60"/>
        <w:jc w:val="both"/>
        <w:rPr>
          <w:rFonts w:ascii="Calibri" w:eastAsia="Calibri" w:hAnsi="Calibri"/>
          <w:color w:val="000000"/>
          <w:sz w:val="20"/>
          <w:szCs w:val="20"/>
        </w:rPr>
      </w:pPr>
      <w:r>
        <w:rPr>
          <w:rFonts w:ascii="Calibri" w:hAnsi="Calibri"/>
          <w:color w:val="000000"/>
          <w:sz w:val="20"/>
        </w:rPr>
        <w:t>Este FSP necesita la participación de diversas partes interesadas, no sólo del sector público, sino también del sector privado, el mundo académico y la sociedad civil, para lograr los productos y resultados previstos. La siguiente tabla resume los actores que el proyecto necesitará implicar y describe sus responsabilidades en la ejecución del proyecto, así como sus contribuciones para abordar el reto de desarrollo.</w:t>
      </w:r>
      <w:bookmarkStart w:id="27" w:name="_Toc114650460"/>
    </w:p>
    <w:p w14:paraId="0627CD05" w14:textId="62314189" w:rsidR="00D70E58" w:rsidRPr="00A600FA" w:rsidRDefault="00E438D3" w:rsidP="00A600FA">
      <w:pPr>
        <w:autoSpaceDE w:val="0"/>
        <w:autoSpaceDN w:val="0"/>
        <w:spacing w:after="60"/>
        <w:jc w:val="both"/>
        <w:rPr>
          <w:rFonts w:ascii="Calibri" w:eastAsia="Calibri" w:hAnsi="Calibri"/>
          <w:b/>
          <w:bCs/>
          <w:color w:val="000000"/>
          <w:sz w:val="20"/>
          <w:szCs w:val="20"/>
        </w:rPr>
      </w:pPr>
      <w:r>
        <w:rPr>
          <w:rFonts w:asciiTheme="minorHAnsi" w:hAnsiTheme="minorHAnsi"/>
          <w:b/>
          <w:sz w:val="18"/>
        </w:rPr>
        <w:t xml:space="preserve">Tabla </w:t>
      </w:r>
      <w:r w:rsidRPr="00A600FA">
        <w:rPr>
          <w:rFonts w:asciiTheme="minorHAnsi" w:hAnsiTheme="minorHAnsi" w:cstheme="minorHAnsi"/>
          <w:b/>
          <w:sz w:val="18"/>
        </w:rPr>
        <w:fldChar w:fldCharType="begin"/>
      </w:r>
      <w:r w:rsidRPr="00A600FA">
        <w:rPr>
          <w:rFonts w:asciiTheme="minorHAnsi" w:hAnsiTheme="minorHAnsi" w:cstheme="minorHAnsi"/>
          <w:b/>
          <w:sz w:val="18"/>
        </w:rPr>
        <w:instrText xml:space="preserve"> SEQ Table \* ARABIC </w:instrText>
      </w:r>
      <w:r w:rsidRPr="00A600FA">
        <w:rPr>
          <w:rFonts w:asciiTheme="minorHAnsi" w:hAnsiTheme="minorHAnsi" w:cstheme="minorHAnsi"/>
          <w:b/>
          <w:sz w:val="18"/>
        </w:rPr>
        <w:fldChar w:fldCharType="separate"/>
      </w:r>
      <w:r w:rsidR="004D0AC8">
        <w:rPr>
          <w:rFonts w:asciiTheme="minorHAnsi" w:hAnsiTheme="minorHAnsi" w:cstheme="minorHAnsi"/>
          <w:b/>
          <w:noProof/>
          <w:sz w:val="18"/>
        </w:rPr>
        <w:t>10</w:t>
      </w:r>
      <w:r w:rsidRPr="00A600FA">
        <w:rPr>
          <w:rFonts w:asciiTheme="minorHAnsi" w:hAnsiTheme="minorHAnsi" w:cstheme="minorHAnsi"/>
          <w:b/>
          <w:sz w:val="18"/>
        </w:rPr>
        <w:fldChar w:fldCharType="end"/>
      </w:r>
      <w:r>
        <w:rPr>
          <w:rFonts w:asciiTheme="minorHAnsi" w:hAnsiTheme="minorHAnsi"/>
          <w:b/>
          <w:sz w:val="18"/>
        </w:rPr>
        <w:t xml:space="preserve">: Alianzas del </w:t>
      </w:r>
      <w:r w:rsidR="00F15011">
        <w:rPr>
          <w:rFonts w:asciiTheme="minorHAnsi" w:hAnsiTheme="minorHAnsi"/>
          <w:b/>
          <w:sz w:val="18"/>
        </w:rPr>
        <w:t>FSP</w:t>
      </w:r>
      <w:bookmarkEnd w:id="27"/>
    </w:p>
    <w:tbl>
      <w:tblPr>
        <w:tblStyle w:val="Tablaconcuadrcula"/>
        <w:tblW w:w="9213" w:type="dxa"/>
        <w:shd w:val="clear" w:color="auto" w:fill="D9D9D9" w:themeFill="background1" w:themeFillShade="D9"/>
        <w:tblLook w:val="04A0" w:firstRow="1" w:lastRow="0" w:firstColumn="1" w:lastColumn="0" w:noHBand="0" w:noVBand="1"/>
      </w:tblPr>
      <w:tblGrid>
        <w:gridCol w:w="1340"/>
        <w:gridCol w:w="1360"/>
        <w:gridCol w:w="2094"/>
        <w:gridCol w:w="4419"/>
      </w:tblGrid>
      <w:tr w:rsidR="00D70E58" w:rsidRPr="00587619" w14:paraId="6FCFFF40" w14:textId="77777777" w:rsidTr="00587619">
        <w:trPr>
          <w:cantSplit/>
          <w:tblHeader/>
        </w:trPr>
        <w:tc>
          <w:tcPr>
            <w:tcW w:w="1267" w:type="dxa"/>
            <w:shd w:val="clear" w:color="auto" w:fill="D9D9D9" w:themeFill="background1" w:themeFillShade="D9"/>
            <w:vAlign w:val="center"/>
          </w:tcPr>
          <w:p w14:paraId="46FE2CFD" w14:textId="77777777" w:rsidR="00D70E58" w:rsidRPr="00587619" w:rsidRDefault="00D70E58" w:rsidP="00BA3DD6">
            <w:pPr>
              <w:spacing w:before="60"/>
              <w:ind w:right="-5"/>
              <w:jc w:val="center"/>
              <w:rPr>
                <w:rFonts w:asciiTheme="minorHAnsi" w:hAnsiTheme="minorHAnsi" w:cstheme="minorHAnsi"/>
                <w:b/>
                <w:sz w:val="18"/>
                <w:szCs w:val="18"/>
              </w:rPr>
            </w:pPr>
            <w:r>
              <w:rPr>
                <w:rFonts w:asciiTheme="minorHAnsi" w:hAnsiTheme="minorHAnsi"/>
                <w:b/>
                <w:sz w:val="18"/>
              </w:rPr>
              <w:t>Tipo</w:t>
            </w:r>
          </w:p>
        </w:tc>
        <w:tc>
          <w:tcPr>
            <w:tcW w:w="1362" w:type="dxa"/>
            <w:shd w:val="clear" w:color="auto" w:fill="D9D9D9" w:themeFill="background1" w:themeFillShade="D9"/>
            <w:vAlign w:val="center"/>
          </w:tcPr>
          <w:p w14:paraId="2010CD63" w14:textId="77777777" w:rsidR="00D70E58" w:rsidRPr="00587619" w:rsidRDefault="00D70E58" w:rsidP="00BA3DD6">
            <w:pPr>
              <w:spacing w:before="60"/>
              <w:ind w:right="-5"/>
              <w:jc w:val="center"/>
              <w:rPr>
                <w:rFonts w:asciiTheme="minorHAnsi" w:hAnsiTheme="minorHAnsi" w:cstheme="minorHAnsi"/>
                <w:b/>
                <w:sz w:val="18"/>
                <w:szCs w:val="18"/>
              </w:rPr>
            </w:pPr>
            <w:r>
              <w:rPr>
                <w:rFonts w:asciiTheme="minorHAnsi" w:hAnsiTheme="minorHAnsi"/>
                <w:b/>
                <w:sz w:val="18"/>
              </w:rPr>
              <w:t>Grupo</w:t>
            </w:r>
          </w:p>
        </w:tc>
        <w:tc>
          <w:tcPr>
            <w:tcW w:w="2104" w:type="dxa"/>
            <w:shd w:val="clear" w:color="auto" w:fill="D9D9D9" w:themeFill="background1" w:themeFillShade="D9"/>
          </w:tcPr>
          <w:p w14:paraId="3FA422E3" w14:textId="77777777" w:rsidR="00D70E58" w:rsidRPr="00587619" w:rsidRDefault="00D70E58" w:rsidP="00BA3DD6">
            <w:pPr>
              <w:spacing w:before="60"/>
              <w:ind w:right="-5"/>
              <w:jc w:val="center"/>
              <w:rPr>
                <w:rFonts w:asciiTheme="minorHAnsi" w:hAnsiTheme="minorHAnsi" w:cstheme="minorHAnsi"/>
                <w:b/>
                <w:sz w:val="18"/>
                <w:szCs w:val="18"/>
              </w:rPr>
            </w:pPr>
            <w:r>
              <w:rPr>
                <w:rFonts w:asciiTheme="minorHAnsi" w:hAnsiTheme="minorHAnsi"/>
                <w:b/>
                <w:sz w:val="18"/>
              </w:rPr>
              <w:t>Actor</w:t>
            </w:r>
          </w:p>
        </w:tc>
        <w:tc>
          <w:tcPr>
            <w:tcW w:w="4480" w:type="dxa"/>
            <w:shd w:val="clear" w:color="auto" w:fill="D9D9D9" w:themeFill="background1" w:themeFillShade="D9"/>
          </w:tcPr>
          <w:p w14:paraId="16DB22BA" w14:textId="77777777" w:rsidR="00D70E58" w:rsidRPr="00587619" w:rsidRDefault="00D70E58" w:rsidP="00DC54DC">
            <w:pPr>
              <w:spacing w:before="60"/>
              <w:ind w:right="-5"/>
              <w:rPr>
                <w:rFonts w:asciiTheme="minorHAnsi" w:hAnsiTheme="minorHAnsi" w:cstheme="minorHAnsi"/>
                <w:b/>
                <w:sz w:val="18"/>
                <w:szCs w:val="18"/>
              </w:rPr>
            </w:pPr>
            <w:r>
              <w:rPr>
                <w:rFonts w:asciiTheme="minorHAnsi" w:hAnsiTheme="minorHAnsi"/>
                <w:b/>
                <w:sz w:val="18"/>
              </w:rPr>
              <w:t>Rol</w:t>
            </w:r>
          </w:p>
        </w:tc>
      </w:tr>
      <w:tr w:rsidR="005A4F0B" w:rsidRPr="001B17BF" w14:paraId="22E161E0" w14:textId="77777777" w:rsidTr="00587619">
        <w:trPr>
          <w:cantSplit/>
          <w:tblHeader/>
        </w:trPr>
        <w:tc>
          <w:tcPr>
            <w:tcW w:w="1267" w:type="dxa"/>
            <w:vMerge w:val="restart"/>
            <w:shd w:val="clear" w:color="auto" w:fill="auto"/>
          </w:tcPr>
          <w:p w14:paraId="1980379C" w14:textId="77777777" w:rsidR="005A4F0B" w:rsidRPr="00587619" w:rsidRDefault="005A4F0B" w:rsidP="00BA3DD6">
            <w:pPr>
              <w:spacing w:before="60"/>
              <w:ind w:right="-5"/>
              <w:rPr>
                <w:rFonts w:asciiTheme="minorHAnsi" w:hAnsiTheme="minorHAnsi" w:cstheme="minorHAnsi"/>
                <w:bCs/>
                <w:sz w:val="18"/>
                <w:szCs w:val="18"/>
              </w:rPr>
            </w:pPr>
            <w:r>
              <w:rPr>
                <w:rFonts w:asciiTheme="minorHAnsi" w:hAnsiTheme="minorHAnsi"/>
                <w:sz w:val="18"/>
              </w:rPr>
              <w:t>Entidades públicas</w:t>
            </w:r>
          </w:p>
        </w:tc>
        <w:tc>
          <w:tcPr>
            <w:tcW w:w="1362" w:type="dxa"/>
            <w:vMerge w:val="restart"/>
            <w:shd w:val="clear" w:color="auto" w:fill="auto"/>
          </w:tcPr>
          <w:p w14:paraId="66E20ACD" w14:textId="77777777" w:rsidR="005A4F0B" w:rsidRPr="00587619" w:rsidRDefault="005A4F0B" w:rsidP="00D70E58">
            <w:pPr>
              <w:spacing w:before="60"/>
              <w:ind w:right="-5"/>
              <w:jc w:val="center"/>
              <w:rPr>
                <w:rFonts w:asciiTheme="minorHAnsi" w:hAnsiTheme="minorHAnsi" w:cstheme="minorHAnsi"/>
                <w:bCs/>
                <w:sz w:val="18"/>
                <w:szCs w:val="18"/>
              </w:rPr>
            </w:pPr>
            <w:r>
              <w:rPr>
                <w:rFonts w:asciiTheme="minorHAnsi" w:hAnsiTheme="minorHAnsi"/>
                <w:sz w:val="18"/>
              </w:rPr>
              <w:t>Gobierno nacional</w:t>
            </w:r>
          </w:p>
        </w:tc>
        <w:tc>
          <w:tcPr>
            <w:tcW w:w="2104" w:type="dxa"/>
          </w:tcPr>
          <w:p w14:paraId="08C53DFB" w14:textId="12B5ECEF" w:rsidR="005A4F0B" w:rsidRPr="00587619" w:rsidRDefault="005A4F0B" w:rsidP="00BA3DD6">
            <w:pPr>
              <w:spacing w:before="60"/>
              <w:ind w:right="-5"/>
              <w:rPr>
                <w:rFonts w:asciiTheme="minorHAnsi" w:hAnsiTheme="minorHAnsi" w:cstheme="minorHAnsi"/>
                <w:bCs/>
                <w:sz w:val="18"/>
                <w:szCs w:val="18"/>
              </w:rPr>
            </w:pPr>
            <w:r>
              <w:rPr>
                <w:rFonts w:asciiTheme="minorHAnsi" w:hAnsiTheme="minorHAnsi"/>
                <w:sz w:val="18"/>
              </w:rPr>
              <w:t>Ministerio de Medio Ambiente, Agua y Transición Ecológica (MAATE)</w:t>
            </w:r>
          </w:p>
        </w:tc>
        <w:tc>
          <w:tcPr>
            <w:tcW w:w="4480" w:type="dxa"/>
            <w:shd w:val="clear" w:color="auto" w:fill="auto"/>
          </w:tcPr>
          <w:p w14:paraId="34C0C3CE" w14:textId="2EB3477F" w:rsidR="00177127" w:rsidRPr="00587619" w:rsidRDefault="0069365D" w:rsidP="00BC122C">
            <w:pPr>
              <w:ind w:right="-5"/>
              <w:jc w:val="both"/>
              <w:rPr>
                <w:rFonts w:asciiTheme="minorHAnsi" w:hAnsiTheme="minorHAnsi" w:cstheme="minorHAnsi"/>
                <w:color w:val="000000"/>
                <w:sz w:val="18"/>
                <w:szCs w:val="18"/>
              </w:rPr>
            </w:pPr>
            <w:r>
              <w:rPr>
                <w:rFonts w:asciiTheme="minorHAnsi" w:hAnsiTheme="minorHAnsi"/>
                <w:color w:val="000000"/>
                <w:sz w:val="18"/>
              </w:rPr>
              <w:t>Es la autoridad nacional responsable de las políticas y normativas ambientales. El Ministerio alberga el Punto Focal Operativo del FMAM y es punto focal para los Convenios de Estocolmo, Minamata, Basilea y Rotterdam</w:t>
            </w:r>
            <w:r w:rsidR="00340FAF">
              <w:rPr>
                <w:rFonts w:asciiTheme="minorHAnsi" w:hAnsiTheme="minorHAnsi"/>
                <w:color w:val="000000"/>
                <w:sz w:val="18"/>
              </w:rPr>
              <w:t>,</w:t>
            </w:r>
            <w:r>
              <w:rPr>
                <w:rFonts w:asciiTheme="minorHAnsi" w:hAnsiTheme="minorHAnsi"/>
                <w:color w:val="000000"/>
                <w:sz w:val="18"/>
              </w:rPr>
              <w:t xml:space="preserve"> y dirige su ejecución. </w:t>
            </w:r>
          </w:p>
          <w:p w14:paraId="5421D11E" w14:textId="1CAEDC0A" w:rsidR="00885778" w:rsidRPr="00587619" w:rsidRDefault="00BC122C" w:rsidP="00BC122C">
            <w:pPr>
              <w:ind w:right="-5"/>
              <w:jc w:val="both"/>
              <w:rPr>
                <w:rFonts w:asciiTheme="minorHAnsi" w:hAnsiTheme="minorHAnsi" w:cstheme="minorHAnsi"/>
                <w:bCs/>
                <w:sz w:val="18"/>
                <w:szCs w:val="18"/>
              </w:rPr>
            </w:pPr>
            <w:r>
              <w:rPr>
                <w:rFonts w:asciiTheme="minorHAnsi" w:hAnsiTheme="minorHAnsi"/>
                <w:sz w:val="18"/>
              </w:rPr>
              <w:t>Es responsable del control de la correcta gestión y eliminación de los residuos agroquímicos y plásticos de uso agrícola.</w:t>
            </w:r>
          </w:p>
          <w:p w14:paraId="11CE55FA" w14:textId="1EC750FA" w:rsidR="00BC122C" w:rsidRPr="00587619" w:rsidRDefault="00BC122C" w:rsidP="0069365D">
            <w:pPr>
              <w:ind w:right="-5"/>
              <w:jc w:val="both"/>
              <w:rPr>
                <w:rFonts w:asciiTheme="minorHAnsi" w:hAnsiTheme="minorHAnsi" w:cstheme="minorHAnsi"/>
                <w:color w:val="000000"/>
                <w:sz w:val="18"/>
                <w:szCs w:val="18"/>
              </w:rPr>
            </w:pPr>
            <w:r>
              <w:rPr>
                <w:rFonts w:asciiTheme="minorHAnsi" w:hAnsiTheme="minorHAnsi"/>
                <w:color w:val="000000"/>
                <w:sz w:val="18"/>
              </w:rPr>
              <w:t xml:space="preserve">El MAATE es miembro del Comité Nacional de Plaguicidas donde se revisan los expedientes para aprobar el registro de </w:t>
            </w:r>
            <w:r w:rsidR="00E667C9">
              <w:rPr>
                <w:rFonts w:asciiTheme="minorHAnsi" w:hAnsiTheme="minorHAnsi"/>
                <w:color w:val="000000"/>
                <w:sz w:val="18"/>
              </w:rPr>
              <w:t>P</w:t>
            </w:r>
            <w:r>
              <w:rPr>
                <w:rFonts w:asciiTheme="minorHAnsi" w:hAnsiTheme="minorHAnsi"/>
                <w:color w:val="000000"/>
                <w:sz w:val="18"/>
              </w:rPr>
              <w:t xml:space="preserve">laguicidas de </w:t>
            </w:r>
            <w:r w:rsidR="00E667C9">
              <w:rPr>
                <w:rFonts w:asciiTheme="minorHAnsi" w:hAnsiTheme="minorHAnsi"/>
                <w:color w:val="000000"/>
                <w:sz w:val="18"/>
              </w:rPr>
              <w:t>U</w:t>
            </w:r>
            <w:r>
              <w:rPr>
                <w:rFonts w:asciiTheme="minorHAnsi" w:hAnsiTheme="minorHAnsi"/>
                <w:color w:val="000000"/>
                <w:sz w:val="18"/>
              </w:rPr>
              <w:t xml:space="preserve">so </w:t>
            </w:r>
            <w:r w:rsidR="00E667C9">
              <w:rPr>
                <w:rFonts w:asciiTheme="minorHAnsi" w:hAnsiTheme="minorHAnsi"/>
                <w:color w:val="000000"/>
                <w:sz w:val="18"/>
              </w:rPr>
              <w:t>A</w:t>
            </w:r>
            <w:r>
              <w:rPr>
                <w:rFonts w:asciiTheme="minorHAnsi" w:hAnsiTheme="minorHAnsi"/>
                <w:color w:val="000000"/>
                <w:sz w:val="18"/>
              </w:rPr>
              <w:t>grícola (PQUA) en el ámbito ecotoxicológico (propiedades físicas y químicas, usos, medidas de seguridad, prevención ambiental, etc.)</w:t>
            </w:r>
            <w:r w:rsidR="00403FF0">
              <w:rPr>
                <w:rFonts w:asciiTheme="minorHAnsi" w:hAnsiTheme="minorHAnsi"/>
                <w:color w:val="000000"/>
                <w:sz w:val="18"/>
              </w:rPr>
              <w:t>.</w:t>
            </w:r>
          </w:p>
          <w:p w14:paraId="2842B9DF" w14:textId="407B0A4C" w:rsidR="001C7CB7" w:rsidRPr="00587619" w:rsidRDefault="001C7CB7" w:rsidP="0069365D">
            <w:pPr>
              <w:ind w:right="-5"/>
              <w:jc w:val="both"/>
              <w:rPr>
                <w:rFonts w:asciiTheme="minorHAnsi" w:hAnsiTheme="minorHAnsi" w:cstheme="minorHAnsi"/>
                <w:color w:val="000000"/>
                <w:sz w:val="18"/>
                <w:szCs w:val="18"/>
              </w:rPr>
            </w:pPr>
            <w:r>
              <w:rPr>
                <w:rFonts w:asciiTheme="minorHAnsi" w:hAnsiTheme="minorHAnsi"/>
                <w:color w:val="000000"/>
                <w:sz w:val="18"/>
              </w:rPr>
              <w:t xml:space="preserve">El MAATE es el Socio en la Implementación del proyecto, </w:t>
            </w:r>
            <w:r>
              <w:rPr>
                <w:rFonts w:asciiTheme="minorHAnsi" w:hAnsiTheme="minorHAnsi"/>
                <w:sz w:val="18"/>
              </w:rPr>
              <w:t xml:space="preserve">a través de su Subsecretaría de </w:t>
            </w:r>
            <w:r>
              <w:rPr>
                <w:rFonts w:asciiTheme="minorHAnsi" w:hAnsiTheme="minorHAnsi"/>
                <w:color w:val="000000"/>
                <w:sz w:val="18"/>
              </w:rPr>
              <w:t>Calidad</w:t>
            </w:r>
            <w:r>
              <w:rPr>
                <w:rFonts w:asciiTheme="minorHAnsi" w:hAnsiTheme="minorHAnsi"/>
                <w:sz w:val="18"/>
              </w:rPr>
              <w:t xml:space="preserve"> Ambiental, es responsable del diseño, coordinación e implementación del proyecto y, como tal, forma parte del Comité Directivo del proyecto.</w:t>
            </w:r>
          </w:p>
        </w:tc>
      </w:tr>
      <w:tr w:rsidR="005A4F0B" w:rsidRPr="001B17BF" w14:paraId="6B531738" w14:textId="77777777" w:rsidTr="00587619">
        <w:trPr>
          <w:cantSplit/>
          <w:trHeight w:val="232"/>
          <w:tblHeader/>
        </w:trPr>
        <w:tc>
          <w:tcPr>
            <w:tcW w:w="1267" w:type="dxa"/>
            <w:vMerge/>
            <w:shd w:val="clear" w:color="auto" w:fill="auto"/>
            <w:vAlign w:val="center"/>
          </w:tcPr>
          <w:p w14:paraId="3B749B41" w14:textId="77777777" w:rsidR="005A4F0B" w:rsidRPr="002152FE" w:rsidRDefault="005A4F0B" w:rsidP="00BA3DD6">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0374CE08" w14:textId="77777777" w:rsidR="005A4F0B" w:rsidRPr="002152FE" w:rsidRDefault="005A4F0B" w:rsidP="00D70E58">
            <w:pPr>
              <w:spacing w:before="60"/>
              <w:ind w:right="-5"/>
              <w:jc w:val="center"/>
              <w:rPr>
                <w:rFonts w:asciiTheme="minorHAnsi" w:hAnsiTheme="minorHAnsi" w:cstheme="minorHAnsi"/>
                <w:bCs/>
                <w:sz w:val="18"/>
                <w:szCs w:val="18"/>
                <w:lang w:val="es-EC"/>
              </w:rPr>
            </w:pPr>
          </w:p>
        </w:tc>
        <w:tc>
          <w:tcPr>
            <w:tcW w:w="2104" w:type="dxa"/>
          </w:tcPr>
          <w:p w14:paraId="3310ABF9" w14:textId="43A19693" w:rsidR="005A4F0B" w:rsidRPr="00587619" w:rsidRDefault="005A4F0B" w:rsidP="00BA3DD6">
            <w:pPr>
              <w:spacing w:before="60"/>
              <w:ind w:right="-5"/>
              <w:rPr>
                <w:rFonts w:asciiTheme="minorHAnsi" w:hAnsiTheme="minorHAnsi" w:cstheme="minorHAnsi"/>
                <w:bCs/>
                <w:sz w:val="18"/>
                <w:szCs w:val="18"/>
              </w:rPr>
            </w:pPr>
            <w:r>
              <w:rPr>
                <w:rFonts w:asciiTheme="minorHAnsi" w:hAnsiTheme="minorHAnsi"/>
                <w:sz w:val="18"/>
              </w:rPr>
              <w:t>Ministerio de Agricultura y Ganadería (MAG)</w:t>
            </w:r>
          </w:p>
        </w:tc>
        <w:tc>
          <w:tcPr>
            <w:tcW w:w="4480" w:type="dxa"/>
            <w:shd w:val="clear" w:color="auto" w:fill="auto"/>
          </w:tcPr>
          <w:p w14:paraId="47DBDA47" w14:textId="77777777" w:rsidR="005A4F0B" w:rsidRPr="00587619" w:rsidRDefault="00645359" w:rsidP="0069365D">
            <w:pPr>
              <w:spacing w:before="60"/>
              <w:ind w:right="-5"/>
              <w:jc w:val="both"/>
              <w:rPr>
                <w:rFonts w:asciiTheme="minorHAnsi" w:hAnsiTheme="minorHAnsi" w:cstheme="minorHAnsi"/>
                <w:color w:val="000000"/>
                <w:sz w:val="18"/>
                <w:szCs w:val="18"/>
              </w:rPr>
            </w:pPr>
            <w:r>
              <w:rPr>
                <w:rFonts w:asciiTheme="minorHAnsi" w:hAnsiTheme="minorHAnsi"/>
                <w:color w:val="000000"/>
                <w:sz w:val="18"/>
              </w:rPr>
              <w:t xml:space="preserve">Institución líder del sector agrícola, promueve la productividad y las políticas públicas agrícolas, con énfasis en la agricultura pequeña, mediana y familiar, contribuyendo a la soberanía alimentaria. </w:t>
            </w:r>
            <w:r>
              <w:rPr>
                <w:rFonts w:asciiTheme="minorHAnsi" w:hAnsiTheme="minorHAnsi"/>
                <w:sz w:val="18"/>
              </w:rPr>
              <w:t xml:space="preserve"> </w:t>
            </w:r>
            <w:r>
              <w:rPr>
                <w:rFonts w:asciiTheme="minorHAnsi" w:hAnsiTheme="minorHAnsi"/>
                <w:color w:val="000000"/>
                <w:sz w:val="18"/>
              </w:rPr>
              <w:t xml:space="preserve">Ofrece a los productores asistencia y soluciones tecnológicas (agroquímicos, fertilizantes, semillas) </w:t>
            </w:r>
            <w:r>
              <w:rPr>
                <w:rFonts w:asciiTheme="minorHAnsi" w:hAnsiTheme="minorHAnsi"/>
                <w:sz w:val="18"/>
              </w:rPr>
              <w:t>para</w:t>
            </w:r>
            <w:r>
              <w:rPr>
                <w:rFonts w:asciiTheme="minorHAnsi" w:hAnsiTheme="minorHAnsi"/>
                <w:color w:val="000000"/>
                <w:sz w:val="18"/>
              </w:rPr>
              <w:t xml:space="preserve"> garantizar una alta productividad y rentabilidad en sus cultivos.</w:t>
            </w:r>
          </w:p>
          <w:p w14:paraId="55338F6F" w14:textId="5F7A37E6" w:rsidR="000223E9" w:rsidRPr="00587619" w:rsidRDefault="0069365D" w:rsidP="0069365D">
            <w:pPr>
              <w:spacing w:before="60"/>
              <w:ind w:right="-5"/>
              <w:jc w:val="both"/>
              <w:rPr>
                <w:rFonts w:asciiTheme="minorHAnsi" w:hAnsiTheme="minorHAnsi" w:cstheme="minorHAnsi"/>
                <w:color w:val="000000"/>
                <w:sz w:val="18"/>
                <w:szCs w:val="18"/>
              </w:rPr>
            </w:pPr>
            <w:r>
              <w:rPr>
                <w:rFonts w:asciiTheme="minorHAnsi" w:hAnsiTheme="minorHAnsi"/>
                <w:color w:val="000000"/>
                <w:sz w:val="18"/>
              </w:rPr>
              <w:t xml:space="preserve">El MAG es beneficiario del proyecto y: </w:t>
            </w:r>
          </w:p>
          <w:p w14:paraId="1FB0C0C2" w14:textId="6EBF4B6B" w:rsidR="000223E9" w:rsidRPr="00587619" w:rsidRDefault="000223E9">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sz w:val="18"/>
              </w:rPr>
              <w:t>Contribuirá al cumplimiento de las actividades del componente 1 del proyecto</w:t>
            </w:r>
          </w:p>
          <w:p w14:paraId="315F13D6" w14:textId="3BBD320C" w:rsidR="000223E9" w:rsidRPr="00587619" w:rsidRDefault="003A1AE6">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sz w:val="18"/>
              </w:rPr>
              <w:t>Apoyará la ejecución de actividades en el marco del Resultado 2.4</w:t>
            </w:r>
          </w:p>
          <w:p w14:paraId="4E714AE5" w14:textId="6435B8AB" w:rsidR="002B19E7" w:rsidRPr="00587619" w:rsidRDefault="002B19E7">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color w:val="000000" w:themeColor="text1"/>
                <w:sz w:val="18"/>
              </w:rPr>
              <w:t>Difundirá información y participará en programas educativos de concienciación sobre los COPs/ PAPs y residuos plásticos (BPA, opciones de financiación, alternativas a los PAPs, gestión y eliminación de residuos conexos, incluido el plástico)</w:t>
            </w:r>
          </w:p>
        </w:tc>
      </w:tr>
      <w:tr w:rsidR="005A4F0B" w:rsidRPr="001B17BF" w14:paraId="3A41E20D" w14:textId="77777777" w:rsidTr="00587619">
        <w:trPr>
          <w:cantSplit/>
          <w:tblHeader/>
        </w:trPr>
        <w:tc>
          <w:tcPr>
            <w:tcW w:w="1267" w:type="dxa"/>
            <w:vMerge/>
            <w:shd w:val="clear" w:color="auto" w:fill="auto"/>
            <w:vAlign w:val="center"/>
          </w:tcPr>
          <w:p w14:paraId="6DAEABFD" w14:textId="77777777" w:rsidR="005A4F0B" w:rsidRPr="002152FE" w:rsidRDefault="005A4F0B" w:rsidP="00BA3DD6">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6108F16F" w14:textId="77777777" w:rsidR="005A4F0B" w:rsidRPr="002152FE" w:rsidRDefault="005A4F0B" w:rsidP="00D70E58">
            <w:pPr>
              <w:spacing w:before="60"/>
              <w:ind w:right="-5"/>
              <w:jc w:val="center"/>
              <w:rPr>
                <w:rFonts w:asciiTheme="minorHAnsi" w:hAnsiTheme="minorHAnsi" w:cstheme="minorHAnsi"/>
                <w:bCs/>
                <w:sz w:val="18"/>
                <w:szCs w:val="18"/>
                <w:lang w:val="es-EC"/>
              </w:rPr>
            </w:pPr>
          </w:p>
        </w:tc>
        <w:tc>
          <w:tcPr>
            <w:tcW w:w="2104" w:type="dxa"/>
          </w:tcPr>
          <w:p w14:paraId="2F231826" w14:textId="6ED2901F" w:rsidR="005A4F0B" w:rsidRPr="00587619" w:rsidRDefault="005A4F0B" w:rsidP="00BA3DD6">
            <w:pPr>
              <w:spacing w:before="60"/>
              <w:ind w:right="-5"/>
              <w:rPr>
                <w:rFonts w:asciiTheme="minorHAnsi" w:hAnsiTheme="minorHAnsi" w:cstheme="minorHAnsi"/>
                <w:bCs/>
                <w:sz w:val="18"/>
                <w:szCs w:val="18"/>
              </w:rPr>
            </w:pPr>
            <w:r>
              <w:rPr>
                <w:rFonts w:asciiTheme="minorHAnsi" w:hAnsiTheme="minorHAnsi"/>
                <w:sz w:val="18"/>
              </w:rPr>
              <w:t>Agencia de Regulación y Control Fitosanitario y Zoosanitario (AGROCALIDAD)</w:t>
            </w:r>
          </w:p>
        </w:tc>
        <w:tc>
          <w:tcPr>
            <w:tcW w:w="4480" w:type="dxa"/>
            <w:shd w:val="clear" w:color="auto" w:fill="auto"/>
          </w:tcPr>
          <w:p w14:paraId="2E15BCAF" w14:textId="4850C501" w:rsidR="005A4F0B" w:rsidRPr="00587619" w:rsidRDefault="00C470D8" w:rsidP="00C470D8">
            <w:pPr>
              <w:spacing w:before="60"/>
              <w:ind w:right="-5"/>
              <w:jc w:val="both"/>
              <w:rPr>
                <w:rFonts w:asciiTheme="minorHAnsi" w:hAnsiTheme="minorHAnsi" w:cstheme="minorHAnsi"/>
                <w:color w:val="000000"/>
                <w:sz w:val="18"/>
                <w:szCs w:val="18"/>
              </w:rPr>
            </w:pPr>
            <w:r>
              <w:rPr>
                <w:rFonts w:asciiTheme="minorHAnsi" w:hAnsiTheme="minorHAnsi"/>
                <w:color w:val="000000"/>
                <w:sz w:val="18"/>
              </w:rPr>
              <w:t xml:space="preserve">AGROCLAIDAD es la agencia adscrita al MAG que se encarga del control y regulación para la protección y mejora de la sanidad animal, la sanidad vegetal y la seguridad alimentaria. Es miembro del Comité Nacional de Plaguicidas donde se revisan los expedientes para aprobar el registro de </w:t>
            </w:r>
            <w:r w:rsidR="00E667C9">
              <w:rPr>
                <w:rFonts w:asciiTheme="minorHAnsi" w:hAnsiTheme="minorHAnsi"/>
                <w:color w:val="000000"/>
                <w:sz w:val="18"/>
              </w:rPr>
              <w:t>P</w:t>
            </w:r>
            <w:r>
              <w:rPr>
                <w:rFonts w:asciiTheme="minorHAnsi" w:hAnsiTheme="minorHAnsi"/>
                <w:color w:val="000000"/>
                <w:sz w:val="18"/>
              </w:rPr>
              <w:t xml:space="preserve">laguicidas de </w:t>
            </w:r>
            <w:r w:rsidR="00E667C9">
              <w:rPr>
                <w:rFonts w:asciiTheme="minorHAnsi" w:hAnsiTheme="minorHAnsi"/>
                <w:color w:val="000000"/>
                <w:sz w:val="18"/>
              </w:rPr>
              <w:t>U</w:t>
            </w:r>
            <w:r>
              <w:rPr>
                <w:rFonts w:asciiTheme="minorHAnsi" w:hAnsiTheme="minorHAnsi"/>
                <w:color w:val="000000"/>
                <w:sz w:val="18"/>
              </w:rPr>
              <w:t xml:space="preserve">so </w:t>
            </w:r>
            <w:r w:rsidR="00E667C9">
              <w:rPr>
                <w:rFonts w:asciiTheme="minorHAnsi" w:hAnsiTheme="minorHAnsi"/>
                <w:color w:val="000000"/>
                <w:sz w:val="18"/>
              </w:rPr>
              <w:t>A</w:t>
            </w:r>
            <w:r>
              <w:rPr>
                <w:rFonts w:asciiTheme="minorHAnsi" w:hAnsiTheme="minorHAnsi"/>
                <w:color w:val="000000"/>
                <w:sz w:val="18"/>
              </w:rPr>
              <w:t>grícola (PQUA) en el ámbito agronómico (pruebas de eficacia, propiedades físicas y químicas, usos, medidas de seguridad, etc.).</w:t>
            </w:r>
          </w:p>
          <w:p w14:paraId="3C88292D" w14:textId="77777777" w:rsidR="003A1AE6" w:rsidRPr="00587619" w:rsidRDefault="003A1AE6" w:rsidP="00C470D8">
            <w:pPr>
              <w:spacing w:before="60"/>
              <w:ind w:right="-5"/>
              <w:jc w:val="both"/>
              <w:rPr>
                <w:rFonts w:asciiTheme="minorHAnsi" w:hAnsiTheme="minorHAnsi" w:cstheme="minorHAnsi"/>
                <w:color w:val="000000"/>
                <w:sz w:val="18"/>
                <w:szCs w:val="18"/>
              </w:rPr>
            </w:pPr>
            <w:r>
              <w:rPr>
                <w:rFonts w:asciiTheme="minorHAnsi" w:hAnsiTheme="minorHAnsi"/>
                <w:color w:val="000000"/>
                <w:sz w:val="18"/>
              </w:rPr>
              <w:t>AGROCALIDAD:</w:t>
            </w:r>
          </w:p>
          <w:p w14:paraId="467E5B9E" w14:textId="5DA28357" w:rsidR="00540900" w:rsidRPr="00587619" w:rsidRDefault="00540900">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sz w:val="18"/>
              </w:rPr>
              <w:t>Contribuirá al cumplimiento de las actividades del componente 1 del proyecto</w:t>
            </w:r>
          </w:p>
          <w:p w14:paraId="0F62505B" w14:textId="08956CEF" w:rsidR="00540900" w:rsidRPr="00587619" w:rsidRDefault="00540900">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sz w:val="18"/>
              </w:rPr>
              <w:t xml:space="preserve">Apoyará la ejecución de actividades en el marco de los </w:t>
            </w:r>
            <w:r w:rsidR="0042226C">
              <w:rPr>
                <w:rFonts w:asciiTheme="minorHAnsi" w:hAnsiTheme="minorHAnsi"/>
                <w:sz w:val="18"/>
              </w:rPr>
              <w:t>R</w:t>
            </w:r>
            <w:r>
              <w:rPr>
                <w:rFonts w:asciiTheme="minorHAnsi" w:hAnsiTheme="minorHAnsi"/>
                <w:sz w:val="18"/>
              </w:rPr>
              <w:t>esultados 2.4, 3.1 y 3.3</w:t>
            </w:r>
          </w:p>
          <w:p w14:paraId="05737AFD" w14:textId="6780BC1A" w:rsidR="002B19E7" w:rsidRPr="00587619" w:rsidRDefault="002B19E7">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color w:val="000000" w:themeColor="text1"/>
                <w:sz w:val="18"/>
              </w:rPr>
              <w:t>Difundirá información y participará en programas educativos de concienciación sobre los COPs/ PAPs y residuos plásticos (BPA, opciones de financiación, alternativas a los PAPs, gestión y eliminación de residuos conexos, incluido el plástico)</w:t>
            </w:r>
          </w:p>
        </w:tc>
      </w:tr>
      <w:tr w:rsidR="005A4F0B" w:rsidRPr="001B17BF" w14:paraId="55D22CAD" w14:textId="77777777" w:rsidTr="00587619">
        <w:trPr>
          <w:cantSplit/>
          <w:tblHeader/>
        </w:trPr>
        <w:tc>
          <w:tcPr>
            <w:tcW w:w="1267" w:type="dxa"/>
            <w:vMerge/>
            <w:shd w:val="clear" w:color="auto" w:fill="auto"/>
            <w:vAlign w:val="center"/>
          </w:tcPr>
          <w:p w14:paraId="0C89D1A9" w14:textId="77777777" w:rsidR="005A4F0B" w:rsidRPr="002152FE" w:rsidRDefault="005A4F0B" w:rsidP="00BA3DD6">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1E3CF812" w14:textId="77777777" w:rsidR="005A4F0B" w:rsidRPr="002152FE" w:rsidRDefault="005A4F0B" w:rsidP="00D70E58">
            <w:pPr>
              <w:spacing w:before="60"/>
              <w:ind w:right="-5"/>
              <w:jc w:val="center"/>
              <w:rPr>
                <w:rFonts w:asciiTheme="minorHAnsi" w:hAnsiTheme="minorHAnsi" w:cstheme="minorHAnsi"/>
                <w:bCs/>
                <w:sz w:val="18"/>
                <w:szCs w:val="18"/>
                <w:lang w:val="es-EC"/>
              </w:rPr>
            </w:pPr>
          </w:p>
        </w:tc>
        <w:tc>
          <w:tcPr>
            <w:tcW w:w="2104" w:type="dxa"/>
          </w:tcPr>
          <w:p w14:paraId="3962C250" w14:textId="39BC2482" w:rsidR="005A4F0B" w:rsidRPr="00587619" w:rsidRDefault="005A4F0B" w:rsidP="00BA3DD6">
            <w:pPr>
              <w:spacing w:before="60"/>
              <w:ind w:right="-5"/>
              <w:rPr>
                <w:rFonts w:asciiTheme="minorHAnsi" w:hAnsiTheme="minorHAnsi" w:cstheme="minorHAnsi"/>
                <w:bCs/>
                <w:sz w:val="18"/>
                <w:szCs w:val="18"/>
              </w:rPr>
            </w:pPr>
            <w:r>
              <w:rPr>
                <w:rFonts w:asciiTheme="minorHAnsi" w:hAnsiTheme="minorHAnsi"/>
                <w:sz w:val="18"/>
              </w:rPr>
              <w:t>Ministerio de Salud Pública (MSP)</w:t>
            </w:r>
          </w:p>
        </w:tc>
        <w:tc>
          <w:tcPr>
            <w:tcW w:w="4480" w:type="dxa"/>
            <w:shd w:val="clear" w:color="auto" w:fill="auto"/>
          </w:tcPr>
          <w:p w14:paraId="10DDF806" w14:textId="70E10059" w:rsidR="005A4F0B" w:rsidRPr="00587619" w:rsidRDefault="00645359" w:rsidP="00503DEF">
            <w:pPr>
              <w:pStyle w:val="HTMLconformatoprevio"/>
              <w:jc w:val="both"/>
              <w:rPr>
                <w:rFonts w:asciiTheme="minorHAnsi" w:hAnsiTheme="minorHAnsi" w:cstheme="minorHAnsi"/>
                <w:bCs/>
                <w:sz w:val="18"/>
                <w:szCs w:val="18"/>
              </w:rPr>
            </w:pPr>
            <w:r>
              <w:rPr>
                <w:rFonts w:asciiTheme="minorHAnsi" w:hAnsiTheme="minorHAnsi"/>
                <w:sz w:val="18"/>
              </w:rPr>
              <w:t>Institución rectora del sector de la salud, promueve la rectoría, regulación, planificación, coordinación, control y gestión de la Salud Pública.</w:t>
            </w:r>
          </w:p>
          <w:p w14:paraId="1CC53D6C" w14:textId="7B9D7A16" w:rsidR="00540900" w:rsidRPr="00393780" w:rsidRDefault="00540900" w:rsidP="00503DEF">
            <w:pPr>
              <w:pStyle w:val="HTMLconformatoprevio"/>
              <w:jc w:val="both"/>
              <w:rPr>
                <w:rFonts w:asciiTheme="minorHAnsi" w:hAnsiTheme="minorHAnsi" w:cstheme="minorHAnsi"/>
                <w:bCs/>
                <w:sz w:val="18"/>
                <w:szCs w:val="18"/>
              </w:rPr>
            </w:pPr>
            <w:r>
              <w:rPr>
                <w:rFonts w:asciiTheme="minorHAnsi" w:hAnsiTheme="minorHAnsi"/>
                <w:sz w:val="18"/>
              </w:rPr>
              <w:t xml:space="preserve">El MSP participará directamente en las actividades del Componente 1 y el Resultado 2.5. Proporcionará información fiable sobre las </w:t>
            </w:r>
            <w:r w:rsidR="00206AD8">
              <w:rPr>
                <w:rFonts w:asciiTheme="minorHAnsi" w:hAnsiTheme="minorHAnsi"/>
                <w:sz w:val="18"/>
              </w:rPr>
              <w:t>cantidades almacenadas de</w:t>
            </w:r>
            <w:r>
              <w:rPr>
                <w:rFonts w:asciiTheme="minorHAnsi" w:hAnsiTheme="minorHAnsi"/>
                <w:sz w:val="18"/>
              </w:rPr>
              <w:t xml:space="preserve"> COPs y PAPs en el sector de la salud.</w:t>
            </w:r>
          </w:p>
        </w:tc>
      </w:tr>
      <w:tr w:rsidR="005A4F0B" w:rsidRPr="001B17BF" w14:paraId="7993E8BB" w14:textId="77777777" w:rsidTr="00587619">
        <w:trPr>
          <w:cantSplit/>
          <w:tblHeader/>
        </w:trPr>
        <w:tc>
          <w:tcPr>
            <w:tcW w:w="1267" w:type="dxa"/>
            <w:vMerge/>
            <w:shd w:val="clear" w:color="auto" w:fill="auto"/>
            <w:vAlign w:val="center"/>
          </w:tcPr>
          <w:p w14:paraId="3131E9FF" w14:textId="77777777" w:rsidR="005A4F0B" w:rsidRPr="002152FE" w:rsidRDefault="005A4F0B" w:rsidP="00BA3DD6">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62EA9E79" w14:textId="77777777" w:rsidR="005A4F0B" w:rsidRPr="002152FE" w:rsidRDefault="005A4F0B" w:rsidP="00D70E58">
            <w:pPr>
              <w:spacing w:before="60"/>
              <w:ind w:right="-5"/>
              <w:jc w:val="center"/>
              <w:rPr>
                <w:rFonts w:asciiTheme="minorHAnsi" w:hAnsiTheme="minorHAnsi" w:cstheme="minorHAnsi"/>
                <w:bCs/>
                <w:sz w:val="18"/>
                <w:szCs w:val="18"/>
                <w:lang w:val="es-EC"/>
              </w:rPr>
            </w:pPr>
          </w:p>
        </w:tc>
        <w:tc>
          <w:tcPr>
            <w:tcW w:w="2104" w:type="dxa"/>
          </w:tcPr>
          <w:p w14:paraId="5DCE62B2" w14:textId="33FB8115" w:rsidR="005A4F0B" w:rsidRPr="00587619" w:rsidRDefault="005A4F0B" w:rsidP="00BA3DD6">
            <w:pPr>
              <w:spacing w:before="60"/>
              <w:ind w:right="-5"/>
              <w:rPr>
                <w:rFonts w:asciiTheme="minorHAnsi" w:hAnsiTheme="minorHAnsi" w:cstheme="minorHAnsi"/>
                <w:bCs/>
                <w:sz w:val="18"/>
                <w:szCs w:val="18"/>
              </w:rPr>
            </w:pPr>
            <w:r>
              <w:rPr>
                <w:rFonts w:asciiTheme="minorHAnsi" w:hAnsiTheme="minorHAnsi"/>
                <w:sz w:val="18"/>
              </w:rPr>
              <w:t>Agencia Nacional de Control, Regulación y Vigilancia Sanitaria (ARCSA)</w:t>
            </w:r>
          </w:p>
        </w:tc>
        <w:tc>
          <w:tcPr>
            <w:tcW w:w="4480" w:type="dxa"/>
            <w:shd w:val="clear" w:color="auto" w:fill="auto"/>
          </w:tcPr>
          <w:p w14:paraId="6C49E9BB" w14:textId="77777777" w:rsidR="00503DEF" w:rsidRPr="00587619" w:rsidRDefault="00503DEF" w:rsidP="00053F75">
            <w:pPr>
              <w:pStyle w:val="HTMLconformatoprevio"/>
              <w:jc w:val="both"/>
              <w:rPr>
                <w:rFonts w:asciiTheme="minorHAnsi" w:hAnsiTheme="minorHAnsi" w:cstheme="minorHAnsi"/>
                <w:bCs/>
                <w:sz w:val="18"/>
                <w:szCs w:val="18"/>
              </w:rPr>
            </w:pPr>
            <w:r>
              <w:rPr>
                <w:rFonts w:asciiTheme="minorHAnsi" w:hAnsiTheme="minorHAnsi"/>
                <w:sz w:val="18"/>
              </w:rPr>
              <w:t xml:space="preserve">ARCSA es la agencia adscrita al MSP que se encarga de la regulación, vigilancia y control de la salud de la población, a través de la gestión de riesgos de los productos de uso y consumo humano.  </w:t>
            </w:r>
          </w:p>
          <w:p w14:paraId="4615C564" w14:textId="54B299C0" w:rsidR="005A4F0B" w:rsidRPr="00587619" w:rsidRDefault="00053F75" w:rsidP="00053F75">
            <w:pPr>
              <w:pStyle w:val="HTMLconformatoprevio"/>
              <w:jc w:val="both"/>
              <w:rPr>
                <w:rFonts w:asciiTheme="minorHAnsi" w:hAnsiTheme="minorHAnsi" w:cstheme="minorHAnsi"/>
                <w:bCs/>
                <w:sz w:val="18"/>
                <w:szCs w:val="18"/>
              </w:rPr>
            </w:pPr>
            <w:r>
              <w:rPr>
                <w:rFonts w:asciiTheme="minorHAnsi" w:hAnsiTheme="minorHAnsi"/>
                <w:sz w:val="18"/>
              </w:rPr>
              <w:t xml:space="preserve">Es miembro del Comité Nacional de Plaguicidas, donde se revisan los expedientes para aprobar el registro de </w:t>
            </w:r>
            <w:r w:rsidR="00E667C9">
              <w:rPr>
                <w:rFonts w:asciiTheme="minorHAnsi" w:hAnsiTheme="minorHAnsi"/>
                <w:sz w:val="18"/>
              </w:rPr>
              <w:t>P</w:t>
            </w:r>
            <w:r>
              <w:rPr>
                <w:rFonts w:asciiTheme="minorHAnsi" w:hAnsiTheme="minorHAnsi"/>
                <w:sz w:val="18"/>
              </w:rPr>
              <w:t xml:space="preserve">laguicidas de </w:t>
            </w:r>
            <w:r w:rsidR="00E667C9">
              <w:rPr>
                <w:rFonts w:asciiTheme="minorHAnsi" w:hAnsiTheme="minorHAnsi"/>
                <w:sz w:val="18"/>
              </w:rPr>
              <w:t>U</w:t>
            </w:r>
            <w:r>
              <w:rPr>
                <w:rFonts w:asciiTheme="minorHAnsi" w:hAnsiTheme="minorHAnsi"/>
                <w:sz w:val="18"/>
              </w:rPr>
              <w:t xml:space="preserve">so </w:t>
            </w:r>
            <w:r w:rsidR="00E667C9">
              <w:rPr>
                <w:rFonts w:asciiTheme="minorHAnsi" w:hAnsiTheme="minorHAnsi"/>
                <w:sz w:val="18"/>
              </w:rPr>
              <w:t>A</w:t>
            </w:r>
            <w:r>
              <w:rPr>
                <w:rFonts w:asciiTheme="minorHAnsi" w:hAnsiTheme="minorHAnsi"/>
                <w:sz w:val="18"/>
              </w:rPr>
              <w:t>grícola (PQUA) en el ámbito toxicológico (propiedades físicas y químicas, usos, medidas de seguridad, efectos en humanos y animales, etc.)</w:t>
            </w:r>
            <w:r w:rsidR="0042226C">
              <w:rPr>
                <w:rFonts w:asciiTheme="minorHAnsi" w:hAnsiTheme="minorHAnsi"/>
                <w:sz w:val="18"/>
              </w:rPr>
              <w:t>.</w:t>
            </w:r>
          </w:p>
          <w:p w14:paraId="51AD1F3B" w14:textId="3C0519FE" w:rsidR="0066657E" w:rsidRPr="00587619" w:rsidRDefault="0066657E" w:rsidP="00053F75">
            <w:pPr>
              <w:pStyle w:val="HTMLconformatoprevio"/>
              <w:jc w:val="both"/>
              <w:rPr>
                <w:rFonts w:asciiTheme="minorHAnsi" w:hAnsiTheme="minorHAnsi" w:cstheme="minorHAnsi"/>
                <w:bCs/>
                <w:sz w:val="18"/>
                <w:szCs w:val="18"/>
              </w:rPr>
            </w:pPr>
            <w:r>
              <w:rPr>
                <w:rFonts w:asciiTheme="minorHAnsi" w:hAnsiTheme="minorHAnsi"/>
                <w:sz w:val="18"/>
              </w:rPr>
              <w:t>ARCSA participará directamente en las actividades del Componente 1.</w:t>
            </w:r>
          </w:p>
        </w:tc>
      </w:tr>
      <w:tr w:rsidR="00645359" w:rsidRPr="001B17BF" w14:paraId="563C6E44" w14:textId="77777777" w:rsidTr="00587619">
        <w:trPr>
          <w:cantSplit/>
          <w:tblHeader/>
        </w:trPr>
        <w:tc>
          <w:tcPr>
            <w:tcW w:w="1267" w:type="dxa"/>
            <w:vMerge/>
            <w:shd w:val="clear" w:color="auto" w:fill="auto"/>
            <w:vAlign w:val="center"/>
          </w:tcPr>
          <w:p w14:paraId="0B76B313" w14:textId="77777777" w:rsidR="00645359" w:rsidRPr="002152FE" w:rsidRDefault="00645359" w:rsidP="00645359">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63C08B22" w14:textId="77777777" w:rsidR="00645359" w:rsidRPr="002152FE" w:rsidRDefault="00645359" w:rsidP="00645359">
            <w:pPr>
              <w:spacing w:before="60"/>
              <w:ind w:right="-5"/>
              <w:jc w:val="center"/>
              <w:rPr>
                <w:rFonts w:asciiTheme="minorHAnsi" w:hAnsiTheme="minorHAnsi" w:cstheme="minorHAnsi"/>
                <w:bCs/>
                <w:sz w:val="18"/>
                <w:szCs w:val="18"/>
                <w:lang w:val="es-EC"/>
              </w:rPr>
            </w:pPr>
          </w:p>
        </w:tc>
        <w:tc>
          <w:tcPr>
            <w:tcW w:w="2104" w:type="dxa"/>
          </w:tcPr>
          <w:p w14:paraId="6CA69022" w14:textId="0620530F" w:rsidR="00645359" w:rsidRPr="00587619" w:rsidRDefault="00645359" w:rsidP="00645359">
            <w:pPr>
              <w:spacing w:before="60"/>
              <w:ind w:right="-5"/>
              <w:rPr>
                <w:rFonts w:asciiTheme="minorHAnsi" w:hAnsiTheme="minorHAnsi" w:cstheme="minorHAnsi"/>
                <w:bCs/>
                <w:sz w:val="18"/>
                <w:szCs w:val="18"/>
              </w:rPr>
            </w:pPr>
            <w:r>
              <w:rPr>
                <w:rFonts w:asciiTheme="minorHAnsi" w:hAnsiTheme="minorHAnsi"/>
                <w:sz w:val="18"/>
              </w:rPr>
              <w:t>Servicio Nacional de Aduanas del Ecuador (SENAE)</w:t>
            </w:r>
          </w:p>
        </w:tc>
        <w:tc>
          <w:tcPr>
            <w:tcW w:w="4480" w:type="dxa"/>
            <w:shd w:val="clear" w:color="auto" w:fill="auto"/>
          </w:tcPr>
          <w:p w14:paraId="13B99015" w14:textId="77777777" w:rsidR="00645359" w:rsidRPr="00587619" w:rsidRDefault="00645359" w:rsidP="00E016E3">
            <w:pPr>
              <w:pStyle w:val="HTMLconformatoprevio"/>
              <w:jc w:val="both"/>
              <w:rPr>
                <w:rFonts w:asciiTheme="minorHAnsi" w:hAnsiTheme="minorHAnsi" w:cstheme="minorHAnsi"/>
                <w:color w:val="000000"/>
                <w:sz w:val="18"/>
                <w:szCs w:val="18"/>
              </w:rPr>
            </w:pPr>
            <w:r>
              <w:rPr>
                <w:rFonts w:asciiTheme="minorHAnsi" w:hAnsiTheme="minorHAnsi"/>
                <w:color w:val="000000"/>
                <w:sz w:val="18"/>
              </w:rPr>
              <w:t xml:space="preserve">Responsable del control del comercio exterior que promueve la competencia leal en los sectores económicos, </w:t>
            </w:r>
            <w:r>
              <w:rPr>
                <w:rFonts w:asciiTheme="minorHAnsi" w:hAnsiTheme="minorHAnsi"/>
                <w:sz w:val="18"/>
              </w:rPr>
              <w:t>concede</w:t>
            </w:r>
            <w:r>
              <w:rPr>
                <w:rFonts w:asciiTheme="minorHAnsi" w:hAnsiTheme="minorHAnsi"/>
                <w:color w:val="000000"/>
                <w:sz w:val="18"/>
              </w:rPr>
              <w:t xml:space="preserve"> permisos de importación para todas las mercancías que entran en el país, incluidos los plaguicidas y otros suministros de uso agrícola y ganadero.</w:t>
            </w:r>
          </w:p>
          <w:p w14:paraId="4CF46110" w14:textId="0093BE82" w:rsidR="0066657E" w:rsidRPr="00587619" w:rsidRDefault="0066657E" w:rsidP="00E016E3">
            <w:pPr>
              <w:pStyle w:val="HTMLconformatoprevio"/>
              <w:jc w:val="both"/>
              <w:rPr>
                <w:rFonts w:asciiTheme="minorHAnsi" w:hAnsiTheme="minorHAnsi" w:cstheme="minorHAnsi"/>
                <w:color w:val="000000"/>
                <w:sz w:val="18"/>
                <w:szCs w:val="18"/>
              </w:rPr>
            </w:pPr>
            <w:r>
              <w:rPr>
                <w:rFonts w:asciiTheme="minorHAnsi" w:hAnsiTheme="minorHAnsi"/>
                <w:color w:val="000000"/>
                <w:sz w:val="18"/>
              </w:rPr>
              <w:t>La SENAE participará principalmente en las actividades del Componente 1.</w:t>
            </w:r>
          </w:p>
        </w:tc>
      </w:tr>
      <w:tr w:rsidR="008C093B" w:rsidRPr="001B17BF" w14:paraId="405D3ABE" w14:textId="77777777" w:rsidTr="00587619">
        <w:trPr>
          <w:cantSplit/>
          <w:tblHeader/>
        </w:trPr>
        <w:tc>
          <w:tcPr>
            <w:tcW w:w="1267" w:type="dxa"/>
            <w:vMerge/>
            <w:shd w:val="clear" w:color="auto" w:fill="auto"/>
            <w:vAlign w:val="center"/>
          </w:tcPr>
          <w:p w14:paraId="7B08DDE2" w14:textId="77777777" w:rsidR="008C093B" w:rsidRPr="002152FE" w:rsidRDefault="008C093B" w:rsidP="00645359">
            <w:pPr>
              <w:spacing w:before="60"/>
              <w:ind w:right="-5"/>
              <w:jc w:val="center"/>
              <w:rPr>
                <w:rFonts w:asciiTheme="minorHAnsi" w:hAnsiTheme="minorHAnsi" w:cstheme="minorHAnsi"/>
                <w:bCs/>
                <w:sz w:val="18"/>
                <w:szCs w:val="18"/>
                <w:lang w:val="es-EC"/>
              </w:rPr>
            </w:pPr>
          </w:p>
        </w:tc>
        <w:tc>
          <w:tcPr>
            <w:tcW w:w="1362" w:type="dxa"/>
            <w:vMerge w:val="restart"/>
            <w:shd w:val="clear" w:color="auto" w:fill="auto"/>
            <w:vAlign w:val="center"/>
          </w:tcPr>
          <w:p w14:paraId="1E351CAB" w14:textId="77777777" w:rsidR="008C093B" w:rsidRPr="00587619" w:rsidRDefault="008C093B" w:rsidP="00645359">
            <w:pPr>
              <w:spacing w:before="60"/>
              <w:ind w:right="-5"/>
              <w:jc w:val="center"/>
              <w:rPr>
                <w:rFonts w:asciiTheme="minorHAnsi" w:hAnsiTheme="minorHAnsi" w:cstheme="minorHAnsi"/>
                <w:bCs/>
                <w:sz w:val="18"/>
                <w:szCs w:val="18"/>
              </w:rPr>
            </w:pPr>
            <w:r>
              <w:rPr>
                <w:rFonts w:asciiTheme="minorHAnsi" w:hAnsiTheme="minorHAnsi"/>
                <w:sz w:val="18"/>
              </w:rPr>
              <w:t>Otras instituciones públicas</w:t>
            </w:r>
          </w:p>
        </w:tc>
        <w:tc>
          <w:tcPr>
            <w:tcW w:w="2104" w:type="dxa"/>
          </w:tcPr>
          <w:p w14:paraId="76997F72" w14:textId="3E52D67D" w:rsidR="008C093B" w:rsidRPr="00587619" w:rsidRDefault="008C093B" w:rsidP="00645359">
            <w:pPr>
              <w:spacing w:before="60"/>
              <w:ind w:right="-5"/>
              <w:rPr>
                <w:rFonts w:asciiTheme="minorHAnsi" w:hAnsiTheme="minorHAnsi" w:cstheme="minorHAnsi"/>
                <w:bCs/>
                <w:sz w:val="18"/>
                <w:szCs w:val="18"/>
              </w:rPr>
            </w:pPr>
            <w:r>
              <w:rPr>
                <w:rFonts w:asciiTheme="minorHAnsi" w:hAnsiTheme="minorHAnsi"/>
                <w:sz w:val="18"/>
              </w:rPr>
              <w:t>Agencia de Regulación y Control de la Bioseguridad y Cuarentena para Galápagos (ABG)</w:t>
            </w:r>
          </w:p>
        </w:tc>
        <w:tc>
          <w:tcPr>
            <w:tcW w:w="4480" w:type="dxa"/>
            <w:shd w:val="clear" w:color="auto" w:fill="auto"/>
          </w:tcPr>
          <w:p w14:paraId="7ED9C03E" w14:textId="77777777" w:rsidR="008C093B" w:rsidRPr="00587619" w:rsidRDefault="008C093B" w:rsidP="005E715E">
            <w:pPr>
              <w:pStyle w:val="GEFFieldtoFillout"/>
              <w:spacing w:before="60"/>
              <w:ind w:left="0"/>
              <w:jc w:val="both"/>
              <w:rPr>
                <w:rFonts w:asciiTheme="minorHAnsi" w:hAnsiTheme="minorHAnsi" w:cstheme="minorHAnsi"/>
                <w:sz w:val="18"/>
                <w:szCs w:val="18"/>
              </w:rPr>
            </w:pPr>
            <w:r>
              <w:rPr>
                <w:rFonts w:asciiTheme="minorHAnsi" w:hAnsiTheme="minorHAnsi"/>
                <w:sz w:val="18"/>
              </w:rPr>
              <w:t>Responsable de controlar, regular, prevenir y reducir el riesgo de introducción, movimiento y dispersión de organismos exóticos, que pongan en peligro la salud humana y la conservación de los ecosistemas marinos insulares y la biodiversidad de Galápagos. Además, controla y concede autorización para los almacenes de plaguicidas, monitorea a los productores de las islas y registra las cantidades de plaguicidas que entran y salen de las islas.</w:t>
            </w:r>
          </w:p>
          <w:p w14:paraId="635EA142" w14:textId="12F1CEDF" w:rsidR="009764CB" w:rsidRPr="00587619" w:rsidRDefault="009764CB" w:rsidP="005E715E">
            <w:pPr>
              <w:pStyle w:val="GEFFieldtoFillout"/>
              <w:spacing w:before="60"/>
              <w:ind w:left="0"/>
              <w:jc w:val="both"/>
              <w:rPr>
                <w:rFonts w:asciiTheme="minorHAnsi" w:hAnsiTheme="minorHAnsi" w:cstheme="minorHAnsi"/>
                <w:sz w:val="18"/>
                <w:szCs w:val="18"/>
              </w:rPr>
            </w:pPr>
            <w:r>
              <w:rPr>
                <w:rFonts w:asciiTheme="minorHAnsi" w:hAnsiTheme="minorHAnsi"/>
                <w:sz w:val="18"/>
              </w:rPr>
              <w:t xml:space="preserve">La ABG apoyará la ejecución general de las actividades del proyecto en el territorio de las islas Galápagos. En particular, apoyará la implementación del Resultado 3.1 en Santa Cruz.  </w:t>
            </w:r>
          </w:p>
        </w:tc>
      </w:tr>
      <w:tr w:rsidR="008C093B" w:rsidRPr="001B17BF" w14:paraId="3CB2BB47" w14:textId="77777777" w:rsidTr="00587619">
        <w:trPr>
          <w:cantSplit/>
          <w:tblHeader/>
        </w:trPr>
        <w:tc>
          <w:tcPr>
            <w:tcW w:w="1267" w:type="dxa"/>
            <w:vMerge/>
            <w:shd w:val="clear" w:color="auto" w:fill="auto"/>
            <w:vAlign w:val="center"/>
          </w:tcPr>
          <w:p w14:paraId="1DDBC087" w14:textId="77777777" w:rsidR="008C093B" w:rsidRPr="002152FE" w:rsidRDefault="008C093B" w:rsidP="00645359">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1275CBBE" w14:textId="77777777" w:rsidR="008C093B" w:rsidRPr="002152FE" w:rsidRDefault="008C093B" w:rsidP="00645359">
            <w:pPr>
              <w:spacing w:before="60"/>
              <w:ind w:right="-5"/>
              <w:jc w:val="center"/>
              <w:rPr>
                <w:rFonts w:asciiTheme="minorHAnsi" w:hAnsiTheme="minorHAnsi" w:cstheme="minorHAnsi"/>
                <w:bCs/>
                <w:sz w:val="18"/>
                <w:szCs w:val="18"/>
                <w:lang w:val="es-EC"/>
              </w:rPr>
            </w:pPr>
          </w:p>
        </w:tc>
        <w:tc>
          <w:tcPr>
            <w:tcW w:w="2104" w:type="dxa"/>
          </w:tcPr>
          <w:p w14:paraId="4C16038D" w14:textId="520DDB98" w:rsidR="008C093B" w:rsidRPr="00587619" w:rsidRDefault="008C093B" w:rsidP="00645359">
            <w:pPr>
              <w:spacing w:before="60"/>
              <w:ind w:right="-5"/>
              <w:rPr>
                <w:rFonts w:asciiTheme="minorHAnsi" w:hAnsiTheme="minorHAnsi" w:cstheme="minorHAnsi"/>
                <w:bCs/>
                <w:sz w:val="18"/>
                <w:szCs w:val="18"/>
              </w:rPr>
            </w:pPr>
            <w:r>
              <w:rPr>
                <w:rFonts w:asciiTheme="minorHAnsi" w:hAnsiTheme="minorHAnsi"/>
                <w:sz w:val="18"/>
              </w:rPr>
              <w:t>Seguro Social Campesino (SSC)</w:t>
            </w:r>
          </w:p>
        </w:tc>
        <w:tc>
          <w:tcPr>
            <w:tcW w:w="4480" w:type="dxa"/>
            <w:shd w:val="clear" w:color="auto" w:fill="auto"/>
          </w:tcPr>
          <w:p w14:paraId="4CF84AEE" w14:textId="609C4EF3" w:rsidR="008C093B" w:rsidRPr="00587619" w:rsidRDefault="000F14BD" w:rsidP="005E715E">
            <w:pPr>
              <w:pStyle w:val="GEFFieldtoFillout"/>
              <w:spacing w:before="60"/>
              <w:ind w:left="0"/>
              <w:jc w:val="both"/>
              <w:rPr>
                <w:rFonts w:asciiTheme="minorHAnsi" w:hAnsiTheme="minorHAnsi" w:cstheme="minorHAnsi"/>
                <w:bCs/>
                <w:sz w:val="18"/>
                <w:szCs w:val="18"/>
              </w:rPr>
            </w:pPr>
            <w:r>
              <w:rPr>
                <w:rFonts w:asciiTheme="minorHAnsi" w:hAnsiTheme="minorHAnsi"/>
                <w:sz w:val="18"/>
              </w:rPr>
              <w:t>Es un régimen especial de seguro universal obligatorio del Instituto Ecuatoriano de Seguridad Social (IESS) que protege a la población del sector rural y a las personas dedicadas a la pesca artesanal en Ecuador. Se financia con el aporte solidario de los asegurados y empresarios del régimen general de Seguridad Social.</w:t>
            </w:r>
          </w:p>
          <w:p w14:paraId="039315AA" w14:textId="322FBF39" w:rsidR="00C47FCC" w:rsidRPr="004738F7" w:rsidRDefault="00DD4CFF" w:rsidP="005E715E">
            <w:pPr>
              <w:pStyle w:val="GEFFieldtoFillout"/>
              <w:spacing w:before="60"/>
              <w:ind w:left="0"/>
              <w:jc w:val="both"/>
              <w:rPr>
                <w:rFonts w:asciiTheme="minorHAnsi" w:hAnsiTheme="minorHAnsi" w:cstheme="minorHAnsi"/>
                <w:color w:val="000000" w:themeColor="text1"/>
                <w:sz w:val="18"/>
                <w:szCs w:val="18"/>
              </w:rPr>
            </w:pPr>
            <w:r>
              <w:rPr>
                <w:rFonts w:asciiTheme="minorHAnsi" w:hAnsiTheme="minorHAnsi"/>
                <w:sz w:val="18"/>
              </w:rPr>
              <w:t xml:space="preserve">El SSC participará en el </w:t>
            </w:r>
            <w:r w:rsidR="0050425A">
              <w:rPr>
                <w:rFonts w:asciiTheme="minorHAnsi" w:hAnsiTheme="minorHAnsi"/>
                <w:sz w:val="18"/>
              </w:rPr>
              <w:t>R</w:t>
            </w:r>
            <w:r>
              <w:rPr>
                <w:rFonts w:asciiTheme="minorHAnsi" w:hAnsiTheme="minorHAnsi"/>
                <w:sz w:val="18"/>
              </w:rPr>
              <w:t xml:space="preserve">esultado </w:t>
            </w:r>
            <w:r w:rsidR="00206AD8">
              <w:rPr>
                <w:rFonts w:asciiTheme="minorHAnsi" w:hAnsiTheme="minorHAnsi"/>
                <w:sz w:val="18"/>
              </w:rPr>
              <w:t>2.4,</w:t>
            </w:r>
            <w:r w:rsidR="0050425A">
              <w:rPr>
                <w:rFonts w:asciiTheme="minorHAnsi" w:hAnsiTheme="minorHAnsi"/>
                <w:sz w:val="18"/>
              </w:rPr>
              <w:t xml:space="preserve"> </w:t>
            </w:r>
            <w:r>
              <w:rPr>
                <w:rFonts w:asciiTheme="minorHAnsi" w:hAnsiTheme="minorHAnsi"/>
                <w:color w:val="000000" w:themeColor="text1"/>
                <w:sz w:val="18"/>
              </w:rPr>
              <w:t>difundirá información y participará en programas educativos de concienciación sobre los COPs/ PAPs y residuos plásticos. (BPA, opciones de financiación, alternativas a los PAPs, gestión y eliminación de residuos conexos, incluido el plástico)</w:t>
            </w:r>
          </w:p>
        </w:tc>
      </w:tr>
      <w:tr w:rsidR="00645359" w:rsidRPr="001B17BF" w14:paraId="55E76964" w14:textId="77777777" w:rsidTr="00587619">
        <w:trPr>
          <w:cantSplit/>
          <w:tblHeader/>
        </w:trPr>
        <w:tc>
          <w:tcPr>
            <w:tcW w:w="1267" w:type="dxa"/>
            <w:vMerge/>
            <w:shd w:val="clear" w:color="auto" w:fill="auto"/>
            <w:vAlign w:val="center"/>
          </w:tcPr>
          <w:p w14:paraId="533A0017" w14:textId="77777777" w:rsidR="00645359" w:rsidRPr="002152FE" w:rsidRDefault="00645359" w:rsidP="00645359">
            <w:pPr>
              <w:spacing w:before="60"/>
              <w:ind w:right="-5"/>
              <w:jc w:val="center"/>
              <w:rPr>
                <w:rFonts w:asciiTheme="minorHAnsi" w:hAnsiTheme="minorHAnsi" w:cstheme="minorHAnsi"/>
                <w:bCs/>
                <w:sz w:val="18"/>
                <w:szCs w:val="18"/>
                <w:lang w:val="es-EC"/>
              </w:rPr>
            </w:pPr>
          </w:p>
        </w:tc>
        <w:tc>
          <w:tcPr>
            <w:tcW w:w="1362" w:type="dxa"/>
            <w:shd w:val="clear" w:color="auto" w:fill="auto"/>
            <w:vAlign w:val="center"/>
          </w:tcPr>
          <w:p w14:paraId="73224B38" w14:textId="77777777" w:rsidR="00645359" w:rsidRPr="00587619" w:rsidRDefault="00645359" w:rsidP="00645359">
            <w:pPr>
              <w:spacing w:before="60"/>
              <w:ind w:right="-5"/>
              <w:jc w:val="center"/>
              <w:rPr>
                <w:rFonts w:asciiTheme="minorHAnsi" w:hAnsiTheme="minorHAnsi" w:cstheme="minorHAnsi"/>
                <w:bCs/>
                <w:sz w:val="18"/>
                <w:szCs w:val="18"/>
              </w:rPr>
            </w:pPr>
            <w:r>
              <w:rPr>
                <w:rFonts w:asciiTheme="minorHAnsi" w:hAnsiTheme="minorHAnsi"/>
                <w:sz w:val="18"/>
              </w:rPr>
              <w:t>Instituciones públicas de investigación y análisis</w:t>
            </w:r>
          </w:p>
        </w:tc>
        <w:tc>
          <w:tcPr>
            <w:tcW w:w="2104" w:type="dxa"/>
          </w:tcPr>
          <w:p w14:paraId="762821B6" w14:textId="1DBA8075" w:rsidR="00645359" w:rsidRPr="00587619" w:rsidRDefault="00645359" w:rsidP="00645359">
            <w:pPr>
              <w:rPr>
                <w:rFonts w:asciiTheme="minorHAnsi" w:hAnsiTheme="minorHAnsi" w:cstheme="minorHAnsi"/>
                <w:sz w:val="18"/>
                <w:szCs w:val="18"/>
              </w:rPr>
            </w:pPr>
            <w:r>
              <w:rPr>
                <w:rFonts w:asciiTheme="minorHAnsi" w:hAnsiTheme="minorHAnsi"/>
                <w:sz w:val="18"/>
              </w:rPr>
              <w:t>Instituto Nacional de Investigaciones Agropecuarias (INIAP)</w:t>
            </w:r>
          </w:p>
        </w:tc>
        <w:tc>
          <w:tcPr>
            <w:tcW w:w="4480" w:type="dxa"/>
            <w:shd w:val="clear" w:color="auto" w:fill="auto"/>
          </w:tcPr>
          <w:p w14:paraId="318AB1D0" w14:textId="6137524E" w:rsidR="00645359" w:rsidRPr="00587619" w:rsidRDefault="005E715E" w:rsidP="00573DAB">
            <w:pPr>
              <w:pStyle w:val="GEFFieldtoFillout"/>
              <w:tabs>
                <w:tab w:val="left" w:pos="3950"/>
              </w:tabs>
              <w:spacing w:before="60"/>
              <w:ind w:left="0"/>
              <w:jc w:val="both"/>
              <w:rPr>
                <w:rFonts w:asciiTheme="minorHAnsi" w:hAnsiTheme="minorHAnsi" w:cstheme="minorHAnsi"/>
                <w:bCs/>
                <w:sz w:val="18"/>
                <w:szCs w:val="18"/>
              </w:rPr>
            </w:pPr>
            <w:r>
              <w:rPr>
                <w:rFonts w:asciiTheme="minorHAnsi" w:hAnsiTheme="minorHAnsi"/>
                <w:sz w:val="18"/>
              </w:rPr>
              <w:t>Es un instituto público de investigación adscrito al MAG, cuyos fines primordiales son promover la investigación científica, generación, innovación, validación y difusión de tecnologías en el sector productivo agropecuario y forestal. El INIAP ejecuta sus procesos de investigación, desarrollo e innovación tecnológica a nivel territorial en 7 Estaciones Experimentales, distribuidas en zonas agroecológicas a nivel nacional. También cuenta con 6 Granjas Experimentales, 13 Unidades de Desarrollo Tecnológico (UDT) y un invernadero de producción automatizada de semillas.</w:t>
            </w:r>
          </w:p>
          <w:p w14:paraId="4E0010E2" w14:textId="1C688CB0" w:rsidR="002B19E7" w:rsidRPr="00587619" w:rsidRDefault="002B19E7" w:rsidP="00573DAB">
            <w:pPr>
              <w:pStyle w:val="GEFFieldtoFillout"/>
              <w:tabs>
                <w:tab w:val="left" w:pos="3950"/>
              </w:tabs>
              <w:spacing w:before="60"/>
              <w:ind w:left="0"/>
              <w:jc w:val="both"/>
              <w:rPr>
                <w:rFonts w:asciiTheme="minorHAnsi" w:hAnsiTheme="minorHAnsi" w:cstheme="minorHAnsi"/>
                <w:bCs/>
                <w:sz w:val="18"/>
                <w:szCs w:val="18"/>
              </w:rPr>
            </w:pPr>
            <w:r>
              <w:rPr>
                <w:rFonts w:asciiTheme="minorHAnsi" w:hAnsiTheme="minorHAnsi"/>
                <w:sz w:val="18"/>
              </w:rPr>
              <w:t>El INIAP:</w:t>
            </w:r>
          </w:p>
          <w:p w14:paraId="3383E426" w14:textId="4D262601" w:rsidR="002B19E7" w:rsidRPr="00587619" w:rsidRDefault="002B19E7">
            <w:pPr>
              <w:pStyle w:val="GEFFieldtoFillout"/>
              <w:numPr>
                <w:ilvl w:val="0"/>
                <w:numId w:val="31"/>
              </w:numPr>
              <w:spacing w:before="60"/>
              <w:ind w:left="372" w:hanging="295"/>
              <w:jc w:val="both"/>
              <w:rPr>
                <w:rFonts w:asciiTheme="minorHAnsi" w:hAnsiTheme="minorHAnsi" w:cstheme="minorHAnsi"/>
                <w:color w:val="000000" w:themeColor="text1"/>
                <w:sz w:val="18"/>
                <w:szCs w:val="18"/>
              </w:rPr>
            </w:pPr>
            <w:r>
              <w:rPr>
                <w:rFonts w:asciiTheme="minorHAnsi" w:hAnsiTheme="minorHAnsi"/>
                <w:color w:val="000000" w:themeColor="text1"/>
                <w:sz w:val="18"/>
              </w:rPr>
              <w:t>Participará en el desarrollo del Plan Nacional de Reducción en el marco del Resultado 1.3 y en la investigación y acción participativas en agroecología en el marco del Resultado 3.1</w:t>
            </w:r>
          </w:p>
          <w:p w14:paraId="65D44FFB" w14:textId="3E8DCF6A" w:rsidR="002B19E7" w:rsidRPr="00587619" w:rsidRDefault="002B19E7">
            <w:pPr>
              <w:pStyle w:val="GEFFieldtoFillout"/>
              <w:numPr>
                <w:ilvl w:val="0"/>
                <w:numId w:val="31"/>
              </w:numPr>
              <w:spacing w:before="60"/>
              <w:ind w:left="372" w:hanging="295"/>
              <w:jc w:val="both"/>
              <w:rPr>
                <w:rFonts w:asciiTheme="minorHAnsi" w:hAnsiTheme="minorHAnsi" w:cstheme="minorHAnsi"/>
                <w:color w:val="000000" w:themeColor="text1"/>
                <w:sz w:val="18"/>
                <w:szCs w:val="18"/>
              </w:rPr>
            </w:pPr>
            <w:r>
              <w:rPr>
                <w:rFonts w:asciiTheme="minorHAnsi" w:hAnsiTheme="minorHAnsi"/>
                <w:color w:val="000000" w:themeColor="text1"/>
                <w:sz w:val="18"/>
              </w:rPr>
              <w:t>Difundirá información y participará en programas educativos de concienciación sobre los COPs/ PAPs y residuos plásticos</w:t>
            </w:r>
          </w:p>
          <w:p w14:paraId="2C0EFC07" w14:textId="615ADF76" w:rsidR="002B19E7" w:rsidRPr="00587619" w:rsidRDefault="002B19E7">
            <w:pPr>
              <w:pStyle w:val="GEFFieldtoFillout"/>
              <w:numPr>
                <w:ilvl w:val="0"/>
                <w:numId w:val="31"/>
              </w:numPr>
              <w:spacing w:before="60"/>
              <w:ind w:left="372" w:hanging="295"/>
              <w:jc w:val="both"/>
              <w:rPr>
                <w:rFonts w:asciiTheme="minorHAnsi" w:hAnsiTheme="minorHAnsi" w:cstheme="minorHAnsi"/>
                <w:color w:val="auto"/>
                <w:sz w:val="18"/>
                <w:szCs w:val="18"/>
              </w:rPr>
            </w:pPr>
            <w:r>
              <w:rPr>
                <w:rFonts w:asciiTheme="minorHAnsi" w:hAnsiTheme="minorHAnsi"/>
                <w:color w:val="000000" w:themeColor="text1"/>
                <w:sz w:val="18"/>
              </w:rPr>
              <w:t xml:space="preserve">Compartirá investigaciones y </w:t>
            </w:r>
            <w:r>
              <w:rPr>
                <w:rFonts w:asciiTheme="minorHAnsi" w:hAnsiTheme="minorHAnsi"/>
                <w:color w:val="auto"/>
                <w:sz w:val="18"/>
              </w:rPr>
              <w:t>avances tecnológicos</w:t>
            </w:r>
          </w:p>
        </w:tc>
      </w:tr>
      <w:tr w:rsidR="00645359" w:rsidRPr="001B17BF" w14:paraId="05E57E6B" w14:textId="77777777" w:rsidTr="00587619">
        <w:trPr>
          <w:cantSplit/>
          <w:tblHeader/>
        </w:trPr>
        <w:tc>
          <w:tcPr>
            <w:tcW w:w="1267" w:type="dxa"/>
            <w:vMerge/>
            <w:shd w:val="clear" w:color="auto" w:fill="auto"/>
            <w:vAlign w:val="center"/>
          </w:tcPr>
          <w:p w14:paraId="29C2FACB" w14:textId="77777777" w:rsidR="00645359" w:rsidRPr="002152FE" w:rsidRDefault="00645359" w:rsidP="00645359">
            <w:pPr>
              <w:spacing w:before="60"/>
              <w:ind w:right="-5"/>
              <w:jc w:val="center"/>
              <w:rPr>
                <w:rFonts w:asciiTheme="minorHAnsi" w:hAnsiTheme="minorHAnsi" w:cstheme="minorHAnsi"/>
                <w:bCs/>
                <w:sz w:val="18"/>
                <w:szCs w:val="18"/>
                <w:lang w:val="es-EC"/>
              </w:rPr>
            </w:pPr>
          </w:p>
        </w:tc>
        <w:tc>
          <w:tcPr>
            <w:tcW w:w="1362" w:type="dxa"/>
            <w:vMerge w:val="restart"/>
            <w:shd w:val="clear" w:color="auto" w:fill="auto"/>
            <w:vAlign w:val="center"/>
          </w:tcPr>
          <w:p w14:paraId="381C12F1" w14:textId="763B966B" w:rsidR="00645359" w:rsidRPr="00587619" w:rsidRDefault="00645359" w:rsidP="00645359">
            <w:pPr>
              <w:spacing w:before="60"/>
              <w:ind w:right="-5"/>
              <w:jc w:val="center"/>
              <w:rPr>
                <w:rFonts w:asciiTheme="minorHAnsi" w:hAnsiTheme="minorHAnsi" w:cstheme="minorHAnsi"/>
                <w:bCs/>
                <w:sz w:val="18"/>
                <w:szCs w:val="18"/>
              </w:rPr>
            </w:pPr>
            <w:r>
              <w:rPr>
                <w:rFonts w:asciiTheme="minorHAnsi" w:hAnsiTheme="minorHAnsi"/>
                <w:sz w:val="18"/>
              </w:rPr>
              <w:t xml:space="preserve">Gobiernos </w:t>
            </w:r>
            <w:r w:rsidR="0050425A">
              <w:rPr>
                <w:rFonts w:asciiTheme="minorHAnsi" w:hAnsiTheme="minorHAnsi"/>
                <w:sz w:val="18"/>
              </w:rPr>
              <w:t>l</w:t>
            </w:r>
            <w:r>
              <w:rPr>
                <w:rFonts w:asciiTheme="minorHAnsi" w:hAnsiTheme="minorHAnsi"/>
                <w:sz w:val="18"/>
              </w:rPr>
              <w:t>ocales</w:t>
            </w:r>
          </w:p>
        </w:tc>
        <w:tc>
          <w:tcPr>
            <w:tcW w:w="2104" w:type="dxa"/>
          </w:tcPr>
          <w:p w14:paraId="280F6F2F" w14:textId="3D37C972" w:rsidR="00645359" w:rsidRPr="00587619" w:rsidRDefault="00645359" w:rsidP="00645359">
            <w:pPr>
              <w:spacing w:before="60"/>
              <w:ind w:right="-5"/>
              <w:rPr>
                <w:rFonts w:asciiTheme="minorHAnsi" w:hAnsiTheme="minorHAnsi" w:cstheme="minorHAnsi"/>
                <w:bCs/>
                <w:sz w:val="18"/>
                <w:szCs w:val="18"/>
              </w:rPr>
            </w:pPr>
            <w:r>
              <w:rPr>
                <w:rFonts w:asciiTheme="minorHAnsi" w:hAnsiTheme="minorHAnsi"/>
                <w:sz w:val="18"/>
              </w:rPr>
              <w:t>Consorcio de Gobiernos Autónomos Provinciales de Ecuador (CONGOPE)</w:t>
            </w:r>
          </w:p>
        </w:tc>
        <w:tc>
          <w:tcPr>
            <w:tcW w:w="4480" w:type="dxa"/>
            <w:shd w:val="clear" w:color="auto" w:fill="auto"/>
          </w:tcPr>
          <w:p w14:paraId="28CEE2C1" w14:textId="4618482B" w:rsidR="009A0135" w:rsidRPr="00587619" w:rsidRDefault="007203FF" w:rsidP="007203FF">
            <w:pPr>
              <w:spacing w:before="60"/>
              <w:ind w:right="-5"/>
              <w:jc w:val="both"/>
              <w:rPr>
                <w:rFonts w:asciiTheme="minorHAnsi" w:hAnsiTheme="minorHAnsi" w:cstheme="minorHAnsi"/>
                <w:bCs/>
                <w:sz w:val="18"/>
                <w:szCs w:val="18"/>
              </w:rPr>
            </w:pPr>
            <w:r>
              <w:rPr>
                <w:rFonts w:asciiTheme="minorHAnsi" w:hAnsiTheme="minorHAnsi"/>
                <w:sz w:val="18"/>
              </w:rPr>
              <w:t>Es una institución que apoya la transformación y mejora continua de las capacidades de los Gobiernos Provinciales del Ecuador para fortalecer los procesos de desarrollo de las provincias y ejercer su autonomía a través del diseño de programas especializados de gestión y desarrollo territorial integral, gobernabilidad, gobierno por resultados, gestión de competencias y generación de información.</w:t>
            </w:r>
          </w:p>
          <w:p w14:paraId="0B9C5F03" w14:textId="52128162" w:rsidR="00645359" w:rsidRPr="00587619" w:rsidRDefault="007203FF" w:rsidP="009407E2">
            <w:pPr>
              <w:spacing w:before="60"/>
              <w:ind w:right="-5"/>
              <w:jc w:val="both"/>
              <w:rPr>
                <w:rFonts w:asciiTheme="minorHAnsi" w:hAnsiTheme="minorHAnsi" w:cstheme="minorHAnsi"/>
                <w:bCs/>
                <w:sz w:val="18"/>
                <w:szCs w:val="18"/>
              </w:rPr>
            </w:pPr>
            <w:r>
              <w:rPr>
                <w:rFonts w:asciiTheme="minorHAnsi" w:hAnsiTheme="minorHAnsi"/>
                <w:sz w:val="18"/>
              </w:rPr>
              <w:t>Fortalece las capacidades de los equipos técnicos de los Gobiernos Autónomos Provinciales en la competencia de gestión ambiental provincial, a través de la implementación de herramientas generadoras de valor que promuevan una acción eficiente y participativa a nivel local.</w:t>
            </w:r>
          </w:p>
          <w:p w14:paraId="2AFA7248" w14:textId="718EDECC" w:rsidR="00F6307F" w:rsidRPr="00587619" w:rsidRDefault="000C58BF" w:rsidP="009407E2">
            <w:pPr>
              <w:spacing w:before="60"/>
              <w:ind w:right="-5"/>
              <w:jc w:val="both"/>
              <w:rPr>
                <w:rFonts w:asciiTheme="minorHAnsi" w:hAnsiTheme="minorHAnsi" w:cstheme="minorHAnsi"/>
                <w:bCs/>
                <w:sz w:val="18"/>
                <w:szCs w:val="18"/>
              </w:rPr>
            </w:pPr>
            <w:r>
              <w:rPr>
                <w:rFonts w:asciiTheme="minorHAnsi" w:hAnsiTheme="minorHAnsi"/>
                <w:sz w:val="18"/>
              </w:rPr>
              <w:t>Por su capacidad de articulación a nivel regional, el CONGOPE contribuirá a la coordinación y divulgación de las actividades a desarrollarse en las diferentes provincias del territorio. En particular:</w:t>
            </w:r>
          </w:p>
          <w:p w14:paraId="23639B11" w14:textId="7F1A056C" w:rsidR="00F6307F" w:rsidRPr="00587619" w:rsidRDefault="00F429AB">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sz w:val="18"/>
              </w:rPr>
              <w:t xml:space="preserve">Apoyará la ejecución de actividades en el marco de los </w:t>
            </w:r>
            <w:r w:rsidR="0050425A">
              <w:rPr>
                <w:rFonts w:asciiTheme="minorHAnsi" w:hAnsiTheme="minorHAnsi"/>
                <w:sz w:val="18"/>
              </w:rPr>
              <w:t>R</w:t>
            </w:r>
            <w:r>
              <w:rPr>
                <w:rFonts w:asciiTheme="minorHAnsi" w:hAnsiTheme="minorHAnsi"/>
                <w:sz w:val="18"/>
              </w:rPr>
              <w:t>esultados 1.2, 1.3, 2.5 y 3.1</w:t>
            </w:r>
          </w:p>
          <w:p w14:paraId="6F8CC16E" w14:textId="244F0B01" w:rsidR="00F6307F" w:rsidRPr="00587619" w:rsidRDefault="00F6307F">
            <w:pPr>
              <w:pStyle w:val="Prrafodelista"/>
              <w:numPr>
                <w:ilvl w:val="0"/>
                <w:numId w:val="21"/>
              </w:numPr>
              <w:spacing w:before="60"/>
              <w:ind w:left="360" w:right="-5"/>
              <w:jc w:val="both"/>
              <w:rPr>
                <w:rFonts w:asciiTheme="minorHAnsi" w:hAnsiTheme="minorHAnsi" w:cstheme="minorHAnsi"/>
                <w:bCs/>
                <w:sz w:val="18"/>
                <w:szCs w:val="18"/>
              </w:rPr>
            </w:pPr>
            <w:r>
              <w:rPr>
                <w:rFonts w:asciiTheme="minorHAnsi" w:hAnsiTheme="minorHAnsi"/>
                <w:color w:val="000000" w:themeColor="text1"/>
                <w:sz w:val="18"/>
              </w:rPr>
              <w:t>Difundirá información y participará en programas educativos de concienciación sobre los COPs/ PAPs y residuos plásticos (BPA, opciones de financiación, alternativas a los PAPs, gestión y eliminación de residuos conexos, incluido el plástico)</w:t>
            </w:r>
          </w:p>
        </w:tc>
      </w:tr>
      <w:tr w:rsidR="00645359" w:rsidRPr="001B17BF" w14:paraId="7E68A894" w14:textId="77777777" w:rsidTr="00587619">
        <w:trPr>
          <w:cantSplit/>
          <w:tblHeader/>
        </w:trPr>
        <w:tc>
          <w:tcPr>
            <w:tcW w:w="1267" w:type="dxa"/>
            <w:vMerge/>
            <w:shd w:val="clear" w:color="auto" w:fill="auto"/>
            <w:vAlign w:val="center"/>
          </w:tcPr>
          <w:p w14:paraId="1143A1C7" w14:textId="77777777" w:rsidR="00645359" w:rsidRPr="002152FE" w:rsidRDefault="00645359" w:rsidP="00645359">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6AA2113A" w14:textId="77777777" w:rsidR="00645359" w:rsidRPr="002152FE" w:rsidRDefault="00645359" w:rsidP="00645359">
            <w:pPr>
              <w:spacing w:before="60"/>
              <w:ind w:right="-5"/>
              <w:jc w:val="center"/>
              <w:rPr>
                <w:rFonts w:asciiTheme="minorHAnsi" w:hAnsiTheme="minorHAnsi" w:cstheme="minorHAnsi"/>
                <w:bCs/>
                <w:sz w:val="18"/>
                <w:szCs w:val="18"/>
                <w:lang w:val="es-EC"/>
              </w:rPr>
            </w:pPr>
          </w:p>
        </w:tc>
        <w:tc>
          <w:tcPr>
            <w:tcW w:w="2104" w:type="dxa"/>
          </w:tcPr>
          <w:p w14:paraId="667BD847" w14:textId="61635030" w:rsidR="00645359" w:rsidRPr="00587619" w:rsidRDefault="00645359" w:rsidP="00645359">
            <w:pPr>
              <w:spacing w:before="60"/>
              <w:ind w:right="-5"/>
              <w:rPr>
                <w:rFonts w:asciiTheme="minorHAnsi" w:hAnsiTheme="minorHAnsi" w:cstheme="minorHAnsi"/>
                <w:bCs/>
                <w:sz w:val="18"/>
                <w:szCs w:val="18"/>
              </w:rPr>
            </w:pPr>
            <w:r>
              <w:rPr>
                <w:rFonts w:asciiTheme="minorHAnsi" w:hAnsiTheme="minorHAnsi"/>
                <w:sz w:val="18"/>
              </w:rPr>
              <w:t>Asociación de Municipalidades Ecuatorianas (AME)</w:t>
            </w:r>
          </w:p>
        </w:tc>
        <w:tc>
          <w:tcPr>
            <w:tcW w:w="4480" w:type="dxa"/>
            <w:shd w:val="clear" w:color="auto" w:fill="auto"/>
          </w:tcPr>
          <w:p w14:paraId="38D2F43E" w14:textId="3167EA61" w:rsidR="00645359" w:rsidRPr="00587619" w:rsidRDefault="00A35753" w:rsidP="00A35753">
            <w:pPr>
              <w:spacing w:before="60"/>
              <w:ind w:right="-5"/>
              <w:jc w:val="both"/>
              <w:rPr>
                <w:rFonts w:asciiTheme="minorHAnsi" w:hAnsiTheme="minorHAnsi" w:cstheme="minorHAnsi"/>
                <w:bCs/>
                <w:sz w:val="18"/>
                <w:szCs w:val="18"/>
              </w:rPr>
            </w:pPr>
            <w:r>
              <w:rPr>
                <w:rFonts w:asciiTheme="minorHAnsi" w:hAnsiTheme="minorHAnsi"/>
                <w:sz w:val="18"/>
              </w:rPr>
              <w:t xml:space="preserve">La AME es una instancia asociativa de </w:t>
            </w:r>
            <w:r w:rsidR="003A0C39">
              <w:rPr>
                <w:rFonts w:asciiTheme="minorHAnsi" w:hAnsiTheme="minorHAnsi"/>
                <w:sz w:val="18"/>
              </w:rPr>
              <w:t>G</w:t>
            </w:r>
            <w:r>
              <w:rPr>
                <w:rFonts w:asciiTheme="minorHAnsi" w:hAnsiTheme="minorHAnsi"/>
                <w:sz w:val="18"/>
              </w:rPr>
              <w:t xml:space="preserve">obiernos </w:t>
            </w:r>
            <w:r w:rsidR="003A0C39">
              <w:rPr>
                <w:rFonts w:asciiTheme="minorHAnsi" w:hAnsiTheme="minorHAnsi"/>
                <w:sz w:val="18"/>
              </w:rPr>
              <w:t>A</w:t>
            </w:r>
            <w:r>
              <w:rPr>
                <w:rFonts w:asciiTheme="minorHAnsi" w:hAnsiTheme="minorHAnsi"/>
                <w:sz w:val="18"/>
              </w:rPr>
              <w:t xml:space="preserve">utónomos </w:t>
            </w:r>
            <w:r w:rsidR="003A0C39">
              <w:rPr>
                <w:rFonts w:asciiTheme="minorHAnsi" w:hAnsiTheme="minorHAnsi"/>
                <w:sz w:val="18"/>
              </w:rPr>
              <w:t>D</w:t>
            </w:r>
            <w:r>
              <w:rPr>
                <w:rFonts w:asciiTheme="minorHAnsi" w:hAnsiTheme="minorHAnsi"/>
                <w:sz w:val="18"/>
              </w:rPr>
              <w:t>escentralizados (GADs) municipales y metropolitanos que promueve la construcción de un modelo de gestión local descentralizado y autónomo, basado en la planificación articulada y la gestión participativa del territorio, mediante el ejercicio de la representación institucional, la asistencia técnica de calidad y la coordinación con otros niveles de gobierno y organismos estatales.</w:t>
            </w:r>
          </w:p>
          <w:p w14:paraId="3824FF73" w14:textId="57D0BA04" w:rsidR="00D32B03" w:rsidRPr="00587619" w:rsidRDefault="00D32B03" w:rsidP="00A35753">
            <w:pPr>
              <w:spacing w:before="60"/>
              <w:ind w:right="-5"/>
              <w:jc w:val="both"/>
              <w:rPr>
                <w:rFonts w:asciiTheme="minorHAnsi" w:hAnsiTheme="minorHAnsi" w:cstheme="minorHAnsi"/>
                <w:bCs/>
                <w:sz w:val="18"/>
                <w:szCs w:val="18"/>
              </w:rPr>
            </w:pPr>
            <w:r>
              <w:rPr>
                <w:rFonts w:asciiTheme="minorHAnsi" w:hAnsiTheme="minorHAnsi"/>
                <w:sz w:val="18"/>
              </w:rPr>
              <w:t>Por su capacidad de articulación a nivel local, la AME contribuirá a la coordinación y divulgación de las actividades a desarrollarse en los diferentes municipios del territorio.</w:t>
            </w:r>
          </w:p>
        </w:tc>
      </w:tr>
      <w:tr w:rsidR="00D67C1E" w:rsidRPr="001B17BF" w14:paraId="435FAC05" w14:textId="77777777" w:rsidTr="00587619">
        <w:trPr>
          <w:cantSplit/>
          <w:tblHeader/>
        </w:trPr>
        <w:tc>
          <w:tcPr>
            <w:tcW w:w="1267" w:type="dxa"/>
            <w:vMerge w:val="restart"/>
            <w:shd w:val="clear" w:color="auto" w:fill="auto"/>
            <w:vAlign w:val="center"/>
          </w:tcPr>
          <w:p w14:paraId="502F8040" w14:textId="5AC435AF" w:rsidR="00D67C1E" w:rsidRPr="00587619" w:rsidRDefault="00D67C1E" w:rsidP="00645359">
            <w:pPr>
              <w:spacing w:before="60"/>
              <w:ind w:right="-5"/>
              <w:jc w:val="center"/>
              <w:rPr>
                <w:rFonts w:asciiTheme="minorHAnsi" w:hAnsiTheme="minorHAnsi" w:cstheme="minorHAnsi"/>
                <w:bCs/>
                <w:sz w:val="18"/>
                <w:szCs w:val="18"/>
              </w:rPr>
            </w:pPr>
            <w:r>
              <w:rPr>
                <w:rFonts w:asciiTheme="minorHAnsi" w:hAnsiTheme="minorHAnsi"/>
                <w:sz w:val="18"/>
              </w:rPr>
              <w:t>Organizaciones internacionales</w:t>
            </w:r>
          </w:p>
        </w:tc>
        <w:tc>
          <w:tcPr>
            <w:tcW w:w="1362" w:type="dxa"/>
            <w:vMerge w:val="restart"/>
            <w:shd w:val="clear" w:color="auto" w:fill="auto"/>
            <w:vAlign w:val="center"/>
          </w:tcPr>
          <w:p w14:paraId="4957E5A0" w14:textId="2D953710" w:rsidR="00D67C1E" w:rsidRPr="00587619" w:rsidRDefault="00D67C1E" w:rsidP="00645359">
            <w:pPr>
              <w:spacing w:before="60"/>
              <w:ind w:right="-5"/>
              <w:jc w:val="center"/>
              <w:rPr>
                <w:rFonts w:asciiTheme="minorHAnsi" w:hAnsiTheme="minorHAnsi" w:cstheme="minorHAnsi"/>
                <w:bCs/>
                <w:sz w:val="18"/>
                <w:szCs w:val="18"/>
              </w:rPr>
            </w:pPr>
            <w:r>
              <w:rPr>
                <w:rFonts w:asciiTheme="minorHAnsi" w:hAnsiTheme="minorHAnsi"/>
                <w:sz w:val="18"/>
              </w:rPr>
              <w:t>Agencias de cooperación</w:t>
            </w:r>
          </w:p>
        </w:tc>
        <w:tc>
          <w:tcPr>
            <w:tcW w:w="2104" w:type="dxa"/>
          </w:tcPr>
          <w:p w14:paraId="4C1104D0" w14:textId="77777777" w:rsidR="00D67C1E" w:rsidRPr="00587619" w:rsidRDefault="00D67C1E" w:rsidP="00645359">
            <w:pPr>
              <w:spacing w:before="60"/>
              <w:ind w:right="-5"/>
              <w:rPr>
                <w:rFonts w:asciiTheme="minorHAnsi" w:hAnsiTheme="minorHAnsi" w:cstheme="minorHAnsi"/>
                <w:bCs/>
                <w:sz w:val="18"/>
                <w:szCs w:val="18"/>
              </w:rPr>
            </w:pPr>
            <w:r>
              <w:rPr>
                <w:rFonts w:asciiTheme="minorHAnsi" w:hAnsiTheme="minorHAnsi"/>
                <w:sz w:val="18"/>
              </w:rPr>
              <w:t>Programa de las Naciones Unidas para el Desarrollo (PNUD)</w:t>
            </w:r>
          </w:p>
        </w:tc>
        <w:tc>
          <w:tcPr>
            <w:tcW w:w="4480" w:type="dxa"/>
            <w:shd w:val="clear" w:color="auto" w:fill="auto"/>
          </w:tcPr>
          <w:p w14:paraId="43F289A9" w14:textId="7641299D" w:rsidR="00D67C1E" w:rsidRPr="00587619" w:rsidRDefault="00D67C1E" w:rsidP="00A35753">
            <w:pPr>
              <w:pStyle w:val="GEFFieldtoFillout"/>
              <w:tabs>
                <w:tab w:val="left" w:pos="3950"/>
              </w:tabs>
              <w:spacing w:before="60"/>
              <w:ind w:left="0"/>
              <w:jc w:val="both"/>
              <w:rPr>
                <w:rFonts w:asciiTheme="minorHAnsi" w:hAnsiTheme="minorHAnsi" w:cstheme="minorHAnsi"/>
                <w:sz w:val="18"/>
                <w:szCs w:val="18"/>
              </w:rPr>
            </w:pPr>
            <w:r>
              <w:rPr>
                <w:rFonts w:asciiTheme="minorHAnsi" w:hAnsiTheme="minorHAnsi"/>
                <w:sz w:val="18"/>
              </w:rPr>
              <w:t>El PNUD es responsable ante el FMAM de la ejecución de este proyecto. Esto incluye la supervisión de la ejecución del proyecto para garantizar que se lleve a cabo de acuerdo con las normas y disposiciones acordadas. El PNUD es responsable de la prestación de servicios de gestión del ciclo de proyectos del FMAM y de la función de garantía de proyectos de</w:t>
            </w:r>
            <w:r w:rsidR="00C67C5B">
              <w:rPr>
                <w:rFonts w:asciiTheme="minorHAnsi" w:hAnsiTheme="minorHAnsi"/>
                <w:sz w:val="18"/>
              </w:rPr>
              <w:t xml:space="preserve">l </w:t>
            </w:r>
            <w:r>
              <w:rPr>
                <w:rFonts w:asciiTheme="minorHAnsi" w:hAnsiTheme="minorHAnsi"/>
                <w:sz w:val="18"/>
              </w:rPr>
              <w:t xml:space="preserve">Comité </w:t>
            </w:r>
            <w:r w:rsidR="00C67C5B">
              <w:rPr>
                <w:rFonts w:asciiTheme="minorHAnsi" w:hAnsiTheme="minorHAnsi"/>
                <w:sz w:val="18"/>
              </w:rPr>
              <w:t xml:space="preserve">Directivo </w:t>
            </w:r>
            <w:r>
              <w:rPr>
                <w:rFonts w:asciiTheme="minorHAnsi" w:hAnsiTheme="minorHAnsi"/>
                <w:sz w:val="18"/>
              </w:rPr>
              <w:t>del Proyecto.</w:t>
            </w:r>
          </w:p>
          <w:p w14:paraId="4A97FA07" w14:textId="00CDC68E" w:rsidR="00D67C1E" w:rsidRPr="00587619" w:rsidRDefault="00D67C1E" w:rsidP="00A35753">
            <w:pPr>
              <w:spacing w:before="60"/>
              <w:ind w:right="-5"/>
              <w:jc w:val="both"/>
              <w:rPr>
                <w:rFonts w:asciiTheme="minorHAnsi" w:hAnsiTheme="minorHAnsi" w:cstheme="minorHAnsi"/>
                <w:bCs/>
                <w:sz w:val="18"/>
                <w:szCs w:val="18"/>
              </w:rPr>
            </w:pPr>
            <w:r>
              <w:rPr>
                <w:rFonts w:asciiTheme="minorHAnsi" w:hAnsiTheme="minorHAnsi"/>
                <w:sz w:val="18"/>
              </w:rPr>
              <w:t>El PNUD y su oficina en Ecuador tienen una amplia experiencia de trabajo con el sector privado, las instituciones gubernamentales y la sociedad civil.</w:t>
            </w:r>
          </w:p>
        </w:tc>
      </w:tr>
      <w:tr w:rsidR="00D67C1E" w:rsidRPr="001B17BF" w14:paraId="3EFD1972" w14:textId="77777777" w:rsidTr="00587619">
        <w:trPr>
          <w:cantSplit/>
          <w:tblHeader/>
        </w:trPr>
        <w:tc>
          <w:tcPr>
            <w:tcW w:w="1267" w:type="dxa"/>
            <w:vMerge/>
            <w:shd w:val="clear" w:color="auto" w:fill="auto"/>
            <w:vAlign w:val="center"/>
          </w:tcPr>
          <w:p w14:paraId="0330F909" w14:textId="77777777" w:rsidR="00D67C1E" w:rsidRPr="002152FE" w:rsidRDefault="00D67C1E" w:rsidP="00645359">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08CE704A" w14:textId="28198795" w:rsidR="00D67C1E" w:rsidRPr="002152FE" w:rsidRDefault="00D67C1E" w:rsidP="00645359">
            <w:pPr>
              <w:spacing w:before="60"/>
              <w:ind w:right="-5"/>
              <w:jc w:val="center"/>
              <w:rPr>
                <w:rFonts w:asciiTheme="minorHAnsi" w:hAnsiTheme="minorHAnsi" w:cstheme="minorHAnsi"/>
                <w:bCs/>
                <w:sz w:val="18"/>
                <w:szCs w:val="18"/>
                <w:lang w:val="es-EC"/>
              </w:rPr>
            </w:pPr>
          </w:p>
        </w:tc>
        <w:tc>
          <w:tcPr>
            <w:tcW w:w="2104" w:type="dxa"/>
          </w:tcPr>
          <w:p w14:paraId="72B68C31" w14:textId="7001AB2B" w:rsidR="00D67C1E" w:rsidRPr="00587619" w:rsidRDefault="00D67C1E" w:rsidP="00645359">
            <w:pPr>
              <w:spacing w:before="60"/>
              <w:ind w:right="-5"/>
              <w:rPr>
                <w:rFonts w:asciiTheme="minorHAnsi" w:hAnsiTheme="minorHAnsi" w:cstheme="minorHAnsi"/>
                <w:bCs/>
                <w:sz w:val="18"/>
                <w:szCs w:val="18"/>
              </w:rPr>
            </w:pPr>
            <w:r>
              <w:rPr>
                <w:rFonts w:asciiTheme="minorHAnsi" w:hAnsiTheme="minorHAnsi"/>
                <w:sz w:val="18"/>
              </w:rPr>
              <w:t>Programa de las Naciones Unidas para el Medio Ambiente (PNUMA)</w:t>
            </w:r>
          </w:p>
        </w:tc>
        <w:tc>
          <w:tcPr>
            <w:tcW w:w="4480" w:type="dxa"/>
            <w:shd w:val="clear" w:color="auto" w:fill="auto"/>
          </w:tcPr>
          <w:p w14:paraId="602D254E" w14:textId="65812F63" w:rsidR="00D67C1E" w:rsidRPr="00587619" w:rsidRDefault="00D67C1E" w:rsidP="003C74F1">
            <w:pPr>
              <w:pStyle w:val="GEFFieldtoFillout"/>
              <w:tabs>
                <w:tab w:val="left" w:pos="3950"/>
              </w:tabs>
              <w:spacing w:before="60"/>
              <w:ind w:left="0"/>
              <w:jc w:val="both"/>
              <w:rPr>
                <w:rFonts w:asciiTheme="minorHAnsi" w:hAnsiTheme="minorHAnsi" w:cstheme="minorHAnsi"/>
                <w:sz w:val="18"/>
                <w:szCs w:val="18"/>
              </w:rPr>
            </w:pPr>
            <w:r>
              <w:rPr>
                <w:rFonts w:asciiTheme="minorHAnsi" w:hAnsiTheme="minorHAnsi"/>
                <w:sz w:val="18"/>
              </w:rPr>
              <w:t xml:space="preserve">El PNUMA es el principal organismo de ejecución del Programa Global, así como de varios conceptos </w:t>
            </w:r>
            <w:r w:rsidR="001A2067">
              <w:rPr>
                <w:rFonts w:asciiTheme="minorHAnsi" w:hAnsiTheme="minorHAnsi"/>
                <w:sz w:val="18"/>
              </w:rPr>
              <w:t>Child</w:t>
            </w:r>
            <w:r>
              <w:rPr>
                <w:rFonts w:asciiTheme="minorHAnsi" w:hAnsiTheme="minorHAnsi"/>
                <w:sz w:val="18"/>
              </w:rPr>
              <w:t>, entre ellos un Proyecto Global de Coordinación, Gestión del Conocimiento e Instrumentos Financieros Comunes.</w:t>
            </w:r>
          </w:p>
        </w:tc>
      </w:tr>
      <w:tr w:rsidR="00D67C1E" w:rsidRPr="001B17BF" w14:paraId="305F3045" w14:textId="77777777" w:rsidTr="00587619">
        <w:trPr>
          <w:cantSplit/>
          <w:tblHeader/>
        </w:trPr>
        <w:tc>
          <w:tcPr>
            <w:tcW w:w="1267" w:type="dxa"/>
            <w:vMerge/>
            <w:shd w:val="clear" w:color="auto" w:fill="auto"/>
            <w:vAlign w:val="center"/>
          </w:tcPr>
          <w:p w14:paraId="161902F0" w14:textId="77777777" w:rsidR="00D67C1E" w:rsidRPr="002152FE" w:rsidRDefault="00D67C1E" w:rsidP="00645359">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58925DC5" w14:textId="77777777" w:rsidR="00D67C1E" w:rsidRPr="002152FE" w:rsidRDefault="00D67C1E" w:rsidP="00645359">
            <w:pPr>
              <w:spacing w:before="60"/>
              <w:ind w:right="-5"/>
              <w:jc w:val="center"/>
              <w:rPr>
                <w:rFonts w:asciiTheme="minorHAnsi" w:hAnsiTheme="minorHAnsi" w:cstheme="minorHAnsi"/>
                <w:bCs/>
                <w:sz w:val="18"/>
                <w:szCs w:val="18"/>
                <w:lang w:val="es-EC"/>
              </w:rPr>
            </w:pPr>
          </w:p>
        </w:tc>
        <w:tc>
          <w:tcPr>
            <w:tcW w:w="2104" w:type="dxa"/>
          </w:tcPr>
          <w:p w14:paraId="02242B55" w14:textId="5C4E210D" w:rsidR="00D67C1E" w:rsidRPr="00587619" w:rsidRDefault="00D67C1E" w:rsidP="00645359">
            <w:pPr>
              <w:spacing w:before="60"/>
              <w:ind w:right="-5"/>
              <w:rPr>
                <w:rFonts w:asciiTheme="minorHAnsi" w:hAnsiTheme="minorHAnsi" w:cstheme="minorHAnsi"/>
                <w:bCs/>
                <w:sz w:val="18"/>
                <w:szCs w:val="18"/>
              </w:rPr>
            </w:pPr>
            <w:r>
              <w:rPr>
                <w:rFonts w:asciiTheme="minorHAnsi" w:hAnsiTheme="minorHAnsi"/>
                <w:sz w:val="18"/>
              </w:rPr>
              <w:t>Organización de las Naciones Unidas para la Agricultura y la Alimentación (FAO)</w:t>
            </w:r>
          </w:p>
        </w:tc>
        <w:tc>
          <w:tcPr>
            <w:tcW w:w="4480" w:type="dxa"/>
            <w:shd w:val="clear" w:color="auto" w:fill="auto"/>
          </w:tcPr>
          <w:p w14:paraId="409F0A69" w14:textId="2022B2E3" w:rsidR="00D67C1E" w:rsidRPr="003C74F1" w:rsidRDefault="00D67C1E" w:rsidP="003C74F1">
            <w:pPr>
              <w:jc w:val="both"/>
              <w:rPr>
                <w:rFonts w:asciiTheme="minorHAnsi" w:hAnsiTheme="minorHAnsi" w:cstheme="minorHAnsi"/>
                <w:color w:val="000000"/>
                <w:sz w:val="18"/>
                <w:szCs w:val="18"/>
              </w:rPr>
            </w:pPr>
            <w:r>
              <w:rPr>
                <w:rFonts w:asciiTheme="minorHAnsi" w:hAnsiTheme="minorHAnsi"/>
                <w:color w:val="000000"/>
                <w:sz w:val="18"/>
              </w:rPr>
              <w:t>Agencia de las Naciones Unidas que lidera los esfuerzos internacionales para vencer el hambre. La FAO apoya a los gobiernos y socios en el diseño de políticas y programas adecuados para acabar con el hambre, promover la seguridad alimentaria y garantizar que las personas tengan acceso regular a suficientes alimentos de alta calidad para llevar una vida activa y saludable.</w:t>
            </w:r>
          </w:p>
        </w:tc>
      </w:tr>
      <w:tr w:rsidR="00D67C1E" w:rsidRPr="001B17BF" w14:paraId="19F1D0C0" w14:textId="77777777" w:rsidTr="00587619">
        <w:trPr>
          <w:cantSplit/>
          <w:tblHeader/>
        </w:trPr>
        <w:tc>
          <w:tcPr>
            <w:tcW w:w="1267" w:type="dxa"/>
            <w:vMerge/>
            <w:shd w:val="clear" w:color="auto" w:fill="auto"/>
            <w:vAlign w:val="center"/>
          </w:tcPr>
          <w:p w14:paraId="16CE33BB" w14:textId="77777777" w:rsidR="00D67C1E" w:rsidRPr="002152FE" w:rsidRDefault="00D67C1E" w:rsidP="00645359">
            <w:pPr>
              <w:spacing w:before="60"/>
              <w:ind w:right="-5"/>
              <w:jc w:val="center"/>
              <w:rPr>
                <w:rFonts w:asciiTheme="minorHAnsi" w:hAnsiTheme="minorHAnsi" w:cstheme="minorHAnsi"/>
                <w:bCs/>
                <w:sz w:val="18"/>
                <w:szCs w:val="18"/>
                <w:lang w:val="es-EC"/>
              </w:rPr>
            </w:pPr>
          </w:p>
        </w:tc>
        <w:tc>
          <w:tcPr>
            <w:tcW w:w="1362" w:type="dxa"/>
            <w:vMerge w:val="restart"/>
            <w:shd w:val="clear" w:color="auto" w:fill="auto"/>
            <w:vAlign w:val="center"/>
          </w:tcPr>
          <w:p w14:paraId="7FA3449A" w14:textId="7A97593C" w:rsidR="00D67C1E" w:rsidRPr="00587619" w:rsidRDefault="00D67C1E" w:rsidP="00D67C1E">
            <w:pPr>
              <w:spacing w:before="60"/>
              <w:ind w:right="-5"/>
              <w:jc w:val="center"/>
              <w:rPr>
                <w:rFonts w:asciiTheme="minorHAnsi" w:hAnsiTheme="minorHAnsi" w:cstheme="minorHAnsi"/>
                <w:bCs/>
                <w:sz w:val="18"/>
                <w:szCs w:val="18"/>
              </w:rPr>
            </w:pPr>
            <w:r>
              <w:rPr>
                <w:rFonts w:asciiTheme="minorHAnsi" w:hAnsiTheme="minorHAnsi"/>
                <w:sz w:val="18"/>
              </w:rPr>
              <w:t xml:space="preserve">Organización para el </w:t>
            </w:r>
            <w:r w:rsidR="00424D78">
              <w:rPr>
                <w:rFonts w:asciiTheme="minorHAnsi" w:hAnsiTheme="minorHAnsi"/>
                <w:sz w:val="18"/>
              </w:rPr>
              <w:t>d</w:t>
            </w:r>
            <w:r>
              <w:rPr>
                <w:rFonts w:asciiTheme="minorHAnsi" w:hAnsiTheme="minorHAnsi"/>
                <w:sz w:val="18"/>
              </w:rPr>
              <w:t>esarrollo</w:t>
            </w:r>
          </w:p>
        </w:tc>
        <w:tc>
          <w:tcPr>
            <w:tcW w:w="2104" w:type="dxa"/>
          </w:tcPr>
          <w:p w14:paraId="0588D7BB" w14:textId="77777777" w:rsidR="00D67C1E" w:rsidRPr="00587619" w:rsidRDefault="00D67C1E" w:rsidP="008C2FA1">
            <w:pPr>
              <w:spacing w:before="60"/>
              <w:ind w:right="-5"/>
              <w:rPr>
                <w:rFonts w:asciiTheme="minorHAnsi" w:hAnsiTheme="minorHAnsi" w:cstheme="minorHAnsi"/>
                <w:bCs/>
                <w:sz w:val="18"/>
                <w:szCs w:val="18"/>
              </w:rPr>
            </w:pPr>
            <w:r>
              <w:rPr>
                <w:rFonts w:asciiTheme="minorHAnsi" w:hAnsiTheme="minorHAnsi"/>
                <w:sz w:val="18"/>
              </w:rPr>
              <w:t>Heifer Internacional-</w:t>
            </w:r>
          </w:p>
          <w:p w14:paraId="358BC693" w14:textId="430CBC6A" w:rsidR="00D67C1E" w:rsidRPr="00587619" w:rsidRDefault="00D67C1E" w:rsidP="008C2FA1">
            <w:pPr>
              <w:spacing w:before="60"/>
              <w:ind w:right="-5"/>
              <w:rPr>
                <w:rFonts w:asciiTheme="minorHAnsi" w:hAnsiTheme="minorHAnsi" w:cstheme="minorHAnsi"/>
                <w:bCs/>
                <w:sz w:val="18"/>
                <w:szCs w:val="18"/>
              </w:rPr>
            </w:pPr>
            <w:r>
              <w:rPr>
                <w:rFonts w:asciiTheme="minorHAnsi" w:hAnsiTheme="minorHAnsi"/>
                <w:sz w:val="18"/>
              </w:rPr>
              <w:t>Heifer Ecuador</w:t>
            </w:r>
          </w:p>
        </w:tc>
        <w:tc>
          <w:tcPr>
            <w:tcW w:w="4480" w:type="dxa"/>
            <w:shd w:val="clear" w:color="auto" w:fill="auto"/>
          </w:tcPr>
          <w:p w14:paraId="4E4DCE57" w14:textId="1AC952DB" w:rsidR="00D67C1E" w:rsidRPr="00587619" w:rsidRDefault="00D67C1E" w:rsidP="00A35753">
            <w:pPr>
              <w:pStyle w:val="GEFFieldtoFillout"/>
              <w:tabs>
                <w:tab w:val="left" w:pos="3950"/>
              </w:tabs>
              <w:spacing w:before="60"/>
              <w:ind w:left="0"/>
              <w:jc w:val="both"/>
              <w:rPr>
                <w:rFonts w:asciiTheme="minorHAnsi" w:hAnsiTheme="minorHAnsi" w:cstheme="minorHAnsi"/>
                <w:sz w:val="18"/>
                <w:szCs w:val="18"/>
              </w:rPr>
            </w:pPr>
            <w:r>
              <w:rPr>
                <w:rFonts w:asciiTheme="minorHAnsi" w:hAnsiTheme="minorHAnsi"/>
                <w:sz w:val="18"/>
              </w:rPr>
              <w:t xml:space="preserve">Heifer Internacional es una organización mundial sin ánimo de lucro que trabaja para erradicar la pobreza y el hambre mediante un desarrollo comunitario integral, sostenible y basado en valores. Heifer Ecuador trabaja con familias del sector rural del país para erradicar juntos el hambre y la pobreza, cuidando la Tierra y apoyando emprendimientos que generen autonomía enfocándose en mujeres y jóvenes, con elementos articuladores de procesos organizativos y de </w:t>
            </w:r>
            <w:r w:rsidR="00424D78">
              <w:rPr>
                <w:rFonts w:asciiTheme="minorHAnsi" w:hAnsiTheme="minorHAnsi"/>
                <w:sz w:val="18"/>
              </w:rPr>
              <w:t>s</w:t>
            </w:r>
            <w:r>
              <w:rPr>
                <w:rFonts w:asciiTheme="minorHAnsi" w:hAnsiTheme="minorHAnsi"/>
                <w:sz w:val="18"/>
              </w:rPr>
              <w:t xml:space="preserve">oberanía </w:t>
            </w:r>
            <w:r w:rsidR="00424D78">
              <w:rPr>
                <w:rFonts w:asciiTheme="minorHAnsi" w:hAnsiTheme="minorHAnsi"/>
                <w:sz w:val="18"/>
              </w:rPr>
              <w:t>a</w:t>
            </w:r>
            <w:r>
              <w:rPr>
                <w:rFonts w:asciiTheme="minorHAnsi" w:hAnsiTheme="minorHAnsi"/>
                <w:sz w:val="18"/>
              </w:rPr>
              <w:t>limentaria.</w:t>
            </w:r>
          </w:p>
        </w:tc>
      </w:tr>
      <w:tr w:rsidR="00D67C1E" w:rsidRPr="001B17BF" w14:paraId="0C2D7BE1" w14:textId="77777777" w:rsidTr="00587619">
        <w:trPr>
          <w:cantSplit/>
          <w:tblHeader/>
        </w:trPr>
        <w:tc>
          <w:tcPr>
            <w:tcW w:w="1267" w:type="dxa"/>
            <w:vMerge/>
            <w:shd w:val="clear" w:color="auto" w:fill="auto"/>
            <w:vAlign w:val="center"/>
          </w:tcPr>
          <w:p w14:paraId="7FECA26D" w14:textId="77777777" w:rsidR="00D67C1E" w:rsidRPr="002152FE" w:rsidRDefault="00D67C1E" w:rsidP="00645359">
            <w:pPr>
              <w:spacing w:before="60"/>
              <w:ind w:right="-5"/>
              <w:jc w:val="center"/>
              <w:rPr>
                <w:rFonts w:asciiTheme="minorHAnsi" w:hAnsiTheme="minorHAnsi" w:cstheme="minorHAnsi"/>
                <w:bCs/>
                <w:sz w:val="18"/>
                <w:szCs w:val="18"/>
                <w:lang w:val="es-EC"/>
              </w:rPr>
            </w:pPr>
          </w:p>
        </w:tc>
        <w:tc>
          <w:tcPr>
            <w:tcW w:w="1362" w:type="dxa"/>
            <w:vMerge/>
            <w:shd w:val="clear" w:color="auto" w:fill="auto"/>
            <w:vAlign w:val="center"/>
          </w:tcPr>
          <w:p w14:paraId="3420217D" w14:textId="75FF3A3E" w:rsidR="00D67C1E" w:rsidRPr="002152FE" w:rsidRDefault="00D67C1E" w:rsidP="00645359">
            <w:pPr>
              <w:spacing w:before="60"/>
              <w:ind w:right="-5"/>
              <w:jc w:val="center"/>
              <w:rPr>
                <w:rFonts w:asciiTheme="minorHAnsi" w:hAnsiTheme="minorHAnsi" w:cstheme="minorHAnsi"/>
                <w:bCs/>
                <w:sz w:val="18"/>
                <w:szCs w:val="18"/>
                <w:lang w:val="es-EC"/>
              </w:rPr>
            </w:pPr>
          </w:p>
        </w:tc>
        <w:tc>
          <w:tcPr>
            <w:tcW w:w="2104" w:type="dxa"/>
          </w:tcPr>
          <w:p w14:paraId="128260BC" w14:textId="51280AD3" w:rsidR="00D67C1E" w:rsidRPr="00587619" w:rsidRDefault="00D67C1E" w:rsidP="00645359">
            <w:pPr>
              <w:spacing w:before="60"/>
              <w:ind w:right="-5"/>
              <w:rPr>
                <w:rFonts w:asciiTheme="minorHAnsi" w:hAnsiTheme="minorHAnsi" w:cstheme="minorHAnsi"/>
                <w:bCs/>
                <w:sz w:val="18"/>
                <w:szCs w:val="18"/>
              </w:rPr>
            </w:pPr>
            <w:r>
              <w:rPr>
                <w:rFonts w:asciiTheme="minorHAnsi" w:hAnsiTheme="minorHAnsi"/>
                <w:sz w:val="18"/>
              </w:rPr>
              <w:t>Sociedad Alemana de Cooperación Internacional (GIZ) -</w:t>
            </w:r>
          </w:p>
          <w:p w14:paraId="4FB195D8" w14:textId="48E2F39E" w:rsidR="00D67C1E" w:rsidRPr="00587619" w:rsidRDefault="00D67C1E" w:rsidP="00645359">
            <w:pPr>
              <w:spacing w:before="60"/>
              <w:ind w:right="-5"/>
              <w:rPr>
                <w:rFonts w:asciiTheme="minorHAnsi" w:hAnsiTheme="minorHAnsi" w:cstheme="minorHAnsi"/>
                <w:bCs/>
                <w:sz w:val="18"/>
                <w:szCs w:val="18"/>
              </w:rPr>
            </w:pPr>
            <w:r>
              <w:rPr>
                <w:rFonts w:asciiTheme="minorHAnsi" w:hAnsiTheme="minorHAnsi"/>
                <w:sz w:val="18"/>
              </w:rPr>
              <w:t>GIZ Ecuador</w:t>
            </w:r>
          </w:p>
        </w:tc>
        <w:tc>
          <w:tcPr>
            <w:tcW w:w="4480" w:type="dxa"/>
            <w:shd w:val="clear" w:color="auto" w:fill="auto"/>
          </w:tcPr>
          <w:p w14:paraId="73B3D4E6" w14:textId="5476271F" w:rsidR="00D67C1E" w:rsidRPr="00587619" w:rsidRDefault="00D67C1E" w:rsidP="00A35753">
            <w:pPr>
              <w:jc w:val="both"/>
              <w:rPr>
                <w:rFonts w:asciiTheme="minorHAnsi" w:hAnsiTheme="minorHAnsi" w:cstheme="minorHAnsi"/>
                <w:color w:val="000000" w:themeColor="text1"/>
                <w:sz w:val="18"/>
                <w:szCs w:val="18"/>
              </w:rPr>
            </w:pPr>
            <w:r>
              <w:rPr>
                <w:rFonts w:asciiTheme="minorHAnsi" w:hAnsiTheme="minorHAnsi"/>
                <w:color w:val="000000" w:themeColor="text1"/>
                <w:sz w:val="18"/>
                <w:shd w:val="clear" w:color="auto" w:fill="FFFFFF"/>
              </w:rPr>
              <w:t>La GIZ</w:t>
            </w:r>
            <w:r>
              <w:rPr>
                <w:rFonts w:asciiTheme="minorHAnsi" w:hAnsiTheme="minorHAnsi"/>
                <w:sz w:val="18"/>
                <w:shd w:val="clear" w:color="auto" w:fill="FFFFFF"/>
              </w:rPr>
              <w:t xml:space="preserve"> Ecuador,</w:t>
            </w:r>
            <w:r w:rsidR="00535C14">
              <w:rPr>
                <w:rFonts w:asciiTheme="minorHAnsi" w:hAnsiTheme="minorHAnsi"/>
                <w:sz w:val="18"/>
                <w:shd w:val="clear" w:color="auto" w:fill="FFFFFF"/>
              </w:rPr>
              <w:t xml:space="preserve"> </w:t>
            </w:r>
            <w:r>
              <w:rPr>
                <w:rFonts w:asciiTheme="minorHAnsi" w:hAnsiTheme="minorHAnsi"/>
                <w:color w:val="000000" w:themeColor="text1"/>
                <w:sz w:val="18"/>
                <w:shd w:val="clear" w:color="auto" w:fill="FFFFFF"/>
              </w:rPr>
              <w:t>en el ámbito del medio ambiente y los recursos naturales, trabaja por la conservación de la biodiversidad, los bosques y las fuentes de agua, reuniendo a los gobiernos locales, las instituciones de investigación y la sociedad civil. También promueve proyectos conjuntos de investigación entre universidades ecuatorianas y alemanas. Además, la GIZ apoya las estrategias nacionales de protección del medio ambiente y lucha contra el cambio climático.</w:t>
            </w:r>
            <w:r>
              <w:rPr>
                <w:rStyle w:val="apple-converted-space"/>
                <w:rFonts w:asciiTheme="minorHAnsi" w:hAnsiTheme="minorHAnsi"/>
                <w:color w:val="000000" w:themeColor="text1"/>
                <w:sz w:val="18"/>
                <w:shd w:val="clear" w:color="auto" w:fill="FFFFFF"/>
              </w:rPr>
              <w:t> </w:t>
            </w:r>
          </w:p>
          <w:p w14:paraId="6ACE6CB6" w14:textId="0A0FCC5B" w:rsidR="00D67C1E" w:rsidRPr="00587619" w:rsidRDefault="00D67C1E" w:rsidP="00A35753">
            <w:pPr>
              <w:jc w:val="both"/>
              <w:rPr>
                <w:rFonts w:asciiTheme="minorHAnsi" w:hAnsiTheme="minorHAnsi" w:cstheme="minorHAnsi"/>
                <w:sz w:val="18"/>
                <w:szCs w:val="18"/>
              </w:rPr>
            </w:pPr>
            <w:r>
              <w:rPr>
                <w:rFonts w:asciiTheme="minorHAnsi" w:hAnsiTheme="minorHAnsi"/>
                <w:color w:val="000000" w:themeColor="text1"/>
                <w:sz w:val="18"/>
                <w:shd w:val="clear" w:color="auto" w:fill="FFFFFF"/>
              </w:rPr>
              <w:t>Además, los proyectos ayudan a los pequeños agricultores a utilizar buenas prácticas agrícolas que dan lugar a cadenas de suministro más sostenibles y contribuyen a conservar los ecosistemas.</w:t>
            </w:r>
          </w:p>
        </w:tc>
      </w:tr>
      <w:tr w:rsidR="001E5459" w:rsidRPr="001B17BF" w14:paraId="49907E7B" w14:textId="77777777" w:rsidTr="00587619">
        <w:trPr>
          <w:cantSplit/>
          <w:tblHeader/>
        </w:trPr>
        <w:tc>
          <w:tcPr>
            <w:tcW w:w="1267" w:type="dxa"/>
            <w:vMerge w:val="restart"/>
            <w:shd w:val="clear" w:color="auto" w:fill="auto"/>
            <w:vAlign w:val="center"/>
          </w:tcPr>
          <w:p w14:paraId="3465B8D3" w14:textId="3C34AF51" w:rsidR="001E5459" w:rsidRPr="00587619" w:rsidRDefault="001E5459" w:rsidP="00645359">
            <w:pPr>
              <w:spacing w:before="60"/>
              <w:ind w:right="-5"/>
              <w:jc w:val="center"/>
              <w:rPr>
                <w:rFonts w:asciiTheme="minorHAnsi" w:hAnsiTheme="minorHAnsi" w:cstheme="minorHAnsi"/>
                <w:bCs/>
                <w:sz w:val="18"/>
                <w:szCs w:val="18"/>
              </w:rPr>
            </w:pPr>
            <w:r>
              <w:rPr>
                <w:rFonts w:asciiTheme="minorHAnsi" w:hAnsiTheme="minorHAnsi"/>
                <w:sz w:val="18"/>
              </w:rPr>
              <w:t>Entidades de financiación</w:t>
            </w:r>
          </w:p>
        </w:tc>
        <w:tc>
          <w:tcPr>
            <w:tcW w:w="1362" w:type="dxa"/>
            <w:vMerge w:val="restart"/>
            <w:shd w:val="clear" w:color="auto" w:fill="auto"/>
          </w:tcPr>
          <w:p w14:paraId="3D703D03" w14:textId="4BB94DB8" w:rsidR="001E5459" w:rsidRPr="00587619" w:rsidRDefault="001E5459" w:rsidP="00645359">
            <w:pPr>
              <w:spacing w:before="60"/>
              <w:ind w:right="-5"/>
              <w:rPr>
                <w:rFonts w:asciiTheme="minorHAnsi" w:hAnsiTheme="minorHAnsi" w:cstheme="minorHAnsi"/>
                <w:bCs/>
                <w:sz w:val="18"/>
                <w:szCs w:val="18"/>
              </w:rPr>
            </w:pPr>
            <w:r>
              <w:rPr>
                <w:rFonts w:asciiTheme="minorHAnsi" w:hAnsiTheme="minorHAnsi"/>
                <w:sz w:val="18"/>
              </w:rPr>
              <w:t>Banco Público</w:t>
            </w:r>
          </w:p>
        </w:tc>
        <w:tc>
          <w:tcPr>
            <w:tcW w:w="2104" w:type="dxa"/>
          </w:tcPr>
          <w:p w14:paraId="653B24FB" w14:textId="52718376" w:rsidR="001E5459" w:rsidRPr="00587619" w:rsidRDefault="001E5459" w:rsidP="00645359">
            <w:pPr>
              <w:spacing w:before="60"/>
              <w:rPr>
                <w:rFonts w:asciiTheme="minorHAnsi" w:hAnsiTheme="minorHAnsi" w:cstheme="minorHAnsi"/>
                <w:color w:val="000000"/>
                <w:sz w:val="18"/>
                <w:szCs w:val="18"/>
              </w:rPr>
            </w:pPr>
            <w:r>
              <w:rPr>
                <w:rFonts w:asciiTheme="minorHAnsi" w:hAnsiTheme="minorHAnsi"/>
                <w:color w:val="000000"/>
                <w:sz w:val="18"/>
              </w:rPr>
              <w:t>BANECUADOR</w:t>
            </w:r>
          </w:p>
        </w:tc>
        <w:tc>
          <w:tcPr>
            <w:tcW w:w="4480" w:type="dxa"/>
            <w:shd w:val="clear" w:color="auto" w:fill="auto"/>
          </w:tcPr>
          <w:p w14:paraId="4A52ED41" w14:textId="58B732BE" w:rsidR="001E5459" w:rsidRPr="00587619" w:rsidRDefault="001E5459" w:rsidP="00053232">
            <w:pPr>
              <w:spacing w:before="60"/>
              <w:ind w:right="-5"/>
              <w:jc w:val="both"/>
              <w:rPr>
                <w:rFonts w:asciiTheme="minorHAnsi" w:hAnsiTheme="minorHAnsi" w:cstheme="minorHAnsi"/>
                <w:bCs/>
                <w:sz w:val="18"/>
                <w:szCs w:val="18"/>
              </w:rPr>
            </w:pPr>
            <w:r>
              <w:rPr>
                <w:rFonts w:asciiTheme="minorHAnsi" w:hAnsiTheme="minorHAnsi"/>
                <w:sz w:val="18"/>
              </w:rPr>
              <w:t>BANECUADOR es un banco público de desarrollo que promueve la producción, inclusión, asociatividad y mejora de la calidad de vida de los micro, pequeños y medianos empresarios, principalmente de la agroindustria, el comercio y los servicios de los sectores rural y urbano popular, con productos financieros innovadores, eficientes y sostenibles. Sus grupos de atención prioritaria son: unidades productivas individuales, femeninas (Super Mujer Crédito Rural) y familiares; unidades productivas asociativas; unidades productivas comunales; pequeñas y medianas empresas de producción, comercio y/o servicios y emprendedores. También ofrece un programa de educación financiera con el fin de reforzar la capacidad de sus clientes para desarrollar proyectos financiables.</w:t>
            </w:r>
          </w:p>
          <w:p w14:paraId="7C83062A" w14:textId="27DDB9C8" w:rsidR="001E5459" w:rsidRPr="00587619" w:rsidRDefault="001E5459" w:rsidP="00053232">
            <w:pPr>
              <w:spacing w:before="60"/>
              <w:ind w:right="-5"/>
              <w:jc w:val="both"/>
              <w:rPr>
                <w:rFonts w:asciiTheme="minorHAnsi" w:hAnsiTheme="minorHAnsi" w:cstheme="minorHAnsi"/>
                <w:bCs/>
                <w:sz w:val="18"/>
                <w:szCs w:val="18"/>
              </w:rPr>
            </w:pPr>
            <w:r>
              <w:rPr>
                <w:rFonts w:asciiTheme="minorHAnsi" w:hAnsiTheme="minorHAnsi"/>
                <w:sz w:val="18"/>
              </w:rPr>
              <w:t>BANECUADOR apoyará principalmente las actividades del Componente 2, concretamente el Resultado 2.3.</w:t>
            </w:r>
          </w:p>
        </w:tc>
      </w:tr>
      <w:tr w:rsidR="001E5459" w:rsidRPr="001B17BF" w14:paraId="3B856B6D" w14:textId="77777777" w:rsidTr="00587619">
        <w:trPr>
          <w:cantSplit/>
          <w:tblHeader/>
        </w:trPr>
        <w:tc>
          <w:tcPr>
            <w:tcW w:w="1267" w:type="dxa"/>
            <w:vMerge/>
            <w:shd w:val="clear" w:color="auto" w:fill="auto"/>
            <w:vAlign w:val="center"/>
          </w:tcPr>
          <w:p w14:paraId="34A9EA49" w14:textId="77777777" w:rsidR="001E5459" w:rsidRPr="002152FE" w:rsidRDefault="001E5459" w:rsidP="001E5459">
            <w:pPr>
              <w:spacing w:before="60"/>
              <w:ind w:right="-5"/>
              <w:jc w:val="center"/>
              <w:rPr>
                <w:rFonts w:asciiTheme="minorHAnsi" w:hAnsiTheme="minorHAnsi" w:cstheme="minorHAnsi"/>
                <w:bCs/>
                <w:sz w:val="18"/>
                <w:szCs w:val="18"/>
                <w:lang w:val="es-EC"/>
              </w:rPr>
            </w:pPr>
          </w:p>
        </w:tc>
        <w:tc>
          <w:tcPr>
            <w:tcW w:w="1362" w:type="dxa"/>
            <w:vMerge/>
            <w:shd w:val="clear" w:color="auto" w:fill="auto"/>
          </w:tcPr>
          <w:p w14:paraId="758DB581" w14:textId="77777777" w:rsidR="001E5459" w:rsidRPr="002152FE" w:rsidRDefault="001E5459" w:rsidP="001E5459">
            <w:pPr>
              <w:spacing w:before="60"/>
              <w:ind w:right="-5"/>
              <w:rPr>
                <w:rFonts w:asciiTheme="minorHAnsi" w:hAnsiTheme="minorHAnsi" w:cstheme="minorHAnsi"/>
                <w:bCs/>
                <w:sz w:val="18"/>
                <w:szCs w:val="18"/>
                <w:lang w:val="es-EC"/>
              </w:rPr>
            </w:pPr>
          </w:p>
        </w:tc>
        <w:tc>
          <w:tcPr>
            <w:tcW w:w="2104" w:type="dxa"/>
          </w:tcPr>
          <w:p w14:paraId="5878FE89" w14:textId="448CB820" w:rsidR="001E5459" w:rsidRPr="00587619" w:rsidRDefault="001E5459" w:rsidP="001E5459">
            <w:pPr>
              <w:spacing w:before="60"/>
              <w:rPr>
                <w:rFonts w:asciiTheme="minorHAnsi" w:hAnsiTheme="minorHAnsi" w:cstheme="minorHAnsi"/>
                <w:color w:val="000000"/>
                <w:sz w:val="18"/>
                <w:szCs w:val="18"/>
              </w:rPr>
            </w:pPr>
            <w:r>
              <w:rPr>
                <w:rFonts w:asciiTheme="minorHAnsi" w:hAnsiTheme="minorHAnsi"/>
                <w:sz w:val="18"/>
              </w:rPr>
              <w:t>Corporación Financiera Nacional (CFN)</w:t>
            </w:r>
          </w:p>
        </w:tc>
        <w:tc>
          <w:tcPr>
            <w:tcW w:w="4480" w:type="dxa"/>
            <w:shd w:val="clear" w:color="auto" w:fill="auto"/>
          </w:tcPr>
          <w:p w14:paraId="65807A77" w14:textId="77777777" w:rsidR="001E545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 xml:space="preserve">La CFN es un banco público de desarrollo que ofrece un Fondo Nacional de Garantía (FNG). Facilita el acceso al crédito a micro, pequeños y medianos empresarios que no cuentan con las garantías adecuadas para soportar una operación en el sistema financiero que desarrolle todo tipo de actividades económicas. </w:t>
            </w:r>
          </w:p>
          <w:p w14:paraId="0CE71514" w14:textId="42E4F2B0" w:rsidR="001E545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También es una banca de segundo piso como vehículo para fomentar el desarrollo a través de líneas de crédito a instituciones financieras privadas para ampliar la cobertura geográfica y facilitar el acceso a la financiación a las MiPymes.</w:t>
            </w:r>
          </w:p>
          <w:p w14:paraId="34C9C488" w14:textId="643F2C3E" w:rsidR="001E5459" w:rsidRPr="0058761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La CFN apoyará principalmente las actividades del Componente 2, concretamente el Resultado 2.3.</w:t>
            </w:r>
          </w:p>
        </w:tc>
      </w:tr>
      <w:tr w:rsidR="001E5459" w:rsidRPr="001B17BF" w14:paraId="4B3A5475" w14:textId="77777777" w:rsidTr="00587619">
        <w:trPr>
          <w:cantSplit/>
          <w:tblHeader/>
        </w:trPr>
        <w:tc>
          <w:tcPr>
            <w:tcW w:w="1267" w:type="dxa"/>
            <w:vMerge/>
            <w:shd w:val="clear" w:color="auto" w:fill="auto"/>
            <w:vAlign w:val="center"/>
          </w:tcPr>
          <w:p w14:paraId="47510D06" w14:textId="77777777" w:rsidR="001E5459" w:rsidRPr="002152FE" w:rsidRDefault="001E5459" w:rsidP="001E5459">
            <w:pPr>
              <w:spacing w:before="60"/>
              <w:ind w:right="-5"/>
              <w:jc w:val="center"/>
              <w:rPr>
                <w:rFonts w:asciiTheme="minorHAnsi" w:hAnsiTheme="minorHAnsi" w:cstheme="minorHAnsi"/>
                <w:bCs/>
                <w:sz w:val="18"/>
                <w:szCs w:val="18"/>
                <w:lang w:val="es-EC"/>
              </w:rPr>
            </w:pPr>
          </w:p>
        </w:tc>
        <w:tc>
          <w:tcPr>
            <w:tcW w:w="1362" w:type="dxa"/>
            <w:shd w:val="clear" w:color="auto" w:fill="auto"/>
          </w:tcPr>
          <w:p w14:paraId="0B6D7EF1" w14:textId="283D5091"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Bancos privados</w:t>
            </w:r>
          </w:p>
        </w:tc>
        <w:tc>
          <w:tcPr>
            <w:tcW w:w="2104" w:type="dxa"/>
          </w:tcPr>
          <w:p w14:paraId="2F209C09" w14:textId="3280E1D7"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Corporación Nacional de Finanzas Populares y Solidarias (CONAFIPS)</w:t>
            </w:r>
          </w:p>
        </w:tc>
        <w:tc>
          <w:tcPr>
            <w:tcW w:w="4480" w:type="dxa"/>
            <w:shd w:val="clear" w:color="auto" w:fill="auto"/>
          </w:tcPr>
          <w:p w14:paraId="6F265676" w14:textId="4B2861F2" w:rsidR="001E5459" w:rsidRPr="0058761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 xml:space="preserve">La CONAFIPS es una institución pública que opera como banca de segundo piso, es decir, financia operaciones de crédito que diversas entidades financieras privadas canalizan hacia emprendedores de la economía popular y solidaria. Funciona a través de las </w:t>
            </w:r>
            <w:r w:rsidR="000D2F43">
              <w:rPr>
                <w:rFonts w:asciiTheme="minorHAnsi" w:hAnsiTheme="minorHAnsi"/>
                <w:sz w:val="18"/>
              </w:rPr>
              <w:t>O</w:t>
            </w:r>
            <w:r>
              <w:rPr>
                <w:rFonts w:asciiTheme="minorHAnsi" w:hAnsiTheme="minorHAnsi"/>
                <w:sz w:val="18"/>
              </w:rPr>
              <w:t xml:space="preserve">rganizaciones del </w:t>
            </w:r>
            <w:r w:rsidR="000D2F43">
              <w:rPr>
                <w:rFonts w:asciiTheme="minorHAnsi" w:hAnsiTheme="minorHAnsi"/>
                <w:sz w:val="18"/>
              </w:rPr>
              <w:t>S</w:t>
            </w:r>
            <w:r>
              <w:rPr>
                <w:rFonts w:asciiTheme="minorHAnsi" w:hAnsiTheme="minorHAnsi"/>
                <w:sz w:val="18"/>
              </w:rPr>
              <w:t xml:space="preserve">ector </w:t>
            </w:r>
            <w:r w:rsidR="000D2F43">
              <w:rPr>
                <w:rFonts w:asciiTheme="minorHAnsi" w:hAnsiTheme="minorHAnsi"/>
                <w:sz w:val="18"/>
              </w:rPr>
              <w:t>F</w:t>
            </w:r>
            <w:r>
              <w:rPr>
                <w:rFonts w:asciiTheme="minorHAnsi" w:hAnsiTheme="minorHAnsi"/>
                <w:sz w:val="18"/>
              </w:rPr>
              <w:t xml:space="preserve">inanciero </w:t>
            </w:r>
            <w:r w:rsidR="000D2F43">
              <w:rPr>
                <w:rFonts w:asciiTheme="minorHAnsi" w:hAnsiTheme="minorHAnsi"/>
                <w:sz w:val="18"/>
              </w:rPr>
              <w:t>P</w:t>
            </w:r>
            <w:r>
              <w:rPr>
                <w:rFonts w:asciiTheme="minorHAnsi" w:hAnsiTheme="minorHAnsi"/>
                <w:sz w:val="18"/>
              </w:rPr>
              <w:t xml:space="preserve">opular y </w:t>
            </w:r>
            <w:r w:rsidR="000D2F43">
              <w:rPr>
                <w:rFonts w:asciiTheme="minorHAnsi" w:hAnsiTheme="minorHAnsi"/>
                <w:sz w:val="18"/>
              </w:rPr>
              <w:t>S</w:t>
            </w:r>
            <w:r>
              <w:rPr>
                <w:rFonts w:asciiTheme="minorHAnsi" w:hAnsiTheme="minorHAnsi"/>
                <w:sz w:val="18"/>
              </w:rPr>
              <w:t>olidario (OSFPS) que son: las cooperativas de ahorro y crédito, las mutuali</w:t>
            </w:r>
            <w:r w:rsidR="000D2F43">
              <w:rPr>
                <w:rFonts w:asciiTheme="minorHAnsi" w:hAnsiTheme="minorHAnsi"/>
                <w:sz w:val="18"/>
              </w:rPr>
              <w:t>sta</w:t>
            </w:r>
            <w:r>
              <w:rPr>
                <w:rFonts w:asciiTheme="minorHAnsi" w:hAnsiTheme="minorHAnsi"/>
                <w:sz w:val="18"/>
              </w:rPr>
              <w:t>s, las cajas de ahorro y los bancos comunitarios.</w:t>
            </w:r>
          </w:p>
          <w:p w14:paraId="10EC1E88" w14:textId="77777777" w:rsidR="001E5459" w:rsidRPr="0058761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También ofrece una línea de productos y servicios financieros y no financieros que incluyen créditos, servicios de garantía, fortalecimiento y transferencia de tecnología a las OSFPS, con el fin de reforzar su capacidad de generar créditos para sus miembros.</w:t>
            </w:r>
          </w:p>
          <w:p w14:paraId="000B43F2" w14:textId="66C4C00F" w:rsidR="001E5459" w:rsidRPr="0058761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La CONAFIPS apoyará principalmente las actividades del Componente 2, concretamente el Resultado 2.3.</w:t>
            </w:r>
          </w:p>
        </w:tc>
      </w:tr>
      <w:tr w:rsidR="001E5459" w:rsidRPr="00587619" w14:paraId="0A377152" w14:textId="77777777" w:rsidTr="00587619">
        <w:trPr>
          <w:cantSplit/>
          <w:tblHeader/>
        </w:trPr>
        <w:tc>
          <w:tcPr>
            <w:tcW w:w="1267" w:type="dxa"/>
            <w:vMerge w:val="restart"/>
            <w:shd w:val="clear" w:color="auto" w:fill="auto"/>
            <w:vAlign w:val="center"/>
          </w:tcPr>
          <w:p w14:paraId="566DA5B7" w14:textId="543FA1FC"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Organizaciones de la sociedad civil</w:t>
            </w:r>
          </w:p>
        </w:tc>
        <w:tc>
          <w:tcPr>
            <w:tcW w:w="1362" w:type="dxa"/>
            <w:vMerge w:val="restart"/>
            <w:shd w:val="clear" w:color="auto" w:fill="auto"/>
          </w:tcPr>
          <w:p w14:paraId="601F72C4" w14:textId="24825D2C"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Asociaciones industriales</w:t>
            </w:r>
          </w:p>
        </w:tc>
        <w:tc>
          <w:tcPr>
            <w:tcW w:w="2104" w:type="dxa"/>
          </w:tcPr>
          <w:p w14:paraId="5D9266B0" w14:textId="4A700B70" w:rsidR="001E5459" w:rsidRPr="00587619" w:rsidRDefault="001E5459" w:rsidP="001E5459">
            <w:pPr>
              <w:spacing w:before="60"/>
              <w:rPr>
                <w:rFonts w:asciiTheme="minorHAnsi" w:hAnsiTheme="minorHAnsi" w:cstheme="minorHAnsi"/>
                <w:color w:val="000000"/>
                <w:sz w:val="18"/>
                <w:szCs w:val="18"/>
              </w:rPr>
            </w:pPr>
            <w:r>
              <w:rPr>
                <w:rFonts w:asciiTheme="minorHAnsi" w:hAnsiTheme="minorHAnsi"/>
                <w:color w:val="000000"/>
                <w:sz w:val="18"/>
              </w:rPr>
              <w:t>Asociación de la Industria de Protección de Cultivos y Sanidad Animal (APCSA)</w:t>
            </w:r>
          </w:p>
        </w:tc>
        <w:tc>
          <w:tcPr>
            <w:tcW w:w="4480" w:type="dxa"/>
            <w:shd w:val="clear" w:color="auto" w:fill="auto"/>
          </w:tcPr>
          <w:p w14:paraId="058BB73C" w14:textId="1A0C8D76" w:rsidR="001E5459" w:rsidRPr="00587619" w:rsidRDefault="001E5459" w:rsidP="001E5459">
            <w:pPr>
              <w:rPr>
                <w:rFonts w:asciiTheme="minorHAnsi" w:hAnsiTheme="minorHAnsi" w:cstheme="minorHAnsi"/>
                <w:sz w:val="18"/>
                <w:szCs w:val="18"/>
              </w:rPr>
            </w:pPr>
            <w:r>
              <w:rPr>
                <w:rFonts w:asciiTheme="minorHAnsi" w:hAnsiTheme="minorHAnsi"/>
                <w:sz w:val="18"/>
              </w:rPr>
              <w:t xml:space="preserve">Es una </w:t>
            </w:r>
            <w:r>
              <w:rPr>
                <w:rFonts w:asciiTheme="minorHAnsi" w:hAnsiTheme="minorHAnsi"/>
                <w:color w:val="000000"/>
                <w:sz w:val="18"/>
              </w:rPr>
              <w:t xml:space="preserve">organización sin ánimo de lucro (33 socios), cuyo objetivo es mejorar la competitividad del sector agrícola ecuatoriano. </w:t>
            </w:r>
            <w:r>
              <w:rPr>
                <w:rFonts w:asciiTheme="minorHAnsi" w:hAnsiTheme="minorHAnsi"/>
                <w:sz w:val="18"/>
              </w:rPr>
              <w:t>Promueve la agricultura sostenible mediante buenas prácticas agrícolas.</w:t>
            </w:r>
          </w:p>
          <w:p w14:paraId="3C91FEE2" w14:textId="3B8F6769" w:rsidR="001E5459" w:rsidRPr="00587619" w:rsidRDefault="001E5459" w:rsidP="001E5459">
            <w:pPr>
              <w:jc w:val="both"/>
              <w:rPr>
                <w:rFonts w:asciiTheme="minorHAnsi" w:hAnsiTheme="minorHAnsi" w:cstheme="minorHAnsi"/>
                <w:sz w:val="18"/>
                <w:szCs w:val="18"/>
              </w:rPr>
            </w:pPr>
            <w:r>
              <w:rPr>
                <w:rFonts w:asciiTheme="minorHAnsi" w:hAnsiTheme="minorHAnsi"/>
                <w:sz w:val="18"/>
              </w:rPr>
              <w:t>Sus objetivos son: i) representar eficazmente a sus miembros ante las instituciones gubernamentales y la comunidad; ii) proporcionar información técnica, estadística y toxicológica, así como educar y formar a los usuarios de los productos; iii) establecer programas en beneficio del medio ambiente y la salud de los agricultores; y iv) educar para proteger la salud de los agricultores y el medio ambiente.</w:t>
            </w:r>
          </w:p>
          <w:p w14:paraId="74C6D071" w14:textId="67425C53" w:rsidR="001E5459" w:rsidRPr="00587619" w:rsidRDefault="001E5459" w:rsidP="001E5459">
            <w:pPr>
              <w:jc w:val="both"/>
              <w:rPr>
                <w:rFonts w:asciiTheme="minorHAnsi" w:hAnsiTheme="minorHAnsi" w:cstheme="minorHAnsi"/>
                <w:sz w:val="18"/>
                <w:szCs w:val="18"/>
              </w:rPr>
            </w:pPr>
            <w:r>
              <w:rPr>
                <w:rFonts w:asciiTheme="minorHAnsi" w:hAnsiTheme="minorHAnsi"/>
                <w:sz w:val="18"/>
              </w:rPr>
              <w:t xml:space="preserve">La APCSA será un socio estratégico para la ejecución de actividades en el marco de los </w:t>
            </w:r>
            <w:r w:rsidR="000D2F43">
              <w:rPr>
                <w:rFonts w:asciiTheme="minorHAnsi" w:hAnsiTheme="minorHAnsi"/>
                <w:sz w:val="18"/>
              </w:rPr>
              <w:t>R</w:t>
            </w:r>
            <w:r>
              <w:rPr>
                <w:rFonts w:asciiTheme="minorHAnsi" w:hAnsiTheme="minorHAnsi"/>
                <w:sz w:val="18"/>
              </w:rPr>
              <w:t>esultados 1.2, 2.4 y 2.5. Además, apoya las actividades de difusión y sensibilización.</w:t>
            </w:r>
          </w:p>
        </w:tc>
      </w:tr>
      <w:tr w:rsidR="001E5459" w:rsidRPr="00587619" w14:paraId="7FB59AD2" w14:textId="77777777" w:rsidTr="00587619">
        <w:trPr>
          <w:cantSplit/>
          <w:tblHeader/>
        </w:trPr>
        <w:tc>
          <w:tcPr>
            <w:tcW w:w="1267" w:type="dxa"/>
            <w:vMerge/>
            <w:shd w:val="clear" w:color="auto" w:fill="auto"/>
            <w:vAlign w:val="center"/>
          </w:tcPr>
          <w:p w14:paraId="0C030A6B" w14:textId="77777777" w:rsidR="001E5459" w:rsidRPr="00F46CDE" w:rsidRDefault="001E5459" w:rsidP="001E5459">
            <w:pPr>
              <w:spacing w:before="60"/>
              <w:ind w:right="-5"/>
              <w:jc w:val="center"/>
              <w:rPr>
                <w:rFonts w:asciiTheme="minorHAnsi" w:hAnsiTheme="minorHAnsi" w:cstheme="minorHAnsi"/>
                <w:bCs/>
                <w:sz w:val="18"/>
                <w:szCs w:val="18"/>
              </w:rPr>
            </w:pPr>
          </w:p>
        </w:tc>
        <w:tc>
          <w:tcPr>
            <w:tcW w:w="1362" w:type="dxa"/>
            <w:vMerge/>
            <w:shd w:val="clear" w:color="auto" w:fill="auto"/>
            <w:vAlign w:val="center"/>
          </w:tcPr>
          <w:p w14:paraId="6BB3641D" w14:textId="439323D7" w:rsidR="001E5459" w:rsidRPr="00F46CDE" w:rsidRDefault="001E5459" w:rsidP="001E5459">
            <w:pPr>
              <w:spacing w:before="60"/>
              <w:ind w:right="-5"/>
              <w:jc w:val="center"/>
              <w:rPr>
                <w:rFonts w:asciiTheme="minorHAnsi" w:hAnsiTheme="minorHAnsi" w:cstheme="minorHAnsi"/>
                <w:bCs/>
                <w:sz w:val="18"/>
                <w:szCs w:val="18"/>
              </w:rPr>
            </w:pPr>
          </w:p>
        </w:tc>
        <w:tc>
          <w:tcPr>
            <w:tcW w:w="2104" w:type="dxa"/>
          </w:tcPr>
          <w:p w14:paraId="3D27286B" w14:textId="193EFF14"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Cámara de la Industria de la Innovación y la Tecnología Agrícola</w:t>
            </w:r>
          </w:p>
          <w:p w14:paraId="5C14A40B" w14:textId="5DA2A1EC"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(INNOVAGRO)</w:t>
            </w:r>
          </w:p>
        </w:tc>
        <w:tc>
          <w:tcPr>
            <w:tcW w:w="4480" w:type="dxa"/>
            <w:shd w:val="clear" w:color="auto" w:fill="auto"/>
          </w:tcPr>
          <w:p w14:paraId="6F575627" w14:textId="0C9DE239" w:rsidR="001E5459" w:rsidRPr="00587619" w:rsidRDefault="001E5459" w:rsidP="001E5459">
            <w:pPr>
              <w:jc w:val="both"/>
              <w:rPr>
                <w:rFonts w:asciiTheme="minorHAnsi" w:hAnsiTheme="minorHAnsi" w:cstheme="minorHAnsi"/>
                <w:color w:val="000000"/>
                <w:sz w:val="18"/>
                <w:szCs w:val="18"/>
              </w:rPr>
            </w:pPr>
            <w:r>
              <w:rPr>
                <w:rFonts w:asciiTheme="minorHAnsi" w:hAnsiTheme="minorHAnsi"/>
                <w:sz w:val="18"/>
              </w:rPr>
              <w:t xml:space="preserve">Es la cámara de la industria de la innovación y tecnología agrícola que representa a las empresas multinacionales de investigación y desarrollo de productos agroquímicos, biotecnología agrícola y semillas. Representan a Arysta, Bayer, Basf, Coterva, FMC, Sumitomo, SummitAgro, Stockton Group, Trichodex y Syngenta. </w:t>
            </w:r>
            <w:r>
              <w:rPr>
                <w:rFonts w:asciiTheme="minorHAnsi" w:hAnsiTheme="minorHAnsi"/>
                <w:color w:val="000000"/>
                <w:sz w:val="18"/>
              </w:rPr>
              <w:t xml:space="preserve">INNOVAGRO representa a los 9 mayores importadores de insumos agrícolas del país. </w:t>
            </w:r>
          </w:p>
          <w:p w14:paraId="1EE62F69" w14:textId="77DCCD11" w:rsidR="001E5459" w:rsidRPr="00587619" w:rsidRDefault="001E5459" w:rsidP="001E5459">
            <w:pPr>
              <w:jc w:val="both"/>
              <w:rPr>
                <w:rFonts w:asciiTheme="minorHAnsi" w:hAnsiTheme="minorHAnsi" w:cstheme="minorHAnsi"/>
                <w:sz w:val="18"/>
                <w:szCs w:val="18"/>
              </w:rPr>
            </w:pPr>
            <w:r>
              <w:rPr>
                <w:rFonts w:asciiTheme="minorHAnsi" w:hAnsiTheme="minorHAnsi"/>
                <w:sz w:val="18"/>
              </w:rPr>
              <w:t xml:space="preserve">INNOVAGRO será un socio estratégico para la ejecución de las actividades de los </w:t>
            </w:r>
            <w:r w:rsidR="000D2F43">
              <w:rPr>
                <w:rFonts w:asciiTheme="minorHAnsi" w:hAnsiTheme="minorHAnsi"/>
                <w:sz w:val="18"/>
              </w:rPr>
              <w:t>R</w:t>
            </w:r>
            <w:r>
              <w:rPr>
                <w:rFonts w:asciiTheme="minorHAnsi" w:hAnsiTheme="minorHAnsi"/>
                <w:sz w:val="18"/>
              </w:rPr>
              <w:t>esultados 1.2, 2.4 y 2.5. Además, apoya las actividades de difusión y sensibilización.</w:t>
            </w:r>
          </w:p>
        </w:tc>
      </w:tr>
      <w:tr w:rsidR="001E5459" w:rsidRPr="00587619" w14:paraId="0DDA16B5" w14:textId="77777777" w:rsidTr="00587619">
        <w:trPr>
          <w:cantSplit/>
          <w:tblHeader/>
        </w:trPr>
        <w:tc>
          <w:tcPr>
            <w:tcW w:w="1267" w:type="dxa"/>
            <w:vMerge/>
            <w:shd w:val="clear" w:color="auto" w:fill="auto"/>
            <w:vAlign w:val="center"/>
          </w:tcPr>
          <w:p w14:paraId="43B13479" w14:textId="77777777" w:rsidR="001E5459" w:rsidRPr="00F46CDE" w:rsidRDefault="001E5459" w:rsidP="001E5459">
            <w:pPr>
              <w:spacing w:before="60"/>
              <w:ind w:right="-5"/>
              <w:jc w:val="center"/>
              <w:rPr>
                <w:rFonts w:asciiTheme="minorHAnsi" w:hAnsiTheme="minorHAnsi" w:cstheme="minorHAnsi"/>
                <w:bCs/>
                <w:sz w:val="18"/>
                <w:szCs w:val="18"/>
              </w:rPr>
            </w:pPr>
          </w:p>
        </w:tc>
        <w:tc>
          <w:tcPr>
            <w:tcW w:w="1362" w:type="dxa"/>
            <w:vMerge/>
            <w:shd w:val="clear" w:color="auto" w:fill="auto"/>
            <w:vAlign w:val="center"/>
          </w:tcPr>
          <w:p w14:paraId="0036D323" w14:textId="77777777" w:rsidR="001E5459" w:rsidRPr="00F46CDE" w:rsidRDefault="001E5459" w:rsidP="001E5459">
            <w:pPr>
              <w:spacing w:before="60"/>
              <w:ind w:right="-5"/>
              <w:jc w:val="center"/>
              <w:rPr>
                <w:rFonts w:asciiTheme="minorHAnsi" w:hAnsiTheme="minorHAnsi" w:cstheme="minorHAnsi"/>
                <w:bCs/>
                <w:sz w:val="18"/>
                <w:szCs w:val="18"/>
              </w:rPr>
            </w:pPr>
          </w:p>
        </w:tc>
        <w:tc>
          <w:tcPr>
            <w:tcW w:w="2104" w:type="dxa"/>
          </w:tcPr>
          <w:p w14:paraId="524E9CA3" w14:textId="070A7DF0"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Asociación de Productores Químicos de Ecuador (APROQUE)</w:t>
            </w:r>
          </w:p>
        </w:tc>
        <w:tc>
          <w:tcPr>
            <w:tcW w:w="4480" w:type="dxa"/>
            <w:shd w:val="clear" w:color="auto" w:fill="auto"/>
          </w:tcPr>
          <w:p w14:paraId="6F5E9C0B" w14:textId="77777777" w:rsidR="001E5459" w:rsidRPr="00587619" w:rsidRDefault="001E5459" w:rsidP="001E5459">
            <w:pPr>
              <w:jc w:val="both"/>
              <w:rPr>
                <w:rFonts w:asciiTheme="minorHAnsi" w:hAnsiTheme="minorHAnsi" w:cstheme="minorHAnsi"/>
                <w:bCs/>
                <w:sz w:val="18"/>
                <w:szCs w:val="18"/>
              </w:rPr>
            </w:pPr>
            <w:r>
              <w:rPr>
                <w:rFonts w:asciiTheme="minorHAnsi" w:hAnsiTheme="minorHAnsi"/>
                <w:sz w:val="18"/>
              </w:rPr>
              <w:t xml:space="preserve">APROQUE es la Asociación de Productores Químicos del Ecuador cuyo objetivo principal es promover el proceso y desarrollo sostenible de la industria química, ofreciendo capacitación y asesoría técnica a sus miembros bajo los principios de Conducta Responsable. </w:t>
            </w:r>
          </w:p>
          <w:p w14:paraId="2CDBF887" w14:textId="6CB3FB1C" w:rsidR="001E5459" w:rsidRPr="00587619" w:rsidRDefault="001E5459" w:rsidP="001E5459">
            <w:pPr>
              <w:jc w:val="both"/>
              <w:rPr>
                <w:rFonts w:asciiTheme="minorHAnsi" w:hAnsiTheme="minorHAnsi" w:cstheme="minorHAnsi"/>
                <w:bCs/>
                <w:sz w:val="18"/>
                <w:szCs w:val="18"/>
              </w:rPr>
            </w:pPr>
            <w:r>
              <w:rPr>
                <w:rFonts w:asciiTheme="minorHAnsi" w:hAnsiTheme="minorHAnsi"/>
                <w:sz w:val="18"/>
              </w:rPr>
              <w:t xml:space="preserve">APROQUE será un socio estratégico para la ejecución de las actividades de los </w:t>
            </w:r>
            <w:r w:rsidR="000D2F43">
              <w:rPr>
                <w:rFonts w:asciiTheme="minorHAnsi" w:hAnsiTheme="minorHAnsi"/>
                <w:sz w:val="18"/>
              </w:rPr>
              <w:t>R</w:t>
            </w:r>
            <w:r>
              <w:rPr>
                <w:rFonts w:asciiTheme="minorHAnsi" w:hAnsiTheme="minorHAnsi"/>
                <w:sz w:val="18"/>
              </w:rPr>
              <w:t>esultados 1.2, 2.4 y 2.5. Además, apoya las actividades de difusión y sensibilización.</w:t>
            </w:r>
          </w:p>
        </w:tc>
      </w:tr>
      <w:tr w:rsidR="001E5459" w:rsidRPr="001B17BF" w14:paraId="0C37861B" w14:textId="77777777" w:rsidTr="00587619">
        <w:trPr>
          <w:cantSplit/>
          <w:tblHeader/>
        </w:trPr>
        <w:tc>
          <w:tcPr>
            <w:tcW w:w="1267" w:type="dxa"/>
            <w:vMerge/>
            <w:shd w:val="clear" w:color="auto" w:fill="auto"/>
            <w:vAlign w:val="center"/>
          </w:tcPr>
          <w:p w14:paraId="60424C40" w14:textId="77777777" w:rsidR="001E5459" w:rsidRPr="00F46CDE" w:rsidRDefault="001E5459" w:rsidP="001E5459">
            <w:pPr>
              <w:spacing w:before="60"/>
              <w:ind w:right="-5"/>
              <w:jc w:val="center"/>
              <w:rPr>
                <w:rFonts w:asciiTheme="minorHAnsi" w:hAnsiTheme="minorHAnsi" w:cstheme="minorHAnsi"/>
                <w:bCs/>
                <w:sz w:val="18"/>
                <w:szCs w:val="18"/>
              </w:rPr>
            </w:pPr>
          </w:p>
        </w:tc>
        <w:tc>
          <w:tcPr>
            <w:tcW w:w="1362" w:type="dxa"/>
            <w:shd w:val="clear" w:color="auto" w:fill="auto"/>
            <w:vAlign w:val="center"/>
          </w:tcPr>
          <w:p w14:paraId="6A74194D" w14:textId="38C68B0A"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Asociaciones de productores</w:t>
            </w:r>
          </w:p>
        </w:tc>
        <w:tc>
          <w:tcPr>
            <w:tcW w:w="2104" w:type="dxa"/>
          </w:tcPr>
          <w:p w14:paraId="4C82A13A" w14:textId="77777777"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Teniendo en cuenta el alcance del proyecto, este grupo está formado por:</w:t>
            </w:r>
          </w:p>
          <w:p w14:paraId="6DAB7ED2" w14:textId="4D3280FC" w:rsidR="001E5459" w:rsidRPr="00587619" w:rsidRDefault="001E5459" w:rsidP="001E5459">
            <w:pPr>
              <w:pStyle w:val="Prrafodelista"/>
              <w:numPr>
                <w:ilvl w:val="0"/>
                <w:numId w:val="21"/>
              </w:numPr>
              <w:spacing w:before="60"/>
              <w:ind w:left="360" w:right="-5"/>
              <w:rPr>
                <w:rFonts w:asciiTheme="minorHAnsi" w:hAnsiTheme="minorHAnsi" w:cstheme="minorHAnsi"/>
                <w:bCs/>
                <w:sz w:val="18"/>
                <w:szCs w:val="18"/>
              </w:rPr>
            </w:pPr>
            <w:r>
              <w:rPr>
                <w:rFonts w:asciiTheme="minorHAnsi" w:hAnsiTheme="minorHAnsi"/>
                <w:sz w:val="18"/>
              </w:rPr>
              <w:t>Asociación de Pequeños Productores Bananeros El Guabo (ASOGUABO)</w:t>
            </w:r>
          </w:p>
          <w:p w14:paraId="19101E1B" w14:textId="46B23DDE" w:rsidR="001E5459" w:rsidRPr="00587619" w:rsidRDefault="001E5459" w:rsidP="001E5459">
            <w:pPr>
              <w:pStyle w:val="Prrafodelista"/>
              <w:numPr>
                <w:ilvl w:val="0"/>
                <w:numId w:val="21"/>
              </w:numPr>
              <w:spacing w:before="60"/>
              <w:ind w:left="360" w:right="-5"/>
              <w:rPr>
                <w:rFonts w:asciiTheme="minorHAnsi" w:hAnsiTheme="minorHAnsi" w:cstheme="minorHAnsi"/>
                <w:bCs/>
                <w:sz w:val="18"/>
                <w:szCs w:val="18"/>
              </w:rPr>
            </w:pPr>
            <w:r>
              <w:rPr>
                <w:rFonts w:asciiTheme="minorHAnsi" w:hAnsiTheme="minorHAnsi"/>
                <w:sz w:val="18"/>
              </w:rPr>
              <w:t xml:space="preserve">Cooperativa de Productores </w:t>
            </w:r>
            <w:r w:rsidR="00206AD8">
              <w:rPr>
                <w:rFonts w:asciiTheme="minorHAnsi" w:hAnsiTheme="minorHAnsi"/>
                <w:sz w:val="18"/>
              </w:rPr>
              <w:t>Agropecuarios</w:t>
            </w:r>
            <w:r>
              <w:rPr>
                <w:rFonts w:asciiTheme="minorHAnsi" w:hAnsiTheme="minorHAnsi"/>
                <w:sz w:val="18"/>
              </w:rPr>
              <w:t xml:space="preserve"> de Papa (CONPAPA CHIMBORAZO)</w:t>
            </w:r>
          </w:p>
          <w:p w14:paraId="02FB87F4" w14:textId="67EA2F04" w:rsidR="001E5459" w:rsidRPr="00587619" w:rsidRDefault="001E5459" w:rsidP="001E5459">
            <w:pPr>
              <w:pStyle w:val="Prrafodelista"/>
              <w:numPr>
                <w:ilvl w:val="0"/>
                <w:numId w:val="21"/>
              </w:numPr>
              <w:spacing w:before="60"/>
              <w:ind w:left="360" w:right="-5"/>
              <w:rPr>
                <w:rFonts w:asciiTheme="minorHAnsi" w:hAnsiTheme="minorHAnsi" w:cstheme="minorHAnsi"/>
                <w:bCs/>
                <w:sz w:val="18"/>
                <w:szCs w:val="18"/>
              </w:rPr>
            </w:pPr>
            <w:r>
              <w:rPr>
                <w:rFonts w:asciiTheme="minorHAnsi" w:hAnsiTheme="minorHAnsi"/>
                <w:sz w:val="18"/>
              </w:rPr>
              <w:t>Asociación De Productores Agropecuarios La Esperanza de Urdaneta (ASOESPUR)</w:t>
            </w:r>
          </w:p>
        </w:tc>
        <w:tc>
          <w:tcPr>
            <w:tcW w:w="4480" w:type="dxa"/>
            <w:shd w:val="clear" w:color="auto" w:fill="auto"/>
          </w:tcPr>
          <w:p w14:paraId="0717381C" w14:textId="77777777" w:rsidR="001E5459" w:rsidRPr="00587619" w:rsidRDefault="001E5459" w:rsidP="001E5459">
            <w:pPr>
              <w:pStyle w:val="GEFFieldtoFillout"/>
              <w:tabs>
                <w:tab w:val="left" w:pos="3950"/>
              </w:tabs>
              <w:spacing w:before="60"/>
              <w:ind w:left="0"/>
              <w:jc w:val="both"/>
              <w:rPr>
                <w:rFonts w:asciiTheme="minorHAnsi" w:hAnsiTheme="minorHAnsi" w:cstheme="minorHAnsi"/>
                <w:bCs/>
                <w:sz w:val="18"/>
                <w:szCs w:val="18"/>
              </w:rPr>
            </w:pPr>
            <w:r>
              <w:rPr>
                <w:rFonts w:asciiTheme="minorHAnsi" w:hAnsiTheme="minorHAnsi"/>
                <w:sz w:val="18"/>
              </w:rPr>
              <w:t>Asociaciones nacionales que agrupan a productores de distintos cultivos del país.</w:t>
            </w:r>
          </w:p>
          <w:p w14:paraId="4735498E" w14:textId="77777777" w:rsidR="001E5459" w:rsidRPr="00587619" w:rsidRDefault="001E5459" w:rsidP="001E5459">
            <w:pPr>
              <w:pStyle w:val="GEFFieldtoFillout"/>
              <w:tabs>
                <w:tab w:val="left" w:pos="3950"/>
              </w:tabs>
              <w:spacing w:before="60"/>
              <w:ind w:left="0"/>
              <w:jc w:val="both"/>
              <w:rPr>
                <w:rFonts w:asciiTheme="minorHAnsi" w:hAnsiTheme="minorHAnsi" w:cstheme="minorHAnsi"/>
                <w:bCs/>
                <w:sz w:val="18"/>
                <w:szCs w:val="18"/>
              </w:rPr>
            </w:pPr>
            <w:r>
              <w:rPr>
                <w:rFonts w:asciiTheme="minorHAnsi" w:hAnsiTheme="minorHAnsi"/>
                <w:sz w:val="18"/>
              </w:rPr>
              <w:t>Estas asociaciones:</w:t>
            </w:r>
          </w:p>
          <w:p w14:paraId="09718E6C" w14:textId="7BDB77D3" w:rsidR="001E5459" w:rsidRPr="00587619" w:rsidRDefault="001E5459" w:rsidP="001E5459">
            <w:pPr>
              <w:pStyle w:val="GEFFieldtoFillout"/>
              <w:numPr>
                <w:ilvl w:val="0"/>
                <w:numId w:val="21"/>
              </w:numPr>
              <w:tabs>
                <w:tab w:val="left" w:pos="3950"/>
              </w:tabs>
              <w:spacing w:before="60"/>
              <w:ind w:left="360"/>
              <w:jc w:val="both"/>
              <w:rPr>
                <w:rFonts w:asciiTheme="minorHAnsi" w:hAnsiTheme="minorHAnsi" w:cstheme="minorHAnsi"/>
                <w:bCs/>
                <w:sz w:val="18"/>
                <w:szCs w:val="18"/>
              </w:rPr>
            </w:pPr>
            <w:r>
              <w:rPr>
                <w:rFonts w:asciiTheme="minorHAnsi" w:hAnsiTheme="minorHAnsi"/>
                <w:sz w:val="18"/>
              </w:rPr>
              <w:t xml:space="preserve">Apoyarán la ejecución de proyectos piloto en el marco de los </w:t>
            </w:r>
            <w:r w:rsidR="000D2F43">
              <w:rPr>
                <w:rFonts w:asciiTheme="minorHAnsi" w:hAnsiTheme="minorHAnsi"/>
                <w:sz w:val="18"/>
              </w:rPr>
              <w:t>R</w:t>
            </w:r>
            <w:r>
              <w:rPr>
                <w:rFonts w:asciiTheme="minorHAnsi" w:hAnsiTheme="minorHAnsi"/>
                <w:sz w:val="18"/>
              </w:rPr>
              <w:t>esultados 2.5 y 3.1</w:t>
            </w:r>
          </w:p>
          <w:p w14:paraId="1632ACFF" w14:textId="2D90E65E" w:rsidR="001E5459" w:rsidRPr="00587619" w:rsidRDefault="001E5459" w:rsidP="001E5459">
            <w:pPr>
              <w:pStyle w:val="GEFFieldtoFillout"/>
              <w:numPr>
                <w:ilvl w:val="0"/>
                <w:numId w:val="21"/>
              </w:numPr>
              <w:tabs>
                <w:tab w:val="left" w:pos="3950"/>
              </w:tabs>
              <w:spacing w:before="60"/>
              <w:ind w:left="360"/>
              <w:jc w:val="both"/>
              <w:rPr>
                <w:rFonts w:asciiTheme="minorHAnsi" w:hAnsiTheme="minorHAnsi" w:cstheme="minorHAnsi"/>
                <w:bCs/>
                <w:sz w:val="18"/>
                <w:szCs w:val="18"/>
              </w:rPr>
            </w:pPr>
            <w:r>
              <w:rPr>
                <w:rFonts w:asciiTheme="minorHAnsi" w:hAnsiTheme="minorHAnsi"/>
                <w:sz w:val="18"/>
              </w:rPr>
              <w:t>Apoyarán la aplicación de las BPA en el marco de la aplicación de mecanismos financieros</w:t>
            </w:r>
          </w:p>
          <w:p w14:paraId="069B3B1D" w14:textId="2AE282C9" w:rsidR="001E5459" w:rsidRPr="00587619" w:rsidRDefault="001E5459" w:rsidP="001E5459">
            <w:pPr>
              <w:pStyle w:val="GEFFieldtoFillout"/>
              <w:numPr>
                <w:ilvl w:val="0"/>
                <w:numId w:val="21"/>
              </w:numPr>
              <w:tabs>
                <w:tab w:val="left" w:pos="3950"/>
              </w:tabs>
              <w:spacing w:before="60"/>
              <w:ind w:left="360"/>
              <w:jc w:val="both"/>
              <w:rPr>
                <w:rFonts w:asciiTheme="minorHAnsi" w:hAnsiTheme="minorHAnsi" w:cstheme="minorHAnsi"/>
                <w:bCs/>
                <w:sz w:val="18"/>
                <w:szCs w:val="18"/>
              </w:rPr>
            </w:pPr>
            <w:r>
              <w:rPr>
                <w:rFonts w:asciiTheme="minorHAnsi" w:hAnsiTheme="minorHAnsi"/>
                <w:sz w:val="18"/>
              </w:rPr>
              <w:t>Participarán en actividades de sensibilización, difusión de conocimientos, formación y comunicación en el ámbito del proyecto</w:t>
            </w:r>
          </w:p>
        </w:tc>
      </w:tr>
      <w:tr w:rsidR="001E5459" w:rsidRPr="001B17BF" w14:paraId="6B080CD4" w14:textId="77777777" w:rsidTr="00587619">
        <w:trPr>
          <w:cantSplit/>
          <w:tblHeader/>
        </w:trPr>
        <w:tc>
          <w:tcPr>
            <w:tcW w:w="1267" w:type="dxa"/>
            <w:vMerge/>
            <w:shd w:val="clear" w:color="auto" w:fill="auto"/>
            <w:vAlign w:val="center"/>
          </w:tcPr>
          <w:p w14:paraId="60A906C8" w14:textId="77777777" w:rsidR="001E5459" w:rsidRPr="002152FE" w:rsidRDefault="001E5459" w:rsidP="001E5459">
            <w:pPr>
              <w:spacing w:before="60"/>
              <w:ind w:right="-5"/>
              <w:jc w:val="center"/>
              <w:rPr>
                <w:rFonts w:asciiTheme="minorHAnsi" w:hAnsiTheme="minorHAnsi" w:cstheme="minorHAnsi"/>
                <w:bCs/>
                <w:sz w:val="18"/>
                <w:szCs w:val="18"/>
                <w:lang w:val="es-EC"/>
              </w:rPr>
            </w:pPr>
          </w:p>
        </w:tc>
        <w:tc>
          <w:tcPr>
            <w:tcW w:w="1362" w:type="dxa"/>
            <w:shd w:val="clear" w:color="auto" w:fill="auto"/>
            <w:vAlign w:val="center"/>
          </w:tcPr>
          <w:p w14:paraId="4F7614BA" w14:textId="5FAEDD43"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Asociaciones de productores exportadores</w:t>
            </w:r>
          </w:p>
        </w:tc>
        <w:tc>
          <w:tcPr>
            <w:tcW w:w="2104" w:type="dxa"/>
          </w:tcPr>
          <w:p w14:paraId="613CE85F" w14:textId="667C98BF"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Teniendo en cuenta el alcance del proyecto, este grupo está formado por:</w:t>
            </w:r>
          </w:p>
          <w:p w14:paraId="1EA3B679" w14:textId="636D77FA" w:rsidR="001E5459" w:rsidRPr="00587619" w:rsidRDefault="001E5459" w:rsidP="001E5459">
            <w:pPr>
              <w:pStyle w:val="Prrafodelista"/>
              <w:numPr>
                <w:ilvl w:val="0"/>
                <w:numId w:val="21"/>
              </w:numPr>
              <w:spacing w:before="60"/>
              <w:ind w:left="360" w:right="-5"/>
              <w:rPr>
                <w:rFonts w:asciiTheme="minorHAnsi" w:hAnsiTheme="minorHAnsi" w:cstheme="minorHAnsi"/>
                <w:bCs/>
                <w:sz w:val="18"/>
                <w:szCs w:val="18"/>
              </w:rPr>
            </w:pPr>
            <w:r>
              <w:rPr>
                <w:rFonts w:asciiTheme="minorHAnsi" w:hAnsiTheme="minorHAnsi"/>
                <w:sz w:val="18"/>
              </w:rPr>
              <w:t xml:space="preserve">Asociación Nacional de Productores y Exportadores de Flores de Ecuador (EXPOFLORES) </w:t>
            </w:r>
          </w:p>
          <w:p w14:paraId="748BEDDE" w14:textId="37432755" w:rsidR="001E5459" w:rsidRPr="00587619" w:rsidRDefault="001E5459" w:rsidP="001E5459">
            <w:pPr>
              <w:pStyle w:val="Prrafodelista"/>
              <w:numPr>
                <w:ilvl w:val="0"/>
                <w:numId w:val="21"/>
              </w:numPr>
              <w:spacing w:before="60"/>
              <w:ind w:left="360" w:right="-5"/>
              <w:rPr>
                <w:rFonts w:asciiTheme="minorHAnsi" w:hAnsiTheme="minorHAnsi" w:cstheme="minorHAnsi"/>
                <w:bCs/>
                <w:sz w:val="18"/>
                <w:szCs w:val="18"/>
              </w:rPr>
            </w:pPr>
            <w:r>
              <w:rPr>
                <w:rFonts w:asciiTheme="minorHAnsi" w:hAnsiTheme="minorHAnsi"/>
                <w:sz w:val="18"/>
              </w:rPr>
              <w:t>Asociación Nacional de Exportadores de Cacao (ANECACAO)</w:t>
            </w:r>
          </w:p>
          <w:p w14:paraId="0005F6E5" w14:textId="604FD5B3" w:rsidR="001E5459" w:rsidRPr="00587619" w:rsidRDefault="001E5459" w:rsidP="001E5459">
            <w:pPr>
              <w:pStyle w:val="Prrafodelista"/>
              <w:numPr>
                <w:ilvl w:val="0"/>
                <w:numId w:val="21"/>
              </w:numPr>
              <w:spacing w:before="60"/>
              <w:ind w:left="360" w:right="-5"/>
              <w:rPr>
                <w:rFonts w:asciiTheme="minorHAnsi" w:hAnsiTheme="minorHAnsi" w:cstheme="minorHAnsi"/>
                <w:bCs/>
                <w:sz w:val="18"/>
                <w:szCs w:val="18"/>
              </w:rPr>
            </w:pPr>
            <w:r>
              <w:rPr>
                <w:rFonts w:asciiTheme="minorHAnsi" w:hAnsiTheme="minorHAnsi"/>
                <w:sz w:val="18"/>
              </w:rPr>
              <w:t>Asociación de Exportadores de Banano del Ecuador (AEBE)</w:t>
            </w:r>
          </w:p>
        </w:tc>
        <w:tc>
          <w:tcPr>
            <w:tcW w:w="4480" w:type="dxa"/>
            <w:shd w:val="clear" w:color="auto" w:fill="auto"/>
          </w:tcPr>
          <w:p w14:paraId="00CAA5AF" w14:textId="25A26685" w:rsidR="001E5459" w:rsidRPr="00587619" w:rsidRDefault="001E5459" w:rsidP="001E5459">
            <w:pPr>
              <w:pStyle w:val="GEFFieldtoFillout"/>
              <w:tabs>
                <w:tab w:val="left" w:pos="3950"/>
              </w:tabs>
              <w:spacing w:before="60"/>
              <w:ind w:left="0"/>
              <w:jc w:val="both"/>
              <w:rPr>
                <w:rFonts w:asciiTheme="minorHAnsi" w:hAnsiTheme="minorHAnsi" w:cstheme="minorHAnsi"/>
                <w:bCs/>
                <w:sz w:val="18"/>
                <w:szCs w:val="18"/>
              </w:rPr>
            </w:pPr>
            <w:r>
              <w:rPr>
                <w:rFonts w:asciiTheme="minorHAnsi" w:hAnsiTheme="minorHAnsi"/>
                <w:sz w:val="18"/>
              </w:rPr>
              <w:t xml:space="preserve">Asociaciones </w:t>
            </w:r>
            <w:r w:rsidR="000D2F43">
              <w:rPr>
                <w:rFonts w:asciiTheme="minorHAnsi" w:hAnsiTheme="minorHAnsi"/>
                <w:sz w:val="18"/>
              </w:rPr>
              <w:t>n</w:t>
            </w:r>
            <w:r>
              <w:rPr>
                <w:rFonts w:asciiTheme="minorHAnsi" w:hAnsiTheme="minorHAnsi"/>
                <w:sz w:val="18"/>
              </w:rPr>
              <w:t xml:space="preserve">acionales de </w:t>
            </w:r>
            <w:r w:rsidR="000D2F43">
              <w:rPr>
                <w:rFonts w:asciiTheme="minorHAnsi" w:hAnsiTheme="minorHAnsi"/>
                <w:sz w:val="18"/>
              </w:rPr>
              <w:t>p</w:t>
            </w:r>
            <w:r>
              <w:rPr>
                <w:rFonts w:asciiTheme="minorHAnsi" w:hAnsiTheme="minorHAnsi"/>
                <w:sz w:val="18"/>
              </w:rPr>
              <w:t xml:space="preserve">roductores y </w:t>
            </w:r>
            <w:r w:rsidR="000D2F43">
              <w:rPr>
                <w:rFonts w:asciiTheme="minorHAnsi" w:hAnsiTheme="minorHAnsi"/>
                <w:sz w:val="18"/>
              </w:rPr>
              <w:t>e</w:t>
            </w:r>
            <w:r>
              <w:rPr>
                <w:rFonts w:asciiTheme="minorHAnsi" w:hAnsiTheme="minorHAnsi"/>
                <w:sz w:val="18"/>
              </w:rPr>
              <w:t>xportadores de flores, banano y cacao por apoyar al sector mediante la representación sindical y la oferta de servicios para hacer llegar a sus destinos el valor añadido de sus productos.</w:t>
            </w:r>
          </w:p>
          <w:p w14:paraId="130C5015" w14:textId="5E171E3D" w:rsidR="001E5459" w:rsidRPr="00587619" w:rsidRDefault="001E5459" w:rsidP="001E5459">
            <w:pPr>
              <w:pStyle w:val="GEFFieldtoFillout"/>
              <w:numPr>
                <w:ilvl w:val="0"/>
                <w:numId w:val="21"/>
              </w:numPr>
              <w:tabs>
                <w:tab w:val="left" w:pos="3950"/>
              </w:tabs>
              <w:spacing w:before="60"/>
              <w:ind w:left="360"/>
              <w:jc w:val="both"/>
              <w:rPr>
                <w:rFonts w:asciiTheme="minorHAnsi" w:hAnsiTheme="minorHAnsi" w:cstheme="minorHAnsi"/>
                <w:bCs/>
                <w:sz w:val="18"/>
                <w:szCs w:val="18"/>
              </w:rPr>
            </w:pPr>
            <w:r>
              <w:rPr>
                <w:rFonts w:asciiTheme="minorHAnsi" w:hAnsiTheme="minorHAnsi"/>
                <w:sz w:val="18"/>
              </w:rPr>
              <w:t xml:space="preserve">Apoyarán la ejecución de proyectos piloto en el marco de los </w:t>
            </w:r>
            <w:r w:rsidR="000D2F43">
              <w:rPr>
                <w:rFonts w:asciiTheme="minorHAnsi" w:hAnsiTheme="minorHAnsi"/>
                <w:sz w:val="18"/>
              </w:rPr>
              <w:t>R</w:t>
            </w:r>
            <w:r>
              <w:rPr>
                <w:rFonts w:asciiTheme="minorHAnsi" w:hAnsiTheme="minorHAnsi"/>
                <w:sz w:val="18"/>
              </w:rPr>
              <w:t>esultados 2.5 y 3.1</w:t>
            </w:r>
          </w:p>
          <w:p w14:paraId="4CB778B2" w14:textId="37EFEFD7" w:rsidR="001E5459" w:rsidRPr="00587619" w:rsidRDefault="001E5459" w:rsidP="001E5459">
            <w:pPr>
              <w:pStyle w:val="GEFFieldtoFillout"/>
              <w:numPr>
                <w:ilvl w:val="0"/>
                <w:numId w:val="21"/>
              </w:numPr>
              <w:tabs>
                <w:tab w:val="left" w:pos="3950"/>
              </w:tabs>
              <w:spacing w:before="60"/>
              <w:ind w:left="360"/>
              <w:jc w:val="both"/>
              <w:rPr>
                <w:rFonts w:asciiTheme="minorHAnsi" w:hAnsiTheme="minorHAnsi" w:cstheme="minorHAnsi"/>
                <w:bCs/>
                <w:sz w:val="18"/>
                <w:szCs w:val="18"/>
              </w:rPr>
            </w:pPr>
            <w:r>
              <w:rPr>
                <w:rFonts w:asciiTheme="minorHAnsi" w:hAnsiTheme="minorHAnsi"/>
                <w:sz w:val="18"/>
              </w:rPr>
              <w:t>Apoyarán la aplicación de las BPA en el marco de la aplicación de mecanismos financieros</w:t>
            </w:r>
          </w:p>
          <w:p w14:paraId="7FDD6210" w14:textId="0AD0D13E" w:rsidR="001E5459" w:rsidRPr="00587619" w:rsidRDefault="001E5459" w:rsidP="001E5459">
            <w:pPr>
              <w:pStyle w:val="GEFFieldtoFillout"/>
              <w:numPr>
                <w:ilvl w:val="0"/>
                <w:numId w:val="21"/>
              </w:numPr>
              <w:tabs>
                <w:tab w:val="left" w:pos="3950"/>
              </w:tabs>
              <w:spacing w:before="60"/>
              <w:ind w:left="360"/>
              <w:jc w:val="both"/>
              <w:rPr>
                <w:rFonts w:asciiTheme="minorHAnsi" w:hAnsiTheme="minorHAnsi" w:cstheme="minorHAnsi"/>
                <w:bCs/>
                <w:sz w:val="18"/>
                <w:szCs w:val="18"/>
              </w:rPr>
            </w:pPr>
            <w:r>
              <w:rPr>
                <w:rFonts w:asciiTheme="minorHAnsi" w:hAnsiTheme="minorHAnsi"/>
                <w:sz w:val="18"/>
              </w:rPr>
              <w:t>Participarán en actividades de sensibilización, difusión de conocimientos, formación y comunicación en el ámbito del proyecto</w:t>
            </w:r>
          </w:p>
        </w:tc>
      </w:tr>
      <w:tr w:rsidR="001E5459" w:rsidRPr="00587619" w14:paraId="46011F51" w14:textId="77777777" w:rsidTr="00587619">
        <w:trPr>
          <w:cantSplit/>
          <w:tblHeader/>
        </w:trPr>
        <w:tc>
          <w:tcPr>
            <w:tcW w:w="1267" w:type="dxa"/>
            <w:vMerge w:val="restart"/>
            <w:shd w:val="clear" w:color="auto" w:fill="auto"/>
            <w:vAlign w:val="center"/>
          </w:tcPr>
          <w:p w14:paraId="7FA6DBB6" w14:textId="5D44614E"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Empresas privadas</w:t>
            </w:r>
          </w:p>
        </w:tc>
        <w:tc>
          <w:tcPr>
            <w:tcW w:w="1362" w:type="dxa"/>
            <w:shd w:val="clear" w:color="auto" w:fill="auto"/>
            <w:vAlign w:val="center"/>
          </w:tcPr>
          <w:p w14:paraId="3F47E0DC" w14:textId="3DCD7816"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Empresas agroquímicas</w:t>
            </w:r>
          </w:p>
        </w:tc>
        <w:tc>
          <w:tcPr>
            <w:tcW w:w="2104" w:type="dxa"/>
          </w:tcPr>
          <w:p w14:paraId="7FD9B0B3" w14:textId="77777777"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Teniendo en cuenta el alcance del proyecto, este grupo está formado por:</w:t>
            </w:r>
          </w:p>
          <w:p w14:paraId="6CBB4155" w14:textId="316A7FC7" w:rsidR="001E5459" w:rsidRPr="00587619" w:rsidRDefault="001E5459" w:rsidP="001E5459">
            <w:pPr>
              <w:pStyle w:val="GEFFieldtoFillout"/>
              <w:numPr>
                <w:ilvl w:val="0"/>
                <w:numId w:val="21"/>
              </w:numPr>
              <w:spacing w:before="40" w:after="40"/>
              <w:ind w:left="360"/>
              <w:rPr>
                <w:rFonts w:asciiTheme="minorHAnsi" w:hAnsiTheme="minorHAnsi" w:cstheme="minorHAnsi"/>
                <w:bCs/>
                <w:sz w:val="18"/>
                <w:szCs w:val="18"/>
              </w:rPr>
            </w:pPr>
            <w:r>
              <w:rPr>
                <w:rFonts w:asciiTheme="minorHAnsi" w:hAnsiTheme="minorHAnsi"/>
                <w:sz w:val="18"/>
              </w:rPr>
              <w:t>BASF</w:t>
            </w:r>
          </w:p>
          <w:p w14:paraId="5DB4B2E2" w14:textId="64326DCE" w:rsidR="001E5459" w:rsidRPr="00587619" w:rsidRDefault="001E5459" w:rsidP="001E5459">
            <w:pPr>
              <w:pStyle w:val="GEFFieldtoFillout"/>
              <w:numPr>
                <w:ilvl w:val="0"/>
                <w:numId w:val="21"/>
              </w:numPr>
              <w:spacing w:before="40" w:after="40"/>
              <w:ind w:left="360"/>
              <w:rPr>
                <w:rFonts w:asciiTheme="minorHAnsi" w:hAnsiTheme="minorHAnsi" w:cstheme="minorHAnsi"/>
                <w:bCs/>
                <w:sz w:val="18"/>
                <w:szCs w:val="18"/>
              </w:rPr>
            </w:pPr>
            <w:r>
              <w:rPr>
                <w:rFonts w:asciiTheme="minorHAnsi" w:hAnsiTheme="minorHAnsi"/>
                <w:sz w:val="18"/>
              </w:rPr>
              <w:t>Equaquimica</w:t>
            </w:r>
          </w:p>
          <w:p w14:paraId="0F1B7E64" w14:textId="28D73C56" w:rsidR="001E5459" w:rsidRPr="00587619" w:rsidRDefault="001E5459" w:rsidP="001E5459">
            <w:pPr>
              <w:pStyle w:val="GEFFieldtoFillout"/>
              <w:numPr>
                <w:ilvl w:val="0"/>
                <w:numId w:val="21"/>
              </w:numPr>
              <w:spacing w:before="40" w:after="40"/>
              <w:ind w:left="360"/>
              <w:rPr>
                <w:rFonts w:asciiTheme="minorHAnsi" w:hAnsiTheme="minorHAnsi" w:cstheme="minorHAnsi"/>
                <w:bCs/>
                <w:sz w:val="18"/>
                <w:szCs w:val="18"/>
              </w:rPr>
            </w:pPr>
            <w:r>
              <w:rPr>
                <w:rFonts w:asciiTheme="minorHAnsi" w:hAnsiTheme="minorHAnsi"/>
                <w:sz w:val="18"/>
              </w:rPr>
              <w:t>Farmagro</w:t>
            </w:r>
          </w:p>
          <w:p w14:paraId="761C2792" w14:textId="211D04AB"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AGRIPAC</w:t>
            </w:r>
          </w:p>
          <w:p w14:paraId="7148EA83" w14:textId="03481A9D"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Bayer</w:t>
            </w:r>
          </w:p>
          <w:p w14:paraId="0031A685" w14:textId="714FC53B"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Inmonte</w:t>
            </w:r>
          </w:p>
          <w:p w14:paraId="1C4E6651" w14:textId="26E50C07"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Adama Andina</w:t>
            </w:r>
          </w:p>
          <w:p w14:paraId="3C0B3F63" w14:textId="57CF2E52"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Dupocsa</w:t>
            </w:r>
          </w:p>
          <w:p w14:paraId="4230F68D" w14:textId="611BA56F"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Interoc</w:t>
            </w:r>
          </w:p>
          <w:p w14:paraId="7CA69027" w14:textId="297AFDD4"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Solagro</w:t>
            </w:r>
          </w:p>
          <w:p w14:paraId="6E688767" w14:textId="275229D4" w:rsidR="001E5459" w:rsidRPr="00587619"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Cumbre Agro</w:t>
            </w:r>
          </w:p>
          <w:p w14:paraId="438A289F" w14:textId="28F4FED0" w:rsidR="001E5459" w:rsidRPr="004738F7" w:rsidRDefault="001E5459" w:rsidP="001E5459">
            <w:pPr>
              <w:pStyle w:val="GEFFieldtoFillout"/>
              <w:numPr>
                <w:ilvl w:val="0"/>
                <w:numId w:val="21"/>
              </w:numPr>
              <w:spacing w:before="40" w:after="40"/>
              <w:ind w:left="360"/>
              <w:rPr>
                <w:rFonts w:asciiTheme="minorHAnsi" w:hAnsiTheme="minorHAnsi" w:cstheme="minorHAnsi"/>
                <w:bCs/>
                <w:color w:val="000000" w:themeColor="text1"/>
                <w:sz w:val="18"/>
                <w:szCs w:val="18"/>
              </w:rPr>
            </w:pPr>
            <w:r>
              <w:rPr>
                <w:rFonts w:asciiTheme="minorHAnsi" w:hAnsiTheme="minorHAnsi"/>
                <w:color w:val="000000" w:themeColor="text1"/>
                <w:sz w:val="18"/>
              </w:rPr>
              <w:t>Incoagro</w:t>
            </w:r>
          </w:p>
        </w:tc>
        <w:tc>
          <w:tcPr>
            <w:tcW w:w="4480" w:type="dxa"/>
            <w:shd w:val="clear" w:color="auto" w:fill="auto"/>
          </w:tcPr>
          <w:p w14:paraId="6F7F00A4" w14:textId="77777777" w:rsidR="001E5459" w:rsidRPr="00587619" w:rsidRDefault="001E5459" w:rsidP="001E5459">
            <w:pPr>
              <w:pStyle w:val="GEFFieldtoFillout"/>
              <w:tabs>
                <w:tab w:val="left" w:pos="3950"/>
              </w:tabs>
              <w:spacing w:before="60"/>
              <w:ind w:left="0"/>
              <w:jc w:val="both"/>
              <w:rPr>
                <w:rFonts w:asciiTheme="minorHAnsi" w:hAnsiTheme="minorHAnsi" w:cstheme="minorHAnsi"/>
                <w:sz w:val="18"/>
                <w:szCs w:val="18"/>
              </w:rPr>
            </w:pPr>
            <w:r>
              <w:rPr>
                <w:rFonts w:asciiTheme="minorHAnsi" w:hAnsiTheme="minorHAnsi"/>
                <w:sz w:val="18"/>
              </w:rPr>
              <w:t>Empresas dedicadas a la importación, venta y distribución de suministros fitosanitarios, semillas y equipos para la producción agrícola.</w:t>
            </w:r>
          </w:p>
          <w:p w14:paraId="2645274B" w14:textId="07F7EB9A" w:rsidR="001E5459" w:rsidRPr="00587619" w:rsidRDefault="001E5459" w:rsidP="001E5459">
            <w:pPr>
              <w:pStyle w:val="GEFFieldtoFillout"/>
              <w:tabs>
                <w:tab w:val="left" w:pos="3950"/>
              </w:tabs>
              <w:spacing w:before="60"/>
              <w:ind w:left="0"/>
              <w:jc w:val="both"/>
              <w:rPr>
                <w:rFonts w:asciiTheme="minorHAnsi" w:hAnsiTheme="minorHAnsi" w:cstheme="minorHAnsi"/>
                <w:sz w:val="18"/>
                <w:szCs w:val="18"/>
              </w:rPr>
            </w:pPr>
            <w:r>
              <w:rPr>
                <w:rFonts w:asciiTheme="minorHAnsi" w:hAnsiTheme="minorHAnsi"/>
                <w:sz w:val="18"/>
              </w:rPr>
              <w:t xml:space="preserve">Las empresas agroquímicas participarán en las actividades de los </w:t>
            </w:r>
            <w:r w:rsidR="000D2F43">
              <w:rPr>
                <w:rFonts w:asciiTheme="minorHAnsi" w:hAnsiTheme="minorHAnsi"/>
                <w:sz w:val="18"/>
              </w:rPr>
              <w:t>R</w:t>
            </w:r>
            <w:r>
              <w:rPr>
                <w:rFonts w:asciiTheme="minorHAnsi" w:hAnsiTheme="minorHAnsi"/>
                <w:sz w:val="18"/>
              </w:rPr>
              <w:t>esultados 1.2, 2.4 y 2.5. Apoyarán además las actividades de difusión y sensibilización</w:t>
            </w:r>
            <w:r w:rsidR="00535C14">
              <w:rPr>
                <w:rFonts w:asciiTheme="minorHAnsi" w:hAnsiTheme="minorHAnsi"/>
                <w:sz w:val="18"/>
              </w:rPr>
              <w:t>.</w:t>
            </w:r>
          </w:p>
        </w:tc>
      </w:tr>
      <w:tr w:rsidR="001E5459" w:rsidRPr="001B17BF" w14:paraId="2973E220" w14:textId="77777777" w:rsidTr="00587619">
        <w:trPr>
          <w:cantSplit/>
          <w:tblHeader/>
        </w:trPr>
        <w:tc>
          <w:tcPr>
            <w:tcW w:w="1267" w:type="dxa"/>
            <w:vMerge/>
            <w:shd w:val="clear" w:color="auto" w:fill="auto"/>
            <w:vAlign w:val="center"/>
          </w:tcPr>
          <w:p w14:paraId="5C9779BB" w14:textId="77777777" w:rsidR="001E5459" w:rsidRPr="00F46CDE" w:rsidRDefault="001E5459" w:rsidP="001E5459">
            <w:pPr>
              <w:spacing w:before="60"/>
              <w:ind w:right="-5"/>
              <w:jc w:val="center"/>
              <w:rPr>
                <w:rFonts w:asciiTheme="minorHAnsi" w:hAnsiTheme="minorHAnsi" w:cstheme="minorHAnsi"/>
                <w:bCs/>
                <w:sz w:val="18"/>
                <w:szCs w:val="18"/>
              </w:rPr>
            </w:pPr>
          </w:p>
        </w:tc>
        <w:tc>
          <w:tcPr>
            <w:tcW w:w="1362" w:type="dxa"/>
            <w:shd w:val="clear" w:color="auto" w:fill="auto"/>
            <w:vAlign w:val="center"/>
          </w:tcPr>
          <w:p w14:paraId="3A25EBED" w14:textId="6CAC7C09"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Empresas de gestión y eliminación de residuos</w:t>
            </w:r>
          </w:p>
        </w:tc>
        <w:tc>
          <w:tcPr>
            <w:tcW w:w="2104" w:type="dxa"/>
          </w:tcPr>
          <w:p w14:paraId="5D5CCB2C" w14:textId="77777777"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Teniendo en cuenta el alcance del proyecto, este grupo está formado por:</w:t>
            </w:r>
          </w:p>
          <w:p w14:paraId="044712FD" w14:textId="7DD77170" w:rsidR="001E5459" w:rsidRPr="00587619" w:rsidRDefault="001E5459" w:rsidP="001E5459">
            <w:pPr>
              <w:pStyle w:val="GEFFieldtoFillout"/>
              <w:numPr>
                <w:ilvl w:val="0"/>
                <w:numId w:val="21"/>
              </w:numPr>
              <w:spacing w:before="40" w:after="40"/>
              <w:ind w:left="360"/>
              <w:rPr>
                <w:rFonts w:asciiTheme="minorHAnsi" w:hAnsiTheme="minorHAnsi" w:cstheme="minorHAnsi"/>
                <w:bCs/>
                <w:sz w:val="18"/>
                <w:szCs w:val="18"/>
              </w:rPr>
            </w:pPr>
            <w:r>
              <w:rPr>
                <w:rFonts w:asciiTheme="minorHAnsi" w:hAnsiTheme="minorHAnsi"/>
                <w:sz w:val="18"/>
              </w:rPr>
              <w:t>GM</w:t>
            </w:r>
          </w:p>
          <w:p w14:paraId="5010D2C1" w14:textId="63A68435" w:rsidR="001E5459" w:rsidRPr="00587619" w:rsidRDefault="001E5459" w:rsidP="001E5459">
            <w:pPr>
              <w:pStyle w:val="GEFFieldtoFillout"/>
              <w:numPr>
                <w:ilvl w:val="0"/>
                <w:numId w:val="21"/>
              </w:numPr>
              <w:spacing w:before="40" w:after="40"/>
              <w:ind w:left="360"/>
              <w:rPr>
                <w:rFonts w:asciiTheme="minorHAnsi" w:hAnsiTheme="minorHAnsi" w:cstheme="minorHAnsi"/>
                <w:bCs/>
                <w:sz w:val="18"/>
                <w:szCs w:val="18"/>
              </w:rPr>
            </w:pPr>
            <w:r>
              <w:rPr>
                <w:rFonts w:asciiTheme="minorHAnsi" w:hAnsiTheme="minorHAnsi"/>
                <w:sz w:val="18"/>
              </w:rPr>
              <w:t>Incinerox</w:t>
            </w:r>
          </w:p>
          <w:p w14:paraId="6E425D6B" w14:textId="66F1DA92" w:rsidR="001E5459" w:rsidRPr="00587619" w:rsidRDefault="001E5459" w:rsidP="001E5459">
            <w:pPr>
              <w:pStyle w:val="GEFFieldtoFillout"/>
              <w:numPr>
                <w:ilvl w:val="0"/>
                <w:numId w:val="21"/>
              </w:numPr>
              <w:spacing w:before="40" w:after="40"/>
              <w:ind w:left="360"/>
              <w:rPr>
                <w:rFonts w:asciiTheme="minorHAnsi" w:hAnsiTheme="minorHAnsi" w:cstheme="minorHAnsi"/>
                <w:bCs/>
                <w:sz w:val="18"/>
                <w:szCs w:val="18"/>
              </w:rPr>
            </w:pPr>
            <w:r>
              <w:rPr>
                <w:rFonts w:asciiTheme="minorHAnsi" w:hAnsiTheme="minorHAnsi"/>
                <w:sz w:val="18"/>
              </w:rPr>
              <w:t>Ecuambiente</w:t>
            </w:r>
          </w:p>
          <w:p w14:paraId="5BD8B9A3" w14:textId="3DFEB408" w:rsidR="001E5459" w:rsidRPr="00587619" w:rsidRDefault="001E5459" w:rsidP="001E5459">
            <w:pPr>
              <w:spacing w:before="60"/>
              <w:ind w:right="-5"/>
              <w:rPr>
                <w:rFonts w:asciiTheme="minorHAnsi" w:hAnsiTheme="minorHAnsi" w:cstheme="minorHAnsi"/>
                <w:bCs/>
                <w:sz w:val="18"/>
                <w:szCs w:val="18"/>
                <w:lang w:val="en-US"/>
              </w:rPr>
            </w:pPr>
          </w:p>
        </w:tc>
        <w:tc>
          <w:tcPr>
            <w:tcW w:w="4480" w:type="dxa"/>
            <w:shd w:val="clear" w:color="auto" w:fill="auto"/>
          </w:tcPr>
          <w:p w14:paraId="39EAF8AC" w14:textId="3D13217A" w:rsidR="001E5459" w:rsidRPr="00587619" w:rsidRDefault="001E5459" w:rsidP="001E5459">
            <w:pPr>
              <w:jc w:val="both"/>
              <w:rPr>
                <w:rFonts w:asciiTheme="minorHAnsi" w:hAnsiTheme="minorHAnsi" w:cstheme="minorHAnsi"/>
                <w:color w:val="000000" w:themeColor="text1"/>
                <w:sz w:val="18"/>
                <w:szCs w:val="18"/>
              </w:rPr>
            </w:pPr>
            <w:r>
              <w:rPr>
                <w:rFonts w:asciiTheme="minorHAnsi" w:hAnsiTheme="minorHAnsi"/>
                <w:sz w:val="18"/>
              </w:rPr>
              <w:t>Estas empresas tienen licencia para realizar actividades de tratamiento y eliminación de residuos peligrosos en el ámbito del proyecto (plaguicidas COP/plaguicidas PAP y plásticos de uso agrícola). En consecuencia, estas empresas</w:t>
            </w:r>
            <w:r>
              <w:rPr>
                <w:rFonts w:asciiTheme="minorHAnsi" w:hAnsiTheme="minorHAnsi"/>
                <w:color w:val="000000" w:themeColor="text1"/>
                <w:sz w:val="18"/>
              </w:rPr>
              <w:t>:</w:t>
            </w:r>
          </w:p>
          <w:p w14:paraId="3D5370B7" w14:textId="4D162FA3" w:rsidR="001E5459" w:rsidRPr="00587619" w:rsidRDefault="001E5459" w:rsidP="001E5459">
            <w:pPr>
              <w:pStyle w:val="Prrafodelista"/>
              <w:numPr>
                <w:ilvl w:val="0"/>
                <w:numId w:val="30"/>
              </w:numPr>
              <w:ind w:left="357" w:hanging="357"/>
              <w:jc w:val="both"/>
              <w:rPr>
                <w:rFonts w:asciiTheme="minorHAnsi" w:hAnsiTheme="minorHAnsi" w:cstheme="minorHAnsi"/>
                <w:color w:val="000000" w:themeColor="text1"/>
                <w:sz w:val="18"/>
                <w:szCs w:val="18"/>
              </w:rPr>
            </w:pPr>
            <w:r>
              <w:rPr>
                <w:rFonts w:asciiTheme="minorHAnsi" w:hAnsiTheme="minorHAnsi"/>
                <w:color w:val="000000" w:themeColor="text1"/>
                <w:sz w:val="18"/>
              </w:rPr>
              <w:t>Participarán en la ejecución de las actividades del Resultado 2.5</w:t>
            </w:r>
          </w:p>
          <w:p w14:paraId="24569A8D" w14:textId="672E5EFF" w:rsidR="001E5459" w:rsidRPr="00587619" w:rsidRDefault="001E5459" w:rsidP="001E5459">
            <w:pPr>
              <w:pStyle w:val="Prrafodelista"/>
              <w:numPr>
                <w:ilvl w:val="0"/>
                <w:numId w:val="30"/>
              </w:numPr>
              <w:ind w:left="357" w:hanging="357"/>
              <w:jc w:val="both"/>
              <w:rPr>
                <w:rFonts w:asciiTheme="minorHAnsi" w:hAnsiTheme="minorHAnsi" w:cstheme="minorHAnsi"/>
                <w:color w:val="000000" w:themeColor="text1"/>
                <w:sz w:val="18"/>
                <w:szCs w:val="18"/>
              </w:rPr>
            </w:pPr>
            <w:r>
              <w:rPr>
                <w:rFonts w:asciiTheme="minorHAnsi" w:hAnsiTheme="minorHAnsi"/>
                <w:color w:val="000000" w:themeColor="text1"/>
                <w:sz w:val="18"/>
              </w:rPr>
              <w:t>Proporcionarán capacidad técnica para el tratamiento y la eliminación de residuos peligrosos (pesticidas y plásticos de uso agrícola)</w:t>
            </w:r>
          </w:p>
        </w:tc>
      </w:tr>
      <w:tr w:rsidR="001E5459" w:rsidRPr="001B17BF" w14:paraId="0871DC8D" w14:textId="77777777" w:rsidTr="00587619">
        <w:trPr>
          <w:cantSplit/>
          <w:tblHeader/>
        </w:trPr>
        <w:tc>
          <w:tcPr>
            <w:tcW w:w="1267" w:type="dxa"/>
            <w:shd w:val="clear" w:color="auto" w:fill="auto"/>
            <w:vAlign w:val="center"/>
          </w:tcPr>
          <w:p w14:paraId="750155A9" w14:textId="77777777"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Academia</w:t>
            </w:r>
          </w:p>
        </w:tc>
        <w:tc>
          <w:tcPr>
            <w:tcW w:w="1362" w:type="dxa"/>
            <w:shd w:val="clear" w:color="auto" w:fill="auto"/>
            <w:vAlign w:val="center"/>
          </w:tcPr>
          <w:p w14:paraId="4F401979" w14:textId="21447834"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Universidades</w:t>
            </w:r>
          </w:p>
        </w:tc>
        <w:tc>
          <w:tcPr>
            <w:tcW w:w="2104" w:type="dxa"/>
          </w:tcPr>
          <w:p w14:paraId="55F0B297" w14:textId="77777777"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Teniendo en cuenta el alcance del proyecto, este grupo está formado por:</w:t>
            </w:r>
          </w:p>
          <w:p w14:paraId="72E71FA9" w14:textId="31C7C8B1" w:rsidR="001E5459" w:rsidRPr="00587619" w:rsidRDefault="001E5459" w:rsidP="001E5459">
            <w:pPr>
              <w:pStyle w:val="GEFFieldtoFillout"/>
              <w:numPr>
                <w:ilvl w:val="0"/>
                <w:numId w:val="21"/>
              </w:numPr>
              <w:spacing w:before="60" w:after="60"/>
              <w:ind w:left="360"/>
              <w:rPr>
                <w:rFonts w:asciiTheme="minorHAnsi" w:hAnsiTheme="minorHAnsi" w:cstheme="minorHAnsi"/>
                <w:i/>
                <w:color w:val="auto"/>
                <w:sz w:val="18"/>
                <w:szCs w:val="18"/>
              </w:rPr>
            </w:pPr>
            <w:r>
              <w:rPr>
                <w:rFonts w:asciiTheme="minorHAnsi" w:hAnsiTheme="minorHAnsi"/>
                <w:sz w:val="18"/>
              </w:rPr>
              <w:t>Escuela Politécnica Superior del Litoral (ESPOL)</w:t>
            </w:r>
          </w:p>
          <w:p w14:paraId="461341D1" w14:textId="60649A4C" w:rsidR="001E5459" w:rsidRPr="00587619" w:rsidRDefault="001E5459" w:rsidP="001E5459">
            <w:pPr>
              <w:pStyle w:val="GEFFieldtoFillout"/>
              <w:numPr>
                <w:ilvl w:val="0"/>
                <w:numId w:val="21"/>
              </w:numPr>
              <w:spacing w:before="60" w:after="60"/>
              <w:ind w:left="360"/>
              <w:rPr>
                <w:rFonts w:asciiTheme="minorHAnsi" w:hAnsiTheme="minorHAnsi" w:cstheme="minorHAnsi"/>
                <w:i/>
                <w:color w:val="auto"/>
                <w:sz w:val="18"/>
                <w:szCs w:val="18"/>
              </w:rPr>
            </w:pPr>
            <w:r>
              <w:rPr>
                <w:rFonts w:asciiTheme="minorHAnsi" w:hAnsiTheme="minorHAnsi"/>
                <w:sz w:val="18"/>
              </w:rPr>
              <w:t>Universidad Agraria de Ecuador (UAGRARIA)</w:t>
            </w:r>
          </w:p>
          <w:p w14:paraId="0FE279FD" w14:textId="38C03F2F" w:rsidR="001E5459" w:rsidRPr="00587619" w:rsidRDefault="001E5459" w:rsidP="001E5459">
            <w:pPr>
              <w:pStyle w:val="GEFFieldtoFillout"/>
              <w:numPr>
                <w:ilvl w:val="0"/>
                <w:numId w:val="21"/>
              </w:numPr>
              <w:spacing w:before="60" w:after="60"/>
              <w:ind w:left="360"/>
              <w:rPr>
                <w:rFonts w:asciiTheme="minorHAnsi" w:hAnsiTheme="minorHAnsi" w:cstheme="minorHAnsi"/>
                <w:color w:val="auto"/>
                <w:sz w:val="18"/>
                <w:szCs w:val="18"/>
              </w:rPr>
            </w:pPr>
            <w:r>
              <w:rPr>
                <w:rFonts w:asciiTheme="minorHAnsi" w:hAnsiTheme="minorHAnsi"/>
                <w:sz w:val="18"/>
              </w:rPr>
              <w:t>Universidad Central del Ecuador (UCE)</w:t>
            </w:r>
          </w:p>
          <w:p w14:paraId="25C9697C" w14:textId="6B2268A3" w:rsidR="001E5459" w:rsidRPr="00587619" w:rsidRDefault="001E5459" w:rsidP="001E5459">
            <w:pPr>
              <w:pStyle w:val="GEFFieldtoFillout"/>
              <w:numPr>
                <w:ilvl w:val="0"/>
                <w:numId w:val="21"/>
              </w:numPr>
              <w:spacing w:before="60" w:after="60"/>
              <w:ind w:left="360"/>
              <w:rPr>
                <w:rFonts w:asciiTheme="minorHAnsi" w:hAnsiTheme="minorHAnsi" w:cstheme="minorHAnsi"/>
                <w:color w:val="auto"/>
                <w:sz w:val="18"/>
                <w:szCs w:val="18"/>
              </w:rPr>
            </w:pPr>
            <w:r>
              <w:rPr>
                <w:rFonts w:asciiTheme="minorHAnsi" w:hAnsiTheme="minorHAnsi"/>
                <w:sz w:val="18"/>
              </w:rPr>
              <w:t>Escuela Superior Politécnica del Chimborazo (ESPOCH)</w:t>
            </w:r>
          </w:p>
          <w:p w14:paraId="3BCE51C2" w14:textId="7ADA5CA1" w:rsidR="001E5459" w:rsidRPr="00587619" w:rsidRDefault="001E5459" w:rsidP="001E5459">
            <w:pPr>
              <w:pStyle w:val="GEFFieldtoFillout"/>
              <w:numPr>
                <w:ilvl w:val="0"/>
                <w:numId w:val="21"/>
              </w:numPr>
              <w:spacing w:before="60" w:after="60"/>
              <w:ind w:left="360"/>
              <w:rPr>
                <w:rFonts w:asciiTheme="minorHAnsi" w:hAnsiTheme="minorHAnsi" w:cstheme="minorHAnsi"/>
                <w:i/>
                <w:color w:val="auto"/>
                <w:sz w:val="18"/>
                <w:szCs w:val="18"/>
              </w:rPr>
            </w:pPr>
            <w:r>
              <w:rPr>
                <w:rFonts w:asciiTheme="minorHAnsi" w:hAnsiTheme="minorHAnsi"/>
                <w:sz w:val="18"/>
              </w:rPr>
              <w:t>Universidad Técnica de Machala (UTMACH)</w:t>
            </w:r>
          </w:p>
          <w:p w14:paraId="1060062F" w14:textId="398A7066" w:rsidR="001E5459" w:rsidRPr="00587619" w:rsidRDefault="001E5459" w:rsidP="001E5459">
            <w:pPr>
              <w:pStyle w:val="GEFFieldtoFillout"/>
              <w:numPr>
                <w:ilvl w:val="0"/>
                <w:numId w:val="21"/>
              </w:numPr>
              <w:spacing w:before="60" w:after="60"/>
              <w:ind w:left="360"/>
              <w:rPr>
                <w:rFonts w:asciiTheme="minorHAnsi" w:hAnsiTheme="minorHAnsi" w:cstheme="minorHAnsi"/>
                <w:i/>
                <w:color w:val="auto"/>
                <w:sz w:val="18"/>
                <w:szCs w:val="18"/>
              </w:rPr>
            </w:pPr>
            <w:r>
              <w:rPr>
                <w:rFonts w:asciiTheme="minorHAnsi" w:hAnsiTheme="minorHAnsi"/>
                <w:sz w:val="18"/>
              </w:rPr>
              <w:t>Universidad San Francisco de Quito (USFQ)</w:t>
            </w:r>
          </w:p>
        </w:tc>
        <w:tc>
          <w:tcPr>
            <w:tcW w:w="4480" w:type="dxa"/>
            <w:shd w:val="clear" w:color="auto" w:fill="auto"/>
          </w:tcPr>
          <w:p w14:paraId="7FE2AF33" w14:textId="13C382C7" w:rsidR="001E5459" w:rsidRPr="00587619" w:rsidRDefault="001E5459" w:rsidP="001E5459">
            <w:pPr>
              <w:pStyle w:val="GEFFieldtoFillout"/>
              <w:tabs>
                <w:tab w:val="left" w:pos="3950"/>
              </w:tabs>
              <w:spacing w:before="60"/>
              <w:ind w:left="0"/>
              <w:jc w:val="both"/>
              <w:rPr>
                <w:rFonts w:asciiTheme="minorHAnsi" w:hAnsiTheme="minorHAnsi" w:cstheme="minorHAnsi"/>
                <w:bCs/>
                <w:sz w:val="18"/>
                <w:szCs w:val="18"/>
              </w:rPr>
            </w:pPr>
            <w:r>
              <w:rPr>
                <w:rFonts w:asciiTheme="minorHAnsi" w:hAnsiTheme="minorHAnsi"/>
                <w:sz w:val="18"/>
              </w:rPr>
              <w:t>Instituciones educativas, cuyos ejes sustantivos son la docencia, investigación y vinculación con la comunidad; así como el desempeño profesional ético, solidario, honesto y de permanente responsabilidad social y con el entorno.</w:t>
            </w:r>
          </w:p>
          <w:p w14:paraId="5CB70C2F" w14:textId="77777777" w:rsidR="001E5459" w:rsidRPr="00587619" w:rsidRDefault="001E5459" w:rsidP="001E5459">
            <w:pPr>
              <w:pStyle w:val="GEFFieldtoFillout"/>
              <w:spacing w:before="60"/>
              <w:ind w:left="0"/>
              <w:jc w:val="both"/>
              <w:rPr>
                <w:rFonts w:asciiTheme="minorHAnsi" w:hAnsiTheme="minorHAnsi" w:cstheme="minorHAnsi"/>
                <w:color w:val="auto"/>
                <w:sz w:val="18"/>
                <w:szCs w:val="18"/>
              </w:rPr>
            </w:pPr>
            <w:r>
              <w:rPr>
                <w:rFonts w:asciiTheme="minorHAnsi" w:hAnsiTheme="minorHAnsi"/>
                <w:color w:val="auto"/>
                <w:sz w:val="18"/>
              </w:rPr>
              <w:t>Las universidades:</w:t>
            </w:r>
          </w:p>
          <w:p w14:paraId="54BA1BD7" w14:textId="497FF509" w:rsidR="001E5459" w:rsidRPr="00587619" w:rsidRDefault="001E5459" w:rsidP="001E5459">
            <w:pPr>
              <w:pStyle w:val="GEFFieldtoFillout"/>
              <w:numPr>
                <w:ilvl w:val="0"/>
                <w:numId w:val="31"/>
              </w:numPr>
              <w:spacing w:before="60"/>
              <w:ind w:left="372" w:hanging="295"/>
              <w:jc w:val="both"/>
              <w:rPr>
                <w:rFonts w:asciiTheme="minorHAnsi" w:hAnsiTheme="minorHAnsi" w:cstheme="minorHAnsi"/>
                <w:color w:val="000000" w:themeColor="text1"/>
                <w:sz w:val="18"/>
                <w:szCs w:val="18"/>
              </w:rPr>
            </w:pPr>
            <w:r>
              <w:rPr>
                <w:rFonts w:asciiTheme="minorHAnsi" w:hAnsiTheme="minorHAnsi"/>
                <w:color w:val="000000" w:themeColor="text1"/>
                <w:sz w:val="18"/>
              </w:rPr>
              <w:t>Participarán en el desarrollo del Plan Nacional de Reducción en el marco del Resultado 1.3 y en la investigación y acción participativas en agroecología en el marco del Resultado 3.1</w:t>
            </w:r>
          </w:p>
          <w:p w14:paraId="755B4ED9" w14:textId="78FF5438" w:rsidR="001E5459" w:rsidRPr="00587619" w:rsidRDefault="001E5459" w:rsidP="001E5459">
            <w:pPr>
              <w:pStyle w:val="GEFFieldtoFillout"/>
              <w:numPr>
                <w:ilvl w:val="0"/>
                <w:numId w:val="31"/>
              </w:numPr>
              <w:spacing w:before="60"/>
              <w:ind w:left="372" w:hanging="295"/>
              <w:jc w:val="both"/>
              <w:rPr>
                <w:rFonts w:asciiTheme="minorHAnsi" w:hAnsiTheme="minorHAnsi" w:cstheme="minorHAnsi"/>
                <w:color w:val="000000" w:themeColor="text1"/>
                <w:sz w:val="18"/>
                <w:szCs w:val="18"/>
              </w:rPr>
            </w:pPr>
            <w:r>
              <w:rPr>
                <w:rFonts w:asciiTheme="minorHAnsi" w:hAnsiTheme="minorHAnsi"/>
                <w:color w:val="000000" w:themeColor="text1"/>
                <w:sz w:val="18"/>
              </w:rPr>
              <w:t>Difundirá</w:t>
            </w:r>
            <w:r w:rsidR="00535C14">
              <w:rPr>
                <w:rFonts w:asciiTheme="minorHAnsi" w:hAnsiTheme="minorHAnsi"/>
                <w:color w:val="000000" w:themeColor="text1"/>
                <w:sz w:val="18"/>
              </w:rPr>
              <w:t>n</w:t>
            </w:r>
            <w:r>
              <w:rPr>
                <w:rFonts w:asciiTheme="minorHAnsi" w:hAnsiTheme="minorHAnsi"/>
                <w:color w:val="000000" w:themeColor="text1"/>
                <w:sz w:val="18"/>
              </w:rPr>
              <w:t xml:space="preserve"> información y participará</w:t>
            </w:r>
            <w:r w:rsidR="00535C14">
              <w:rPr>
                <w:rFonts w:asciiTheme="minorHAnsi" w:hAnsiTheme="minorHAnsi"/>
                <w:color w:val="000000" w:themeColor="text1"/>
                <w:sz w:val="18"/>
              </w:rPr>
              <w:t>n</w:t>
            </w:r>
            <w:r>
              <w:rPr>
                <w:rFonts w:asciiTheme="minorHAnsi" w:hAnsiTheme="minorHAnsi"/>
                <w:color w:val="000000" w:themeColor="text1"/>
                <w:sz w:val="18"/>
              </w:rPr>
              <w:t xml:space="preserve"> en programas educativos de concienciación sobre los COPs/ PAPs y residuos plásticos</w:t>
            </w:r>
          </w:p>
          <w:p w14:paraId="4AECCAA0" w14:textId="764EE4A6" w:rsidR="001E5459" w:rsidRPr="00587619" w:rsidRDefault="001E5459" w:rsidP="001E5459">
            <w:pPr>
              <w:pStyle w:val="GEFFieldtoFillout"/>
              <w:numPr>
                <w:ilvl w:val="0"/>
                <w:numId w:val="31"/>
              </w:numPr>
              <w:spacing w:before="60"/>
              <w:ind w:left="372" w:hanging="295"/>
              <w:jc w:val="both"/>
              <w:rPr>
                <w:rFonts w:asciiTheme="minorHAnsi" w:hAnsiTheme="minorHAnsi" w:cstheme="minorHAnsi"/>
                <w:color w:val="auto"/>
                <w:sz w:val="18"/>
                <w:szCs w:val="18"/>
              </w:rPr>
            </w:pPr>
            <w:r>
              <w:rPr>
                <w:rFonts w:asciiTheme="minorHAnsi" w:hAnsiTheme="minorHAnsi"/>
                <w:color w:val="000000" w:themeColor="text1"/>
                <w:sz w:val="18"/>
              </w:rPr>
              <w:t>Compartirá</w:t>
            </w:r>
            <w:r w:rsidR="00535C14">
              <w:rPr>
                <w:rFonts w:asciiTheme="minorHAnsi" w:hAnsiTheme="minorHAnsi"/>
                <w:color w:val="000000" w:themeColor="text1"/>
                <w:sz w:val="18"/>
              </w:rPr>
              <w:t>n</w:t>
            </w:r>
            <w:r>
              <w:rPr>
                <w:rFonts w:asciiTheme="minorHAnsi" w:hAnsiTheme="minorHAnsi"/>
                <w:color w:val="000000" w:themeColor="text1"/>
                <w:sz w:val="18"/>
              </w:rPr>
              <w:t xml:space="preserve"> investigaciones y </w:t>
            </w:r>
            <w:r>
              <w:rPr>
                <w:rFonts w:asciiTheme="minorHAnsi" w:hAnsiTheme="minorHAnsi"/>
                <w:color w:val="auto"/>
                <w:sz w:val="18"/>
              </w:rPr>
              <w:t>avances tecnológicos</w:t>
            </w:r>
          </w:p>
          <w:p w14:paraId="12A6149F" w14:textId="49FC95E2" w:rsidR="001E5459" w:rsidRPr="0058761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De acuerdo con la cobertura del proyecto, especialmente en lo que respecta a los lugares seleccionados para desarrollar los proyectos de demostración, otras instituciones académicas pertinentes seguirán participando en el desarrollo del proyecto.</w:t>
            </w:r>
          </w:p>
        </w:tc>
      </w:tr>
      <w:tr w:rsidR="001E5459" w:rsidRPr="001B17BF" w14:paraId="42D6A211" w14:textId="77777777" w:rsidTr="00587619">
        <w:trPr>
          <w:cantSplit/>
          <w:trHeight w:val="63"/>
          <w:tblHeader/>
        </w:trPr>
        <w:tc>
          <w:tcPr>
            <w:tcW w:w="1267" w:type="dxa"/>
            <w:shd w:val="clear" w:color="auto" w:fill="auto"/>
            <w:vAlign w:val="center"/>
          </w:tcPr>
          <w:p w14:paraId="77A70A74" w14:textId="3223C2D1" w:rsidR="001E5459" w:rsidRPr="00587619" w:rsidRDefault="001E5459" w:rsidP="001E5459">
            <w:pPr>
              <w:spacing w:before="60"/>
              <w:ind w:right="-5"/>
              <w:jc w:val="center"/>
              <w:rPr>
                <w:rFonts w:asciiTheme="minorHAnsi" w:hAnsiTheme="minorHAnsi" w:cstheme="minorHAnsi"/>
                <w:bCs/>
                <w:sz w:val="18"/>
                <w:szCs w:val="18"/>
              </w:rPr>
            </w:pPr>
            <w:r>
              <w:rPr>
                <w:rFonts w:asciiTheme="minorHAnsi" w:hAnsiTheme="minorHAnsi"/>
                <w:sz w:val="18"/>
              </w:rPr>
              <w:t>Beneficiarios</w:t>
            </w:r>
          </w:p>
        </w:tc>
        <w:tc>
          <w:tcPr>
            <w:tcW w:w="1362" w:type="dxa"/>
            <w:shd w:val="clear" w:color="auto" w:fill="auto"/>
            <w:vAlign w:val="center"/>
          </w:tcPr>
          <w:p w14:paraId="5E48FB0D" w14:textId="56078E7E" w:rsidR="001E5459" w:rsidRPr="00587619" w:rsidRDefault="001E5459" w:rsidP="001E5459">
            <w:pPr>
              <w:spacing w:before="60"/>
              <w:ind w:right="-5"/>
              <w:jc w:val="center"/>
              <w:rPr>
                <w:rFonts w:asciiTheme="minorHAnsi" w:hAnsiTheme="minorHAnsi" w:cstheme="minorHAnsi"/>
                <w:bCs/>
                <w:sz w:val="18"/>
                <w:szCs w:val="18"/>
              </w:rPr>
            </w:pPr>
          </w:p>
        </w:tc>
        <w:tc>
          <w:tcPr>
            <w:tcW w:w="2104" w:type="dxa"/>
            <w:vAlign w:val="center"/>
          </w:tcPr>
          <w:p w14:paraId="30D405C1" w14:textId="58D575F7" w:rsidR="001E5459" w:rsidRPr="00587619" w:rsidRDefault="001E5459" w:rsidP="001E5459">
            <w:pPr>
              <w:spacing w:before="60"/>
              <w:ind w:right="-5"/>
              <w:rPr>
                <w:rFonts w:asciiTheme="minorHAnsi" w:hAnsiTheme="minorHAnsi" w:cstheme="minorHAnsi"/>
                <w:bCs/>
                <w:sz w:val="18"/>
                <w:szCs w:val="18"/>
              </w:rPr>
            </w:pPr>
            <w:r>
              <w:rPr>
                <w:rFonts w:asciiTheme="minorHAnsi" w:hAnsiTheme="minorHAnsi"/>
                <w:sz w:val="18"/>
              </w:rPr>
              <w:t>Pequeños y medianos agricultores</w:t>
            </w:r>
          </w:p>
        </w:tc>
        <w:tc>
          <w:tcPr>
            <w:tcW w:w="4480" w:type="dxa"/>
            <w:shd w:val="clear" w:color="auto" w:fill="auto"/>
          </w:tcPr>
          <w:p w14:paraId="5F5F4BC8" w14:textId="002F4434" w:rsidR="001E5459" w:rsidRPr="00587619" w:rsidRDefault="001E5459" w:rsidP="001E5459">
            <w:pPr>
              <w:spacing w:before="60"/>
              <w:ind w:right="-5"/>
              <w:jc w:val="both"/>
              <w:rPr>
                <w:rFonts w:asciiTheme="minorHAnsi" w:hAnsiTheme="minorHAnsi" w:cstheme="minorHAnsi"/>
                <w:bCs/>
                <w:sz w:val="18"/>
                <w:szCs w:val="18"/>
              </w:rPr>
            </w:pPr>
            <w:r>
              <w:rPr>
                <w:rFonts w:asciiTheme="minorHAnsi" w:hAnsiTheme="minorHAnsi"/>
                <w:sz w:val="18"/>
              </w:rPr>
              <w:t>Este sector es de gran relevancia en el ámbito del proyecto. Por consiguiente, las actividades que se lleven a cabo repercutirán positivamente en su nivel de vida, su salud y el medio ambiente.</w:t>
            </w:r>
          </w:p>
          <w:p w14:paraId="50ED8365" w14:textId="34331907" w:rsidR="001E5459" w:rsidRPr="00587619" w:rsidRDefault="001E5459" w:rsidP="001E5459">
            <w:pPr>
              <w:spacing w:before="60"/>
              <w:ind w:right="-5"/>
              <w:jc w:val="both"/>
              <w:rPr>
                <w:rFonts w:asciiTheme="minorHAnsi" w:hAnsiTheme="minorHAnsi" w:cstheme="minorHAnsi"/>
                <w:bCs/>
                <w:color w:val="000000" w:themeColor="text1"/>
                <w:sz w:val="18"/>
                <w:szCs w:val="18"/>
              </w:rPr>
            </w:pPr>
            <w:r>
              <w:rPr>
                <w:rFonts w:asciiTheme="minorHAnsi" w:hAnsiTheme="minorHAnsi"/>
                <w:color w:val="000000" w:themeColor="text1"/>
                <w:sz w:val="18"/>
              </w:rPr>
              <w:t>Los agricultores serán actores clave durante todo el ciclo de vida del proyecto. Participarán en actividades de sensibilización, difusión de conocimientos, formación y comunicación en el ámbito del proyecto. Participarán principalmente en las actividades de los componentes 2 y 3.</w:t>
            </w:r>
          </w:p>
        </w:tc>
      </w:tr>
    </w:tbl>
    <w:p w14:paraId="6C73CA4B" w14:textId="387AC696" w:rsidR="00CF21A4" w:rsidRDefault="00C313EE" w:rsidP="00CF21A4">
      <w:pPr>
        <w:pStyle w:val="GEFFieldtoFillout"/>
        <w:shd w:val="clear" w:color="auto" w:fill="FFFFFF"/>
        <w:tabs>
          <w:tab w:val="left" w:pos="567"/>
        </w:tabs>
        <w:spacing w:before="120" w:after="120"/>
        <w:ind w:left="0" w:right="-5"/>
        <w:jc w:val="both"/>
        <w:rPr>
          <w:rFonts w:asciiTheme="minorHAnsi" w:hAnsiTheme="minorHAnsi" w:cstheme="minorHAnsi"/>
          <w:noProof/>
          <w:sz w:val="20"/>
          <w:szCs w:val="20"/>
        </w:rPr>
      </w:pPr>
      <w:r>
        <w:rPr>
          <w:rFonts w:asciiTheme="minorHAnsi" w:hAnsiTheme="minorHAnsi"/>
          <w:sz w:val="20"/>
        </w:rPr>
        <w:t xml:space="preserve">También, en relación con las alianzas institucionales, hay un grupo de proyectos financiados por el FMAM y otras iniciativas en Ecuador que se están ejecutando actualmente en relación con el reto de desarrollo que también aborda este proyecto, y que podrían proporcionar cierto apoyo adicional al fortalecimiento de este enfoque de alianza institucional. Gracias a la implicación de los socios institucionales en algunos de ellos, parece de mutuo beneficio la consecución de los resultados de este proyecto. En concreto, este </w:t>
      </w:r>
      <w:r w:rsidR="00F15011">
        <w:rPr>
          <w:rFonts w:asciiTheme="minorHAnsi" w:hAnsiTheme="minorHAnsi"/>
          <w:sz w:val="20"/>
        </w:rPr>
        <w:t>FSP</w:t>
      </w:r>
      <w:r>
        <w:rPr>
          <w:rFonts w:asciiTheme="minorHAnsi" w:hAnsiTheme="minorHAnsi"/>
          <w:sz w:val="20"/>
        </w:rPr>
        <w:t xml:space="preserve"> garantizará la coordinación y contará con la capacidad desarrollada y los conocimientos adquiridos en los proyectos concurrentes que ya están en marcha, como se muestra en </w:t>
      </w:r>
      <w:r>
        <w:rPr>
          <w:rFonts w:asciiTheme="minorHAnsi" w:hAnsiTheme="minorHAnsi"/>
          <w:color w:val="000000" w:themeColor="text1"/>
          <w:sz w:val="20"/>
        </w:rPr>
        <w:t xml:space="preserve">el </w:t>
      </w:r>
      <w:r>
        <w:rPr>
          <w:rFonts w:asciiTheme="minorHAnsi" w:hAnsiTheme="minorHAnsi"/>
          <w:sz w:val="20"/>
        </w:rPr>
        <w:t>siguiente cuadro:</w:t>
      </w:r>
      <w:bookmarkStart w:id="28" w:name="_Toc86512323"/>
      <w:bookmarkStart w:id="29" w:name="_Toc114650461"/>
    </w:p>
    <w:p w14:paraId="2D032378" w14:textId="10514069" w:rsidR="001A4DB0" w:rsidRPr="00CF21A4" w:rsidRDefault="00DA3263" w:rsidP="00CF21A4">
      <w:pPr>
        <w:pStyle w:val="GEFFieldtoFillout"/>
        <w:shd w:val="clear" w:color="auto" w:fill="FFFFFF"/>
        <w:tabs>
          <w:tab w:val="left" w:pos="567"/>
        </w:tabs>
        <w:spacing w:before="120" w:after="120"/>
        <w:ind w:left="0" w:right="-5"/>
        <w:jc w:val="both"/>
        <w:rPr>
          <w:rFonts w:asciiTheme="minorHAnsi" w:hAnsiTheme="minorHAnsi" w:cstheme="minorHAnsi"/>
          <w:b/>
          <w:bCs/>
          <w:noProof/>
          <w:sz w:val="20"/>
          <w:szCs w:val="20"/>
        </w:rPr>
      </w:pPr>
      <w:r>
        <w:rPr>
          <w:rFonts w:asciiTheme="minorHAnsi" w:hAnsiTheme="minorHAnsi"/>
          <w:b/>
          <w:sz w:val="18"/>
        </w:rPr>
        <w:t xml:space="preserve">Tabla </w:t>
      </w:r>
      <w:r w:rsidRPr="00CF21A4">
        <w:rPr>
          <w:rFonts w:asciiTheme="minorHAnsi" w:hAnsiTheme="minorHAnsi" w:cstheme="minorHAnsi"/>
          <w:b/>
          <w:sz w:val="18"/>
        </w:rPr>
        <w:fldChar w:fldCharType="begin"/>
      </w:r>
      <w:r w:rsidRPr="00CF21A4">
        <w:rPr>
          <w:rFonts w:asciiTheme="minorHAnsi" w:hAnsiTheme="minorHAnsi" w:cstheme="minorHAnsi"/>
          <w:b/>
          <w:sz w:val="18"/>
        </w:rPr>
        <w:instrText xml:space="preserve"> SEQ Table \* ARABIC </w:instrText>
      </w:r>
      <w:r w:rsidRPr="00CF21A4">
        <w:rPr>
          <w:rFonts w:asciiTheme="minorHAnsi" w:hAnsiTheme="minorHAnsi" w:cstheme="minorHAnsi"/>
          <w:b/>
          <w:sz w:val="18"/>
        </w:rPr>
        <w:fldChar w:fldCharType="separate"/>
      </w:r>
      <w:r w:rsidR="004D0AC8">
        <w:rPr>
          <w:rFonts w:asciiTheme="minorHAnsi" w:hAnsiTheme="minorHAnsi" w:cstheme="minorHAnsi"/>
          <w:b/>
          <w:noProof/>
          <w:sz w:val="18"/>
        </w:rPr>
        <w:t>11</w:t>
      </w:r>
      <w:r w:rsidRPr="00CF21A4">
        <w:rPr>
          <w:rFonts w:asciiTheme="minorHAnsi" w:hAnsiTheme="minorHAnsi" w:cstheme="minorHAnsi"/>
          <w:b/>
          <w:sz w:val="18"/>
        </w:rPr>
        <w:fldChar w:fldCharType="end"/>
      </w:r>
      <w:r>
        <w:rPr>
          <w:rFonts w:asciiTheme="minorHAnsi" w:hAnsiTheme="minorHAnsi"/>
          <w:b/>
          <w:sz w:val="18"/>
        </w:rPr>
        <w:t xml:space="preserve">: Otros proyectos en curso relacionados con este </w:t>
      </w:r>
      <w:r w:rsidR="00F15011">
        <w:rPr>
          <w:rFonts w:asciiTheme="minorHAnsi" w:hAnsiTheme="minorHAnsi"/>
          <w:b/>
          <w:sz w:val="18"/>
        </w:rPr>
        <w:t>FSP</w:t>
      </w:r>
      <w:bookmarkEnd w:id="28"/>
      <w:bookmarkEnd w:id="29"/>
    </w:p>
    <w:tbl>
      <w:tblPr>
        <w:tblStyle w:val="Tablaconcuadrcula"/>
        <w:tblW w:w="9209" w:type="dxa"/>
        <w:jc w:val="center"/>
        <w:shd w:val="clear" w:color="auto" w:fill="D9D9D9" w:themeFill="background1" w:themeFillShade="D9"/>
        <w:tblLook w:val="04A0" w:firstRow="1" w:lastRow="0" w:firstColumn="1" w:lastColumn="0" w:noHBand="0" w:noVBand="1"/>
      </w:tblPr>
      <w:tblGrid>
        <w:gridCol w:w="2909"/>
        <w:gridCol w:w="1701"/>
        <w:gridCol w:w="4599"/>
      </w:tblGrid>
      <w:tr w:rsidR="001A4DB0" w:rsidRPr="001B17BF" w14:paraId="52D039DC" w14:textId="77777777" w:rsidTr="00BA3DD6">
        <w:trPr>
          <w:cantSplit/>
          <w:tblHeader/>
          <w:jc w:val="center"/>
        </w:trPr>
        <w:tc>
          <w:tcPr>
            <w:tcW w:w="2909" w:type="dxa"/>
            <w:shd w:val="clear" w:color="auto" w:fill="DEEAF6" w:themeFill="accent1" w:themeFillTint="33"/>
            <w:vAlign w:val="center"/>
          </w:tcPr>
          <w:p w14:paraId="77EC04DD" w14:textId="77777777" w:rsidR="001A4DB0" w:rsidRPr="00EF44C5" w:rsidRDefault="001A4DB0" w:rsidP="00BA3DD6">
            <w:pPr>
              <w:spacing w:before="60"/>
              <w:ind w:right="-5"/>
              <w:jc w:val="center"/>
              <w:rPr>
                <w:rFonts w:asciiTheme="minorHAnsi" w:hAnsiTheme="minorHAnsi" w:cstheme="minorHAnsi"/>
                <w:b/>
                <w:sz w:val="18"/>
                <w:szCs w:val="18"/>
              </w:rPr>
            </w:pPr>
            <w:r>
              <w:rPr>
                <w:rFonts w:asciiTheme="minorHAnsi" w:hAnsiTheme="minorHAnsi"/>
                <w:b/>
                <w:sz w:val="18"/>
              </w:rPr>
              <w:t>Proyecto</w:t>
            </w:r>
          </w:p>
        </w:tc>
        <w:tc>
          <w:tcPr>
            <w:tcW w:w="1701" w:type="dxa"/>
            <w:shd w:val="clear" w:color="auto" w:fill="DEEAF6" w:themeFill="accent1" w:themeFillTint="33"/>
            <w:vAlign w:val="center"/>
          </w:tcPr>
          <w:p w14:paraId="34839ABB" w14:textId="77777777" w:rsidR="001A4DB0" w:rsidRPr="00EF44C5" w:rsidRDefault="001A4DB0" w:rsidP="00BA3DD6">
            <w:pPr>
              <w:spacing w:before="60"/>
              <w:ind w:right="-5"/>
              <w:jc w:val="center"/>
              <w:rPr>
                <w:rFonts w:asciiTheme="minorHAnsi" w:hAnsiTheme="minorHAnsi" w:cstheme="minorHAnsi"/>
                <w:b/>
                <w:sz w:val="18"/>
                <w:szCs w:val="18"/>
              </w:rPr>
            </w:pPr>
            <w:r>
              <w:rPr>
                <w:rFonts w:asciiTheme="minorHAnsi" w:hAnsiTheme="minorHAnsi"/>
                <w:b/>
                <w:sz w:val="18"/>
              </w:rPr>
              <w:t>Agencia</w:t>
            </w:r>
          </w:p>
        </w:tc>
        <w:tc>
          <w:tcPr>
            <w:tcW w:w="4599" w:type="dxa"/>
            <w:shd w:val="clear" w:color="auto" w:fill="DEEAF6" w:themeFill="accent1" w:themeFillTint="33"/>
            <w:vAlign w:val="center"/>
          </w:tcPr>
          <w:p w14:paraId="37D3C8EF" w14:textId="59F0812D" w:rsidR="001A4DB0" w:rsidRPr="00EF44C5" w:rsidRDefault="001A4DB0" w:rsidP="00BA3DD6">
            <w:pPr>
              <w:spacing w:before="60"/>
              <w:ind w:right="-5"/>
              <w:jc w:val="center"/>
              <w:rPr>
                <w:rFonts w:asciiTheme="minorHAnsi" w:hAnsiTheme="minorHAnsi" w:cstheme="minorHAnsi"/>
                <w:b/>
                <w:sz w:val="18"/>
                <w:szCs w:val="18"/>
              </w:rPr>
            </w:pPr>
            <w:r>
              <w:rPr>
                <w:rFonts w:asciiTheme="minorHAnsi" w:hAnsiTheme="minorHAnsi"/>
                <w:b/>
                <w:sz w:val="18"/>
              </w:rPr>
              <w:t xml:space="preserve">Principal relevancia para este </w:t>
            </w:r>
            <w:r w:rsidR="00F15011">
              <w:rPr>
                <w:rFonts w:asciiTheme="minorHAnsi" w:hAnsiTheme="minorHAnsi"/>
                <w:b/>
                <w:sz w:val="18"/>
              </w:rPr>
              <w:t>FSP</w:t>
            </w:r>
          </w:p>
        </w:tc>
      </w:tr>
      <w:tr w:rsidR="001A4DB0" w:rsidRPr="001B17BF" w14:paraId="12380C8B" w14:textId="77777777" w:rsidTr="00BA3DD6">
        <w:trPr>
          <w:cantSplit/>
          <w:tblHeader/>
          <w:jc w:val="center"/>
        </w:trPr>
        <w:tc>
          <w:tcPr>
            <w:tcW w:w="9209" w:type="dxa"/>
            <w:gridSpan w:val="3"/>
            <w:shd w:val="clear" w:color="auto" w:fill="D9D9D9" w:themeFill="background1" w:themeFillShade="D9"/>
            <w:vAlign w:val="center"/>
          </w:tcPr>
          <w:p w14:paraId="1948A03D" w14:textId="34658DCB" w:rsidR="001A4DB0" w:rsidRPr="002152FE" w:rsidRDefault="001A4DB0" w:rsidP="00BA3DD6">
            <w:pPr>
              <w:spacing w:before="60"/>
              <w:ind w:right="-5"/>
              <w:jc w:val="center"/>
              <w:rPr>
                <w:rFonts w:asciiTheme="minorHAnsi" w:hAnsiTheme="minorHAnsi" w:cstheme="minorHAnsi"/>
                <w:b/>
                <w:sz w:val="18"/>
                <w:szCs w:val="18"/>
                <w:lang w:val="es-EC"/>
              </w:rPr>
            </w:pPr>
          </w:p>
        </w:tc>
      </w:tr>
      <w:tr w:rsidR="00A25BD4" w:rsidRPr="001B17BF" w14:paraId="4BD2C7B9" w14:textId="77777777" w:rsidTr="00BA3DD6">
        <w:trPr>
          <w:cantSplit/>
          <w:tblHeader/>
          <w:jc w:val="center"/>
        </w:trPr>
        <w:tc>
          <w:tcPr>
            <w:tcW w:w="2909" w:type="dxa"/>
            <w:shd w:val="clear" w:color="auto" w:fill="auto"/>
            <w:vAlign w:val="center"/>
          </w:tcPr>
          <w:p w14:paraId="0B45F5CF" w14:textId="36A82E37" w:rsidR="00A25BD4" w:rsidRPr="00805940" w:rsidRDefault="00A25BD4" w:rsidP="00A25BD4">
            <w:pPr>
              <w:spacing w:before="60" w:after="60"/>
              <w:ind w:right="-6"/>
              <w:jc w:val="both"/>
              <w:rPr>
                <w:rFonts w:asciiTheme="minorHAnsi" w:hAnsiTheme="minorHAnsi" w:cstheme="minorHAnsi"/>
                <w:bCs/>
                <w:sz w:val="18"/>
                <w:szCs w:val="18"/>
              </w:rPr>
            </w:pPr>
            <w:r>
              <w:rPr>
                <w:rFonts w:asciiTheme="minorHAnsi" w:hAnsiTheme="minorHAnsi"/>
                <w:sz w:val="18"/>
              </w:rPr>
              <w:t xml:space="preserve">Programa </w:t>
            </w:r>
            <w:r w:rsidR="000D2F43">
              <w:rPr>
                <w:rFonts w:asciiTheme="minorHAnsi" w:hAnsiTheme="minorHAnsi"/>
                <w:sz w:val="18"/>
              </w:rPr>
              <w:t>N</w:t>
            </w:r>
            <w:r>
              <w:rPr>
                <w:rFonts w:asciiTheme="minorHAnsi" w:hAnsiTheme="minorHAnsi"/>
                <w:sz w:val="18"/>
              </w:rPr>
              <w:t xml:space="preserve">acional de </w:t>
            </w:r>
            <w:r w:rsidR="000D2F43">
              <w:rPr>
                <w:rFonts w:asciiTheme="minorHAnsi" w:hAnsiTheme="minorHAnsi"/>
                <w:sz w:val="18"/>
              </w:rPr>
              <w:t>G</w:t>
            </w:r>
            <w:r>
              <w:rPr>
                <w:rFonts w:asciiTheme="minorHAnsi" w:hAnsiTheme="minorHAnsi"/>
                <w:sz w:val="18"/>
              </w:rPr>
              <w:t xml:space="preserve">estión </w:t>
            </w:r>
            <w:r w:rsidR="000D2F43">
              <w:rPr>
                <w:rFonts w:asciiTheme="minorHAnsi" w:hAnsiTheme="minorHAnsi"/>
                <w:sz w:val="18"/>
              </w:rPr>
              <w:t>A</w:t>
            </w:r>
            <w:r>
              <w:rPr>
                <w:rFonts w:asciiTheme="minorHAnsi" w:hAnsiTheme="minorHAnsi"/>
                <w:sz w:val="18"/>
              </w:rPr>
              <w:t xml:space="preserve">mbientalmente </w:t>
            </w:r>
            <w:r w:rsidR="000D2F43">
              <w:rPr>
                <w:rFonts w:asciiTheme="minorHAnsi" w:hAnsiTheme="minorHAnsi"/>
                <w:sz w:val="18"/>
              </w:rPr>
              <w:t>A</w:t>
            </w:r>
            <w:r>
              <w:rPr>
                <w:rFonts w:asciiTheme="minorHAnsi" w:hAnsiTheme="minorHAnsi"/>
                <w:sz w:val="18"/>
              </w:rPr>
              <w:t xml:space="preserve">decuada y </w:t>
            </w:r>
            <w:r w:rsidR="000D2F43">
              <w:rPr>
                <w:rFonts w:asciiTheme="minorHAnsi" w:hAnsiTheme="minorHAnsi"/>
                <w:sz w:val="18"/>
              </w:rPr>
              <w:t>G</w:t>
            </w:r>
            <w:r>
              <w:rPr>
                <w:rFonts w:asciiTheme="minorHAnsi" w:hAnsiTheme="minorHAnsi"/>
                <w:sz w:val="18"/>
              </w:rPr>
              <w:t xml:space="preserve">estión del </w:t>
            </w:r>
            <w:r w:rsidR="000D2F43">
              <w:rPr>
                <w:rFonts w:asciiTheme="minorHAnsi" w:hAnsiTheme="minorHAnsi"/>
                <w:sz w:val="18"/>
              </w:rPr>
              <w:t>C</w:t>
            </w:r>
            <w:r>
              <w:rPr>
                <w:rFonts w:asciiTheme="minorHAnsi" w:hAnsiTheme="minorHAnsi"/>
                <w:sz w:val="18"/>
              </w:rPr>
              <w:t xml:space="preserve">iclo de </w:t>
            </w:r>
            <w:r w:rsidR="000D2F43">
              <w:rPr>
                <w:rFonts w:asciiTheme="minorHAnsi" w:hAnsiTheme="minorHAnsi"/>
                <w:sz w:val="18"/>
              </w:rPr>
              <w:t>V</w:t>
            </w:r>
            <w:r>
              <w:rPr>
                <w:rFonts w:asciiTheme="minorHAnsi" w:hAnsiTheme="minorHAnsi"/>
                <w:sz w:val="18"/>
              </w:rPr>
              <w:t xml:space="preserve">ida de las </w:t>
            </w:r>
            <w:r w:rsidR="000D2F43">
              <w:rPr>
                <w:rFonts w:asciiTheme="minorHAnsi" w:hAnsiTheme="minorHAnsi"/>
                <w:sz w:val="18"/>
              </w:rPr>
              <w:t>S</w:t>
            </w:r>
            <w:r>
              <w:rPr>
                <w:rFonts w:asciiTheme="minorHAnsi" w:hAnsiTheme="minorHAnsi"/>
                <w:sz w:val="18"/>
              </w:rPr>
              <w:t xml:space="preserve">ustancias </w:t>
            </w:r>
            <w:r w:rsidR="000D2F43">
              <w:rPr>
                <w:rFonts w:asciiTheme="minorHAnsi" w:hAnsiTheme="minorHAnsi"/>
                <w:sz w:val="18"/>
              </w:rPr>
              <w:t>Q</w:t>
            </w:r>
            <w:r>
              <w:rPr>
                <w:rFonts w:asciiTheme="minorHAnsi" w:hAnsiTheme="minorHAnsi"/>
                <w:sz w:val="18"/>
              </w:rPr>
              <w:t>uímicas. (PNGQ)</w:t>
            </w:r>
          </w:p>
        </w:tc>
        <w:tc>
          <w:tcPr>
            <w:tcW w:w="1701" w:type="dxa"/>
            <w:shd w:val="clear" w:color="auto" w:fill="auto"/>
            <w:vAlign w:val="center"/>
          </w:tcPr>
          <w:p w14:paraId="15F3BA5A" w14:textId="70B5DEB6" w:rsidR="00A25BD4" w:rsidRPr="00805940" w:rsidRDefault="00A25BD4" w:rsidP="00A25BD4">
            <w:pPr>
              <w:spacing w:before="60"/>
              <w:ind w:right="-5"/>
              <w:jc w:val="center"/>
              <w:rPr>
                <w:rFonts w:asciiTheme="minorHAnsi" w:hAnsiTheme="minorHAnsi" w:cstheme="minorHAnsi"/>
                <w:bCs/>
                <w:sz w:val="18"/>
                <w:szCs w:val="18"/>
              </w:rPr>
            </w:pPr>
            <w:r>
              <w:rPr>
                <w:rFonts w:asciiTheme="minorHAnsi" w:hAnsiTheme="minorHAnsi"/>
                <w:sz w:val="18"/>
              </w:rPr>
              <w:t>FMAM - PNUD</w:t>
            </w:r>
          </w:p>
        </w:tc>
        <w:tc>
          <w:tcPr>
            <w:tcW w:w="4599" w:type="dxa"/>
            <w:shd w:val="clear" w:color="auto" w:fill="auto"/>
            <w:vAlign w:val="center"/>
          </w:tcPr>
          <w:p w14:paraId="2716F8C1" w14:textId="77777777" w:rsidR="00E35641" w:rsidRPr="00265856" w:rsidRDefault="00E35641" w:rsidP="00E35641">
            <w:pPr>
              <w:spacing w:after="40"/>
              <w:jc w:val="both"/>
              <w:rPr>
                <w:rFonts w:asciiTheme="minorHAnsi" w:hAnsiTheme="minorHAnsi" w:cstheme="minorHAnsi"/>
                <w:noProof/>
                <w:sz w:val="18"/>
                <w:szCs w:val="18"/>
              </w:rPr>
            </w:pPr>
            <w:r>
              <w:rPr>
                <w:rFonts w:asciiTheme="minorHAnsi" w:hAnsiTheme="minorHAnsi"/>
                <w:sz w:val="18"/>
              </w:rPr>
              <w:t>El objetivo del proyecto es proteger la salud humana y el medio ambiente mundial del impacto de sustancias químicas nocivas, en particular los Contaminantes Orgánicos Persistentes (COP) y el mercurio (Hg).</w:t>
            </w:r>
            <w:r>
              <w:rPr>
                <w:rFonts w:asciiTheme="minorHAnsi" w:hAnsiTheme="minorHAnsi"/>
                <w:color w:val="000000"/>
                <w:sz w:val="18"/>
              </w:rPr>
              <w:t xml:space="preserve">  </w:t>
            </w:r>
            <w:r>
              <w:rPr>
                <w:rFonts w:asciiTheme="minorHAnsi" w:hAnsiTheme="minorHAnsi"/>
                <w:sz w:val="18"/>
              </w:rPr>
              <w:t>El proyecto pretende lograr una reducción del uso y la liberación</w:t>
            </w:r>
            <w:r w:rsidRPr="00265856">
              <w:rPr>
                <w:rStyle w:val="Refdenotaalpie"/>
                <w:rFonts w:asciiTheme="minorHAnsi" w:hAnsiTheme="minorHAnsi" w:cstheme="minorHAnsi"/>
                <w:noProof/>
                <w:szCs w:val="18"/>
              </w:rPr>
              <w:footnoteReference w:id="24"/>
            </w:r>
            <w:r>
              <w:rPr>
                <w:rFonts w:asciiTheme="minorHAnsi" w:hAnsiTheme="minorHAnsi"/>
                <w:sz w:val="18"/>
              </w:rPr>
              <w:t xml:space="preserve"> de tales productos químicos mediante:</w:t>
            </w:r>
          </w:p>
          <w:p w14:paraId="40233668" w14:textId="1AC18844" w:rsidR="00E35641" w:rsidRPr="00265856" w:rsidRDefault="00E35641">
            <w:pPr>
              <w:pStyle w:val="Prrafodelista"/>
              <w:numPr>
                <w:ilvl w:val="0"/>
                <w:numId w:val="29"/>
              </w:numPr>
              <w:spacing w:after="40"/>
              <w:ind w:left="360"/>
              <w:jc w:val="both"/>
              <w:rPr>
                <w:rFonts w:asciiTheme="minorHAnsi" w:hAnsiTheme="minorHAnsi" w:cstheme="minorHAnsi"/>
                <w:noProof/>
                <w:color w:val="000000"/>
                <w:sz w:val="18"/>
                <w:szCs w:val="18"/>
              </w:rPr>
            </w:pPr>
            <w:r>
              <w:rPr>
                <w:rFonts w:asciiTheme="minorHAnsi" w:hAnsiTheme="minorHAnsi"/>
                <w:sz w:val="18"/>
              </w:rPr>
              <w:t>Fortalecimiento de la capacidad institucional nacional y del marco normativo y político para la Gestión Adecuada de Productos Químicos (GMS), basados en un enfoque de ciclo de vida, mediante la formación de 706 personas (212 mujeres y 494 hombres); capacitación de 12 instituciones privadas y públicas y revisión/desarrollo de 16 políticas, reglamentos y normas</w:t>
            </w:r>
          </w:p>
          <w:p w14:paraId="42176E9A" w14:textId="51B4BCCE" w:rsidR="00E35641" w:rsidRPr="00265856" w:rsidRDefault="00E35641">
            <w:pPr>
              <w:pStyle w:val="Prrafodelista"/>
              <w:numPr>
                <w:ilvl w:val="0"/>
                <w:numId w:val="29"/>
              </w:numPr>
              <w:spacing w:after="40"/>
              <w:ind w:left="360"/>
              <w:jc w:val="both"/>
              <w:rPr>
                <w:rFonts w:asciiTheme="minorHAnsi" w:hAnsiTheme="minorHAnsi" w:cstheme="minorHAnsi"/>
                <w:noProof/>
                <w:color w:val="000000"/>
                <w:sz w:val="18"/>
                <w:szCs w:val="18"/>
              </w:rPr>
            </w:pPr>
            <w:r>
              <w:rPr>
                <w:rFonts w:asciiTheme="minorHAnsi" w:hAnsiTheme="minorHAnsi"/>
                <w:sz w:val="18"/>
              </w:rPr>
              <w:t xml:space="preserve">Eliminación de las </w:t>
            </w:r>
            <w:r w:rsidR="00206AD8">
              <w:rPr>
                <w:rFonts w:asciiTheme="minorHAnsi" w:hAnsiTheme="minorHAnsi"/>
                <w:sz w:val="18"/>
              </w:rPr>
              <w:t>cantidades almacenadas de</w:t>
            </w:r>
            <w:r>
              <w:rPr>
                <w:rFonts w:asciiTheme="minorHAnsi" w:hAnsiTheme="minorHAnsi"/>
                <w:sz w:val="18"/>
              </w:rPr>
              <w:t xml:space="preserve"> plaguicidas (COP) obsoletos (en 30 toneladas), aumento de la eliminación adecuada de envases vacíos de plaguicidas en 90 toneladas; reducción del uso de nuevos COPs contenidos en productos (en 30 toneladas); y, reducción de la liberación de COPs producidos de forma no intencionada (en 25 g-TEQ/año)</w:t>
            </w:r>
          </w:p>
          <w:p w14:paraId="118CD123" w14:textId="757BEE69" w:rsidR="00E35641" w:rsidRPr="00265856" w:rsidRDefault="00E35641">
            <w:pPr>
              <w:pStyle w:val="Prrafodelista"/>
              <w:numPr>
                <w:ilvl w:val="0"/>
                <w:numId w:val="29"/>
              </w:numPr>
              <w:spacing w:after="40"/>
              <w:ind w:left="360"/>
              <w:jc w:val="both"/>
              <w:rPr>
                <w:rFonts w:asciiTheme="minorHAnsi" w:hAnsiTheme="minorHAnsi" w:cstheme="minorHAnsi"/>
                <w:noProof/>
                <w:color w:val="000000"/>
                <w:sz w:val="18"/>
                <w:szCs w:val="18"/>
              </w:rPr>
            </w:pPr>
            <w:r>
              <w:rPr>
                <w:rFonts w:asciiTheme="minorHAnsi" w:hAnsiTheme="minorHAnsi"/>
                <w:sz w:val="18"/>
              </w:rPr>
              <w:t>Reducción del uso y las emisiones de mercurio procedentes de la extracción de oro artesanal y a pequeña escala (MAPE) a nivel no industrial (en un total de 2 toneladas), y de productos que contienen mercurio (en 35 ky/año)</w:t>
            </w:r>
          </w:p>
          <w:p w14:paraId="4240D25B" w14:textId="2E7635A5" w:rsidR="00A25BD4" w:rsidRPr="00265856" w:rsidRDefault="00E35641">
            <w:pPr>
              <w:pStyle w:val="Prrafodelista"/>
              <w:numPr>
                <w:ilvl w:val="0"/>
                <w:numId w:val="29"/>
              </w:numPr>
              <w:spacing w:after="40"/>
              <w:ind w:left="360"/>
              <w:jc w:val="both"/>
              <w:rPr>
                <w:rFonts w:asciiTheme="minorHAnsi" w:hAnsiTheme="minorHAnsi" w:cstheme="minorHAnsi"/>
                <w:noProof/>
                <w:color w:val="000000"/>
                <w:sz w:val="18"/>
                <w:szCs w:val="18"/>
              </w:rPr>
            </w:pPr>
            <w:r>
              <w:rPr>
                <w:rFonts w:asciiTheme="minorHAnsi" w:hAnsiTheme="minorHAnsi"/>
                <w:sz w:val="18"/>
              </w:rPr>
              <w:t>Sensibilizar a 11.778 personas (3.533 mujeres y 8.245 hombres) sobre la gestión adecuada de productos químicos en su ciclo de vida, garantizar el seguimiento del proyecto y difundir sus resultados y experiencias</w:t>
            </w:r>
          </w:p>
        </w:tc>
      </w:tr>
      <w:tr w:rsidR="00A25BD4" w:rsidRPr="001B17BF" w14:paraId="7E187B87" w14:textId="77777777" w:rsidTr="00BA3DD6">
        <w:trPr>
          <w:cantSplit/>
          <w:tblHeader/>
          <w:jc w:val="center"/>
        </w:trPr>
        <w:tc>
          <w:tcPr>
            <w:tcW w:w="2909" w:type="dxa"/>
            <w:shd w:val="clear" w:color="auto" w:fill="auto"/>
            <w:vAlign w:val="center"/>
          </w:tcPr>
          <w:p w14:paraId="7044D5CD" w14:textId="081CB853" w:rsidR="00A25BD4" w:rsidRPr="00F41176" w:rsidRDefault="00F41176" w:rsidP="00A25BD4">
            <w:pPr>
              <w:spacing w:before="60"/>
              <w:ind w:right="-5"/>
              <w:jc w:val="both"/>
              <w:rPr>
                <w:rFonts w:asciiTheme="minorHAnsi" w:hAnsiTheme="minorHAnsi" w:cstheme="minorHAnsi"/>
                <w:bCs/>
                <w:sz w:val="18"/>
                <w:szCs w:val="18"/>
              </w:rPr>
            </w:pPr>
            <w:r>
              <w:rPr>
                <w:rFonts w:asciiTheme="minorHAnsi" w:hAnsiTheme="minorHAnsi"/>
                <w:sz w:val="18"/>
              </w:rPr>
              <w:t xml:space="preserve">Iniciativa de Financiación de la Biodiversidad (BIOFIN) </w:t>
            </w:r>
          </w:p>
        </w:tc>
        <w:tc>
          <w:tcPr>
            <w:tcW w:w="1701" w:type="dxa"/>
            <w:shd w:val="clear" w:color="auto" w:fill="auto"/>
            <w:vAlign w:val="center"/>
          </w:tcPr>
          <w:p w14:paraId="1BCB1242" w14:textId="043A33CE" w:rsidR="00A25BD4" w:rsidRPr="00805940" w:rsidRDefault="00070B7C" w:rsidP="00A25BD4">
            <w:pPr>
              <w:spacing w:before="60"/>
              <w:ind w:right="-5"/>
              <w:jc w:val="center"/>
              <w:rPr>
                <w:rFonts w:asciiTheme="minorHAnsi" w:hAnsiTheme="minorHAnsi" w:cstheme="minorHAnsi"/>
                <w:bCs/>
                <w:sz w:val="18"/>
                <w:szCs w:val="18"/>
              </w:rPr>
            </w:pPr>
            <w:r>
              <w:rPr>
                <w:rFonts w:asciiTheme="minorHAnsi" w:hAnsiTheme="minorHAnsi"/>
                <w:sz w:val="18"/>
              </w:rPr>
              <w:t>PNUD</w:t>
            </w:r>
          </w:p>
        </w:tc>
        <w:tc>
          <w:tcPr>
            <w:tcW w:w="4599" w:type="dxa"/>
            <w:shd w:val="clear" w:color="auto" w:fill="auto"/>
            <w:vAlign w:val="center"/>
          </w:tcPr>
          <w:p w14:paraId="2FD6F394" w14:textId="20FE2856" w:rsidR="00F41176" w:rsidRPr="00265856" w:rsidRDefault="00F41176" w:rsidP="00265856">
            <w:pPr>
              <w:spacing w:before="60"/>
              <w:ind w:right="-5"/>
              <w:jc w:val="both"/>
              <w:rPr>
                <w:rFonts w:asciiTheme="minorHAnsi" w:hAnsiTheme="minorHAnsi" w:cstheme="minorHAnsi"/>
                <w:bCs/>
                <w:sz w:val="18"/>
                <w:szCs w:val="18"/>
              </w:rPr>
            </w:pPr>
            <w:r>
              <w:rPr>
                <w:rFonts w:asciiTheme="minorHAnsi" w:hAnsiTheme="minorHAnsi"/>
                <w:sz w:val="18"/>
              </w:rPr>
              <w:t>La iniciativa BIOFIN es un programa mundial que ofrece apoyo a los países para dirigir el diálogo sobre políticas nacionales e instrumentar la movilización de recursos hacia la financiación de las brechas para la conservación de la biodiversidad.</w:t>
            </w:r>
          </w:p>
          <w:p w14:paraId="58884052" w14:textId="5BD93E51" w:rsidR="00A25BD4" w:rsidRPr="00265856" w:rsidRDefault="00F41176" w:rsidP="00265856">
            <w:pPr>
              <w:spacing w:before="60"/>
              <w:ind w:right="-5"/>
              <w:jc w:val="both"/>
              <w:rPr>
                <w:rFonts w:asciiTheme="minorHAnsi" w:hAnsiTheme="minorHAnsi" w:cstheme="minorHAnsi"/>
                <w:bCs/>
                <w:sz w:val="18"/>
                <w:szCs w:val="18"/>
              </w:rPr>
            </w:pPr>
            <w:r>
              <w:rPr>
                <w:rFonts w:asciiTheme="minorHAnsi" w:hAnsiTheme="minorHAnsi"/>
                <w:sz w:val="18"/>
              </w:rPr>
              <w:t xml:space="preserve">En Ecuador, el PNUD apoya el cumplimiento de las prioridades nacionales en materia de biodiversidad, conservación y cambio climático, en un marco de desarrollo económico inclusivo y reducción de la pobreza. </w:t>
            </w:r>
          </w:p>
        </w:tc>
      </w:tr>
      <w:tr w:rsidR="00070B7C" w:rsidRPr="001B17BF" w14:paraId="1FE281D5" w14:textId="77777777" w:rsidTr="00BA3DD6">
        <w:trPr>
          <w:cantSplit/>
          <w:tblHeader/>
          <w:jc w:val="center"/>
        </w:trPr>
        <w:tc>
          <w:tcPr>
            <w:tcW w:w="2909" w:type="dxa"/>
            <w:shd w:val="clear" w:color="auto" w:fill="auto"/>
            <w:vAlign w:val="center"/>
          </w:tcPr>
          <w:p w14:paraId="2626BADD" w14:textId="5551DCD0" w:rsidR="00070B7C" w:rsidRPr="007D0422" w:rsidRDefault="007D0422" w:rsidP="00A25BD4">
            <w:pPr>
              <w:spacing w:before="60"/>
              <w:ind w:right="-5"/>
              <w:jc w:val="both"/>
              <w:rPr>
                <w:rFonts w:asciiTheme="minorHAnsi" w:hAnsiTheme="minorHAnsi" w:cstheme="minorHAnsi"/>
                <w:bCs/>
                <w:sz w:val="18"/>
                <w:szCs w:val="18"/>
              </w:rPr>
            </w:pPr>
            <w:r>
              <w:rPr>
                <w:rFonts w:asciiTheme="minorHAnsi" w:hAnsiTheme="minorHAnsi"/>
                <w:sz w:val="18"/>
              </w:rPr>
              <w:t xml:space="preserve">Agrotecnología para la </w:t>
            </w:r>
            <w:r w:rsidR="000D2F43">
              <w:rPr>
                <w:rFonts w:asciiTheme="minorHAnsi" w:hAnsiTheme="minorHAnsi"/>
                <w:sz w:val="18"/>
              </w:rPr>
              <w:t>I</w:t>
            </w:r>
            <w:r>
              <w:rPr>
                <w:rFonts w:asciiTheme="minorHAnsi" w:hAnsiTheme="minorHAnsi"/>
                <w:sz w:val="18"/>
              </w:rPr>
              <w:t xml:space="preserve">nclusión y la </w:t>
            </w:r>
            <w:r w:rsidR="000D2F43">
              <w:rPr>
                <w:rFonts w:asciiTheme="minorHAnsi" w:hAnsiTheme="minorHAnsi"/>
                <w:sz w:val="18"/>
              </w:rPr>
              <w:t>S</w:t>
            </w:r>
            <w:r>
              <w:rPr>
                <w:rFonts w:asciiTheme="minorHAnsi" w:hAnsiTheme="minorHAnsi"/>
                <w:sz w:val="18"/>
              </w:rPr>
              <w:t>ostenibilidad: Fondo Regional SP Ventures (AGVENTURES II)</w:t>
            </w:r>
          </w:p>
        </w:tc>
        <w:tc>
          <w:tcPr>
            <w:tcW w:w="1701" w:type="dxa"/>
            <w:shd w:val="clear" w:color="auto" w:fill="auto"/>
            <w:vAlign w:val="center"/>
          </w:tcPr>
          <w:p w14:paraId="36DB7033" w14:textId="14679DFB" w:rsidR="00070B7C" w:rsidRPr="007D0422" w:rsidRDefault="00F50B65" w:rsidP="00A25BD4">
            <w:pPr>
              <w:spacing w:before="60"/>
              <w:ind w:right="-5"/>
              <w:jc w:val="center"/>
              <w:rPr>
                <w:rFonts w:asciiTheme="minorHAnsi" w:hAnsiTheme="minorHAnsi" w:cstheme="minorHAnsi"/>
                <w:bCs/>
                <w:sz w:val="18"/>
                <w:szCs w:val="18"/>
              </w:rPr>
            </w:pPr>
            <w:r>
              <w:rPr>
                <w:rFonts w:asciiTheme="minorHAnsi" w:hAnsiTheme="minorHAnsi"/>
                <w:sz w:val="18"/>
              </w:rPr>
              <w:t>FMAM - BID</w:t>
            </w:r>
          </w:p>
        </w:tc>
        <w:tc>
          <w:tcPr>
            <w:tcW w:w="4599" w:type="dxa"/>
            <w:shd w:val="clear" w:color="auto" w:fill="auto"/>
            <w:vAlign w:val="center"/>
          </w:tcPr>
          <w:p w14:paraId="1B6C2C0C" w14:textId="24259D34" w:rsidR="00070B7C" w:rsidRPr="007D0422" w:rsidRDefault="007D0422" w:rsidP="00316DEA">
            <w:pPr>
              <w:jc w:val="both"/>
              <w:rPr>
                <w:rFonts w:asciiTheme="minorHAnsi" w:hAnsiTheme="minorHAnsi" w:cstheme="minorHAnsi"/>
                <w:sz w:val="18"/>
                <w:szCs w:val="18"/>
              </w:rPr>
            </w:pPr>
            <w:r>
              <w:rPr>
                <w:rFonts w:asciiTheme="minorHAnsi" w:hAnsiTheme="minorHAnsi"/>
                <w:color w:val="0C110F"/>
                <w:sz w:val="18"/>
                <w:shd w:val="clear" w:color="auto" w:fill="FFFFFF"/>
              </w:rPr>
              <w:t>Apoyar la consolidación y ampliación de empresas innovadoras Agtech en fase inicial (PYMEs) que desarrollen tecnologías para ofrecer soluciones de productividad, mercado y medio ambiente para el sector agrícola en América Latina, especialmente para los pequeños y medianos agricultores, con el fin de generar beneficios ambientales relacionados con el cambio climático, la degradación de la tierra y los productos químicos y residuos.</w:t>
            </w:r>
          </w:p>
        </w:tc>
      </w:tr>
      <w:tr w:rsidR="00DA7EF9" w:rsidRPr="001B17BF" w14:paraId="4148DBC2" w14:textId="77777777" w:rsidTr="00BA3DD6">
        <w:trPr>
          <w:cantSplit/>
          <w:tblHeader/>
          <w:jc w:val="center"/>
        </w:trPr>
        <w:tc>
          <w:tcPr>
            <w:tcW w:w="2909" w:type="dxa"/>
            <w:shd w:val="clear" w:color="auto" w:fill="auto"/>
            <w:vAlign w:val="center"/>
          </w:tcPr>
          <w:p w14:paraId="204AC64D" w14:textId="4090F227" w:rsidR="00DA7EF9" w:rsidRPr="00805940" w:rsidRDefault="00DA7EF9" w:rsidP="000D2F43">
            <w:pPr>
              <w:spacing w:before="60"/>
              <w:ind w:right="-5"/>
              <w:rPr>
                <w:rFonts w:asciiTheme="minorHAnsi" w:hAnsiTheme="minorHAnsi" w:cstheme="minorHAnsi"/>
                <w:bCs/>
                <w:sz w:val="18"/>
                <w:szCs w:val="18"/>
              </w:rPr>
            </w:pPr>
            <w:r>
              <w:rPr>
                <w:rFonts w:asciiTheme="minorHAnsi" w:hAnsiTheme="minorHAnsi"/>
                <w:sz w:val="18"/>
              </w:rPr>
              <w:t>PROA</w:t>
            </w:r>
            <w:r w:rsidR="000D2F43">
              <w:rPr>
                <w:rFonts w:asciiTheme="minorHAnsi" w:hAnsiTheme="minorHAnsi"/>
                <w:sz w:val="18"/>
              </w:rPr>
              <w:t>mazonía</w:t>
            </w:r>
          </w:p>
        </w:tc>
        <w:tc>
          <w:tcPr>
            <w:tcW w:w="1701" w:type="dxa"/>
            <w:shd w:val="clear" w:color="auto" w:fill="auto"/>
            <w:vAlign w:val="center"/>
          </w:tcPr>
          <w:p w14:paraId="6FA634BD" w14:textId="3F95888A" w:rsidR="00DA7EF9" w:rsidRPr="00805940" w:rsidRDefault="00DA7EF9" w:rsidP="00DA7EF9">
            <w:pPr>
              <w:spacing w:before="60"/>
              <w:ind w:right="-5"/>
              <w:jc w:val="center"/>
              <w:rPr>
                <w:rFonts w:asciiTheme="minorHAnsi" w:hAnsiTheme="minorHAnsi" w:cstheme="minorHAnsi"/>
                <w:bCs/>
                <w:sz w:val="18"/>
                <w:szCs w:val="18"/>
              </w:rPr>
            </w:pPr>
            <w:r>
              <w:rPr>
                <w:rFonts w:asciiTheme="minorHAnsi" w:hAnsiTheme="minorHAnsi"/>
                <w:sz w:val="18"/>
              </w:rPr>
              <w:t>FMAM-GCF-PNUD</w:t>
            </w:r>
          </w:p>
        </w:tc>
        <w:tc>
          <w:tcPr>
            <w:tcW w:w="4599" w:type="dxa"/>
            <w:shd w:val="clear" w:color="auto" w:fill="auto"/>
            <w:vAlign w:val="center"/>
          </w:tcPr>
          <w:p w14:paraId="56421C69" w14:textId="16F6E8F3" w:rsidR="00DA7EF9" w:rsidRPr="00DA7EF9" w:rsidRDefault="00DA7EF9" w:rsidP="00DA7EF9">
            <w:pPr>
              <w:spacing w:before="60"/>
              <w:ind w:right="-5"/>
              <w:jc w:val="both"/>
              <w:rPr>
                <w:rFonts w:asciiTheme="minorHAnsi" w:hAnsiTheme="minorHAnsi" w:cstheme="minorHAnsi"/>
                <w:bCs/>
                <w:sz w:val="18"/>
                <w:szCs w:val="18"/>
              </w:rPr>
            </w:pPr>
            <w:r>
              <w:rPr>
                <w:rFonts w:asciiTheme="minorHAnsi" w:hAnsiTheme="minorHAnsi"/>
                <w:sz w:val="18"/>
              </w:rPr>
              <w:t>Este proyecto promueve el desarrollo sostenible en la Amazonia. Se trata de una iniciativa liderada por el Ministerio de Medio Ambiente y Agua (MAATE) y el Ministerio de Agricultura y Ganadería (MAG) con el apoyo del PNUD. Este programa gubernamental nacional vincula los esfuerzos nacionales para reducir la deforestación con las agendas y políticas prioritarias de los sectores económicos del país. También promueve la gestión sostenible e integrada de los recursos naturales contribuyendo a la erradicación de la pobreza y al desarrollo humano sostenible.</w:t>
            </w:r>
            <w:r>
              <w:rPr>
                <w:rFonts w:asciiTheme="minorHAnsi" w:hAnsiTheme="minorHAnsi"/>
                <w:sz w:val="18"/>
              </w:rPr>
              <w:br/>
              <w:t>PROAmazonía fortalece el posicionamiento de Ecuador como país comprometido con los esfuerzos globales de lucha contra el cambio climático, la Agenda 2030 y los Objetivos de Desarrollo Sostenible (ODS).</w:t>
            </w:r>
          </w:p>
        </w:tc>
      </w:tr>
      <w:tr w:rsidR="00DA7EF9" w:rsidRPr="001B17BF" w14:paraId="125E9E9F" w14:textId="77777777" w:rsidTr="00BA3DD6">
        <w:trPr>
          <w:cantSplit/>
          <w:tblHeader/>
          <w:jc w:val="center"/>
        </w:trPr>
        <w:tc>
          <w:tcPr>
            <w:tcW w:w="2909" w:type="dxa"/>
            <w:shd w:val="clear" w:color="auto" w:fill="auto"/>
            <w:vAlign w:val="center"/>
          </w:tcPr>
          <w:p w14:paraId="51C172B6" w14:textId="111DF3B0" w:rsidR="00DA7EF9" w:rsidRPr="00A05F3C" w:rsidRDefault="00DA7EF9" w:rsidP="004750D1">
            <w:pPr>
              <w:spacing w:before="60"/>
              <w:ind w:right="-5"/>
              <w:jc w:val="both"/>
              <w:rPr>
                <w:rFonts w:ascii="Calibri" w:hAnsi="Calibri" w:cs="Calibri"/>
                <w:bCs/>
                <w:sz w:val="18"/>
                <w:szCs w:val="18"/>
              </w:rPr>
            </w:pPr>
            <w:r>
              <w:rPr>
                <w:rFonts w:ascii="Calibri" w:hAnsi="Calibri"/>
                <w:sz w:val="18"/>
              </w:rPr>
              <w:t>Apoyo al fortalecimiento de los servicios públicos agrícolas en Ecuador</w:t>
            </w:r>
          </w:p>
        </w:tc>
        <w:tc>
          <w:tcPr>
            <w:tcW w:w="1701" w:type="dxa"/>
            <w:shd w:val="clear" w:color="auto" w:fill="auto"/>
            <w:vAlign w:val="center"/>
          </w:tcPr>
          <w:p w14:paraId="055A9559" w14:textId="1DBDF52F" w:rsidR="00DA7EF9" w:rsidRPr="00A05F3C" w:rsidRDefault="00DA7EF9" w:rsidP="00DA7EF9">
            <w:pPr>
              <w:spacing w:before="60"/>
              <w:ind w:right="-5"/>
              <w:jc w:val="center"/>
              <w:rPr>
                <w:rFonts w:ascii="Calibri" w:hAnsi="Calibri" w:cs="Calibri"/>
                <w:sz w:val="18"/>
                <w:szCs w:val="18"/>
              </w:rPr>
            </w:pPr>
            <w:r>
              <w:rPr>
                <w:rFonts w:ascii="Calibri" w:hAnsi="Calibri"/>
                <w:sz w:val="18"/>
              </w:rPr>
              <w:t xml:space="preserve">Banco Interamericano de Desarrollo BID  </w:t>
            </w:r>
          </w:p>
        </w:tc>
        <w:tc>
          <w:tcPr>
            <w:tcW w:w="4599" w:type="dxa"/>
            <w:shd w:val="clear" w:color="auto" w:fill="auto"/>
            <w:vAlign w:val="center"/>
          </w:tcPr>
          <w:p w14:paraId="7F203A04" w14:textId="453934BD" w:rsidR="00DA7EF9" w:rsidRPr="00A05F3C" w:rsidRDefault="00DA7EF9" w:rsidP="00577972">
            <w:pPr>
              <w:spacing w:before="60"/>
              <w:ind w:right="-5"/>
              <w:jc w:val="both"/>
              <w:rPr>
                <w:rFonts w:ascii="Calibri" w:hAnsi="Calibri" w:cs="Calibri"/>
                <w:bCs/>
                <w:sz w:val="18"/>
                <w:szCs w:val="18"/>
              </w:rPr>
            </w:pPr>
            <w:r>
              <w:rPr>
                <w:rFonts w:ascii="Calibri" w:hAnsi="Calibri"/>
                <w:sz w:val="18"/>
              </w:rPr>
              <w:t>Apoyo al fortalecimiento de los servicios públicos agrícolas en Ecuador. Los objetivos específicos son: i) elaborar estudios de diagnóstico y formular una propuesta de fortalecimiento de los servicios prestados por Agrocalidad; y ii) analizar aspectos del marco institucional del Instituto Nacional de Investigaciones Agropecuarias (INIAP) que permitan formular una propuesta de mejora de los servicios prestados.</w:t>
            </w:r>
          </w:p>
        </w:tc>
      </w:tr>
      <w:tr w:rsidR="00D143CB" w:rsidRPr="001B17BF" w14:paraId="62640F8F" w14:textId="77777777" w:rsidTr="00BA3DD6">
        <w:trPr>
          <w:cantSplit/>
          <w:tblHeader/>
          <w:jc w:val="center"/>
        </w:trPr>
        <w:tc>
          <w:tcPr>
            <w:tcW w:w="2909" w:type="dxa"/>
            <w:shd w:val="clear" w:color="auto" w:fill="auto"/>
            <w:vAlign w:val="center"/>
          </w:tcPr>
          <w:p w14:paraId="32C6E1AC" w14:textId="427A8CA4" w:rsidR="00D143CB" w:rsidRPr="004750D1" w:rsidRDefault="00D143CB" w:rsidP="004750D1">
            <w:pPr>
              <w:spacing w:before="60"/>
              <w:ind w:right="-5"/>
              <w:jc w:val="both"/>
              <w:rPr>
                <w:rFonts w:ascii="Calibri" w:hAnsi="Calibri" w:cs="Calibri"/>
                <w:bCs/>
                <w:sz w:val="18"/>
                <w:szCs w:val="18"/>
              </w:rPr>
            </w:pPr>
            <w:r>
              <w:rPr>
                <w:rFonts w:ascii="Calibri" w:hAnsi="Calibri"/>
                <w:sz w:val="18"/>
              </w:rPr>
              <w:t xml:space="preserve">Finanzas Verdes y Agricultura Sostenible en la </w:t>
            </w:r>
            <w:r w:rsidR="00BE13F2">
              <w:rPr>
                <w:rFonts w:ascii="Calibri" w:hAnsi="Calibri"/>
                <w:sz w:val="18"/>
              </w:rPr>
              <w:t>E</w:t>
            </w:r>
            <w:r>
              <w:rPr>
                <w:rFonts w:ascii="Calibri" w:hAnsi="Calibri"/>
                <w:sz w:val="18"/>
              </w:rPr>
              <w:t xml:space="preserve">corregión del </w:t>
            </w:r>
            <w:r w:rsidR="00BE13F2">
              <w:rPr>
                <w:rFonts w:ascii="Calibri" w:hAnsi="Calibri"/>
                <w:sz w:val="18"/>
              </w:rPr>
              <w:t>B</w:t>
            </w:r>
            <w:r>
              <w:rPr>
                <w:rFonts w:ascii="Calibri" w:hAnsi="Calibri"/>
                <w:sz w:val="18"/>
              </w:rPr>
              <w:t xml:space="preserve">osque </w:t>
            </w:r>
            <w:r w:rsidR="00BE13F2">
              <w:rPr>
                <w:rFonts w:ascii="Calibri" w:hAnsi="Calibri"/>
                <w:sz w:val="18"/>
              </w:rPr>
              <w:t>S</w:t>
            </w:r>
            <w:r>
              <w:rPr>
                <w:rFonts w:ascii="Calibri" w:hAnsi="Calibri"/>
                <w:sz w:val="18"/>
              </w:rPr>
              <w:t>eco de Ecuador y Perú</w:t>
            </w:r>
          </w:p>
        </w:tc>
        <w:tc>
          <w:tcPr>
            <w:tcW w:w="1701" w:type="dxa"/>
            <w:shd w:val="clear" w:color="auto" w:fill="auto"/>
            <w:vAlign w:val="center"/>
          </w:tcPr>
          <w:p w14:paraId="6ED1C592" w14:textId="77777777" w:rsidR="00D143CB" w:rsidRDefault="00D143CB" w:rsidP="00DA7EF9">
            <w:pPr>
              <w:spacing w:before="60"/>
              <w:ind w:right="-5"/>
              <w:jc w:val="center"/>
              <w:rPr>
                <w:rFonts w:asciiTheme="minorHAnsi" w:hAnsiTheme="minorHAnsi" w:cstheme="minorHAnsi"/>
                <w:bCs/>
                <w:sz w:val="18"/>
                <w:szCs w:val="18"/>
              </w:rPr>
            </w:pPr>
            <w:r>
              <w:rPr>
                <w:rFonts w:asciiTheme="minorHAnsi" w:hAnsiTheme="minorHAnsi"/>
                <w:sz w:val="18"/>
              </w:rPr>
              <w:t>FMAM</w:t>
            </w:r>
          </w:p>
          <w:p w14:paraId="5DF53209" w14:textId="77777777" w:rsidR="007D0422" w:rsidRPr="007D0422" w:rsidRDefault="007D0422" w:rsidP="007D0422">
            <w:pPr>
              <w:jc w:val="center"/>
              <w:rPr>
                <w:rFonts w:ascii="Calibri" w:hAnsi="Calibri" w:cs="Calibri"/>
                <w:sz w:val="18"/>
                <w:szCs w:val="18"/>
              </w:rPr>
            </w:pPr>
            <w:r>
              <w:rPr>
                <w:rFonts w:ascii="Calibri" w:hAnsi="Calibri"/>
                <w:color w:val="0C110F"/>
                <w:sz w:val="18"/>
                <w:shd w:val="clear" w:color="auto" w:fill="FFFFFF"/>
              </w:rPr>
              <w:t>CAF, COFIDE, BANECUADOR, FAO, CONSERVATION INTERNATIONAL</w:t>
            </w:r>
          </w:p>
          <w:p w14:paraId="12CC6066" w14:textId="3019F4D1" w:rsidR="007D0422" w:rsidRPr="00D143CB" w:rsidRDefault="007D0422" w:rsidP="00DA7EF9">
            <w:pPr>
              <w:spacing w:before="60"/>
              <w:ind w:right="-5"/>
              <w:jc w:val="center"/>
              <w:rPr>
                <w:rFonts w:asciiTheme="minorHAnsi" w:hAnsiTheme="minorHAnsi" w:cstheme="minorHAnsi"/>
                <w:bCs/>
                <w:sz w:val="18"/>
                <w:szCs w:val="18"/>
                <w:lang w:val="en-US"/>
              </w:rPr>
            </w:pPr>
          </w:p>
        </w:tc>
        <w:tc>
          <w:tcPr>
            <w:tcW w:w="4599" w:type="dxa"/>
            <w:shd w:val="clear" w:color="auto" w:fill="auto"/>
            <w:vAlign w:val="center"/>
          </w:tcPr>
          <w:p w14:paraId="459AE586" w14:textId="33E821C6" w:rsidR="00D143CB" w:rsidRPr="00D143CB" w:rsidRDefault="00D143CB" w:rsidP="00D143CB">
            <w:pPr>
              <w:pStyle w:val="NormalWeb"/>
              <w:rPr>
                <w:rFonts w:asciiTheme="minorHAnsi" w:hAnsiTheme="minorHAnsi" w:cstheme="minorHAnsi"/>
                <w:sz w:val="18"/>
                <w:szCs w:val="18"/>
              </w:rPr>
            </w:pPr>
            <w:r>
              <w:rPr>
                <w:rFonts w:asciiTheme="minorHAnsi" w:hAnsiTheme="minorHAnsi"/>
                <w:color w:val="000000" w:themeColor="text1"/>
                <w:sz w:val="18"/>
              </w:rPr>
              <w:t>Apoyar la conservación de la biodiversidad en territorios prioritarios de los Bosques Secos de Ecuador y Perú, mediante la financiación de prácticas agrícolas sostenibles (que incluyen la agricultura climáticamente inteligente), desarrollo de capacidades y transferencia de tecnología a pequeños y medianos agricultores. La financiación de prácticas de agricultura sostenible en términos y condiciones financieras adecuadas se hará posible mediante la emisión de uno o más bonos verdes en Perú y Ecuador que se beneficiarán de las garantías proporcionadas por el FMAM y la CAF. Las garantías actuarán como mejoras crediticias, mejorando así las condiciones de financiación de los emisores y sus condiciones de concesión de préstamos a los pequeños agricultores de la región.</w:t>
            </w:r>
          </w:p>
        </w:tc>
      </w:tr>
      <w:tr w:rsidR="0004524C" w:rsidRPr="001B17BF" w14:paraId="3E2172D4" w14:textId="77777777" w:rsidTr="00BA3DD6">
        <w:trPr>
          <w:cantSplit/>
          <w:tblHeader/>
          <w:jc w:val="center"/>
        </w:trPr>
        <w:tc>
          <w:tcPr>
            <w:tcW w:w="2909" w:type="dxa"/>
            <w:shd w:val="clear" w:color="auto" w:fill="auto"/>
            <w:vAlign w:val="center"/>
          </w:tcPr>
          <w:p w14:paraId="16AC498D" w14:textId="66C724CC" w:rsidR="0004524C" w:rsidRDefault="0004524C" w:rsidP="004750D1">
            <w:pPr>
              <w:spacing w:before="60"/>
              <w:ind w:right="-5"/>
              <w:jc w:val="both"/>
              <w:rPr>
                <w:rFonts w:ascii="Calibri" w:hAnsi="Calibri" w:cs="Calibri"/>
                <w:bCs/>
                <w:sz w:val="18"/>
                <w:szCs w:val="18"/>
              </w:rPr>
            </w:pPr>
            <w:r>
              <w:rPr>
                <w:rFonts w:ascii="Calibri" w:hAnsi="Calibri"/>
                <w:sz w:val="18"/>
              </w:rPr>
              <w:t>Programa de Pequeñas Donaciones</w:t>
            </w:r>
          </w:p>
        </w:tc>
        <w:tc>
          <w:tcPr>
            <w:tcW w:w="1701" w:type="dxa"/>
            <w:shd w:val="clear" w:color="auto" w:fill="auto"/>
            <w:vAlign w:val="center"/>
          </w:tcPr>
          <w:p w14:paraId="6A8E666F" w14:textId="7117BE64" w:rsidR="0004524C" w:rsidRPr="00D143CB" w:rsidRDefault="0004524C" w:rsidP="00DA7EF9">
            <w:pPr>
              <w:spacing w:before="60"/>
              <w:ind w:right="-5"/>
              <w:jc w:val="center"/>
              <w:rPr>
                <w:rFonts w:asciiTheme="minorHAnsi" w:hAnsiTheme="minorHAnsi" w:cstheme="minorHAnsi"/>
                <w:bCs/>
                <w:sz w:val="18"/>
                <w:szCs w:val="18"/>
              </w:rPr>
            </w:pPr>
            <w:r>
              <w:rPr>
                <w:rFonts w:asciiTheme="minorHAnsi" w:hAnsiTheme="minorHAnsi"/>
                <w:sz w:val="18"/>
              </w:rPr>
              <w:t>FMAM-PNUD</w:t>
            </w:r>
          </w:p>
        </w:tc>
        <w:tc>
          <w:tcPr>
            <w:tcW w:w="4599" w:type="dxa"/>
            <w:shd w:val="clear" w:color="auto" w:fill="auto"/>
            <w:vAlign w:val="center"/>
          </w:tcPr>
          <w:p w14:paraId="73FCA3B6" w14:textId="23F7E675" w:rsidR="0004524C" w:rsidRPr="0004524C" w:rsidRDefault="0004524C" w:rsidP="0004524C">
            <w:pPr>
              <w:jc w:val="both"/>
              <w:rPr>
                <w:rFonts w:asciiTheme="minorHAnsi" w:hAnsiTheme="minorHAnsi" w:cstheme="minorHAnsi"/>
                <w:sz w:val="18"/>
                <w:szCs w:val="18"/>
              </w:rPr>
            </w:pPr>
            <w:r>
              <w:rPr>
                <w:rFonts w:asciiTheme="minorHAnsi" w:hAnsiTheme="minorHAnsi"/>
                <w:sz w:val="18"/>
              </w:rPr>
              <w:t xml:space="preserve">El Programa de Pequeñas Donaciones (PPD/FMAM/PNUD), con 30 años de gestión en Ecuador y el mundo, promueve iniciativas comunitarias que preservan la biodiversidad y la agrobiodiversidad. Durante la Fase Operativa 7, se trabajó con varias bioempresas, destacando su compromiso con el cuidado de la selva tropical, el manglar y el páramo, algunas de ellas son: Asociación de Productores y Comercializadores de Productos Agropecuarios INTI, en la provincia de Napo, destacando la producción y comercialización de Ashangas Amazónicas, productos de origen orgánico con alto valor nutricional y agradable sabor. En la provincia de Pichincha, existe la Asociación Regional de Soberanía Alimentaria del Territorio Kayambi -RESAK, que ofrece productos saludables que a su vez contribuyen a reducir el uso de insumos químicos que representan un peligro por el deterioro de los recursos naturales. En la provincia de Manabí, CEPROCAFÉ es una organización que desde la Fase Operativa 5 promueve la producción y comercialización de café. Promueve la inclusión social de los jóvenes, diversifica los cultivos en las explotaciones, mantiene la tradición del café bajo sombra y sin utilizar pesticidas químicos. </w:t>
            </w:r>
          </w:p>
        </w:tc>
      </w:tr>
    </w:tbl>
    <w:p w14:paraId="663C2923" w14:textId="5AECA592" w:rsidR="001A4DB0" w:rsidRPr="002152FE" w:rsidRDefault="001A4DB0" w:rsidP="00D70E58">
      <w:pPr>
        <w:autoSpaceDE w:val="0"/>
        <w:autoSpaceDN w:val="0"/>
        <w:spacing w:after="60"/>
        <w:jc w:val="both"/>
        <w:rPr>
          <w:rFonts w:ascii="Calibri" w:eastAsia="Calibri" w:hAnsi="Calibri"/>
          <w:color w:val="000000"/>
          <w:sz w:val="20"/>
          <w:szCs w:val="20"/>
          <w:lang w:val="es-EC"/>
        </w:rPr>
      </w:pPr>
    </w:p>
    <w:p w14:paraId="4398B2D9" w14:textId="3167B6E0" w:rsidR="00CD0D37" w:rsidRPr="00CD0D37" w:rsidRDefault="00CD0D37" w:rsidP="00CD0D37">
      <w:pPr>
        <w:pStyle w:val="GEFFieldtoFillout"/>
        <w:shd w:val="clear" w:color="auto" w:fill="FFFFFF"/>
        <w:tabs>
          <w:tab w:val="left" w:pos="567"/>
        </w:tabs>
        <w:ind w:left="0"/>
        <w:jc w:val="both"/>
        <w:rPr>
          <w:rFonts w:ascii="Calibri" w:eastAsia="SimSun" w:hAnsi="Calibri"/>
          <w:sz w:val="20"/>
          <w:szCs w:val="20"/>
        </w:rPr>
      </w:pPr>
      <w:r>
        <w:rPr>
          <w:rFonts w:ascii="Calibri" w:hAnsi="Calibri"/>
          <w:sz w:val="20"/>
        </w:rPr>
        <w:t>La siguiente tabla muestra un resumen de la cofinanciación, que es coherente con la información proporcionada en "Resultados esperados" y otras secciones relevantes del ProDoc.</w:t>
      </w:r>
    </w:p>
    <w:p w14:paraId="7653638F" w14:textId="77777777" w:rsidR="001A4DB0" w:rsidRDefault="001A4DB0" w:rsidP="00D70E58">
      <w:pPr>
        <w:pStyle w:val="Descripcin"/>
        <w:keepNext/>
        <w:rPr>
          <w:rFonts w:asciiTheme="minorHAnsi" w:hAnsiTheme="minorHAnsi"/>
          <w:b w:val="0"/>
          <w:bCs w:val="0"/>
          <w:color w:val="FF0000"/>
          <w:sz w:val="18"/>
          <w:szCs w:val="18"/>
        </w:rPr>
      </w:pPr>
    </w:p>
    <w:p w14:paraId="176AA5BF" w14:textId="152B61BF" w:rsidR="00966EF0" w:rsidRPr="00DA3263" w:rsidRDefault="00DA3263" w:rsidP="00D70E58">
      <w:pPr>
        <w:pStyle w:val="Descripcin"/>
        <w:keepNext/>
        <w:rPr>
          <w:rFonts w:asciiTheme="minorHAnsi" w:hAnsiTheme="minorHAnsi" w:cstheme="minorHAnsi"/>
          <w:sz w:val="18"/>
          <w:szCs w:val="18"/>
        </w:rPr>
      </w:pPr>
      <w:bookmarkStart w:id="30" w:name="_Toc114650462"/>
      <w:r>
        <w:rPr>
          <w:rFonts w:asciiTheme="minorHAnsi" w:hAnsiTheme="minorHAnsi"/>
          <w:sz w:val="18"/>
        </w:rPr>
        <w:t xml:space="preserve">Tabla </w:t>
      </w:r>
      <w:r w:rsidRPr="00DA3263">
        <w:rPr>
          <w:rFonts w:asciiTheme="minorHAnsi" w:hAnsiTheme="minorHAnsi" w:cstheme="minorHAnsi"/>
          <w:sz w:val="18"/>
        </w:rPr>
        <w:fldChar w:fldCharType="begin"/>
      </w:r>
      <w:r w:rsidRPr="00DA3263">
        <w:rPr>
          <w:rFonts w:asciiTheme="minorHAnsi" w:hAnsiTheme="minorHAnsi" w:cstheme="minorHAnsi"/>
          <w:sz w:val="18"/>
        </w:rPr>
        <w:instrText xml:space="preserve"> SEQ Table \* ARABIC </w:instrText>
      </w:r>
      <w:r w:rsidRPr="00DA3263">
        <w:rPr>
          <w:rFonts w:asciiTheme="minorHAnsi" w:hAnsiTheme="minorHAnsi" w:cstheme="minorHAnsi"/>
          <w:sz w:val="18"/>
        </w:rPr>
        <w:fldChar w:fldCharType="separate"/>
      </w:r>
      <w:r w:rsidR="004D0AC8">
        <w:rPr>
          <w:rFonts w:asciiTheme="minorHAnsi" w:hAnsiTheme="minorHAnsi" w:cstheme="minorHAnsi"/>
          <w:noProof/>
          <w:sz w:val="18"/>
        </w:rPr>
        <w:t>12</w:t>
      </w:r>
      <w:r w:rsidRPr="00DA3263">
        <w:rPr>
          <w:rFonts w:asciiTheme="minorHAnsi" w:hAnsiTheme="minorHAnsi" w:cstheme="minorHAnsi"/>
          <w:sz w:val="18"/>
        </w:rPr>
        <w:fldChar w:fldCharType="end"/>
      </w:r>
      <w:r>
        <w:rPr>
          <w:rFonts w:asciiTheme="minorHAnsi" w:hAnsiTheme="minorHAnsi"/>
          <w:sz w:val="18"/>
        </w:rPr>
        <w:t>: Cofinanciación</w:t>
      </w:r>
      <w:bookmarkEnd w:id="30"/>
    </w:p>
    <w:tbl>
      <w:tblPr>
        <w:tblW w:w="0" w:type="auto"/>
        <w:tblInd w:w="671" w:type="dxa"/>
        <w:tblCellMar>
          <w:left w:w="0" w:type="dxa"/>
          <w:right w:w="0" w:type="dxa"/>
        </w:tblCellMar>
        <w:tblLook w:val="04A0" w:firstRow="1" w:lastRow="0" w:firstColumn="1" w:lastColumn="0" w:noHBand="0" w:noVBand="1"/>
      </w:tblPr>
      <w:tblGrid>
        <w:gridCol w:w="2875"/>
        <w:gridCol w:w="1715"/>
        <w:gridCol w:w="1293"/>
        <w:gridCol w:w="1170"/>
        <w:gridCol w:w="1170"/>
      </w:tblGrid>
      <w:tr w:rsidR="00D70E58" w:rsidRPr="001B17BF" w14:paraId="5D12E49D" w14:textId="77777777" w:rsidTr="00766CB3">
        <w:tc>
          <w:tcPr>
            <w:tcW w:w="28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444B6E" w14:textId="77777777" w:rsidR="00D70E58" w:rsidRPr="00966EF0" w:rsidRDefault="00D70E58" w:rsidP="00BA3DD6">
            <w:pPr>
              <w:autoSpaceDE w:val="0"/>
              <w:autoSpaceDN w:val="0"/>
              <w:spacing w:after="60"/>
              <w:jc w:val="both"/>
              <w:rPr>
                <w:rFonts w:ascii="Calibri" w:eastAsia="SimSun" w:hAnsi="Calibri"/>
                <w:b/>
                <w:bCs/>
                <w:color w:val="000000"/>
                <w:sz w:val="18"/>
                <w:szCs w:val="18"/>
              </w:rPr>
            </w:pPr>
            <w:r>
              <w:rPr>
                <w:rFonts w:ascii="Calibri" w:hAnsi="Calibri"/>
                <w:b/>
                <w:color w:val="000000"/>
                <w:sz w:val="18"/>
              </w:rPr>
              <w:t>Fuente de cofinanciación</w:t>
            </w:r>
          </w:p>
        </w:tc>
        <w:tc>
          <w:tcPr>
            <w:tcW w:w="17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0EA223" w14:textId="77777777" w:rsidR="00D70E58" w:rsidRPr="00966EF0" w:rsidRDefault="00D70E58" w:rsidP="00BA3DD6">
            <w:pPr>
              <w:autoSpaceDE w:val="0"/>
              <w:autoSpaceDN w:val="0"/>
              <w:spacing w:after="60"/>
              <w:jc w:val="both"/>
              <w:rPr>
                <w:rFonts w:ascii="Calibri" w:eastAsia="SimSun" w:hAnsi="Calibri"/>
                <w:b/>
                <w:bCs/>
                <w:color w:val="000000"/>
                <w:sz w:val="18"/>
                <w:szCs w:val="18"/>
              </w:rPr>
            </w:pPr>
            <w:r>
              <w:rPr>
                <w:rFonts w:ascii="Calibri" w:hAnsi="Calibri"/>
                <w:b/>
                <w:color w:val="000000"/>
                <w:sz w:val="18"/>
              </w:rPr>
              <w:t>Tipo de cofinanciación</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6EF71F" w14:textId="77777777" w:rsidR="00D70E58" w:rsidRPr="00966EF0" w:rsidRDefault="00D70E58" w:rsidP="00BA3DD6">
            <w:pPr>
              <w:autoSpaceDE w:val="0"/>
              <w:autoSpaceDN w:val="0"/>
              <w:spacing w:after="60"/>
              <w:jc w:val="both"/>
              <w:rPr>
                <w:rFonts w:ascii="Calibri" w:eastAsia="SimSun" w:hAnsi="Calibri"/>
                <w:b/>
                <w:bCs/>
                <w:color w:val="000000"/>
                <w:sz w:val="18"/>
                <w:szCs w:val="18"/>
              </w:rPr>
            </w:pPr>
            <w:r>
              <w:rPr>
                <w:rFonts w:ascii="Calibri" w:hAnsi="Calibri"/>
                <w:b/>
                <w:color w:val="000000"/>
                <w:sz w:val="18"/>
              </w:rPr>
              <w:t>Importe de cofinanciación</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0B5B5E" w14:textId="77777777" w:rsidR="00D70E58" w:rsidRPr="00966EF0" w:rsidRDefault="00D70E58" w:rsidP="00BA3DD6">
            <w:pPr>
              <w:autoSpaceDE w:val="0"/>
              <w:autoSpaceDN w:val="0"/>
              <w:spacing w:after="60"/>
              <w:jc w:val="both"/>
              <w:rPr>
                <w:rFonts w:ascii="Calibri" w:eastAsia="SimSun" w:hAnsi="Calibri"/>
                <w:b/>
                <w:bCs/>
                <w:sz w:val="18"/>
                <w:szCs w:val="18"/>
              </w:rPr>
            </w:pPr>
            <w:r>
              <w:rPr>
                <w:rFonts w:ascii="Calibri" w:hAnsi="Calibri"/>
                <w:b/>
                <w:sz w:val="18"/>
              </w:rPr>
              <w:t>¿Incluido en los resultados del proyecto?</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D0FC5" w14:textId="77777777" w:rsidR="00D70E58" w:rsidRPr="00A562E4" w:rsidRDefault="00D70E58" w:rsidP="00BA3DD6">
            <w:pPr>
              <w:autoSpaceDE w:val="0"/>
              <w:autoSpaceDN w:val="0"/>
              <w:spacing w:after="60"/>
              <w:jc w:val="both"/>
              <w:rPr>
                <w:rFonts w:ascii="Calibri" w:eastAsia="SimSun" w:hAnsi="Calibri"/>
                <w:b/>
                <w:bCs/>
                <w:sz w:val="18"/>
                <w:szCs w:val="18"/>
              </w:rPr>
            </w:pPr>
            <w:r>
              <w:rPr>
                <w:rFonts w:ascii="Calibri" w:hAnsi="Calibri"/>
                <w:b/>
                <w:sz w:val="18"/>
              </w:rPr>
              <w:t>En caso afirmativo, enumerar los resultados pertinentes</w:t>
            </w:r>
          </w:p>
        </w:tc>
      </w:tr>
      <w:tr w:rsidR="00D70E58" w:rsidRPr="00966EF0" w14:paraId="009EE3D4"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D93207" w14:textId="41715862" w:rsidR="00D70E58" w:rsidRPr="009453AC" w:rsidRDefault="00703380" w:rsidP="00BA3DD6">
            <w:pPr>
              <w:autoSpaceDE w:val="0"/>
              <w:autoSpaceDN w:val="0"/>
              <w:spacing w:after="60"/>
              <w:jc w:val="both"/>
              <w:rPr>
                <w:rFonts w:ascii="Calibri" w:eastAsia="SimSun" w:hAnsi="Calibri"/>
                <w:color w:val="000000"/>
                <w:sz w:val="18"/>
                <w:szCs w:val="18"/>
              </w:rPr>
            </w:pPr>
            <w:r>
              <w:rPr>
                <w:rFonts w:ascii="Calibri" w:hAnsi="Calibri"/>
                <w:color w:val="000000"/>
                <w:sz w:val="18"/>
              </w:rPr>
              <w:t>Gobierno</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7F610BF5" w14:textId="31A0FC1B" w:rsidR="00D70E58" w:rsidRPr="009453AC" w:rsidRDefault="009453AC" w:rsidP="00BA3DD6">
            <w:pPr>
              <w:autoSpaceDE w:val="0"/>
              <w:autoSpaceDN w:val="0"/>
              <w:spacing w:after="60"/>
              <w:jc w:val="both"/>
              <w:rPr>
                <w:rFonts w:ascii="Calibri" w:eastAsia="SimSun" w:hAnsi="Calibri"/>
                <w:color w:val="000000"/>
                <w:sz w:val="18"/>
                <w:szCs w:val="18"/>
              </w:rPr>
            </w:pPr>
            <w:r>
              <w:rPr>
                <w:rFonts w:ascii="Calibri" w:hAnsi="Calibri"/>
                <w:color w:val="000000"/>
                <w:sz w:val="18"/>
              </w:rPr>
              <w:t>En especie</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4914B8E7" w14:textId="3833AA3F" w:rsidR="00D70E58" w:rsidRPr="009453AC" w:rsidRDefault="00B23C87" w:rsidP="00BA3DD6">
            <w:pPr>
              <w:autoSpaceDE w:val="0"/>
              <w:autoSpaceDN w:val="0"/>
              <w:spacing w:after="60"/>
              <w:jc w:val="both"/>
              <w:rPr>
                <w:rFonts w:ascii="Calibri" w:eastAsia="SimSun" w:hAnsi="Calibri"/>
                <w:color w:val="000000"/>
                <w:sz w:val="18"/>
                <w:szCs w:val="18"/>
              </w:rPr>
            </w:pPr>
            <w:r>
              <w:rPr>
                <w:rFonts w:ascii="Calibri" w:hAnsi="Calibri"/>
                <w:color w:val="000000"/>
                <w:sz w:val="18"/>
              </w:rPr>
              <w:t>16.529.473</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065C58" w14:textId="0480D250" w:rsidR="00D70E58" w:rsidRPr="00703380" w:rsidRDefault="001B6699" w:rsidP="00BA3DD6">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E11816B" w14:textId="7052A406" w:rsidR="00D70E58" w:rsidRPr="00703380" w:rsidRDefault="001B6699" w:rsidP="00BA3DD6">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9453AC" w:rsidRPr="00966EF0" w14:paraId="74E8D148"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FB8AF8" w14:textId="036B9030"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Gobierno</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160F24D0" w14:textId="4DF28283"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Subvención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5E03F56F" w14:textId="59C0AABA" w:rsidR="009453AC" w:rsidRPr="009453AC" w:rsidRDefault="00B23C87" w:rsidP="009453AC">
            <w:pPr>
              <w:autoSpaceDE w:val="0"/>
              <w:autoSpaceDN w:val="0"/>
              <w:spacing w:after="60"/>
              <w:jc w:val="both"/>
              <w:rPr>
                <w:rFonts w:ascii="Calibri" w:eastAsia="SimSun" w:hAnsi="Calibri"/>
                <w:color w:val="000000"/>
                <w:sz w:val="18"/>
                <w:szCs w:val="18"/>
              </w:rPr>
            </w:pPr>
            <w:r>
              <w:rPr>
                <w:rFonts w:ascii="Calibri" w:hAnsi="Calibri"/>
                <w:color w:val="000000"/>
                <w:sz w:val="18"/>
              </w:rPr>
              <w:t>2.000.000</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8EB942A" w14:textId="65A85A87"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9FFE3A" w14:textId="06A5D74C"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9453AC" w:rsidRPr="00966EF0" w14:paraId="471B12B3"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C5B2E8" w14:textId="6C97616F"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Sector privado</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316D5BE7" w14:textId="17F10DE4"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En especie</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4B6B7CDE" w14:textId="38B4EA43"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2.015.216</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5A22337" w14:textId="0EED11BD"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82DFBA0" w14:textId="37CE25F3"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9453AC" w:rsidRPr="00966EF0" w14:paraId="2D74887F"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C57625" w14:textId="0F76A5A5"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Sector privado</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67522A1A" w14:textId="73EF02C7"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Subvención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56261E48" w14:textId="055824E3"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3.736.839</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648D25" w14:textId="4834F348"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F8787E1" w14:textId="3265F94F"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9453AC" w:rsidRPr="00966EF0" w14:paraId="1FAD8362"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83F314" w14:textId="71DB782C"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OSC</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291135C3" w14:textId="2A750C71"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En especie</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1448381C" w14:textId="47D47AF3" w:rsidR="009453AC" w:rsidRPr="009453AC" w:rsidRDefault="009453AC" w:rsidP="009453AC">
            <w:pPr>
              <w:autoSpaceDE w:val="0"/>
              <w:autoSpaceDN w:val="0"/>
              <w:spacing w:after="60"/>
              <w:jc w:val="both"/>
              <w:rPr>
                <w:rFonts w:ascii="Calibri" w:eastAsia="SimSun" w:hAnsi="Calibri"/>
                <w:color w:val="000000"/>
                <w:sz w:val="18"/>
                <w:szCs w:val="18"/>
                <w:highlight w:val="yellow"/>
              </w:rPr>
            </w:pPr>
            <w:r>
              <w:rPr>
                <w:rFonts w:ascii="Calibri" w:hAnsi="Calibri"/>
                <w:color w:val="000000"/>
                <w:sz w:val="18"/>
              </w:rPr>
              <w:t>316.858</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19D3B7A" w14:textId="7A92AE25"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7FF7EB9" w14:textId="682FBD98"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9453AC" w:rsidRPr="00966EF0" w14:paraId="45703133"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44BA5F" w14:textId="51747BD0"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Academia</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21AE79F9" w14:textId="34B3BC66" w:rsidR="009453AC" w:rsidRPr="009453AC"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En especie</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3D8A066C" w14:textId="3C3114DA" w:rsidR="009453AC" w:rsidRPr="009453AC" w:rsidRDefault="009453AC" w:rsidP="009453AC">
            <w:pPr>
              <w:autoSpaceDE w:val="0"/>
              <w:autoSpaceDN w:val="0"/>
              <w:spacing w:after="60"/>
              <w:jc w:val="both"/>
              <w:rPr>
                <w:rFonts w:ascii="Calibri" w:eastAsia="SimSun" w:hAnsi="Calibri"/>
                <w:color w:val="000000"/>
                <w:sz w:val="18"/>
                <w:szCs w:val="18"/>
                <w:highlight w:val="yellow"/>
              </w:rPr>
            </w:pPr>
            <w:r>
              <w:rPr>
                <w:rFonts w:ascii="Calibri" w:hAnsi="Calibri"/>
                <w:color w:val="000000"/>
                <w:sz w:val="18"/>
              </w:rPr>
              <w:t>2.250.000</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3253A38" w14:textId="0A896FAD"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6376024" w14:textId="558DF233" w:rsidR="009453AC" w:rsidRPr="00703380" w:rsidRDefault="009453AC"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FB1F9F" w:rsidRPr="00966EF0" w14:paraId="050AE100" w14:textId="77777777" w:rsidTr="00703380">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9A1089" w14:textId="026EFE24" w:rsidR="00FB1F9F" w:rsidRPr="009453AC" w:rsidRDefault="00FB1F9F" w:rsidP="009453AC">
            <w:pPr>
              <w:autoSpaceDE w:val="0"/>
              <w:autoSpaceDN w:val="0"/>
              <w:spacing w:after="60"/>
              <w:jc w:val="both"/>
              <w:rPr>
                <w:rFonts w:ascii="Calibri" w:eastAsia="SimSun" w:hAnsi="Calibri"/>
                <w:color w:val="000000"/>
                <w:sz w:val="18"/>
                <w:szCs w:val="18"/>
              </w:rPr>
            </w:pPr>
            <w:r>
              <w:rPr>
                <w:rFonts w:ascii="Calibri" w:hAnsi="Calibri"/>
                <w:color w:val="000000"/>
                <w:sz w:val="18"/>
              </w:rPr>
              <w:t>Agencia FMAM</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61795413" w14:textId="036F35E6" w:rsidR="00FB1F9F" w:rsidRPr="009453AC" w:rsidRDefault="00FB1F9F" w:rsidP="009453AC">
            <w:pPr>
              <w:autoSpaceDE w:val="0"/>
              <w:autoSpaceDN w:val="0"/>
              <w:spacing w:after="60"/>
              <w:jc w:val="both"/>
              <w:rPr>
                <w:rFonts w:ascii="Calibri" w:eastAsia="SimSun" w:hAnsi="Calibri"/>
                <w:color w:val="000000"/>
                <w:sz w:val="18"/>
                <w:szCs w:val="18"/>
              </w:rPr>
            </w:pPr>
            <w:r>
              <w:rPr>
                <w:rFonts w:ascii="Calibri" w:hAnsi="Calibri"/>
                <w:color w:val="000000"/>
                <w:sz w:val="18"/>
              </w:rPr>
              <w:t>Subvención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069B43EF" w14:textId="229A40D8" w:rsidR="00FB1F9F" w:rsidRPr="009453AC" w:rsidRDefault="00FB1F9F" w:rsidP="009453AC">
            <w:pPr>
              <w:autoSpaceDE w:val="0"/>
              <w:autoSpaceDN w:val="0"/>
              <w:spacing w:after="60"/>
              <w:jc w:val="both"/>
              <w:rPr>
                <w:rFonts w:ascii="Calibri" w:eastAsia="SimSun" w:hAnsi="Calibri"/>
                <w:color w:val="000000"/>
                <w:sz w:val="18"/>
                <w:szCs w:val="18"/>
              </w:rPr>
            </w:pPr>
            <w:r>
              <w:rPr>
                <w:rFonts w:ascii="Calibri" w:hAnsi="Calibri"/>
                <w:color w:val="000000"/>
                <w:sz w:val="18"/>
              </w:rPr>
              <w:t>30.000</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D89D1F0" w14:textId="7B329763" w:rsidR="00FB1F9F" w:rsidRPr="00703380" w:rsidRDefault="00FB1F9F"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NO</w:t>
            </w:r>
          </w:p>
        </w:tc>
        <w:tc>
          <w:tcPr>
            <w:tcW w:w="117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B479ACF" w14:textId="64949100" w:rsidR="00FB1F9F" w:rsidRPr="00703380" w:rsidRDefault="00FB1F9F" w:rsidP="009453AC">
            <w:pPr>
              <w:autoSpaceDE w:val="0"/>
              <w:autoSpaceDN w:val="0"/>
              <w:spacing w:after="60"/>
              <w:jc w:val="both"/>
              <w:rPr>
                <w:rFonts w:ascii="Calibri" w:eastAsia="SimSun" w:hAnsi="Calibri"/>
                <w:color w:val="000000"/>
                <w:sz w:val="18"/>
                <w:szCs w:val="18"/>
              </w:rPr>
            </w:pPr>
            <w:r>
              <w:rPr>
                <w:rFonts w:ascii="Calibri" w:hAnsi="Calibri"/>
                <w:color w:val="000000"/>
                <w:sz w:val="18"/>
              </w:rPr>
              <w:t>N/A</w:t>
            </w:r>
          </w:p>
        </w:tc>
      </w:tr>
      <w:tr w:rsidR="009453AC" w:rsidRPr="00966EF0" w14:paraId="56B99D65" w14:textId="77777777" w:rsidTr="00766CB3">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96FC87" w14:textId="51CA4615" w:rsidR="009453AC" w:rsidRPr="00966EF0" w:rsidRDefault="009453AC" w:rsidP="009453AC">
            <w:pPr>
              <w:autoSpaceDE w:val="0"/>
              <w:autoSpaceDN w:val="0"/>
              <w:spacing w:after="60"/>
              <w:jc w:val="both"/>
              <w:rPr>
                <w:rFonts w:ascii="Calibri" w:eastAsia="SimSun" w:hAnsi="Calibri"/>
                <w:color w:val="000000"/>
                <w:sz w:val="20"/>
                <w:szCs w:val="20"/>
              </w:rPr>
            </w:pPr>
            <w:r>
              <w:rPr>
                <w:rFonts w:ascii="Calibri" w:hAnsi="Calibri"/>
                <w:color w:val="000000"/>
                <w:sz w:val="20"/>
              </w:rPr>
              <w:t>Total</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3D62AFF2" w14:textId="57EF8345" w:rsidR="009453AC" w:rsidRPr="00966EF0" w:rsidRDefault="009453AC" w:rsidP="009453AC">
            <w:pPr>
              <w:autoSpaceDE w:val="0"/>
              <w:autoSpaceDN w:val="0"/>
              <w:spacing w:after="60"/>
              <w:jc w:val="both"/>
              <w:rPr>
                <w:rFonts w:ascii="Calibri" w:eastAsia="SimSun" w:hAnsi="Calibri"/>
                <w:color w:val="000000"/>
              </w:rPr>
            </w:pP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0E04A13F" w14:textId="2EF16A12" w:rsidR="009453AC" w:rsidRPr="00286EA2" w:rsidRDefault="00286EA2" w:rsidP="009453AC">
            <w:pPr>
              <w:autoSpaceDE w:val="0"/>
              <w:autoSpaceDN w:val="0"/>
              <w:spacing w:after="60"/>
              <w:jc w:val="both"/>
              <w:rPr>
                <w:rFonts w:ascii="Calibri" w:eastAsia="SimSun" w:hAnsi="Calibri"/>
                <w:b/>
                <w:bCs/>
                <w:color w:val="000000"/>
                <w:sz w:val="20"/>
              </w:rPr>
            </w:pPr>
            <w:r>
              <w:rPr>
                <w:rFonts w:ascii="Calibri" w:hAnsi="Calibri"/>
                <w:b/>
                <w:color w:val="000000"/>
                <w:sz w:val="20"/>
              </w:rPr>
              <w:t>26.878.386</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62AAA88E" w14:textId="77777777" w:rsidR="009453AC" w:rsidRPr="00966EF0" w:rsidRDefault="009453AC" w:rsidP="009453AC">
            <w:pPr>
              <w:autoSpaceDE w:val="0"/>
              <w:autoSpaceDN w:val="0"/>
              <w:spacing w:after="60"/>
              <w:jc w:val="both"/>
              <w:rPr>
                <w:rFonts w:ascii="Calibri" w:eastAsia="SimSun" w:hAnsi="Calibri"/>
                <w:color w:val="000000"/>
                <w:sz w:val="20"/>
              </w:rPr>
            </w:pP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4811320B" w14:textId="77777777" w:rsidR="009453AC" w:rsidRPr="00966EF0" w:rsidRDefault="009453AC" w:rsidP="009453AC">
            <w:pPr>
              <w:autoSpaceDE w:val="0"/>
              <w:autoSpaceDN w:val="0"/>
              <w:spacing w:after="60"/>
              <w:jc w:val="both"/>
              <w:rPr>
                <w:rFonts w:ascii="Calibri" w:eastAsia="SimSun" w:hAnsi="Calibri"/>
                <w:color w:val="000000"/>
                <w:sz w:val="20"/>
              </w:rPr>
            </w:pPr>
          </w:p>
        </w:tc>
      </w:tr>
    </w:tbl>
    <w:p w14:paraId="29DB2C6E" w14:textId="77777777" w:rsidR="00D70E58" w:rsidRPr="00966EF0" w:rsidRDefault="00D70E58" w:rsidP="00B169FC">
      <w:pPr>
        <w:spacing w:after="60"/>
        <w:jc w:val="both"/>
        <w:rPr>
          <w:rFonts w:ascii="Calibri" w:eastAsia="SimSun" w:hAnsi="Calibri"/>
          <w:sz w:val="20"/>
          <w:u w:val="single"/>
        </w:rPr>
      </w:pPr>
    </w:p>
    <w:p w14:paraId="1237A300" w14:textId="1F8AAE4F" w:rsidR="00812AA0" w:rsidRDefault="00966EF0" w:rsidP="00B169FC">
      <w:pPr>
        <w:spacing w:after="60"/>
        <w:jc w:val="both"/>
        <w:rPr>
          <w:rFonts w:ascii="Calibri" w:eastAsia="SimSun" w:hAnsi="Calibri"/>
          <w:i/>
          <w:sz w:val="20"/>
        </w:rPr>
      </w:pPr>
      <w:r>
        <w:rPr>
          <w:rFonts w:ascii="Calibri" w:hAnsi="Calibri"/>
          <w:sz w:val="20"/>
          <w:u w:val="single"/>
        </w:rPr>
        <w:t>Riesgos</w:t>
      </w:r>
      <w:r>
        <w:rPr>
          <w:rFonts w:ascii="Calibri" w:hAnsi="Calibri"/>
          <w:i/>
          <w:sz w:val="20"/>
        </w:rPr>
        <w:t>:</w:t>
      </w:r>
    </w:p>
    <w:p w14:paraId="7B74FF27" w14:textId="2DE65DEE" w:rsidR="00812AA0" w:rsidRPr="0084704B" w:rsidRDefault="00812AA0" w:rsidP="00B169FC">
      <w:pPr>
        <w:snapToGrid w:val="0"/>
        <w:spacing w:after="120"/>
        <w:jc w:val="both"/>
        <w:rPr>
          <w:rFonts w:asciiTheme="minorHAnsi" w:hAnsiTheme="minorHAnsi" w:cstheme="minorHAnsi"/>
          <w:color w:val="000000" w:themeColor="text1"/>
          <w:sz w:val="20"/>
          <w:szCs w:val="20"/>
        </w:rPr>
      </w:pPr>
      <w:r>
        <w:rPr>
          <w:rFonts w:asciiTheme="minorHAnsi" w:hAnsiTheme="minorHAnsi"/>
          <w:sz w:val="20"/>
        </w:rPr>
        <w:t xml:space="preserve">Se ha identificado un grupo de riesgos que deben tenerse en cuenta durante la ejecución del proyecto. De acuerdo con los requisitos estándar del PNUD, el Coordinador Nacional del Proyecto supervisará los riesgos trimestralmente e informará sobre el estado de los mismos a la </w:t>
      </w:r>
      <w:r w:rsidR="00343360">
        <w:rPr>
          <w:rFonts w:asciiTheme="minorHAnsi" w:hAnsiTheme="minorHAnsi"/>
          <w:sz w:val="20"/>
        </w:rPr>
        <w:t>Oficina Nacional</w:t>
      </w:r>
      <w:r>
        <w:rPr>
          <w:rFonts w:asciiTheme="minorHAnsi" w:hAnsiTheme="minorHAnsi"/>
          <w:sz w:val="20"/>
        </w:rPr>
        <w:t xml:space="preserve"> (OP) del PNUD en Ecuador. La oficina de país del PNUD registrará los avances en el registro de riesgos del ATLAS del PNUD (Registro de Riesgos del PNUD).  Los riesgos se notificarán como críticos cuando el impacto y la probabilidad sean ALTOS (es decir, cuando el impacto se califique </w:t>
      </w:r>
      <w:r>
        <w:rPr>
          <w:rFonts w:asciiTheme="minorHAnsi" w:hAnsiTheme="minorHAnsi"/>
          <w:color w:val="000000" w:themeColor="text1"/>
          <w:sz w:val="20"/>
        </w:rPr>
        <w:t xml:space="preserve">como 5, y cuando el impacto se califique como 4 y la probabilidad se califique como 3 o más). Las respuestas de gestión a los riesgos críticos también se comunicarán al FMAM en el Informe </w:t>
      </w:r>
      <w:r w:rsidR="00BE13F2">
        <w:rPr>
          <w:rFonts w:asciiTheme="minorHAnsi" w:hAnsiTheme="minorHAnsi"/>
          <w:color w:val="000000" w:themeColor="text1"/>
          <w:sz w:val="20"/>
        </w:rPr>
        <w:t>A</w:t>
      </w:r>
      <w:r>
        <w:rPr>
          <w:rFonts w:asciiTheme="minorHAnsi" w:hAnsiTheme="minorHAnsi"/>
          <w:color w:val="000000" w:themeColor="text1"/>
          <w:sz w:val="20"/>
        </w:rPr>
        <w:t xml:space="preserve">nual de </w:t>
      </w:r>
      <w:r w:rsidR="00BE13F2">
        <w:rPr>
          <w:rFonts w:asciiTheme="minorHAnsi" w:hAnsiTheme="minorHAnsi"/>
          <w:color w:val="000000" w:themeColor="text1"/>
          <w:sz w:val="20"/>
        </w:rPr>
        <w:t>E</w:t>
      </w:r>
      <w:r>
        <w:rPr>
          <w:rFonts w:asciiTheme="minorHAnsi" w:hAnsiTheme="minorHAnsi"/>
          <w:color w:val="000000" w:themeColor="text1"/>
          <w:sz w:val="20"/>
        </w:rPr>
        <w:t xml:space="preserve">jecución del </w:t>
      </w:r>
      <w:r w:rsidR="00BE13F2">
        <w:rPr>
          <w:rFonts w:asciiTheme="minorHAnsi" w:hAnsiTheme="minorHAnsi"/>
          <w:color w:val="000000" w:themeColor="text1"/>
          <w:sz w:val="20"/>
        </w:rPr>
        <w:t>P</w:t>
      </w:r>
      <w:r>
        <w:rPr>
          <w:rFonts w:asciiTheme="minorHAnsi" w:hAnsiTheme="minorHAnsi"/>
          <w:color w:val="000000" w:themeColor="text1"/>
          <w:sz w:val="20"/>
        </w:rPr>
        <w:t>royecto (PIR).</w:t>
      </w:r>
    </w:p>
    <w:p w14:paraId="20C49266" w14:textId="4FCE1062" w:rsidR="00974CEC" w:rsidRPr="00527455" w:rsidRDefault="00974CEC" w:rsidP="00974CEC">
      <w:pPr>
        <w:snapToGrid w:val="0"/>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En el Anexo 6, Registro de Riesgos del PNUD, se puede encontrar el análisis detallado de los riesgos que podrían amenazar la consecución de los resultados del proyecto, incluidos los riesgos sociales y ambientales identificados en el desarrollo de SESP (Anexo 5). La descripción de cómo se mitigarán los riesgos del proyecto figura en el Anexo 6 (Registro de Riesgos del PNUD) y en el Anexo 9 (</w:t>
      </w:r>
      <w:r w:rsidR="00EE65CF">
        <w:rPr>
          <w:rFonts w:asciiTheme="minorHAnsi" w:hAnsiTheme="minorHAnsi"/>
          <w:color w:val="000000" w:themeColor="text1"/>
          <w:sz w:val="20"/>
        </w:rPr>
        <w:t>ESMF</w:t>
      </w:r>
      <w:r>
        <w:rPr>
          <w:rFonts w:asciiTheme="minorHAnsi" w:hAnsiTheme="minorHAnsi"/>
          <w:color w:val="000000" w:themeColor="text1"/>
          <w:sz w:val="20"/>
        </w:rPr>
        <w:t>).</w:t>
      </w:r>
    </w:p>
    <w:p w14:paraId="44D04D90" w14:textId="77777777" w:rsidR="0004661C" w:rsidRDefault="00812AA0" w:rsidP="0004661C">
      <w:pPr>
        <w:snapToGrid w:val="0"/>
        <w:spacing w:after="120"/>
        <w:jc w:val="both"/>
        <w:rPr>
          <w:rFonts w:asciiTheme="minorHAnsi" w:hAnsiTheme="minorHAnsi" w:cstheme="minorHAnsi"/>
          <w:sz w:val="20"/>
          <w:szCs w:val="20"/>
        </w:rPr>
      </w:pPr>
      <w:r>
        <w:rPr>
          <w:rFonts w:asciiTheme="minorHAnsi" w:hAnsiTheme="minorHAnsi"/>
          <w:sz w:val="20"/>
        </w:rPr>
        <w:t>La siguiente tabla resume los principales riesgos que podrían amenazar la consecución de los resultados del proyecto:</w:t>
      </w:r>
      <w:bookmarkStart w:id="31" w:name="_Toc86512324"/>
      <w:bookmarkStart w:id="32" w:name="_Toc114650463"/>
    </w:p>
    <w:p w14:paraId="7497180C" w14:textId="04FD604E" w:rsidR="001A4DB0" w:rsidRPr="0004661C" w:rsidRDefault="00DA3263" w:rsidP="0004661C">
      <w:pPr>
        <w:snapToGrid w:val="0"/>
        <w:spacing w:after="120"/>
        <w:jc w:val="both"/>
        <w:rPr>
          <w:rFonts w:asciiTheme="minorHAnsi" w:hAnsiTheme="minorHAnsi" w:cstheme="minorHAnsi"/>
          <w:b/>
          <w:bCs/>
          <w:sz w:val="20"/>
          <w:szCs w:val="20"/>
        </w:rPr>
      </w:pPr>
      <w:r>
        <w:rPr>
          <w:rFonts w:asciiTheme="minorHAnsi" w:hAnsiTheme="minorHAnsi"/>
          <w:b/>
          <w:sz w:val="18"/>
        </w:rPr>
        <w:t xml:space="preserve">Tabla </w:t>
      </w:r>
      <w:r w:rsidRPr="0004661C">
        <w:rPr>
          <w:rFonts w:asciiTheme="minorHAnsi" w:hAnsiTheme="minorHAnsi" w:cstheme="minorHAnsi"/>
          <w:b/>
          <w:sz w:val="18"/>
        </w:rPr>
        <w:fldChar w:fldCharType="begin"/>
      </w:r>
      <w:r w:rsidRPr="0004661C">
        <w:rPr>
          <w:rFonts w:asciiTheme="minorHAnsi" w:hAnsiTheme="minorHAnsi" w:cstheme="minorHAnsi"/>
          <w:b/>
          <w:sz w:val="18"/>
        </w:rPr>
        <w:instrText xml:space="preserve"> SEQ Table \* ARABIC </w:instrText>
      </w:r>
      <w:r w:rsidRPr="0004661C">
        <w:rPr>
          <w:rFonts w:asciiTheme="minorHAnsi" w:hAnsiTheme="minorHAnsi" w:cstheme="minorHAnsi"/>
          <w:b/>
          <w:sz w:val="18"/>
        </w:rPr>
        <w:fldChar w:fldCharType="separate"/>
      </w:r>
      <w:r w:rsidR="004D0AC8">
        <w:rPr>
          <w:rFonts w:asciiTheme="minorHAnsi" w:hAnsiTheme="minorHAnsi" w:cstheme="minorHAnsi"/>
          <w:b/>
          <w:noProof/>
          <w:sz w:val="18"/>
        </w:rPr>
        <w:t>13</w:t>
      </w:r>
      <w:r w:rsidRPr="0004661C">
        <w:rPr>
          <w:rFonts w:asciiTheme="minorHAnsi" w:hAnsiTheme="minorHAnsi" w:cstheme="minorHAnsi"/>
          <w:b/>
          <w:sz w:val="18"/>
        </w:rPr>
        <w:fldChar w:fldCharType="end"/>
      </w:r>
      <w:r>
        <w:rPr>
          <w:rFonts w:asciiTheme="minorHAnsi" w:hAnsiTheme="minorHAnsi"/>
          <w:b/>
          <w:sz w:val="18"/>
        </w:rPr>
        <w:t xml:space="preserve">: Principales riesgos que pueden amenazar la consecución de los resultados del </w:t>
      </w:r>
      <w:r w:rsidR="00F15011">
        <w:rPr>
          <w:rFonts w:asciiTheme="minorHAnsi" w:hAnsiTheme="minorHAnsi"/>
          <w:b/>
          <w:sz w:val="18"/>
        </w:rPr>
        <w:t>FSP</w:t>
      </w:r>
      <w:bookmarkEnd w:id="31"/>
      <w:bookmarkEnd w:id="32"/>
    </w:p>
    <w:tbl>
      <w:tblPr>
        <w:tblStyle w:val="Tablaconcuadrcula"/>
        <w:tblW w:w="9067" w:type="dxa"/>
        <w:jc w:val="center"/>
        <w:shd w:val="clear" w:color="auto" w:fill="D9D9D9" w:themeFill="background1" w:themeFillShade="D9"/>
        <w:tblLook w:val="04A0" w:firstRow="1" w:lastRow="0" w:firstColumn="1" w:lastColumn="0" w:noHBand="0" w:noVBand="1"/>
      </w:tblPr>
      <w:tblGrid>
        <w:gridCol w:w="1413"/>
        <w:gridCol w:w="3402"/>
        <w:gridCol w:w="4252"/>
      </w:tblGrid>
      <w:tr w:rsidR="00B6216F" w:rsidRPr="00C41C82" w14:paraId="2DC8A8E3" w14:textId="77777777" w:rsidTr="00B169FC">
        <w:trPr>
          <w:cantSplit/>
          <w:trHeight w:val="283"/>
          <w:tblHeader/>
          <w:jc w:val="center"/>
        </w:trPr>
        <w:tc>
          <w:tcPr>
            <w:tcW w:w="1413" w:type="dxa"/>
            <w:shd w:val="clear" w:color="auto" w:fill="D9D9D9" w:themeFill="background1" w:themeFillShade="D9"/>
            <w:vAlign w:val="center"/>
          </w:tcPr>
          <w:p w14:paraId="0F627D15"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b/>
                <w:color w:val="auto"/>
                <w:sz w:val="18"/>
              </w:rPr>
              <w:t>Clase de riesgo</w:t>
            </w:r>
          </w:p>
        </w:tc>
        <w:tc>
          <w:tcPr>
            <w:tcW w:w="3402" w:type="dxa"/>
            <w:shd w:val="clear" w:color="auto" w:fill="D9D9D9" w:themeFill="background1" w:themeFillShade="D9"/>
            <w:vAlign w:val="center"/>
          </w:tcPr>
          <w:p w14:paraId="5065439A" w14:textId="77777777" w:rsidR="00B6216F" w:rsidRPr="00C41C82" w:rsidRDefault="00B6216F" w:rsidP="00BA3DD6">
            <w:pPr>
              <w:pStyle w:val="GEFFieldtoFillout"/>
              <w:tabs>
                <w:tab w:val="left" w:pos="567"/>
              </w:tabs>
              <w:spacing w:before="60" w:after="60"/>
              <w:ind w:left="0"/>
              <w:jc w:val="both"/>
              <w:rPr>
                <w:rFonts w:asciiTheme="minorHAnsi" w:hAnsiTheme="minorHAnsi" w:cstheme="minorHAnsi"/>
                <w:color w:val="auto"/>
                <w:sz w:val="18"/>
                <w:szCs w:val="18"/>
              </w:rPr>
            </w:pPr>
            <w:r>
              <w:rPr>
                <w:rFonts w:asciiTheme="minorHAnsi" w:hAnsiTheme="minorHAnsi"/>
                <w:b/>
                <w:color w:val="auto"/>
                <w:sz w:val="18"/>
              </w:rPr>
              <w:t>Riesgo y descripción</w:t>
            </w:r>
          </w:p>
        </w:tc>
        <w:tc>
          <w:tcPr>
            <w:tcW w:w="4252" w:type="dxa"/>
            <w:shd w:val="clear" w:color="auto" w:fill="D9D9D9" w:themeFill="background1" w:themeFillShade="D9"/>
            <w:vAlign w:val="center"/>
          </w:tcPr>
          <w:p w14:paraId="57DF54E5"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b/>
                <w:color w:val="auto"/>
                <w:sz w:val="18"/>
              </w:rPr>
              <w:t>Respuesta de la gestión de riesgos</w:t>
            </w:r>
          </w:p>
        </w:tc>
      </w:tr>
      <w:tr w:rsidR="00B6216F" w:rsidRPr="001B17BF" w14:paraId="1525135D" w14:textId="77777777" w:rsidTr="00F46CDE">
        <w:trPr>
          <w:cantSplit/>
          <w:trHeight w:val="2879"/>
          <w:tblHeader/>
          <w:jc w:val="center"/>
        </w:trPr>
        <w:tc>
          <w:tcPr>
            <w:tcW w:w="1413" w:type="dxa"/>
            <w:vMerge w:val="restart"/>
            <w:shd w:val="clear" w:color="auto" w:fill="auto"/>
            <w:vAlign w:val="center"/>
          </w:tcPr>
          <w:p w14:paraId="0603E230" w14:textId="1DE17EF2"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color w:val="auto"/>
                <w:sz w:val="18"/>
              </w:rPr>
              <w:t xml:space="preserve">Social y </w:t>
            </w:r>
            <w:r w:rsidR="00BE13F2">
              <w:rPr>
                <w:rFonts w:asciiTheme="minorHAnsi" w:hAnsiTheme="minorHAnsi"/>
                <w:color w:val="auto"/>
                <w:sz w:val="18"/>
              </w:rPr>
              <w:t>a</w:t>
            </w:r>
            <w:r>
              <w:rPr>
                <w:rFonts w:asciiTheme="minorHAnsi" w:hAnsiTheme="minorHAnsi"/>
                <w:color w:val="auto"/>
                <w:sz w:val="18"/>
              </w:rPr>
              <w:t>mbiental</w:t>
            </w:r>
          </w:p>
        </w:tc>
        <w:tc>
          <w:tcPr>
            <w:tcW w:w="3402" w:type="dxa"/>
            <w:shd w:val="clear" w:color="auto" w:fill="auto"/>
            <w:vAlign w:val="center"/>
          </w:tcPr>
          <w:p w14:paraId="6331D709" w14:textId="6ECFBC30" w:rsidR="00C41C82" w:rsidRPr="00C41C82" w:rsidRDefault="00C41C82" w:rsidP="00C41C82">
            <w:pPr>
              <w:jc w:val="both"/>
              <w:rPr>
                <w:rFonts w:asciiTheme="minorHAnsi" w:hAnsiTheme="minorHAnsi" w:cstheme="minorHAnsi"/>
                <w:bCs/>
                <w:sz w:val="18"/>
                <w:szCs w:val="18"/>
              </w:rPr>
            </w:pPr>
            <w:r>
              <w:rPr>
                <w:rFonts w:asciiTheme="minorHAnsi" w:hAnsiTheme="minorHAnsi"/>
                <w:b/>
                <w:sz w:val="18"/>
              </w:rPr>
              <w:t xml:space="preserve">Riesgo 1: </w:t>
            </w:r>
            <w:r>
              <w:rPr>
                <w:rFonts w:asciiTheme="minorHAnsi" w:hAnsiTheme="minorHAnsi"/>
                <w:sz w:val="18"/>
              </w:rPr>
              <w:t xml:space="preserve">Los titulares de obligaciones, como funcionarios de aduanas, inspectores y otros funcionarios públicos, pueden no tener capacidad para cumplir sus obligaciones en el </w:t>
            </w:r>
            <w:r w:rsidR="00BE13F2">
              <w:rPr>
                <w:rFonts w:asciiTheme="minorHAnsi" w:hAnsiTheme="minorHAnsi"/>
                <w:sz w:val="18"/>
              </w:rPr>
              <w:t>p</w:t>
            </w:r>
            <w:r>
              <w:rPr>
                <w:rFonts w:asciiTheme="minorHAnsi" w:hAnsiTheme="minorHAnsi"/>
                <w:sz w:val="18"/>
              </w:rPr>
              <w:t>royecto.</w:t>
            </w:r>
          </w:p>
          <w:p w14:paraId="5E08F71F" w14:textId="7B8E5190" w:rsidR="00B6216F" w:rsidRPr="00C41C82" w:rsidRDefault="00B6216F" w:rsidP="00C41C82">
            <w:pPr>
              <w:pStyle w:val="GEFFieldtoFillout"/>
              <w:tabs>
                <w:tab w:val="left" w:pos="567"/>
              </w:tabs>
              <w:spacing w:before="60" w:after="60"/>
              <w:ind w:left="0"/>
              <w:jc w:val="both"/>
              <w:rPr>
                <w:rFonts w:asciiTheme="minorHAnsi" w:hAnsiTheme="minorHAnsi" w:cstheme="minorHAnsi"/>
                <w:b/>
                <w:bCs/>
                <w:color w:val="auto"/>
                <w:sz w:val="18"/>
                <w:szCs w:val="18"/>
              </w:rPr>
            </w:pPr>
          </w:p>
        </w:tc>
        <w:tc>
          <w:tcPr>
            <w:tcW w:w="4252" w:type="dxa"/>
            <w:shd w:val="clear" w:color="auto" w:fill="auto"/>
            <w:vAlign w:val="center"/>
          </w:tcPr>
          <w:p w14:paraId="6F5E7115" w14:textId="1077688A" w:rsidR="00B6216F" w:rsidRPr="004D0D44" w:rsidRDefault="004D0D44" w:rsidP="00C41C82">
            <w:pPr>
              <w:pStyle w:val="GEFFieldtoFillout"/>
              <w:tabs>
                <w:tab w:val="left" w:pos="567"/>
              </w:tabs>
              <w:spacing w:before="60" w:after="60"/>
              <w:ind w:left="0"/>
              <w:jc w:val="both"/>
              <w:rPr>
                <w:rFonts w:asciiTheme="minorHAnsi" w:hAnsiTheme="minorHAnsi" w:cstheme="minorHAnsi"/>
                <w:b/>
                <w:bCs/>
                <w:color w:val="auto"/>
                <w:sz w:val="18"/>
                <w:szCs w:val="18"/>
              </w:rPr>
            </w:pPr>
            <w:r>
              <w:rPr>
                <w:rFonts w:asciiTheme="minorHAnsi" w:hAnsiTheme="minorHAnsi"/>
                <w:color w:val="000000" w:themeColor="text1"/>
                <w:sz w:val="18"/>
              </w:rPr>
              <w:t xml:space="preserve">El diseño del proyecto ha incluido formación específica para funcionarios e inspectores de aduanas y abordará las necesidades de los participantes (Resultados 1.1 y 1.4), así como formación para otras partes interesadas. Se llevará a cabo una evaluación de las necesidades de formación (guiada por </w:t>
            </w:r>
            <w:r w:rsidR="00C773C0">
              <w:rPr>
                <w:rFonts w:asciiTheme="minorHAnsi" w:hAnsiTheme="minorHAnsi"/>
                <w:color w:val="000000" w:themeColor="text1"/>
                <w:sz w:val="18"/>
              </w:rPr>
              <w:t>los</w:t>
            </w:r>
            <w:r>
              <w:rPr>
                <w:rFonts w:asciiTheme="minorHAnsi" w:hAnsiTheme="minorHAnsi"/>
                <w:color w:val="000000" w:themeColor="text1"/>
                <w:sz w:val="18"/>
              </w:rPr>
              <w:t xml:space="preserve"> </w:t>
            </w:r>
            <w:r w:rsidR="00C773C0">
              <w:rPr>
                <w:rFonts w:asciiTheme="minorHAnsi" w:hAnsiTheme="minorHAnsi"/>
                <w:color w:val="000000" w:themeColor="text1"/>
                <w:sz w:val="18"/>
              </w:rPr>
              <w:t xml:space="preserve">Estándares </w:t>
            </w:r>
            <w:r>
              <w:rPr>
                <w:rFonts w:asciiTheme="minorHAnsi" w:hAnsiTheme="minorHAnsi"/>
                <w:color w:val="000000" w:themeColor="text1"/>
                <w:sz w:val="18"/>
              </w:rPr>
              <w:t>EAS, como se indica en el ProDoc), y se realizará una evaluación posterior a la formación para garantizar que la información se ha transmitido a los participantes según lo requerido y tendrá un impacto significativo en su desempeño laboral. En consonancia con el Marco de Gestión Ambiental y Social (</w:t>
            </w:r>
            <w:r w:rsidR="00EE65CF">
              <w:rPr>
                <w:rFonts w:asciiTheme="minorHAnsi" w:hAnsiTheme="minorHAnsi"/>
                <w:color w:val="000000" w:themeColor="text1"/>
                <w:sz w:val="18"/>
              </w:rPr>
              <w:t>ESMF</w:t>
            </w:r>
            <w:r>
              <w:rPr>
                <w:rFonts w:asciiTheme="minorHAnsi" w:hAnsiTheme="minorHAnsi"/>
                <w:color w:val="000000" w:themeColor="text1"/>
                <w:sz w:val="18"/>
              </w:rPr>
              <w:t xml:space="preserve">) que se ha preparado para el </w:t>
            </w:r>
            <w:r w:rsidR="00BE13F2">
              <w:rPr>
                <w:rFonts w:asciiTheme="minorHAnsi" w:hAnsiTheme="minorHAnsi"/>
                <w:color w:val="000000" w:themeColor="text1"/>
                <w:sz w:val="18"/>
              </w:rPr>
              <w:t>p</w:t>
            </w:r>
            <w:r>
              <w:rPr>
                <w:rFonts w:asciiTheme="minorHAnsi" w:hAnsiTheme="minorHAnsi"/>
                <w:color w:val="000000" w:themeColor="text1"/>
                <w:sz w:val="18"/>
              </w:rPr>
              <w:t>royecto, se llevará a cabo una capacitación adicional según sea necesario de acuerdo con los Planes de Gestión Ambiental y Social (PGAS) desarrollados.</w:t>
            </w:r>
          </w:p>
        </w:tc>
      </w:tr>
      <w:tr w:rsidR="00B6216F" w:rsidRPr="001B17BF" w14:paraId="74C61114" w14:textId="77777777" w:rsidTr="00B169FC">
        <w:trPr>
          <w:cantSplit/>
          <w:trHeight w:val="283"/>
          <w:tblHeader/>
          <w:jc w:val="center"/>
        </w:trPr>
        <w:tc>
          <w:tcPr>
            <w:tcW w:w="1413" w:type="dxa"/>
            <w:vMerge/>
            <w:shd w:val="clear" w:color="auto" w:fill="auto"/>
            <w:vAlign w:val="center"/>
          </w:tcPr>
          <w:p w14:paraId="4A649D71"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363F767D" w14:textId="230A6089" w:rsidR="00B6216F" w:rsidRPr="00C41C82" w:rsidRDefault="00C41C82" w:rsidP="00C41C82">
            <w:pPr>
              <w:jc w:val="both"/>
              <w:rPr>
                <w:rFonts w:asciiTheme="minorHAnsi" w:hAnsiTheme="minorHAnsi" w:cstheme="minorHAnsi"/>
                <w:b/>
                <w:sz w:val="18"/>
                <w:szCs w:val="18"/>
              </w:rPr>
            </w:pPr>
            <w:r>
              <w:rPr>
                <w:rFonts w:asciiTheme="minorHAnsi" w:hAnsiTheme="minorHAnsi"/>
                <w:b/>
                <w:sz w:val="18"/>
              </w:rPr>
              <w:t xml:space="preserve">Riesgo 2: </w:t>
            </w:r>
            <w:r>
              <w:rPr>
                <w:rFonts w:asciiTheme="minorHAnsi" w:hAnsiTheme="minorHAnsi"/>
                <w:sz w:val="18"/>
              </w:rPr>
              <w:t>Pérdida de ingresos de las pequeñas y medianas explotaciones debido a la prohibición de importar o restringir el uso de determinados plaguicidas peligrosos</w:t>
            </w:r>
            <w:r w:rsidR="00BE13F2">
              <w:rPr>
                <w:rFonts w:asciiTheme="minorHAnsi" w:hAnsiTheme="minorHAnsi"/>
                <w:sz w:val="18"/>
              </w:rPr>
              <w:t>.</w:t>
            </w:r>
          </w:p>
        </w:tc>
        <w:tc>
          <w:tcPr>
            <w:tcW w:w="4252" w:type="dxa"/>
            <w:shd w:val="clear" w:color="auto" w:fill="auto"/>
            <w:vAlign w:val="center"/>
          </w:tcPr>
          <w:p w14:paraId="041E2AAD" w14:textId="77945374" w:rsidR="00C41C82" w:rsidRPr="00C41C82" w:rsidRDefault="00C41C82" w:rsidP="00C41C82">
            <w:pPr>
              <w:jc w:val="both"/>
              <w:rPr>
                <w:rFonts w:asciiTheme="minorHAnsi" w:hAnsiTheme="minorHAnsi" w:cstheme="minorHAnsi"/>
                <w:noProof/>
                <w:color w:val="000000"/>
                <w:sz w:val="18"/>
                <w:szCs w:val="18"/>
              </w:rPr>
            </w:pPr>
            <w:r>
              <w:rPr>
                <w:rFonts w:asciiTheme="minorHAnsi" w:hAnsiTheme="minorHAnsi"/>
                <w:color w:val="000000"/>
                <w:sz w:val="18"/>
              </w:rPr>
              <w:t xml:space="preserve">En línea con el </w:t>
            </w:r>
            <w:r w:rsidR="00206AD8">
              <w:rPr>
                <w:rFonts w:asciiTheme="minorHAnsi" w:hAnsiTheme="minorHAnsi"/>
                <w:color w:val="000000"/>
                <w:sz w:val="18"/>
              </w:rPr>
              <w:t>ESMF,</w:t>
            </w:r>
            <w:r>
              <w:rPr>
                <w:rFonts w:asciiTheme="minorHAnsi" w:hAnsiTheme="minorHAnsi"/>
                <w:color w:val="000000"/>
                <w:sz w:val="18"/>
              </w:rPr>
              <w:t xml:space="preserve"> se adoptará una Evaluación Ambiental y Social Estratégica (EASE) para la preparación del plan nacional para la reducción gradual del uso de agroquímicos perjudiciales (Resultado 1.3), la hoja de ruta del marco legal y todos los instrumentos legales que deben ser apoyados/redactados (Actividad 1.5-b) y la Evaluación de los Nuevos Incentivos Fiscales (Actividad 2.2-b) para abordar el potencial de pérdida de ingresos para varios grupos.</w:t>
            </w:r>
          </w:p>
          <w:p w14:paraId="22C182DD" w14:textId="1457E087" w:rsidR="00B6216F" w:rsidRPr="00C41C82" w:rsidRDefault="00C41C82" w:rsidP="00C41C82">
            <w:pPr>
              <w:pStyle w:val="Sinespaciado"/>
              <w:jc w:val="both"/>
              <w:rPr>
                <w:rFonts w:asciiTheme="minorHAnsi" w:hAnsiTheme="minorHAnsi" w:cstheme="minorHAnsi"/>
                <w:sz w:val="18"/>
                <w:szCs w:val="18"/>
              </w:rPr>
            </w:pPr>
            <w:r>
              <w:rPr>
                <w:rFonts w:asciiTheme="minorHAnsi" w:hAnsiTheme="minorHAnsi"/>
                <w:color w:val="000000"/>
                <w:sz w:val="18"/>
              </w:rPr>
              <w:t>El proyecto también ha desarrollado un Plan de Participación de las Partes Interesadas para implicar a los actores pertinentes, especialmente a los agricultores, e identificar soluciones beneficiosas para todos destinadas a reducir la necesidad de plaguicidas y encontrar alternativas asequibles y eficaces para los que se eliminarán gradualmente.</w:t>
            </w:r>
          </w:p>
        </w:tc>
      </w:tr>
      <w:tr w:rsidR="00B6216F" w:rsidRPr="001B17BF" w14:paraId="0B8462DC" w14:textId="77777777" w:rsidTr="00B169FC">
        <w:trPr>
          <w:cantSplit/>
          <w:trHeight w:val="283"/>
          <w:tblHeader/>
          <w:jc w:val="center"/>
        </w:trPr>
        <w:tc>
          <w:tcPr>
            <w:tcW w:w="1413" w:type="dxa"/>
            <w:vMerge/>
            <w:shd w:val="clear" w:color="auto" w:fill="auto"/>
            <w:vAlign w:val="center"/>
          </w:tcPr>
          <w:p w14:paraId="6D8A2054"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1B3425CB" w14:textId="2F46753B" w:rsidR="00C41C82" w:rsidRPr="00C41C82" w:rsidRDefault="00C41C82" w:rsidP="00C41C82">
            <w:pPr>
              <w:jc w:val="both"/>
              <w:rPr>
                <w:rFonts w:asciiTheme="minorHAnsi" w:hAnsiTheme="minorHAnsi" w:cstheme="minorHAnsi"/>
                <w:iCs/>
                <w:sz w:val="18"/>
                <w:szCs w:val="18"/>
              </w:rPr>
            </w:pPr>
            <w:r>
              <w:rPr>
                <w:rFonts w:asciiTheme="minorHAnsi" w:hAnsiTheme="minorHAnsi"/>
                <w:b/>
                <w:sz w:val="18"/>
              </w:rPr>
              <w:t>Riesgo 3</w:t>
            </w:r>
            <w:r>
              <w:rPr>
                <w:rFonts w:asciiTheme="minorHAnsi" w:hAnsiTheme="minorHAnsi"/>
                <w:sz w:val="18"/>
              </w:rPr>
              <w:t>: Marginación de los grupos vulnerables al no darles la oportunidad de participar en el proyecto y beneficiarse de sus resultados</w:t>
            </w:r>
            <w:r w:rsidR="00BE13F2">
              <w:rPr>
                <w:rFonts w:asciiTheme="minorHAnsi" w:hAnsiTheme="minorHAnsi"/>
                <w:sz w:val="18"/>
              </w:rPr>
              <w:t>.</w:t>
            </w:r>
          </w:p>
          <w:p w14:paraId="67071E4A" w14:textId="2B9EF7D9" w:rsidR="00B6216F" w:rsidRPr="002152FE" w:rsidRDefault="00B6216F" w:rsidP="00C41C82">
            <w:pPr>
              <w:spacing w:beforeLines="60" w:before="144"/>
              <w:jc w:val="both"/>
              <w:rPr>
                <w:rFonts w:asciiTheme="minorHAnsi" w:hAnsiTheme="minorHAnsi" w:cstheme="minorHAnsi"/>
                <w:sz w:val="18"/>
                <w:szCs w:val="18"/>
                <w:lang w:val="es-EC"/>
              </w:rPr>
            </w:pPr>
          </w:p>
        </w:tc>
        <w:tc>
          <w:tcPr>
            <w:tcW w:w="4252" w:type="dxa"/>
            <w:shd w:val="clear" w:color="auto" w:fill="auto"/>
            <w:vAlign w:val="center"/>
          </w:tcPr>
          <w:p w14:paraId="1721ECC1" w14:textId="7569082E" w:rsidR="00B6216F" w:rsidRPr="004D0D44" w:rsidRDefault="004D0D44" w:rsidP="00C41C82">
            <w:pPr>
              <w:jc w:val="both"/>
              <w:rPr>
                <w:rFonts w:asciiTheme="minorHAnsi" w:hAnsiTheme="minorHAnsi" w:cstheme="minorHAnsi"/>
                <w:sz w:val="18"/>
                <w:szCs w:val="18"/>
              </w:rPr>
            </w:pPr>
            <w:r>
              <w:rPr>
                <w:rFonts w:asciiTheme="minorHAnsi" w:hAnsiTheme="minorHAnsi"/>
                <w:sz w:val="18"/>
              </w:rPr>
              <w:t>Para garantizar incentivos fiscales inclusivos (Actividad 2.2-b) y el acceso al crédito (Resultado 2.3), el proyecto ha desarrollado un Plan de Compromiso de las Partes Interesadas que garantiza la participación de todas las partes interesadas en las actividades del proyecto. El plan garantizará un compromiso eficaz entre las diversas partes interesadas mediante la creación y difusión de información, el fomento de la cooperación y la mejora de las capacidades. Las partes interesadas identificadas incluyen representantes del gobierno central y local, el sector privado, ONGs y la sociedad civil, instituciones académicas y de investigación, grupos de población vulnerables y el público en general. También pondrá en marcha un Mecanismo de Resolución de Reclam</w:t>
            </w:r>
            <w:r w:rsidR="00C969C4">
              <w:rPr>
                <w:rFonts w:asciiTheme="minorHAnsi" w:hAnsiTheme="minorHAnsi"/>
                <w:sz w:val="18"/>
              </w:rPr>
              <w:t>os</w:t>
            </w:r>
            <w:r>
              <w:rPr>
                <w:rFonts w:asciiTheme="minorHAnsi" w:hAnsiTheme="minorHAnsi"/>
                <w:sz w:val="18"/>
              </w:rPr>
              <w:t xml:space="preserve"> (MRR) a nivel de proyecto y/o de sitio para proporcionar medios significativos a las comunidades locales y poblaciones afectadas para plantear preocupaciones y/o quejas cuando las actividades puedan afectarles negativamente.</w:t>
            </w:r>
          </w:p>
        </w:tc>
      </w:tr>
      <w:tr w:rsidR="00B6216F" w:rsidRPr="001B17BF" w14:paraId="7C194435" w14:textId="77777777" w:rsidTr="00B169FC">
        <w:trPr>
          <w:cantSplit/>
          <w:trHeight w:val="283"/>
          <w:tblHeader/>
          <w:jc w:val="center"/>
        </w:trPr>
        <w:tc>
          <w:tcPr>
            <w:tcW w:w="1413" w:type="dxa"/>
            <w:vMerge/>
            <w:shd w:val="clear" w:color="auto" w:fill="auto"/>
            <w:vAlign w:val="center"/>
          </w:tcPr>
          <w:p w14:paraId="70D154FB"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629E4617" w14:textId="79A37A69" w:rsidR="00C41C82" w:rsidRPr="00C41C82" w:rsidRDefault="00C41C82" w:rsidP="00C41C82">
            <w:pPr>
              <w:jc w:val="both"/>
              <w:rPr>
                <w:rFonts w:asciiTheme="minorHAnsi" w:hAnsiTheme="minorHAnsi" w:cstheme="minorHAnsi"/>
                <w:bCs/>
                <w:sz w:val="18"/>
                <w:szCs w:val="18"/>
              </w:rPr>
            </w:pPr>
            <w:r>
              <w:rPr>
                <w:rFonts w:asciiTheme="minorHAnsi" w:hAnsiTheme="minorHAnsi"/>
                <w:b/>
                <w:sz w:val="18"/>
              </w:rPr>
              <w:t>Riesgo 4:</w:t>
            </w:r>
            <w:r>
              <w:rPr>
                <w:rFonts w:asciiTheme="minorHAnsi" w:hAnsiTheme="minorHAnsi"/>
                <w:sz w:val="18"/>
              </w:rPr>
              <w:t xml:space="preserve"> </w:t>
            </w:r>
            <w:bookmarkStart w:id="33" w:name="_Hlk34818676"/>
            <w:r>
              <w:rPr>
                <w:rFonts w:asciiTheme="minorHAnsi" w:hAnsiTheme="minorHAnsi"/>
                <w:sz w:val="18"/>
              </w:rPr>
              <w:t>Discriminación de género reproducida a través de la limitación de la capacidad de las mujeres para contribuir a la toma de decisiones y beneficiarse del proyecto</w:t>
            </w:r>
            <w:bookmarkEnd w:id="33"/>
            <w:r w:rsidR="005B5041">
              <w:rPr>
                <w:rFonts w:asciiTheme="minorHAnsi" w:hAnsiTheme="minorHAnsi"/>
                <w:sz w:val="18"/>
              </w:rPr>
              <w:t>.</w:t>
            </w:r>
          </w:p>
          <w:p w14:paraId="29B610D4" w14:textId="174E605F" w:rsidR="00B6216F" w:rsidRPr="002152FE" w:rsidRDefault="00B6216F" w:rsidP="00C41C82">
            <w:pPr>
              <w:jc w:val="both"/>
              <w:rPr>
                <w:rFonts w:asciiTheme="minorHAnsi" w:hAnsiTheme="minorHAnsi" w:cstheme="minorHAnsi"/>
                <w:sz w:val="18"/>
                <w:szCs w:val="18"/>
                <w:lang w:val="es-EC"/>
              </w:rPr>
            </w:pPr>
          </w:p>
        </w:tc>
        <w:tc>
          <w:tcPr>
            <w:tcW w:w="4252" w:type="dxa"/>
            <w:shd w:val="clear" w:color="auto" w:fill="auto"/>
            <w:vAlign w:val="center"/>
          </w:tcPr>
          <w:p w14:paraId="304FAFD5" w14:textId="055F31F5" w:rsidR="00B6216F" w:rsidRPr="001C5829" w:rsidRDefault="00C41C82" w:rsidP="00C41C82">
            <w:pPr>
              <w:jc w:val="both"/>
              <w:rPr>
                <w:rFonts w:asciiTheme="minorHAnsi" w:hAnsiTheme="minorHAnsi" w:cstheme="minorHAnsi"/>
                <w:sz w:val="18"/>
                <w:szCs w:val="18"/>
              </w:rPr>
            </w:pPr>
            <w:r>
              <w:rPr>
                <w:rFonts w:asciiTheme="minorHAnsi" w:hAnsiTheme="minorHAnsi"/>
                <w:sz w:val="18"/>
              </w:rPr>
              <w:t xml:space="preserve">Se ha preparado un </w:t>
            </w:r>
            <w:r>
              <w:rPr>
                <w:rFonts w:asciiTheme="minorHAnsi" w:hAnsiTheme="minorHAnsi"/>
                <w:i/>
                <w:sz w:val="18"/>
              </w:rPr>
              <w:t>Plan de Acción de Género</w:t>
            </w:r>
            <w:r>
              <w:rPr>
                <w:rFonts w:asciiTheme="minorHAnsi" w:hAnsiTheme="minorHAnsi"/>
                <w:sz w:val="18"/>
              </w:rPr>
              <w:t xml:space="preserve"> (Anexo 10 del ProDoc) para mitigar el riesgo identificado y proponer medidas que garanticen que las mujeres estén representadas en la toma de decisiones sobre las actividades del proyecto y sean incluidas en las actividades de desarrollo de capacidades. Además, este riesgo se evaluará con más detalle en las EASEs que se llevarán a cabo durante la ejecución del proyecto, tal y como se describe en el </w:t>
            </w:r>
            <w:r w:rsidR="00EE65CF">
              <w:rPr>
                <w:rFonts w:asciiTheme="minorHAnsi" w:hAnsiTheme="minorHAnsi"/>
                <w:sz w:val="18"/>
              </w:rPr>
              <w:t>ESMF</w:t>
            </w:r>
            <w:r>
              <w:rPr>
                <w:rFonts w:asciiTheme="minorHAnsi" w:hAnsiTheme="minorHAnsi"/>
                <w:sz w:val="18"/>
              </w:rPr>
              <w:t>.</w:t>
            </w:r>
          </w:p>
        </w:tc>
      </w:tr>
      <w:tr w:rsidR="00B6216F" w:rsidRPr="001B17BF" w14:paraId="7A96B312" w14:textId="77777777" w:rsidTr="00B169FC">
        <w:trPr>
          <w:cantSplit/>
          <w:trHeight w:val="283"/>
          <w:tblHeader/>
          <w:jc w:val="center"/>
        </w:trPr>
        <w:tc>
          <w:tcPr>
            <w:tcW w:w="1413" w:type="dxa"/>
            <w:vMerge/>
            <w:shd w:val="clear" w:color="auto" w:fill="auto"/>
            <w:vAlign w:val="center"/>
          </w:tcPr>
          <w:p w14:paraId="705AB08B"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7919A05C" w14:textId="60DECB0C" w:rsidR="00C41C82" w:rsidRPr="00C41C82" w:rsidRDefault="00C41C82" w:rsidP="00C41C82">
            <w:pPr>
              <w:jc w:val="both"/>
              <w:rPr>
                <w:rFonts w:asciiTheme="minorHAnsi" w:hAnsiTheme="minorHAnsi" w:cstheme="minorHAnsi"/>
                <w:sz w:val="18"/>
                <w:szCs w:val="18"/>
              </w:rPr>
            </w:pPr>
            <w:r>
              <w:rPr>
                <w:rFonts w:asciiTheme="minorHAnsi" w:hAnsiTheme="minorHAnsi"/>
                <w:b/>
                <w:sz w:val="18"/>
              </w:rPr>
              <w:t>Riesgo 5</w:t>
            </w:r>
            <w:r>
              <w:rPr>
                <w:rFonts w:asciiTheme="minorHAnsi" w:hAnsiTheme="minorHAnsi"/>
                <w:sz w:val="18"/>
              </w:rPr>
              <w:t xml:space="preserve">: Liberación accidental de plaguicidas COP y PAP al medio ambiente debido a </w:t>
            </w:r>
            <w:r w:rsidR="00BE13F2">
              <w:rPr>
                <w:rFonts w:asciiTheme="minorHAnsi" w:hAnsiTheme="minorHAnsi"/>
                <w:sz w:val="18"/>
              </w:rPr>
              <w:t>la</w:t>
            </w:r>
            <w:r w:rsidR="00F46CDE">
              <w:rPr>
                <w:rFonts w:asciiTheme="minorHAnsi" w:hAnsiTheme="minorHAnsi"/>
                <w:sz w:val="18"/>
              </w:rPr>
              <w:t xml:space="preserve"> </w:t>
            </w:r>
            <w:r>
              <w:rPr>
                <w:rFonts w:asciiTheme="minorHAnsi" w:hAnsiTheme="minorHAnsi"/>
                <w:sz w:val="18"/>
              </w:rPr>
              <w:t>manipulación, almacenamiento, transporte y contenedores de tratamiento/eliminación inadecuados, exponiendo a los trabajadores, las comunidades locales y los ecosistemas naturales.</w:t>
            </w:r>
          </w:p>
          <w:p w14:paraId="6233B81C" w14:textId="0EFFEBF5" w:rsidR="00B6216F" w:rsidRPr="002152FE" w:rsidRDefault="00B6216F" w:rsidP="00C41C82">
            <w:pPr>
              <w:spacing w:beforeLines="60" w:before="144"/>
              <w:jc w:val="both"/>
              <w:rPr>
                <w:rFonts w:asciiTheme="minorHAnsi" w:hAnsiTheme="minorHAnsi" w:cstheme="minorHAnsi"/>
                <w:sz w:val="18"/>
                <w:szCs w:val="18"/>
                <w:lang w:val="es-EC"/>
              </w:rPr>
            </w:pPr>
          </w:p>
        </w:tc>
        <w:tc>
          <w:tcPr>
            <w:tcW w:w="4252" w:type="dxa"/>
            <w:shd w:val="clear" w:color="auto" w:fill="auto"/>
            <w:vAlign w:val="center"/>
          </w:tcPr>
          <w:p w14:paraId="0B0C86A9" w14:textId="7ECB9F79" w:rsidR="00B6216F" w:rsidRPr="00C41C82" w:rsidRDefault="00C41C82" w:rsidP="00BE13F2">
            <w:pPr>
              <w:jc w:val="both"/>
              <w:rPr>
                <w:rFonts w:asciiTheme="minorHAnsi" w:hAnsiTheme="minorHAnsi" w:cstheme="minorHAnsi"/>
                <w:sz w:val="18"/>
                <w:szCs w:val="18"/>
              </w:rPr>
            </w:pPr>
            <w:r>
              <w:rPr>
                <w:rFonts w:asciiTheme="minorHAnsi" w:hAnsiTheme="minorHAnsi"/>
                <w:sz w:val="18"/>
              </w:rPr>
              <w:t xml:space="preserve">De acuerdo con el </w:t>
            </w:r>
            <w:r w:rsidR="00EE65CF">
              <w:rPr>
                <w:rFonts w:asciiTheme="minorHAnsi" w:hAnsiTheme="minorHAnsi"/>
                <w:sz w:val="18"/>
              </w:rPr>
              <w:t>ESMF</w:t>
            </w:r>
            <w:r>
              <w:rPr>
                <w:rFonts w:asciiTheme="minorHAnsi" w:hAnsiTheme="minorHAnsi"/>
                <w:sz w:val="18"/>
              </w:rPr>
              <w:t xml:space="preserve"> que se ha preparado para el proyecto, se llevará a cabo una evaluación específica para cada una de las demostraciones piloto (eliminación de los POPs/PAPs existentes (Actividad A2.5-a) y gestión integrada de los residuos plásticos relacionados con agroquímicos (Actividad 2.5-b)) sobre los riesgos relacionados con los </w:t>
            </w:r>
            <w:r w:rsidR="00BE13F2">
              <w:rPr>
                <w:rFonts w:asciiTheme="minorHAnsi" w:hAnsiTheme="minorHAnsi"/>
                <w:sz w:val="18"/>
              </w:rPr>
              <w:t xml:space="preserve">derrames </w:t>
            </w:r>
            <w:r>
              <w:rPr>
                <w:rFonts w:asciiTheme="minorHAnsi" w:hAnsiTheme="minorHAnsi"/>
                <w:sz w:val="18"/>
              </w:rPr>
              <w:t xml:space="preserve">accidentales y la salud y seguridad en el trabajo. La evaluación identificará los receptores sensibles desde el punto de vista ambiental que puedan verse afectados por </w:t>
            </w:r>
            <w:r w:rsidR="00BE13F2">
              <w:rPr>
                <w:rFonts w:asciiTheme="minorHAnsi" w:hAnsiTheme="minorHAnsi"/>
                <w:sz w:val="18"/>
              </w:rPr>
              <w:t xml:space="preserve">derrames </w:t>
            </w:r>
            <w:r>
              <w:rPr>
                <w:rFonts w:asciiTheme="minorHAnsi" w:hAnsiTheme="minorHAnsi"/>
                <w:sz w:val="18"/>
              </w:rPr>
              <w:t>accidentales, de modo que se elaborarán medidas de mitigación que se incluirán en planes PGAS independientes a través de un Plan de Prevención y Gestión de la Contaminación, un Plan de Salud y Seguridad Ocupacional y un Plan de Gestión de Residuos. El PGAS describirá cómo el proyecto manejará, transportará y almacenará el material peligroso de acuerdo con las Directrices de Salud y Seguridad de</w:t>
            </w:r>
            <w:r w:rsidR="00412CD9">
              <w:rPr>
                <w:rFonts w:asciiTheme="minorHAnsi" w:hAnsiTheme="minorHAnsi"/>
                <w:sz w:val="18"/>
              </w:rPr>
              <w:t>l</w:t>
            </w:r>
            <w:r>
              <w:rPr>
                <w:rFonts w:asciiTheme="minorHAnsi" w:hAnsiTheme="minorHAnsi"/>
                <w:sz w:val="18"/>
              </w:rPr>
              <w:t xml:space="preserve"> IFC.</w:t>
            </w:r>
          </w:p>
        </w:tc>
      </w:tr>
      <w:tr w:rsidR="00B6216F" w:rsidRPr="001B17BF" w14:paraId="051B897E" w14:textId="77777777" w:rsidTr="00B169FC">
        <w:trPr>
          <w:cantSplit/>
          <w:trHeight w:val="283"/>
          <w:tblHeader/>
          <w:jc w:val="center"/>
        </w:trPr>
        <w:tc>
          <w:tcPr>
            <w:tcW w:w="1413" w:type="dxa"/>
            <w:vMerge/>
            <w:shd w:val="clear" w:color="auto" w:fill="auto"/>
            <w:vAlign w:val="center"/>
          </w:tcPr>
          <w:p w14:paraId="0260A3CB"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6D3A7218" w14:textId="5FF1CAF6" w:rsidR="008B3A4C" w:rsidRPr="008B3A4C" w:rsidRDefault="00C41C82" w:rsidP="008B3A4C">
            <w:pPr>
              <w:jc w:val="both"/>
              <w:rPr>
                <w:rFonts w:asciiTheme="minorHAnsi" w:hAnsiTheme="minorHAnsi" w:cstheme="minorHAnsi"/>
                <w:bCs/>
                <w:sz w:val="18"/>
                <w:szCs w:val="18"/>
              </w:rPr>
            </w:pPr>
            <w:r>
              <w:rPr>
                <w:rFonts w:asciiTheme="minorHAnsi" w:hAnsiTheme="minorHAnsi"/>
                <w:b/>
                <w:sz w:val="18"/>
              </w:rPr>
              <w:t xml:space="preserve">Riesgo 6: </w:t>
            </w:r>
            <w:r>
              <w:rPr>
                <w:rFonts w:asciiTheme="minorHAnsi" w:hAnsiTheme="minorHAnsi"/>
                <w:sz w:val="18"/>
              </w:rPr>
              <w:t>Contaminación que afecte a sitios del patrimonio cultural, la biodiversidad o el valor socioeconómico para la comunidad local con subvenciones financiadas por el Mecanismo de Fondos Concursables.</w:t>
            </w:r>
          </w:p>
          <w:p w14:paraId="507845BD" w14:textId="763802D8" w:rsidR="00B6216F" w:rsidRPr="002152FE" w:rsidRDefault="00B6216F" w:rsidP="00C41C82">
            <w:pPr>
              <w:jc w:val="both"/>
              <w:rPr>
                <w:rFonts w:asciiTheme="minorHAnsi" w:hAnsiTheme="minorHAnsi" w:cstheme="minorHAnsi"/>
                <w:bCs/>
                <w:sz w:val="18"/>
                <w:szCs w:val="18"/>
                <w:lang w:val="es-EC"/>
              </w:rPr>
            </w:pPr>
          </w:p>
        </w:tc>
        <w:tc>
          <w:tcPr>
            <w:tcW w:w="4252" w:type="dxa"/>
            <w:shd w:val="clear" w:color="auto" w:fill="auto"/>
            <w:vAlign w:val="center"/>
          </w:tcPr>
          <w:p w14:paraId="56BBFE67" w14:textId="6F910AAB" w:rsidR="00B6216F" w:rsidRPr="004D0D44" w:rsidRDefault="008B3A4C" w:rsidP="00C41C82">
            <w:pPr>
              <w:spacing w:after="30"/>
              <w:jc w:val="both"/>
              <w:rPr>
                <w:rFonts w:asciiTheme="minorHAnsi" w:hAnsiTheme="minorHAnsi" w:cstheme="minorHAnsi"/>
                <w:sz w:val="18"/>
                <w:szCs w:val="18"/>
              </w:rPr>
            </w:pPr>
            <w:r>
              <w:rPr>
                <w:rFonts w:asciiTheme="minorHAnsi" w:hAnsiTheme="minorHAnsi"/>
                <w:sz w:val="18"/>
              </w:rPr>
              <w:t xml:space="preserve">El Mecanismo de Fondos Concursables (Actividad 2.6-a) incorporará criterios de EAS durante el proceso de selección, incluida la evaluación de los sitios de estas actividades. Esto se aclarará mediante un </w:t>
            </w:r>
            <w:r w:rsidR="00206AD8">
              <w:rPr>
                <w:rFonts w:asciiTheme="minorHAnsi" w:hAnsiTheme="minorHAnsi"/>
                <w:sz w:val="18"/>
              </w:rPr>
              <w:t>procedimiento</w:t>
            </w:r>
            <w:r>
              <w:rPr>
                <w:rFonts w:asciiTheme="minorHAnsi" w:hAnsiTheme="minorHAnsi"/>
                <w:sz w:val="18"/>
              </w:rPr>
              <w:t xml:space="preserve"> </w:t>
            </w:r>
            <w:r w:rsidR="00F839E3">
              <w:rPr>
                <w:rFonts w:asciiTheme="minorHAnsi" w:hAnsiTheme="minorHAnsi"/>
                <w:sz w:val="18"/>
              </w:rPr>
              <w:t>O</w:t>
            </w:r>
            <w:r>
              <w:rPr>
                <w:rFonts w:asciiTheme="minorHAnsi" w:hAnsiTheme="minorHAnsi"/>
                <w:sz w:val="18"/>
              </w:rPr>
              <w:t xml:space="preserve">perativo de </w:t>
            </w:r>
            <w:r w:rsidR="00F839E3">
              <w:rPr>
                <w:rFonts w:asciiTheme="minorHAnsi" w:hAnsiTheme="minorHAnsi"/>
                <w:sz w:val="18"/>
              </w:rPr>
              <w:t>S</w:t>
            </w:r>
            <w:r>
              <w:rPr>
                <w:rFonts w:asciiTheme="minorHAnsi" w:hAnsiTheme="minorHAnsi"/>
                <w:sz w:val="18"/>
              </w:rPr>
              <w:t xml:space="preserve">alvaguardias para el Mecanismo de Fondos Concursables, que se establecerá antes de la puesta en marcha del mecanismo. Esto incluirá una lista de criterios de exclusión para eliminar los lugares de alto riesgo y las actividades que puedan provocar desplazamientos económicos o físicos. Todas las iniciativas de subvención propuestas se someterán a un análisis ambiental y social para determinar el nivel de evaluación/gestión necesario, si lo hubiere, según el </w:t>
            </w:r>
            <w:r w:rsidR="00F839E3">
              <w:rPr>
                <w:rFonts w:asciiTheme="minorHAnsi" w:hAnsiTheme="minorHAnsi"/>
                <w:sz w:val="18"/>
              </w:rPr>
              <w:t>P</w:t>
            </w:r>
            <w:r>
              <w:rPr>
                <w:rFonts w:asciiTheme="minorHAnsi" w:hAnsiTheme="minorHAnsi"/>
                <w:sz w:val="18"/>
              </w:rPr>
              <w:t xml:space="preserve">rocedimiento de </w:t>
            </w:r>
            <w:r w:rsidR="00F839E3">
              <w:rPr>
                <w:rFonts w:asciiTheme="minorHAnsi" w:hAnsiTheme="minorHAnsi"/>
                <w:sz w:val="18"/>
              </w:rPr>
              <w:t>S</w:t>
            </w:r>
            <w:r>
              <w:rPr>
                <w:rFonts w:asciiTheme="minorHAnsi" w:hAnsiTheme="minorHAnsi"/>
                <w:sz w:val="18"/>
              </w:rPr>
              <w:t xml:space="preserve">alvaguardias </w:t>
            </w:r>
            <w:r w:rsidR="00F839E3">
              <w:rPr>
                <w:rFonts w:asciiTheme="minorHAnsi" w:hAnsiTheme="minorHAnsi"/>
                <w:sz w:val="18"/>
              </w:rPr>
              <w:t>O</w:t>
            </w:r>
            <w:r>
              <w:rPr>
                <w:rFonts w:asciiTheme="minorHAnsi" w:hAnsiTheme="minorHAnsi"/>
                <w:sz w:val="18"/>
              </w:rPr>
              <w:t>perativas.</w:t>
            </w:r>
          </w:p>
        </w:tc>
      </w:tr>
      <w:tr w:rsidR="00B6216F" w:rsidRPr="001B17BF" w14:paraId="1D570A2C" w14:textId="77777777" w:rsidTr="00B169FC">
        <w:trPr>
          <w:cantSplit/>
          <w:trHeight w:val="283"/>
          <w:tblHeader/>
          <w:jc w:val="center"/>
        </w:trPr>
        <w:tc>
          <w:tcPr>
            <w:tcW w:w="1413" w:type="dxa"/>
            <w:vMerge/>
            <w:shd w:val="clear" w:color="auto" w:fill="auto"/>
            <w:vAlign w:val="center"/>
          </w:tcPr>
          <w:p w14:paraId="0C76529C"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358EE85C" w14:textId="2F84AEA0" w:rsidR="00C41C82" w:rsidRPr="00C41C82" w:rsidRDefault="00C41C82" w:rsidP="00C41C82">
            <w:pPr>
              <w:jc w:val="both"/>
              <w:rPr>
                <w:rFonts w:asciiTheme="minorHAnsi" w:hAnsiTheme="minorHAnsi" w:cstheme="minorHAnsi"/>
                <w:b/>
                <w:sz w:val="18"/>
                <w:szCs w:val="18"/>
              </w:rPr>
            </w:pPr>
            <w:r>
              <w:rPr>
                <w:rFonts w:asciiTheme="minorHAnsi" w:hAnsiTheme="minorHAnsi"/>
                <w:b/>
                <w:sz w:val="18"/>
              </w:rPr>
              <w:t xml:space="preserve">Riesgo 7: </w:t>
            </w:r>
            <w:r>
              <w:rPr>
                <w:rFonts w:asciiTheme="minorHAnsi" w:hAnsiTheme="minorHAnsi"/>
                <w:sz w:val="18"/>
              </w:rPr>
              <w:t>Aumento del consumo de agua y recursos naturales</w:t>
            </w:r>
            <w:r w:rsidR="00F839E3">
              <w:rPr>
                <w:rFonts w:asciiTheme="minorHAnsi" w:hAnsiTheme="minorHAnsi"/>
                <w:sz w:val="18"/>
              </w:rPr>
              <w:t>.</w:t>
            </w:r>
          </w:p>
          <w:p w14:paraId="324BE81D" w14:textId="24F3D376" w:rsidR="00B6216F" w:rsidRPr="002152FE" w:rsidRDefault="00B6216F" w:rsidP="00C41C82">
            <w:pPr>
              <w:jc w:val="both"/>
              <w:rPr>
                <w:rFonts w:asciiTheme="minorHAnsi" w:hAnsiTheme="minorHAnsi" w:cstheme="minorHAnsi"/>
                <w:sz w:val="18"/>
                <w:szCs w:val="18"/>
                <w:lang w:val="es-EC"/>
              </w:rPr>
            </w:pPr>
          </w:p>
        </w:tc>
        <w:tc>
          <w:tcPr>
            <w:tcW w:w="4252" w:type="dxa"/>
            <w:shd w:val="clear" w:color="auto" w:fill="auto"/>
            <w:vAlign w:val="center"/>
          </w:tcPr>
          <w:p w14:paraId="2502F5D4" w14:textId="5DD44406" w:rsidR="00C41C82" w:rsidRPr="00C41C82" w:rsidRDefault="00C41C82" w:rsidP="00C41C82">
            <w:pPr>
              <w:pStyle w:val="Sinespaciado"/>
              <w:jc w:val="both"/>
              <w:rPr>
                <w:rFonts w:asciiTheme="minorHAnsi" w:hAnsiTheme="minorHAnsi" w:cstheme="minorHAnsi"/>
                <w:bCs/>
                <w:sz w:val="18"/>
                <w:szCs w:val="18"/>
              </w:rPr>
            </w:pPr>
            <w:r>
              <w:rPr>
                <w:rFonts w:asciiTheme="minorHAnsi" w:hAnsiTheme="minorHAnsi"/>
                <w:color w:val="000000"/>
                <w:sz w:val="18"/>
              </w:rPr>
              <w:t xml:space="preserve">Los métodos de cultivo recomendados por el proyecto y los métodos de gestión y tratamiento propuestos para las </w:t>
            </w:r>
            <w:r w:rsidR="00206AD8">
              <w:rPr>
                <w:rFonts w:asciiTheme="minorHAnsi" w:hAnsiTheme="minorHAnsi"/>
                <w:color w:val="000000"/>
                <w:sz w:val="18"/>
              </w:rPr>
              <w:t xml:space="preserve">cantidades almacenadas </w:t>
            </w:r>
            <w:r>
              <w:rPr>
                <w:rFonts w:asciiTheme="minorHAnsi" w:hAnsiTheme="minorHAnsi"/>
                <w:color w:val="000000"/>
                <w:sz w:val="18"/>
              </w:rPr>
              <w:t xml:space="preserve">de productos agroquímicos se evaluarán y seleccionarán en función de su potencial de utilización de recursos. Como parte de las evaluaciones/PGAS </w:t>
            </w:r>
            <w:r>
              <w:rPr>
                <w:rFonts w:asciiTheme="minorHAnsi" w:hAnsiTheme="minorHAnsi"/>
                <w:sz w:val="18"/>
              </w:rPr>
              <w:t xml:space="preserve">específicos </w:t>
            </w:r>
            <w:r>
              <w:rPr>
                <w:rFonts w:asciiTheme="minorHAnsi" w:hAnsiTheme="minorHAnsi"/>
                <w:color w:val="000000"/>
                <w:sz w:val="18"/>
              </w:rPr>
              <w:t xml:space="preserve">que se llevarán a cabo para </w:t>
            </w:r>
            <w:r>
              <w:rPr>
                <w:rFonts w:asciiTheme="minorHAnsi" w:hAnsiTheme="minorHAnsi"/>
                <w:sz w:val="18"/>
              </w:rPr>
              <w:t>las demostraciones piloto sobre gestión integrada de residuos plásticos relacionados con productos agroquímicos (Actividad 2.5-b)), se evaluará este riesgo y se incorporarán medidas de mitigación en los PGAS específicos del sitio.</w:t>
            </w:r>
          </w:p>
          <w:p w14:paraId="25147847" w14:textId="7D9D8268" w:rsidR="00B6216F" w:rsidRPr="00C41C82" w:rsidRDefault="00C41C82" w:rsidP="00C41C82">
            <w:pPr>
              <w:jc w:val="both"/>
              <w:rPr>
                <w:rFonts w:asciiTheme="minorHAnsi" w:hAnsiTheme="minorHAnsi" w:cstheme="minorHAnsi"/>
                <w:sz w:val="18"/>
                <w:szCs w:val="18"/>
              </w:rPr>
            </w:pPr>
            <w:r>
              <w:rPr>
                <w:rFonts w:asciiTheme="minorHAnsi" w:hAnsiTheme="minorHAnsi"/>
                <w:sz w:val="18"/>
              </w:rPr>
              <w:t>En cuanto al Resultado 3.1, donde se introducirán prácticas agroecológicas, se evaluará el consumo potencial de agua de estas prácticas para garantizar que se haga un uso eficiente de estos recursos.</w:t>
            </w:r>
          </w:p>
        </w:tc>
      </w:tr>
      <w:tr w:rsidR="00B6216F" w:rsidRPr="001B17BF" w14:paraId="5D406E7F" w14:textId="77777777" w:rsidTr="00B169FC">
        <w:trPr>
          <w:cantSplit/>
          <w:trHeight w:val="283"/>
          <w:tblHeader/>
          <w:jc w:val="center"/>
        </w:trPr>
        <w:tc>
          <w:tcPr>
            <w:tcW w:w="1413" w:type="dxa"/>
            <w:vMerge/>
            <w:shd w:val="clear" w:color="auto" w:fill="auto"/>
            <w:vAlign w:val="center"/>
          </w:tcPr>
          <w:p w14:paraId="2F2DED50"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0FF5D9CD" w14:textId="40E2F774" w:rsidR="00B6216F" w:rsidRPr="00C41C82" w:rsidRDefault="00C41C82" w:rsidP="00C41C82">
            <w:pPr>
              <w:jc w:val="both"/>
              <w:rPr>
                <w:rFonts w:asciiTheme="minorHAnsi" w:hAnsiTheme="minorHAnsi" w:cstheme="minorHAnsi"/>
                <w:bCs/>
                <w:sz w:val="18"/>
                <w:szCs w:val="18"/>
              </w:rPr>
            </w:pPr>
            <w:r>
              <w:rPr>
                <w:rFonts w:asciiTheme="minorHAnsi" w:hAnsiTheme="minorHAnsi"/>
                <w:b/>
                <w:sz w:val="18"/>
              </w:rPr>
              <w:t>Riesgo 8:</w:t>
            </w:r>
            <w:r>
              <w:rPr>
                <w:rFonts w:asciiTheme="minorHAnsi" w:hAnsiTheme="minorHAnsi"/>
                <w:sz w:val="18"/>
              </w:rPr>
              <w:t xml:space="preserve"> Inundaciones u otros daños en las instalaciones de almacenamiento provisional de </w:t>
            </w:r>
            <w:r w:rsidR="00206AD8">
              <w:rPr>
                <w:rFonts w:asciiTheme="minorHAnsi" w:hAnsiTheme="minorHAnsi"/>
                <w:sz w:val="18"/>
              </w:rPr>
              <w:t>cantidades almacenadas</w:t>
            </w:r>
            <w:r>
              <w:rPr>
                <w:rFonts w:asciiTheme="minorHAnsi" w:hAnsiTheme="minorHAnsi"/>
                <w:sz w:val="18"/>
              </w:rPr>
              <w:t xml:space="preserve"> durante las actividades de demostración debidos a catástrofes naturales.</w:t>
            </w:r>
          </w:p>
        </w:tc>
        <w:tc>
          <w:tcPr>
            <w:tcW w:w="4252" w:type="dxa"/>
            <w:shd w:val="clear" w:color="auto" w:fill="auto"/>
            <w:vAlign w:val="center"/>
          </w:tcPr>
          <w:p w14:paraId="65B148BD" w14:textId="414D2C70" w:rsidR="00B6216F" w:rsidRPr="00C41C82" w:rsidRDefault="00C41C82" w:rsidP="00C41C82">
            <w:pPr>
              <w:jc w:val="both"/>
              <w:rPr>
                <w:rFonts w:asciiTheme="minorHAnsi" w:hAnsiTheme="minorHAnsi" w:cstheme="minorHAnsi"/>
                <w:sz w:val="18"/>
                <w:szCs w:val="18"/>
              </w:rPr>
            </w:pPr>
            <w:r>
              <w:rPr>
                <w:rFonts w:asciiTheme="minorHAnsi" w:hAnsiTheme="minorHAnsi"/>
                <w:color w:val="000000"/>
                <w:sz w:val="18"/>
                <w:bdr w:val="nil"/>
              </w:rPr>
              <w:t xml:space="preserve">Como parte de la evaluación específica/PGAS que se preparará para </w:t>
            </w:r>
            <w:r>
              <w:rPr>
                <w:rFonts w:asciiTheme="minorHAnsi" w:hAnsiTheme="minorHAnsi"/>
                <w:sz w:val="18"/>
              </w:rPr>
              <w:t>la demostración piloto relacionada con la eliminación de los COPs/PAPs existentes (Actividad A2.5-a)</w:t>
            </w:r>
            <w:r>
              <w:rPr>
                <w:rFonts w:asciiTheme="minorHAnsi" w:hAnsiTheme="minorHAnsi"/>
                <w:color w:val="000000"/>
                <w:sz w:val="18"/>
                <w:bdr w:val="nil"/>
              </w:rPr>
              <w:t>, se evaluará la vulnerabilidad de las instalaciones de almacenamiento y se propondrán medidas de mitigación para salvaguardar estas instalaciones.</w:t>
            </w:r>
          </w:p>
        </w:tc>
      </w:tr>
      <w:tr w:rsidR="00B6216F" w:rsidRPr="001B17BF" w14:paraId="4763BE6B" w14:textId="77777777" w:rsidTr="00B169FC">
        <w:trPr>
          <w:cantSplit/>
          <w:trHeight w:val="283"/>
          <w:tblHeader/>
          <w:jc w:val="center"/>
        </w:trPr>
        <w:tc>
          <w:tcPr>
            <w:tcW w:w="1413" w:type="dxa"/>
            <w:vMerge/>
            <w:shd w:val="clear" w:color="auto" w:fill="auto"/>
            <w:vAlign w:val="center"/>
          </w:tcPr>
          <w:p w14:paraId="0BDBF74D"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10AAED70" w14:textId="3F3978F1" w:rsidR="00B6216F" w:rsidRPr="00C41C82" w:rsidRDefault="00C41C82" w:rsidP="00C41C82">
            <w:pPr>
              <w:jc w:val="both"/>
              <w:rPr>
                <w:rFonts w:asciiTheme="minorHAnsi" w:hAnsiTheme="minorHAnsi" w:cstheme="minorHAnsi"/>
                <w:sz w:val="18"/>
                <w:szCs w:val="18"/>
              </w:rPr>
            </w:pPr>
            <w:r>
              <w:rPr>
                <w:rFonts w:asciiTheme="minorHAnsi" w:hAnsiTheme="minorHAnsi"/>
                <w:b/>
                <w:sz w:val="18"/>
              </w:rPr>
              <w:t>Riesgo 9:</w:t>
            </w:r>
            <w:r>
              <w:rPr>
                <w:rFonts w:asciiTheme="minorHAnsi" w:hAnsiTheme="minorHAnsi"/>
                <w:sz w:val="18"/>
              </w:rPr>
              <w:t xml:space="preserve"> Condiciones de trabajo en las actividades de demostración del proyecto contrarias a los principios y normas de los convenios fundamentales de la OIT</w:t>
            </w:r>
            <w:r w:rsidR="00F839E3">
              <w:rPr>
                <w:rFonts w:asciiTheme="minorHAnsi" w:hAnsiTheme="minorHAnsi"/>
                <w:sz w:val="18"/>
              </w:rPr>
              <w:t>.</w:t>
            </w:r>
          </w:p>
        </w:tc>
        <w:tc>
          <w:tcPr>
            <w:tcW w:w="4252" w:type="dxa"/>
            <w:shd w:val="clear" w:color="auto" w:fill="auto"/>
            <w:vAlign w:val="center"/>
          </w:tcPr>
          <w:p w14:paraId="1061A129" w14:textId="77777777" w:rsidR="004D0D44" w:rsidRPr="004D0D44" w:rsidRDefault="004D0D44" w:rsidP="004D0D44">
            <w:pPr>
              <w:jc w:val="both"/>
              <w:rPr>
                <w:rFonts w:asciiTheme="minorHAnsi" w:hAnsiTheme="minorHAnsi" w:cstheme="minorHAnsi"/>
                <w:color w:val="000000"/>
                <w:sz w:val="20"/>
                <w:szCs w:val="20"/>
              </w:rPr>
            </w:pPr>
            <w:r>
              <w:rPr>
                <w:rFonts w:asciiTheme="minorHAnsi" w:hAnsiTheme="minorHAnsi"/>
                <w:color w:val="000000"/>
                <w:sz w:val="18"/>
              </w:rPr>
              <w:t>Se elaborará un procedimiento de gestión laboral para el proyecto con el fin de aclarar los términos y condiciones relacionados con la mano de obra del proyecto</w:t>
            </w:r>
            <w:r>
              <w:rPr>
                <w:rFonts w:asciiTheme="minorHAnsi" w:hAnsiTheme="minorHAnsi"/>
                <w:color w:val="000000"/>
                <w:sz w:val="20"/>
              </w:rPr>
              <w:t>.</w:t>
            </w:r>
          </w:p>
          <w:p w14:paraId="06E06FE8" w14:textId="619240A4" w:rsidR="004E1BC3" w:rsidRPr="004E1BC3" w:rsidRDefault="004E1BC3" w:rsidP="004E1BC3">
            <w:pPr>
              <w:jc w:val="both"/>
              <w:rPr>
                <w:rFonts w:asciiTheme="minorHAnsi" w:hAnsiTheme="minorHAnsi" w:cstheme="minorHAnsi"/>
                <w:sz w:val="18"/>
                <w:szCs w:val="18"/>
              </w:rPr>
            </w:pPr>
            <w:r>
              <w:rPr>
                <w:rFonts w:asciiTheme="minorHAnsi" w:hAnsiTheme="minorHAnsi"/>
                <w:color w:val="000000"/>
                <w:sz w:val="18"/>
              </w:rPr>
              <w:t xml:space="preserve">Las evaluaciones específicas para </w:t>
            </w:r>
            <w:r>
              <w:rPr>
                <w:rFonts w:asciiTheme="minorHAnsi" w:hAnsiTheme="minorHAnsi"/>
                <w:sz w:val="18"/>
              </w:rPr>
              <w:t xml:space="preserve">las demostraciones piloto (eliminación de COPs y PAPs existentes (actividad A2.5-a) y gestión integrada de los residuos plásticos relacionados con los productos agroquímicos (actividad 2.5-b) y los PGAS independientes resultantes incluirán un Plan de Salud y Seguridad Ocupaciones y las medidas de gestión laboral pertinentes para garantizar que se apliquen las medidas de cumplimiento de </w:t>
            </w:r>
            <w:r w:rsidR="00C773C0">
              <w:rPr>
                <w:rFonts w:asciiTheme="minorHAnsi" w:hAnsiTheme="minorHAnsi"/>
                <w:sz w:val="18"/>
              </w:rPr>
              <w:t>los estándares</w:t>
            </w:r>
            <w:r>
              <w:rPr>
                <w:rFonts w:asciiTheme="minorHAnsi" w:hAnsiTheme="minorHAnsi"/>
                <w:sz w:val="18"/>
              </w:rPr>
              <w:t xml:space="preserve"> EAS antes del inicio de las obras.</w:t>
            </w:r>
          </w:p>
          <w:p w14:paraId="0194E00B" w14:textId="618C4395" w:rsidR="00B6216F" w:rsidRPr="00644284" w:rsidRDefault="00644284" w:rsidP="00644284">
            <w:pPr>
              <w:jc w:val="both"/>
              <w:rPr>
                <w:rFonts w:asciiTheme="minorHAnsi" w:hAnsiTheme="minorHAnsi" w:cstheme="minorHAnsi"/>
                <w:sz w:val="18"/>
                <w:szCs w:val="18"/>
              </w:rPr>
            </w:pPr>
            <w:r>
              <w:rPr>
                <w:rFonts w:asciiTheme="minorHAnsi" w:hAnsiTheme="minorHAnsi"/>
                <w:sz w:val="18"/>
              </w:rPr>
              <w:t>Las actividades o iniciativas que se seleccionen durante o después de la ejecución del proyecto, como el aumento de la capacidad de las instituciones financieras para facilitar el acceso al crédito a los agricultores que utilicen buenas prácticas (Resultado 2.3), abordarán esta cuestión a través de la formación en ARAS, que cubrirá los riesgos relacionados con las condiciones de trabajo y la salud y seguridad ocupacional. En cuanto al Mecanismo de Fondos Concursables (Actividad 2.6-a), se desarrollará un procedimiento operativo de salvaguardias antes de la puesta en marcha del mecanismo. Esto incluirá la exigencia de un proceso de análisis ambiental y social para informar el diseño y la selección de las propuestas de subvención y determinar el nivel de las medidas de evaluación/gestión, incluidas las condiciones de trabajo.</w:t>
            </w:r>
          </w:p>
        </w:tc>
      </w:tr>
      <w:tr w:rsidR="00B6216F" w:rsidRPr="001B17BF" w14:paraId="102EA1A9" w14:textId="77777777" w:rsidTr="00B169FC">
        <w:trPr>
          <w:cantSplit/>
          <w:trHeight w:val="283"/>
          <w:tblHeader/>
          <w:jc w:val="center"/>
        </w:trPr>
        <w:tc>
          <w:tcPr>
            <w:tcW w:w="1413" w:type="dxa"/>
            <w:vMerge w:val="restart"/>
            <w:shd w:val="clear" w:color="auto" w:fill="auto"/>
            <w:vAlign w:val="center"/>
          </w:tcPr>
          <w:p w14:paraId="21908C8B"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color w:val="auto"/>
                <w:sz w:val="18"/>
              </w:rPr>
              <w:t>Finanzas</w:t>
            </w:r>
          </w:p>
        </w:tc>
        <w:tc>
          <w:tcPr>
            <w:tcW w:w="3402" w:type="dxa"/>
            <w:shd w:val="clear" w:color="auto" w:fill="auto"/>
            <w:vAlign w:val="center"/>
          </w:tcPr>
          <w:p w14:paraId="416C797A" w14:textId="60DBEF7F" w:rsidR="00B6216F" w:rsidRPr="00C41C82" w:rsidRDefault="00C41C82" w:rsidP="003D4A8F">
            <w:pPr>
              <w:jc w:val="both"/>
              <w:rPr>
                <w:rFonts w:asciiTheme="minorHAnsi" w:hAnsiTheme="minorHAnsi" w:cstheme="minorHAnsi"/>
                <w:sz w:val="18"/>
                <w:szCs w:val="18"/>
              </w:rPr>
            </w:pPr>
            <w:r>
              <w:rPr>
                <w:rFonts w:asciiTheme="minorHAnsi" w:hAnsiTheme="minorHAnsi"/>
                <w:b/>
                <w:sz w:val="18"/>
              </w:rPr>
              <w:t xml:space="preserve">Riesgo 10: </w:t>
            </w:r>
            <w:r>
              <w:rPr>
                <w:rFonts w:asciiTheme="minorHAnsi" w:hAnsiTheme="minorHAnsi"/>
                <w:sz w:val="18"/>
              </w:rPr>
              <w:t>Los actores privados</w:t>
            </w:r>
            <w:r>
              <w:rPr>
                <w:rFonts w:asciiTheme="minorHAnsi" w:hAnsiTheme="minorHAnsi"/>
                <w:color w:val="000000" w:themeColor="text1"/>
                <w:sz w:val="18"/>
              </w:rPr>
              <w:t xml:space="preserve">, principalmente las empresas agroquímicas y las entidades de financiación privadas, están reacias a desempeñar un </w:t>
            </w:r>
            <w:r>
              <w:rPr>
                <w:rFonts w:asciiTheme="minorHAnsi" w:hAnsiTheme="minorHAnsi"/>
                <w:sz w:val="18"/>
              </w:rPr>
              <w:t xml:space="preserve">papel </w:t>
            </w:r>
            <w:r>
              <w:rPr>
                <w:rFonts w:asciiTheme="minorHAnsi" w:hAnsiTheme="minorHAnsi"/>
                <w:color w:val="000000" w:themeColor="text1"/>
                <w:sz w:val="18"/>
              </w:rPr>
              <w:t xml:space="preserve">activo </w:t>
            </w:r>
            <w:r>
              <w:rPr>
                <w:rFonts w:asciiTheme="minorHAnsi" w:hAnsiTheme="minorHAnsi"/>
                <w:sz w:val="18"/>
              </w:rPr>
              <w:t>durante la ejecución de los proyectos.</w:t>
            </w:r>
          </w:p>
        </w:tc>
        <w:tc>
          <w:tcPr>
            <w:tcW w:w="4252" w:type="dxa"/>
            <w:shd w:val="clear" w:color="auto" w:fill="auto"/>
            <w:vAlign w:val="center"/>
          </w:tcPr>
          <w:p w14:paraId="12C4E03F" w14:textId="77777777" w:rsidR="003D4A8F" w:rsidRPr="00C41C82" w:rsidRDefault="003D4A8F" w:rsidP="003D4A8F">
            <w:pPr>
              <w:jc w:val="both"/>
              <w:rPr>
                <w:rFonts w:asciiTheme="minorHAnsi" w:eastAsia="Calibri" w:hAnsiTheme="minorHAnsi" w:cstheme="minorHAnsi"/>
                <w:sz w:val="18"/>
                <w:szCs w:val="18"/>
                <w:bdr w:val="nil"/>
              </w:rPr>
            </w:pPr>
            <w:r>
              <w:rPr>
                <w:rFonts w:asciiTheme="minorHAnsi" w:hAnsiTheme="minorHAnsi"/>
                <w:sz w:val="18"/>
                <w:bdr w:val="nil"/>
              </w:rPr>
              <w:t>Durante la fase de PPG, se recopilaron las principales preocupaciones e intereses de las partes interesadas clave para el proyecto (principalmente entidades financieras y asociaciones industriales como INNOVAGRO y APCSA), lo que permitió formular actividades dirigidas a la eliminación del conjunto de barreras identificadas y hacer hincapié en los beneficios de formar parte del proyecto.</w:t>
            </w:r>
          </w:p>
          <w:p w14:paraId="4E7596FF" w14:textId="25DB7BE6" w:rsidR="00B6216F" w:rsidRPr="00C41C82" w:rsidRDefault="003D4A8F" w:rsidP="003D4A8F">
            <w:pPr>
              <w:spacing w:after="40"/>
              <w:jc w:val="both"/>
              <w:rPr>
                <w:rFonts w:asciiTheme="minorHAnsi" w:hAnsiTheme="minorHAnsi" w:cstheme="minorHAnsi"/>
                <w:sz w:val="18"/>
                <w:szCs w:val="18"/>
              </w:rPr>
            </w:pPr>
            <w:r>
              <w:rPr>
                <w:rFonts w:asciiTheme="minorHAnsi" w:hAnsiTheme="minorHAnsi"/>
                <w:color w:val="000000"/>
                <w:sz w:val="18"/>
                <w:bdr w:val="nil"/>
              </w:rPr>
              <w:t>Además, se desarrollará y aplicará una estrategia de comunicación eficaz durante la ejecución del proyecto para sensibilizar a las partes interesadas y a la comunidad en general sobre el alcance, las actividades y los beneficios del proyecto.</w:t>
            </w:r>
          </w:p>
        </w:tc>
      </w:tr>
      <w:tr w:rsidR="00B6216F" w:rsidRPr="001B17BF" w14:paraId="2EC114C3" w14:textId="77777777" w:rsidTr="00B169FC">
        <w:trPr>
          <w:cantSplit/>
          <w:trHeight w:val="283"/>
          <w:tblHeader/>
          <w:jc w:val="center"/>
        </w:trPr>
        <w:tc>
          <w:tcPr>
            <w:tcW w:w="1413" w:type="dxa"/>
            <w:vMerge/>
            <w:shd w:val="clear" w:color="auto" w:fill="auto"/>
            <w:vAlign w:val="center"/>
          </w:tcPr>
          <w:p w14:paraId="67FC8EE2"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5F0260AC" w14:textId="7B16A66B" w:rsidR="00B6216F" w:rsidRPr="00C41C82" w:rsidRDefault="00C41C82" w:rsidP="003D4A8F">
            <w:pPr>
              <w:jc w:val="both"/>
              <w:rPr>
                <w:rFonts w:asciiTheme="minorHAnsi" w:hAnsiTheme="minorHAnsi" w:cstheme="minorHAnsi"/>
                <w:sz w:val="18"/>
                <w:szCs w:val="18"/>
              </w:rPr>
            </w:pPr>
            <w:r>
              <w:rPr>
                <w:rFonts w:asciiTheme="minorHAnsi" w:hAnsiTheme="minorHAnsi"/>
                <w:b/>
                <w:sz w:val="18"/>
              </w:rPr>
              <w:t xml:space="preserve">Riesgo 11: </w:t>
            </w:r>
            <w:r>
              <w:rPr>
                <w:rFonts w:asciiTheme="minorHAnsi" w:hAnsiTheme="minorHAnsi"/>
                <w:color w:val="000000" w:themeColor="text1"/>
                <w:sz w:val="18"/>
              </w:rPr>
              <w:t>Impactos debidos a las fluctuaciones del tipo de crédito, el mercado y la moneda que pueden afectar al presupuesto total del proyecto debido a un contexto económico nacional estresante.</w:t>
            </w:r>
          </w:p>
        </w:tc>
        <w:tc>
          <w:tcPr>
            <w:tcW w:w="4252" w:type="dxa"/>
            <w:shd w:val="clear" w:color="auto" w:fill="auto"/>
            <w:vAlign w:val="center"/>
          </w:tcPr>
          <w:p w14:paraId="794387E3" w14:textId="56D76541" w:rsidR="00B6216F" w:rsidRPr="00C41C82" w:rsidRDefault="003D4A8F" w:rsidP="003D4A8F">
            <w:pPr>
              <w:jc w:val="both"/>
              <w:rPr>
                <w:rFonts w:asciiTheme="minorHAnsi" w:eastAsia="Calibri" w:hAnsiTheme="minorHAnsi" w:cstheme="minorHAnsi"/>
                <w:sz w:val="18"/>
                <w:szCs w:val="18"/>
                <w:bdr w:val="nil"/>
              </w:rPr>
            </w:pPr>
            <w:r>
              <w:rPr>
                <w:rFonts w:asciiTheme="minorHAnsi" w:hAnsiTheme="minorHAnsi"/>
                <w:sz w:val="18"/>
              </w:rPr>
              <w:t>El PNUD hace un seguimiento diario de los gastos. Además, la sede del PNUD se encarga de la supervisión global de la ejecución de los proyectos, minimizando el riesgo operativo debido a riesgos monetarios.</w:t>
            </w:r>
          </w:p>
        </w:tc>
      </w:tr>
      <w:tr w:rsidR="00B6216F" w:rsidRPr="001B17BF" w14:paraId="7B28CD5A" w14:textId="77777777" w:rsidTr="00B169FC">
        <w:trPr>
          <w:cantSplit/>
          <w:trHeight w:val="283"/>
          <w:tblHeader/>
          <w:jc w:val="center"/>
        </w:trPr>
        <w:tc>
          <w:tcPr>
            <w:tcW w:w="1413" w:type="dxa"/>
            <w:vMerge w:val="restart"/>
            <w:shd w:val="clear" w:color="auto" w:fill="auto"/>
            <w:vAlign w:val="center"/>
          </w:tcPr>
          <w:p w14:paraId="40465C13" w14:textId="77777777" w:rsidR="00B6216F" w:rsidRPr="00C41C82" w:rsidRDefault="00B6216F" w:rsidP="00BA3DD6">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color w:val="auto"/>
                <w:sz w:val="18"/>
              </w:rPr>
              <w:t>Operativo</w:t>
            </w:r>
          </w:p>
        </w:tc>
        <w:tc>
          <w:tcPr>
            <w:tcW w:w="3402" w:type="dxa"/>
            <w:shd w:val="clear" w:color="auto" w:fill="auto"/>
            <w:vAlign w:val="center"/>
          </w:tcPr>
          <w:p w14:paraId="66471992" w14:textId="580B6F63" w:rsidR="00B6216F" w:rsidRPr="00C41C82" w:rsidRDefault="00C41C82" w:rsidP="003D4A8F">
            <w:pPr>
              <w:jc w:val="both"/>
              <w:rPr>
                <w:rFonts w:asciiTheme="minorHAnsi" w:hAnsiTheme="minorHAnsi" w:cstheme="minorHAnsi"/>
                <w:sz w:val="18"/>
                <w:szCs w:val="18"/>
              </w:rPr>
            </w:pPr>
            <w:r>
              <w:rPr>
                <w:rFonts w:asciiTheme="minorHAnsi" w:hAnsiTheme="minorHAnsi"/>
                <w:b/>
                <w:sz w:val="18"/>
              </w:rPr>
              <w:t xml:space="preserve">Riesgo 12: </w:t>
            </w:r>
            <w:r>
              <w:rPr>
                <w:rFonts w:asciiTheme="minorHAnsi" w:hAnsiTheme="minorHAnsi"/>
                <w:color w:val="000000" w:themeColor="text1"/>
                <w:sz w:val="18"/>
              </w:rPr>
              <w:t>Capacidad limitada de las partes interesadas nacionales para adoptar prácticas agrícolas sostenibles, así como una gestión adecuada de residuos relacionados (incluidos plásticos agrícolas)</w:t>
            </w:r>
            <w:r w:rsidR="005B5041">
              <w:rPr>
                <w:rFonts w:asciiTheme="minorHAnsi" w:hAnsiTheme="minorHAnsi"/>
                <w:color w:val="000000" w:themeColor="text1"/>
                <w:sz w:val="18"/>
              </w:rPr>
              <w:t>.</w:t>
            </w:r>
          </w:p>
        </w:tc>
        <w:tc>
          <w:tcPr>
            <w:tcW w:w="4252" w:type="dxa"/>
            <w:shd w:val="clear" w:color="auto" w:fill="auto"/>
            <w:vAlign w:val="center"/>
          </w:tcPr>
          <w:p w14:paraId="409DA752" w14:textId="0BF37230" w:rsidR="00B6216F" w:rsidRPr="00C41C82" w:rsidRDefault="003D4A8F" w:rsidP="003D4A8F">
            <w:pPr>
              <w:jc w:val="both"/>
              <w:rPr>
                <w:rFonts w:asciiTheme="minorHAnsi" w:hAnsiTheme="minorHAnsi" w:cstheme="minorHAnsi"/>
                <w:iCs/>
                <w:sz w:val="18"/>
                <w:szCs w:val="18"/>
              </w:rPr>
            </w:pPr>
            <w:r>
              <w:rPr>
                <w:rFonts w:asciiTheme="minorHAnsi" w:hAnsiTheme="minorHAnsi"/>
                <w:sz w:val="18"/>
                <w:bdr w:val="nil"/>
              </w:rPr>
              <w:t xml:space="preserve">Durante la implementación del </w:t>
            </w:r>
            <w:r w:rsidR="00F15011">
              <w:rPr>
                <w:rFonts w:asciiTheme="minorHAnsi" w:hAnsiTheme="minorHAnsi"/>
                <w:sz w:val="18"/>
                <w:bdr w:val="nil"/>
              </w:rPr>
              <w:t>FSP</w:t>
            </w:r>
            <w:r>
              <w:rPr>
                <w:rFonts w:asciiTheme="minorHAnsi" w:hAnsiTheme="minorHAnsi"/>
                <w:sz w:val="18"/>
                <w:bdr w:val="nil"/>
              </w:rPr>
              <w:t>, se desarrollarán e implementarán programas de sensibilización, formación y capacitación técnica, así como el desarrollo de capacidades en las autoridades nacionales, funcionarios públicos y otras partes interesadas que estén relacionadas con la gestión del ciclo de vida de los agroquímicos y residuos para asegurar el conocimiento y la experiencia necesarios para llevar a cabo sus tareas adecuadamente.</w:t>
            </w:r>
          </w:p>
        </w:tc>
      </w:tr>
      <w:tr w:rsidR="003D4A8F" w:rsidRPr="001B17BF" w14:paraId="51FFE3C2" w14:textId="77777777" w:rsidTr="00B169FC">
        <w:trPr>
          <w:cantSplit/>
          <w:trHeight w:val="283"/>
          <w:tblHeader/>
          <w:jc w:val="center"/>
        </w:trPr>
        <w:tc>
          <w:tcPr>
            <w:tcW w:w="1413" w:type="dxa"/>
            <w:vMerge/>
            <w:shd w:val="clear" w:color="auto" w:fill="auto"/>
            <w:vAlign w:val="center"/>
          </w:tcPr>
          <w:p w14:paraId="675AEA5B" w14:textId="77777777" w:rsidR="003D4A8F" w:rsidRPr="00C41C82" w:rsidRDefault="003D4A8F" w:rsidP="003D4A8F">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2C8D4E50" w14:textId="1928BCAB" w:rsidR="003D4A8F" w:rsidRPr="00C41C82" w:rsidRDefault="00C41C82" w:rsidP="003D4A8F">
            <w:pPr>
              <w:jc w:val="both"/>
              <w:rPr>
                <w:rFonts w:asciiTheme="minorHAnsi" w:eastAsia="Calibri" w:hAnsiTheme="minorHAnsi" w:cstheme="minorHAnsi"/>
                <w:color w:val="000000" w:themeColor="text1"/>
                <w:sz w:val="18"/>
                <w:szCs w:val="18"/>
                <w:bdr w:val="nil"/>
              </w:rPr>
            </w:pPr>
            <w:r>
              <w:rPr>
                <w:rFonts w:asciiTheme="minorHAnsi" w:hAnsiTheme="minorHAnsi"/>
                <w:b/>
                <w:sz w:val="18"/>
              </w:rPr>
              <w:t xml:space="preserve">Riesgo 13: </w:t>
            </w:r>
            <w:r>
              <w:rPr>
                <w:rFonts w:asciiTheme="minorHAnsi" w:hAnsiTheme="minorHAnsi"/>
                <w:color w:val="000000" w:themeColor="text1"/>
                <w:sz w:val="18"/>
                <w:bdr w:val="nil"/>
              </w:rPr>
              <w:t xml:space="preserve">Deficiencias en la comunicación y relación con las partes interesadas.  </w:t>
            </w:r>
          </w:p>
          <w:p w14:paraId="25DD9E38" w14:textId="440221D0" w:rsidR="003D4A8F" w:rsidRPr="002152FE" w:rsidRDefault="003D4A8F" w:rsidP="003D4A8F">
            <w:pPr>
              <w:jc w:val="both"/>
              <w:rPr>
                <w:rFonts w:asciiTheme="minorHAnsi" w:hAnsiTheme="minorHAnsi" w:cstheme="minorHAnsi"/>
                <w:sz w:val="18"/>
                <w:szCs w:val="18"/>
                <w:lang w:val="es-EC"/>
              </w:rPr>
            </w:pPr>
          </w:p>
        </w:tc>
        <w:tc>
          <w:tcPr>
            <w:tcW w:w="4252" w:type="dxa"/>
            <w:shd w:val="clear" w:color="auto" w:fill="auto"/>
            <w:vAlign w:val="center"/>
          </w:tcPr>
          <w:p w14:paraId="7250563A" w14:textId="77777777" w:rsidR="003D4A8F" w:rsidRPr="00C41C82" w:rsidRDefault="003D4A8F" w:rsidP="003D4A8F">
            <w:pPr>
              <w:jc w:val="both"/>
              <w:rPr>
                <w:rFonts w:asciiTheme="minorHAnsi" w:eastAsia="Calibri" w:hAnsiTheme="minorHAnsi" w:cstheme="minorHAnsi"/>
                <w:color w:val="000000"/>
                <w:sz w:val="18"/>
                <w:szCs w:val="18"/>
                <w:bdr w:val="nil"/>
              </w:rPr>
            </w:pPr>
            <w:r>
              <w:rPr>
                <w:rFonts w:asciiTheme="minorHAnsi" w:hAnsiTheme="minorHAnsi"/>
                <w:color w:val="000000"/>
                <w:sz w:val="18"/>
                <w:bdr w:val="nil"/>
              </w:rPr>
              <w:t>Durante la fase de PPG, se recopilaron las principales preocupaciones e intereses de las partes interesadas en el proyecto, lo que permitió formular acciones que permitieran eliminar estas barreras y hacer hincapié en los beneficios de formar parte del proyecto. Dentro del Plan de Participación de las Partes Interesadas está previsto que estas actividades continúen durante la ejecución del proyecto.</w:t>
            </w:r>
          </w:p>
          <w:p w14:paraId="420B992B" w14:textId="0F08EBE7" w:rsidR="003D4A8F" w:rsidRPr="00C41C82" w:rsidRDefault="003D4A8F" w:rsidP="003D4A8F">
            <w:pPr>
              <w:jc w:val="both"/>
              <w:rPr>
                <w:rFonts w:asciiTheme="minorHAnsi" w:eastAsia="Calibri" w:hAnsiTheme="minorHAnsi" w:cstheme="minorHAnsi"/>
                <w:color w:val="000000"/>
                <w:sz w:val="18"/>
                <w:szCs w:val="18"/>
                <w:bdr w:val="nil"/>
              </w:rPr>
            </w:pPr>
            <w:r>
              <w:rPr>
                <w:rFonts w:asciiTheme="minorHAnsi" w:hAnsiTheme="minorHAnsi"/>
                <w:color w:val="000000"/>
                <w:sz w:val="18"/>
                <w:bdr w:val="nil"/>
              </w:rPr>
              <w:t xml:space="preserve">Además, se desarrollará una estrategia de comunicación eficaz para sensibilizar a las partes interesadas y a la comunidad en general sobre las actividades del proyecto. </w:t>
            </w:r>
          </w:p>
        </w:tc>
      </w:tr>
      <w:tr w:rsidR="003D4A8F" w:rsidRPr="001B17BF" w14:paraId="27DCEA35" w14:textId="77777777" w:rsidTr="00B169FC">
        <w:trPr>
          <w:cantSplit/>
          <w:trHeight w:val="283"/>
          <w:tblHeader/>
          <w:jc w:val="center"/>
        </w:trPr>
        <w:tc>
          <w:tcPr>
            <w:tcW w:w="1413" w:type="dxa"/>
            <w:vMerge/>
            <w:shd w:val="clear" w:color="auto" w:fill="auto"/>
            <w:vAlign w:val="center"/>
          </w:tcPr>
          <w:p w14:paraId="60D15AD9" w14:textId="77777777" w:rsidR="003D4A8F" w:rsidRPr="00C41C82" w:rsidRDefault="003D4A8F" w:rsidP="003D4A8F">
            <w:pPr>
              <w:pStyle w:val="GEFFieldtoFillout"/>
              <w:tabs>
                <w:tab w:val="left" w:pos="567"/>
              </w:tabs>
              <w:spacing w:before="60" w:after="60"/>
              <w:ind w:left="0"/>
              <w:jc w:val="center"/>
              <w:rPr>
                <w:rFonts w:asciiTheme="minorHAnsi" w:hAnsiTheme="minorHAnsi" w:cstheme="minorHAnsi"/>
                <w:color w:val="auto"/>
                <w:sz w:val="18"/>
                <w:szCs w:val="18"/>
              </w:rPr>
            </w:pPr>
          </w:p>
        </w:tc>
        <w:tc>
          <w:tcPr>
            <w:tcW w:w="3402" w:type="dxa"/>
            <w:shd w:val="clear" w:color="auto" w:fill="auto"/>
            <w:vAlign w:val="center"/>
          </w:tcPr>
          <w:p w14:paraId="5A971AB6" w14:textId="7E5BB77D" w:rsidR="003D4A8F" w:rsidRPr="00C41C82" w:rsidRDefault="00C41C82" w:rsidP="003D4A8F">
            <w:pPr>
              <w:jc w:val="both"/>
              <w:rPr>
                <w:rFonts w:asciiTheme="minorHAnsi" w:eastAsia="Calibri" w:hAnsiTheme="minorHAnsi" w:cstheme="minorHAnsi"/>
                <w:color w:val="000000"/>
                <w:sz w:val="18"/>
                <w:szCs w:val="18"/>
                <w:bdr w:val="nil"/>
              </w:rPr>
            </w:pPr>
            <w:r>
              <w:rPr>
                <w:rFonts w:asciiTheme="minorHAnsi" w:hAnsiTheme="minorHAnsi"/>
                <w:b/>
                <w:sz w:val="18"/>
              </w:rPr>
              <w:t xml:space="preserve">Riesgo 14: </w:t>
            </w:r>
            <w:r>
              <w:rPr>
                <w:rFonts w:asciiTheme="minorHAnsi" w:hAnsiTheme="minorHAnsi"/>
                <w:color w:val="000000" w:themeColor="text1"/>
                <w:sz w:val="18"/>
              </w:rPr>
              <w:t>Falta de interés a nivel nacional y local por participar activamente en el desarrollo y la ejecución de las actividades del proyecto.</w:t>
            </w:r>
          </w:p>
        </w:tc>
        <w:tc>
          <w:tcPr>
            <w:tcW w:w="4252" w:type="dxa"/>
            <w:shd w:val="clear" w:color="auto" w:fill="auto"/>
            <w:vAlign w:val="center"/>
          </w:tcPr>
          <w:p w14:paraId="02EF0D46" w14:textId="2FBF8C2C" w:rsidR="003D4A8F" w:rsidRPr="00C41C82" w:rsidRDefault="003D4A8F" w:rsidP="003D4A8F">
            <w:pPr>
              <w:jc w:val="both"/>
              <w:rPr>
                <w:rFonts w:asciiTheme="minorHAnsi" w:eastAsia="Calibri" w:hAnsiTheme="minorHAnsi" w:cstheme="minorHAnsi"/>
                <w:color w:val="000000"/>
                <w:sz w:val="18"/>
                <w:szCs w:val="18"/>
                <w:bdr w:val="nil"/>
              </w:rPr>
            </w:pPr>
            <w:r>
              <w:rPr>
                <w:rFonts w:asciiTheme="minorHAnsi" w:hAnsiTheme="minorHAnsi"/>
                <w:color w:val="000000"/>
                <w:sz w:val="18"/>
                <w:bdr w:val="nil"/>
              </w:rPr>
              <w:t xml:space="preserve">La UGP y el Comité Directivo del Proyecto proporcionarán información continua y supervisarán los resultados del proyecto de forma regular. Además, se celebrarán consultas con los responsables de la toma de decisiones de otras organizaciones gubernamentales para comunicarles la pertinencia de su participación en el proyecto </w:t>
            </w:r>
          </w:p>
        </w:tc>
      </w:tr>
      <w:tr w:rsidR="003D4A8F" w:rsidRPr="001B17BF" w14:paraId="55578DF8" w14:textId="77777777" w:rsidTr="00B169FC">
        <w:trPr>
          <w:cantSplit/>
          <w:trHeight w:val="283"/>
          <w:tblHeader/>
          <w:jc w:val="center"/>
        </w:trPr>
        <w:tc>
          <w:tcPr>
            <w:tcW w:w="1413" w:type="dxa"/>
            <w:shd w:val="clear" w:color="auto" w:fill="auto"/>
            <w:vAlign w:val="center"/>
          </w:tcPr>
          <w:p w14:paraId="6111BA70" w14:textId="77777777" w:rsidR="003D4A8F" w:rsidRPr="00C41C82" w:rsidRDefault="003D4A8F" w:rsidP="003D4A8F">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color w:val="auto"/>
                <w:sz w:val="18"/>
              </w:rPr>
              <w:t>Organizacional</w:t>
            </w:r>
          </w:p>
        </w:tc>
        <w:tc>
          <w:tcPr>
            <w:tcW w:w="3402" w:type="dxa"/>
            <w:shd w:val="clear" w:color="auto" w:fill="auto"/>
            <w:vAlign w:val="center"/>
          </w:tcPr>
          <w:p w14:paraId="002A3A9A" w14:textId="0B8A939D" w:rsidR="003D4A8F" w:rsidRPr="00C41C82" w:rsidRDefault="00C41C82" w:rsidP="003D4A8F">
            <w:pPr>
              <w:jc w:val="both"/>
              <w:rPr>
                <w:rFonts w:asciiTheme="minorHAnsi" w:hAnsiTheme="minorHAnsi" w:cstheme="minorHAnsi"/>
                <w:sz w:val="18"/>
                <w:szCs w:val="18"/>
              </w:rPr>
            </w:pPr>
            <w:r>
              <w:rPr>
                <w:rFonts w:asciiTheme="minorHAnsi" w:hAnsiTheme="minorHAnsi"/>
                <w:b/>
                <w:sz w:val="18"/>
              </w:rPr>
              <w:t xml:space="preserve">Riesgo 15: </w:t>
            </w:r>
            <w:r>
              <w:rPr>
                <w:rFonts w:asciiTheme="minorHAnsi" w:hAnsiTheme="minorHAnsi"/>
                <w:sz w:val="18"/>
              </w:rPr>
              <w:t>Capacidad limitada para supervisar los proyectos.</w:t>
            </w:r>
          </w:p>
        </w:tc>
        <w:tc>
          <w:tcPr>
            <w:tcW w:w="4252" w:type="dxa"/>
            <w:shd w:val="clear" w:color="auto" w:fill="auto"/>
            <w:vAlign w:val="center"/>
          </w:tcPr>
          <w:p w14:paraId="7A74290B" w14:textId="1027DA54" w:rsidR="003D4A8F" w:rsidRPr="00C41C82" w:rsidRDefault="003D4A8F" w:rsidP="003D4A8F">
            <w:pPr>
              <w:jc w:val="both"/>
              <w:rPr>
                <w:rFonts w:asciiTheme="minorHAnsi" w:eastAsia="Calibri" w:hAnsiTheme="minorHAnsi" w:cstheme="minorHAnsi"/>
                <w:color w:val="000000"/>
                <w:sz w:val="18"/>
                <w:szCs w:val="18"/>
                <w:bdr w:val="nil"/>
              </w:rPr>
            </w:pPr>
            <w:r>
              <w:rPr>
                <w:rFonts w:asciiTheme="minorHAnsi" w:hAnsiTheme="minorHAnsi"/>
                <w:sz w:val="18"/>
                <w:bdr w:val="nil"/>
              </w:rPr>
              <w:t>El proyecto prevé en su Componente 4 una serie de actividades encaminadas a un monitoreo y seguimiento periódico del desarrollo del proyecto y un reporte exhaustivo durante la revisión de medio período</w:t>
            </w:r>
            <w:r w:rsidR="00343360">
              <w:rPr>
                <w:rFonts w:asciiTheme="minorHAnsi" w:hAnsiTheme="minorHAnsi"/>
                <w:sz w:val="18"/>
                <w:bdr w:val="nil"/>
              </w:rPr>
              <w:t xml:space="preserve"> (MTR)</w:t>
            </w:r>
            <w:r>
              <w:rPr>
                <w:rFonts w:asciiTheme="minorHAnsi" w:hAnsiTheme="minorHAnsi"/>
                <w:sz w:val="18"/>
                <w:bdr w:val="nil"/>
              </w:rPr>
              <w:t xml:space="preserve">, donde se puedan identificar tempranamente posibles desviaciones de las acciones programadas, así como el cumplimiento de los objetivos propuestos.   </w:t>
            </w:r>
          </w:p>
        </w:tc>
      </w:tr>
      <w:tr w:rsidR="003D4A8F" w:rsidRPr="001B17BF" w14:paraId="638B361C" w14:textId="77777777" w:rsidTr="00B169FC">
        <w:trPr>
          <w:cantSplit/>
          <w:trHeight w:val="283"/>
          <w:tblHeader/>
          <w:jc w:val="center"/>
        </w:trPr>
        <w:tc>
          <w:tcPr>
            <w:tcW w:w="1413" w:type="dxa"/>
            <w:shd w:val="clear" w:color="auto" w:fill="auto"/>
            <w:vAlign w:val="center"/>
          </w:tcPr>
          <w:p w14:paraId="47787EF2" w14:textId="77777777" w:rsidR="003D4A8F" w:rsidRPr="00C41C82" w:rsidRDefault="003D4A8F" w:rsidP="003D4A8F">
            <w:pPr>
              <w:pStyle w:val="GEFFieldtoFillout"/>
              <w:tabs>
                <w:tab w:val="left" w:pos="567"/>
              </w:tabs>
              <w:spacing w:before="60" w:after="60"/>
              <w:ind w:left="0"/>
              <w:jc w:val="center"/>
              <w:rPr>
                <w:rFonts w:asciiTheme="minorHAnsi" w:hAnsiTheme="minorHAnsi" w:cstheme="minorHAnsi"/>
                <w:color w:val="auto"/>
                <w:sz w:val="18"/>
                <w:szCs w:val="18"/>
              </w:rPr>
            </w:pPr>
            <w:r>
              <w:rPr>
                <w:rFonts w:asciiTheme="minorHAnsi" w:hAnsiTheme="minorHAnsi"/>
                <w:color w:val="auto"/>
                <w:sz w:val="18"/>
              </w:rPr>
              <w:t>Estratégico</w:t>
            </w:r>
          </w:p>
        </w:tc>
        <w:tc>
          <w:tcPr>
            <w:tcW w:w="3402" w:type="dxa"/>
            <w:shd w:val="clear" w:color="auto" w:fill="auto"/>
            <w:vAlign w:val="center"/>
          </w:tcPr>
          <w:p w14:paraId="74AAE3C0" w14:textId="6456327A" w:rsidR="003D4A8F" w:rsidRPr="00C41C82" w:rsidRDefault="00C41C82" w:rsidP="003D4A8F">
            <w:pPr>
              <w:jc w:val="both"/>
              <w:rPr>
                <w:rFonts w:asciiTheme="minorHAnsi" w:hAnsiTheme="minorHAnsi" w:cstheme="minorHAnsi"/>
                <w:sz w:val="18"/>
                <w:szCs w:val="18"/>
              </w:rPr>
            </w:pPr>
            <w:r>
              <w:rPr>
                <w:rFonts w:asciiTheme="minorHAnsi" w:hAnsiTheme="minorHAnsi"/>
                <w:b/>
                <w:sz w:val="18"/>
              </w:rPr>
              <w:t xml:space="preserve">Riesgo 16: </w:t>
            </w:r>
            <w:r>
              <w:rPr>
                <w:rFonts w:asciiTheme="minorHAnsi" w:hAnsiTheme="minorHAnsi"/>
                <w:color w:val="000000" w:themeColor="text1"/>
                <w:sz w:val="18"/>
              </w:rPr>
              <w:t>Capacidad limitada en el Ministerio de Medio Ambiente, Agua y Transición Ecológica (MAATE) y otras partes interesadas clave que puede generar conflictos, desinformación y malentendidos sobre el objetivo general del proyecto.</w:t>
            </w:r>
          </w:p>
        </w:tc>
        <w:tc>
          <w:tcPr>
            <w:tcW w:w="4252" w:type="dxa"/>
            <w:shd w:val="clear" w:color="auto" w:fill="auto"/>
            <w:vAlign w:val="center"/>
          </w:tcPr>
          <w:p w14:paraId="6D3DC9A9" w14:textId="102E7D14" w:rsidR="003D4A8F" w:rsidRPr="00C41C82" w:rsidRDefault="003D4A8F" w:rsidP="003D4A8F">
            <w:pPr>
              <w:jc w:val="both"/>
              <w:rPr>
                <w:rFonts w:asciiTheme="minorHAnsi" w:eastAsia="Calibri" w:hAnsiTheme="minorHAnsi" w:cstheme="minorHAnsi"/>
                <w:color w:val="000000"/>
                <w:sz w:val="18"/>
                <w:szCs w:val="18"/>
                <w:bdr w:val="nil"/>
              </w:rPr>
            </w:pPr>
            <w:r>
              <w:rPr>
                <w:rFonts w:asciiTheme="minorHAnsi" w:hAnsiTheme="minorHAnsi"/>
                <w:color w:val="000000"/>
                <w:sz w:val="18"/>
                <w:bdr w:val="nil"/>
              </w:rPr>
              <w:t xml:space="preserve">Durante la implementación del </w:t>
            </w:r>
            <w:r w:rsidR="00F15011">
              <w:rPr>
                <w:rFonts w:asciiTheme="minorHAnsi" w:hAnsiTheme="minorHAnsi"/>
                <w:color w:val="000000"/>
                <w:sz w:val="18"/>
                <w:bdr w:val="nil"/>
              </w:rPr>
              <w:t>FSP</w:t>
            </w:r>
            <w:r>
              <w:rPr>
                <w:rFonts w:asciiTheme="minorHAnsi" w:hAnsiTheme="minorHAnsi"/>
                <w:color w:val="000000"/>
                <w:sz w:val="18"/>
                <w:bdr w:val="nil"/>
              </w:rPr>
              <w:t>, se desarrollarán e implementarán programas de formación técnica, así como de capacitación en autoridades nacionales, funcionarios públicos y otras partes interesadas que estén trabajando en temas relacionados con la gestión de sustancias químicas y residuos peligrosos, para asegurar el conocimiento y la experiencia necesarios para llevar a cabo sus tareas adecuadamente.</w:t>
            </w:r>
          </w:p>
          <w:p w14:paraId="4C25DC8F" w14:textId="11C0EF48" w:rsidR="003D4A8F" w:rsidRPr="00C41C82" w:rsidRDefault="003D4A8F" w:rsidP="003D4A8F">
            <w:pPr>
              <w:jc w:val="both"/>
              <w:rPr>
                <w:rFonts w:asciiTheme="minorHAnsi" w:hAnsiTheme="minorHAnsi" w:cstheme="minorHAnsi"/>
                <w:color w:val="000000"/>
                <w:sz w:val="18"/>
                <w:szCs w:val="18"/>
              </w:rPr>
            </w:pPr>
            <w:r>
              <w:rPr>
                <w:rFonts w:asciiTheme="minorHAnsi" w:hAnsiTheme="minorHAnsi"/>
                <w:color w:val="000000"/>
                <w:sz w:val="18"/>
                <w:bdr w:val="nil"/>
              </w:rPr>
              <w:t xml:space="preserve">Además, durante la ejecución del </w:t>
            </w:r>
            <w:r w:rsidR="00F15011">
              <w:rPr>
                <w:rFonts w:asciiTheme="minorHAnsi" w:hAnsiTheme="minorHAnsi"/>
                <w:color w:val="000000"/>
                <w:sz w:val="18"/>
                <w:bdr w:val="nil"/>
              </w:rPr>
              <w:t>FSP</w:t>
            </w:r>
            <w:r>
              <w:rPr>
                <w:rFonts w:asciiTheme="minorHAnsi" w:hAnsiTheme="minorHAnsi"/>
                <w:color w:val="000000"/>
                <w:sz w:val="18"/>
                <w:bdr w:val="nil"/>
              </w:rPr>
              <w:t xml:space="preserve"> se desarrollará una estrategia de comunicación eficaz y una campaña de sensibilización para dar a conocer a las partes interesadas y a la comunidad </w:t>
            </w:r>
            <w:r>
              <w:rPr>
                <w:rFonts w:asciiTheme="minorHAnsi" w:hAnsiTheme="minorHAnsi"/>
                <w:sz w:val="18"/>
                <w:bdr w:val="nil"/>
              </w:rPr>
              <w:t>en general el alcance y las actividades del proyecto.</w:t>
            </w:r>
          </w:p>
        </w:tc>
      </w:tr>
      <w:tr w:rsidR="003D4A8F" w:rsidRPr="001B17BF" w14:paraId="1832391E" w14:textId="77777777" w:rsidTr="00B169FC">
        <w:trPr>
          <w:cantSplit/>
          <w:trHeight w:val="283"/>
          <w:tblHeader/>
          <w:jc w:val="center"/>
        </w:trPr>
        <w:tc>
          <w:tcPr>
            <w:tcW w:w="1413" w:type="dxa"/>
            <w:shd w:val="clear" w:color="auto" w:fill="auto"/>
            <w:vAlign w:val="center"/>
          </w:tcPr>
          <w:p w14:paraId="5F5CAFC2" w14:textId="148C46B0" w:rsidR="003D4A8F" w:rsidRPr="00C41C82" w:rsidRDefault="003D4A8F" w:rsidP="003D4A8F">
            <w:pPr>
              <w:jc w:val="center"/>
              <w:rPr>
                <w:rFonts w:asciiTheme="minorHAnsi" w:eastAsia="Calibri" w:hAnsiTheme="minorHAnsi" w:cstheme="minorHAnsi"/>
                <w:color w:val="000000" w:themeColor="text1"/>
                <w:sz w:val="18"/>
                <w:szCs w:val="18"/>
                <w:bdr w:val="nil"/>
              </w:rPr>
            </w:pPr>
            <w:r>
              <w:rPr>
                <w:rFonts w:asciiTheme="minorHAnsi" w:hAnsiTheme="minorHAnsi"/>
                <w:color w:val="000000" w:themeColor="text1"/>
                <w:sz w:val="18"/>
                <w:bdr w:val="nil"/>
              </w:rPr>
              <w:t xml:space="preserve">Seguridad y protección </w:t>
            </w:r>
          </w:p>
        </w:tc>
        <w:tc>
          <w:tcPr>
            <w:tcW w:w="3402" w:type="dxa"/>
            <w:shd w:val="clear" w:color="auto" w:fill="auto"/>
            <w:vAlign w:val="center"/>
          </w:tcPr>
          <w:p w14:paraId="01CF9A4B" w14:textId="7E56D4B3" w:rsidR="003D4A8F" w:rsidRPr="00C41C82" w:rsidRDefault="00C41C82" w:rsidP="003D4A8F">
            <w:pPr>
              <w:jc w:val="both"/>
              <w:rPr>
                <w:rFonts w:asciiTheme="minorHAnsi" w:hAnsiTheme="minorHAnsi" w:cstheme="minorHAnsi"/>
                <w:sz w:val="18"/>
                <w:szCs w:val="18"/>
              </w:rPr>
            </w:pPr>
            <w:r>
              <w:rPr>
                <w:rFonts w:asciiTheme="minorHAnsi" w:hAnsiTheme="minorHAnsi"/>
                <w:b/>
                <w:sz w:val="18"/>
              </w:rPr>
              <w:t xml:space="preserve">Riesgo 17: </w:t>
            </w:r>
            <w:r>
              <w:rPr>
                <w:rFonts w:asciiTheme="minorHAnsi" w:hAnsiTheme="minorHAnsi"/>
                <w:color w:val="000000" w:themeColor="text1"/>
                <w:sz w:val="18"/>
              </w:rPr>
              <w:t>La inestabilidad política podría dar lugar a nuevos nombramientos de directivos y técnicos en las entidades asociadas a los proyectos, lo que exigiría esfuerzos adicionales para garantizar la ejecución oportuna de los proyectos.</w:t>
            </w:r>
          </w:p>
        </w:tc>
        <w:tc>
          <w:tcPr>
            <w:tcW w:w="4252" w:type="dxa"/>
            <w:shd w:val="clear" w:color="auto" w:fill="auto"/>
            <w:vAlign w:val="center"/>
          </w:tcPr>
          <w:p w14:paraId="145EE98B" w14:textId="7D5F0384" w:rsidR="003D4A8F" w:rsidRPr="00C41C82" w:rsidRDefault="003D4A8F" w:rsidP="003D4A8F">
            <w:pPr>
              <w:jc w:val="both"/>
              <w:rPr>
                <w:rFonts w:asciiTheme="minorHAnsi" w:hAnsiTheme="minorHAnsi" w:cstheme="minorHAnsi"/>
                <w:color w:val="000000"/>
                <w:sz w:val="18"/>
                <w:szCs w:val="18"/>
              </w:rPr>
            </w:pPr>
            <w:r>
              <w:rPr>
                <w:rFonts w:asciiTheme="minorHAnsi" w:hAnsiTheme="minorHAnsi"/>
                <w:color w:val="000000"/>
                <w:sz w:val="18"/>
              </w:rPr>
              <w:t xml:space="preserve">En el caso de que esto ocurriera, el personal técnico de la </w:t>
            </w:r>
            <w:r w:rsidR="00497A66">
              <w:rPr>
                <w:rFonts w:asciiTheme="minorHAnsi" w:hAnsiTheme="minorHAnsi"/>
                <w:color w:val="000000"/>
                <w:sz w:val="18"/>
              </w:rPr>
              <w:t>Oficina Nacional (CO)</w:t>
            </w:r>
            <w:r>
              <w:rPr>
                <w:rFonts w:asciiTheme="minorHAnsi" w:hAnsiTheme="minorHAnsi"/>
                <w:color w:val="000000"/>
                <w:sz w:val="18"/>
              </w:rPr>
              <w:t xml:space="preserve"> del PNUD y la </w:t>
            </w:r>
            <w:r w:rsidR="00412CD9">
              <w:rPr>
                <w:rFonts w:asciiTheme="minorHAnsi" w:hAnsiTheme="minorHAnsi"/>
                <w:color w:val="000000"/>
                <w:sz w:val="18"/>
              </w:rPr>
              <w:t>RTA</w:t>
            </w:r>
            <w:r>
              <w:rPr>
                <w:rFonts w:asciiTheme="minorHAnsi" w:hAnsiTheme="minorHAnsi"/>
                <w:color w:val="000000"/>
                <w:sz w:val="18"/>
              </w:rPr>
              <w:t xml:space="preserve"> del PNUD en Panamá harán todo lo posible para informar y convencer a los nuevos responsables de la toma de decisiones sobre la importancia del proyecto, las razones por las que se desarrolló y el impacto positivo que tendrá en la salud humana y el medio ambiente en Ecuador.</w:t>
            </w:r>
          </w:p>
        </w:tc>
      </w:tr>
    </w:tbl>
    <w:p w14:paraId="54428E75" w14:textId="77777777" w:rsidR="00966EF0" w:rsidRPr="002152FE" w:rsidRDefault="00966EF0" w:rsidP="00966EF0">
      <w:pPr>
        <w:rPr>
          <w:rFonts w:ascii="Calibri" w:eastAsia="SimSun" w:hAnsi="Calibri"/>
          <w:sz w:val="20"/>
          <w:szCs w:val="20"/>
          <w:u w:val="single"/>
          <w:lang w:val="es-EC"/>
        </w:rPr>
      </w:pPr>
    </w:p>
    <w:p w14:paraId="6ABAE843" w14:textId="77777777" w:rsidR="00081619" w:rsidRDefault="00081619" w:rsidP="00AC7780">
      <w:pPr>
        <w:spacing w:after="120"/>
        <w:rPr>
          <w:rFonts w:ascii="Calibri" w:hAnsi="Calibri"/>
          <w:sz w:val="20"/>
          <w:u w:val="single"/>
        </w:rPr>
      </w:pPr>
    </w:p>
    <w:p w14:paraId="186000BD" w14:textId="5AEA548F" w:rsidR="00966EF0" w:rsidRPr="00A562E4" w:rsidRDefault="00966EF0" w:rsidP="00AC7780">
      <w:pPr>
        <w:spacing w:after="120"/>
        <w:rPr>
          <w:rFonts w:ascii="Calibri" w:eastAsia="SimSun" w:hAnsi="Calibri"/>
          <w:i/>
          <w:sz w:val="20"/>
          <w:szCs w:val="20"/>
        </w:rPr>
      </w:pPr>
      <w:r>
        <w:rPr>
          <w:rFonts w:ascii="Calibri" w:hAnsi="Calibri"/>
          <w:sz w:val="20"/>
          <w:u w:val="single"/>
        </w:rPr>
        <w:t>Compromiso de las partes interesadas y cooperación Sur-Sur</w:t>
      </w:r>
      <w:r>
        <w:rPr>
          <w:rFonts w:ascii="Calibri" w:hAnsi="Calibri"/>
          <w:sz w:val="20"/>
        </w:rPr>
        <w:t xml:space="preserve">: </w:t>
      </w:r>
    </w:p>
    <w:p w14:paraId="47585610" w14:textId="767A773A" w:rsidR="00FC1EF3" w:rsidRPr="00FC1EF3" w:rsidRDefault="00FC1EF3" w:rsidP="00FC1EF3">
      <w:pPr>
        <w:spacing w:after="120"/>
        <w:jc w:val="both"/>
        <w:rPr>
          <w:rFonts w:asciiTheme="minorHAnsi" w:hAnsiTheme="minorHAnsi" w:cstheme="minorHAnsi"/>
          <w:iCs/>
          <w:color w:val="000000"/>
          <w:sz w:val="20"/>
          <w:szCs w:val="20"/>
        </w:rPr>
      </w:pPr>
      <w:r>
        <w:rPr>
          <w:rFonts w:asciiTheme="minorHAnsi" w:hAnsiTheme="minorHAnsi"/>
          <w:color w:val="000000"/>
          <w:sz w:val="20"/>
        </w:rPr>
        <w:t xml:space="preserve">Durante la fase del PPG, se realizó un análisis de las partes interesadas y se elaboró un plan de su participación, </w:t>
      </w:r>
      <w:r>
        <w:rPr>
          <w:rFonts w:asciiTheme="minorHAnsi" w:hAnsiTheme="minorHAnsi"/>
          <w:sz w:val="20"/>
        </w:rPr>
        <w:t>detallado en el Anexo 8</w:t>
      </w:r>
      <w:r>
        <w:rPr>
          <w:rFonts w:asciiTheme="minorHAnsi" w:hAnsiTheme="minorHAnsi"/>
          <w:color w:val="000000" w:themeColor="text1"/>
          <w:sz w:val="20"/>
        </w:rPr>
        <w:t xml:space="preserve">, </w:t>
      </w:r>
      <w:r>
        <w:rPr>
          <w:rFonts w:asciiTheme="minorHAnsi" w:hAnsiTheme="minorHAnsi"/>
          <w:color w:val="000000"/>
          <w:sz w:val="20"/>
        </w:rPr>
        <w:t xml:space="preserve">con el fin de identificar a los principales actores y beneficiarios pertinentes que debían participar en el proceso de ejecución del proyecto. </w:t>
      </w:r>
    </w:p>
    <w:p w14:paraId="22EA757D" w14:textId="75DF2671" w:rsidR="00FC1EF3" w:rsidRPr="00FC1EF3" w:rsidRDefault="00FC1EF3" w:rsidP="00FC1EF3">
      <w:pPr>
        <w:spacing w:after="120"/>
        <w:jc w:val="both"/>
        <w:rPr>
          <w:rFonts w:asciiTheme="minorHAnsi" w:hAnsiTheme="minorHAnsi" w:cstheme="minorHAnsi"/>
          <w:iCs/>
          <w:color w:val="000000"/>
          <w:sz w:val="20"/>
          <w:szCs w:val="20"/>
        </w:rPr>
      </w:pPr>
      <w:r>
        <w:rPr>
          <w:rFonts w:asciiTheme="minorHAnsi" w:hAnsiTheme="minorHAnsi"/>
          <w:sz w:val="20"/>
        </w:rPr>
        <w:t>El "</w:t>
      </w:r>
      <w:r>
        <w:rPr>
          <w:rFonts w:asciiTheme="minorHAnsi" w:hAnsiTheme="minorHAnsi"/>
          <w:i/>
          <w:sz w:val="20"/>
        </w:rPr>
        <w:t xml:space="preserve">Plan de </w:t>
      </w:r>
      <w:r w:rsidR="00E12542">
        <w:rPr>
          <w:rFonts w:asciiTheme="minorHAnsi" w:hAnsiTheme="minorHAnsi"/>
          <w:i/>
          <w:sz w:val="20"/>
        </w:rPr>
        <w:t>P</w:t>
      </w:r>
      <w:r>
        <w:rPr>
          <w:rFonts w:asciiTheme="minorHAnsi" w:hAnsiTheme="minorHAnsi"/>
          <w:i/>
          <w:sz w:val="20"/>
        </w:rPr>
        <w:t xml:space="preserve">articipación de las </w:t>
      </w:r>
      <w:r w:rsidR="00E12542">
        <w:rPr>
          <w:rFonts w:asciiTheme="minorHAnsi" w:hAnsiTheme="minorHAnsi"/>
          <w:i/>
          <w:sz w:val="20"/>
        </w:rPr>
        <w:t>P</w:t>
      </w:r>
      <w:r>
        <w:rPr>
          <w:rFonts w:asciiTheme="minorHAnsi" w:hAnsiTheme="minorHAnsi"/>
          <w:i/>
          <w:sz w:val="20"/>
        </w:rPr>
        <w:t xml:space="preserve">artes </w:t>
      </w:r>
      <w:r w:rsidR="00E12542">
        <w:rPr>
          <w:rFonts w:asciiTheme="minorHAnsi" w:hAnsiTheme="minorHAnsi"/>
          <w:i/>
          <w:sz w:val="20"/>
        </w:rPr>
        <w:t>I</w:t>
      </w:r>
      <w:r>
        <w:rPr>
          <w:rFonts w:asciiTheme="minorHAnsi" w:hAnsiTheme="minorHAnsi"/>
          <w:i/>
          <w:sz w:val="20"/>
        </w:rPr>
        <w:t>nteresadas</w:t>
      </w:r>
      <w:r>
        <w:rPr>
          <w:rFonts w:asciiTheme="minorHAnsi" w:hAnsiTheme="minorHAnsi"/>
          <w:sz w:val="20"/>
        </w:rPr>
        <w:t>" pretende reforzar las capacidades de los socios institucionales del PNUD para gestionar los riesgos sociales y ambientales y garantizar la participación plena y efectiva de las partes interesadas, incluidos los mecanismos adecuados para responder a las quejas de las personas afectadas por el proyecto. Este Plan sigue la Nota Orientativa sobre los Estándares Sociales y Ambientales (SES) del PNUD.</w:t>
      </w:r>
    </w:p>
    <w:p w14:paraId="17A9EF70" w14:textId="1FBFF8D2" w:rsidR="00FC1EF3" w:rsidRPr="00FC1EF3" w:rsidRDefault="00FC1EF3" w:rsidP="00FC1EF3">
      <w:pPr>
        <w:spacing w:after="120"/>
        <w:jc w:val="both"/>
        <w:rPr>
          <w:rFonts w:asciiTheme="minorHAnsi" w:hAnsiTheme="minorHAnsi" w:cstheme="minorHAnsi"/>
          <w:iCs/>
          <w:color w:val="000000"/>
          <w:sz w:val="20"/>
          <w:szCs w:val="20"/>
        </w:rPr>
      </w:pPr>
      <w:r>
        <w:rPr>
          <w:rFonts w:asciiTheme="minorHAnsi" w:hAnsiTheme="minorHAnsi"/>
          <w:color w:val="000000"/>
          <w:sz w:val="20"/>
        </w:rPr>
        <w:t xml:space="preserve">En el Anexo se enumeran detalladamente las distintas partes interesadas que se han identificado por estar fuertemente vinculadas e interesadas en </w:t>
      </w:r>
      <w:r>
        <w:rPr>
          <w:rFonts w:asciiTheme="minorHAnsi" w:hAnsiTheme="minorHAnsi"/>
          <w:color w:val="000000" w:themeColor="text1"/>
          <w:sz w:val="20"/>
        </w:rPr>
        <w:t xml:space="preserve">las actividades del proyecto. Durante el PPG se llevaron a cabo varias actividades, detalladas en la Tabla 1 del Anexo 8, para involucrar al amplio universo de partes interesadas relevantes para los resultados esperados de este </w:t>
      </w:r>
      <w:r w:rsidR="00F15011">
        <w:rPr>
          <w:rFonts w:asciiTheme="minorHAnsi" w:hAnsiTheme="minorHAnsi"/>
          <w:color w:val="000000" w:themeColor="text1"/>
          <w:sz w:val="20"/>
        </w:rPr>
        <w:t>FSP</w:t>
      </w:r>
      <w:r>
        <w:rPr>
          <w:rFonts w:asciiTheme="minorHAnsi" w:hAnsiTheme="minorHAnsi"/>
          <w:color w:val="000000" w:themeColor="text1"/>
          <w:sz w:val="20"/>
        </w:rPr>
        <w:t xml:space="preserve">, permitiendo no sólo comunicar los objetivos y actividades del proyecto, sino también </w:t>
      </w:r>
      <w:r>
        <w:rPr>
          <w:rFonts w:asciiTheme="minorHAnsi" w:hAnsiTheme="minorHAnsi"/>
          <w:color w:val="000000"/>
          <w:sz w:val="20"/>
        </w:rPr>
        <w:t xml:space="preserve">identificar sus preocupaciones y expectativas. </w:t>
      </w:r>
    </w:p>
    <w:p w14:paraId="6D5369E9" w14:textId="77777777" w:rsidR="00FC1EF3" w:rsidRPr="00FC1EF3" w:rsidRDefault="00FC1EF3" w:rsidP="00FC1EF3">
      <w:pPr>
        <w:pStyle w:val="Descripcin"/>
        <w:tabs>
          <w:tab w:val="left" w:pos="2040"/>
        </w:tabs>
        <w:spacing w:after="120"/>
        <w:jc w:val="both"/>
        <w:rPr>
          <w:rFonts w:asciiTheme="minorHAnsi" w:hAnsiTheme="minorHAnsi" w:cstheme="minorHAnsi"/>
          <w:sz w:val="20"/>
          <w:szCs w:val="20"/>
        </w:rPr>
      </w:pPr>
      <w:r>
        <w:rPr>
          <w:rFonts w:asciiTheme="minorHAnsi" w:hAnsiTheme="minorHAnsi"/>
          <w:b w:val="0"/>
          <w:color w:val="000000"/>
          <w:sz w:val="20"/>
        </w:rPr>
        <w:t xml:space="preserve">Como resultado de ello, </w:t>
      </w:r>
      <w:r>
        <w:rPr>
          <w:rStyle w:val="NoSpacingChar1"/>
          <w:rFonts w:asciiTheme="minorHAnsi" w:hAnsiTheme="minorHAnsi"/>
          <w:b w:val="0"/>
          <w:color w:val="000000" w:themeColor="text1"/>
          <w:sz w:val="20"/>
        </w:rPr>
        <w:t xml:space="preserve">se elaboró un Plan de Participación de las Partes Interesadas. Este plan describe las diferentes actividades y estrategias de compromiso que se llevarán a cabo durante el periodo de ejecución, a través de las cuales el proyecto pretende involucrar a las principales partes interesadas, abordar sus preocupaciones y satisfacer y/o gestionar sus expectativas, así como los medios de comunicación propuestos que se utilizarán. </w:t>
      </w:r>
    </w:p>
    <w:p w14:paraId="32417A95" w14:textId="15087242" w:rsidR="005809A6" w:rsidRPr="009E7407" w:rsidRDefault="00FC1EF3" w:rsidP="005809A6">
      <w:pPr>
        <w:pStyle w:val="GEFFieldtoFillout"/>
        <w:shd w:val="clear" w:color="auto" w:fill="FFFFFF" w:themeFill="background1"/>
        <w:tabs>
          <w:tab w:val="left" w:pos="567"/>
        </w:tabs>
        <w:spacing w:after="120"/>
        <w:ind w:left="0"/>
        <w:jc w:val="both"/>
        <w:rPr>
          <w:rFonts w:asciiTheme="minorHAnsi" w:hAnsiTheme="minorHAnsi"/>
          <w:sz w:val="20"/>
          <w:szCs w:val="20"/>
        </w:rPr>
      </w:pPr>
      <w:r>
        <w:rPr>
          <w:rFonts w:asciiTheme="minorHAnsi" w:hAnsiTheme="minorHAnsi"/>
          <w:sz w:val="20"/>
        </w:rPr>
        <w:t>Las quejas se dirigirán directamente al Ministerio de Medio Ambiente, Agua y Transición Ecológica (MAATE) a través de los mecanismos institucionales por los que las personas concernidas o potencialmente afectadas por el proyecto pueden expresar sus quejas a la Subsecretaría de Calidad Ambiental. En última instancia, las quejas y reclamaciones pueden presentarse en la siguiente dirección:</w:t>
      </w:r>
    </w:p>
    <w:p w14:paraId="38442CE9" w14:textId="27B2F34D" w:rsidR="005809A6" w:rsidRPr="009E7407" w:rsidRDefault="005809A6" w:rsidP="005809A6">
      <w:pPr>
        <w:pStyle w:val="Textocomentario"/>
        <w:jc w:val="center"/>
        <w:rPr>
          <w:rFonts w:asciiTheme="minorHAnsi" w:hAnsiTheme="minorHAnsi" w:cstheme="minorHAnsi"/>
        </w:rPr>
      </w:pPr>
      <w:r>
        <w:rPr>
          <w:rFonts w:asciiTheme="minorHAnsi" w:hAnsiTheme="minorHAnsi"/>
        </w:rPr>
        <w:t xml:space="preserve">Dirección: </w:t>
      </w:r>
      <w:r>
        <w:rPr>
          <w:rFonts w:asciiTheme="minorHAnsi" w:hAnsiTheme="minorHAnsi"/>
          <w:color w:val="000000"/>
        </w:rPr>
        <w:t xml:space="preserve">Madrid, 1159 y Andalucía, Ministerio de </w:t>
      </w:r>
      <w:r>
        <w:rPr>
          <w:rFonts w:asciiTheme="minorHAnsi" w:hAnsiTheme="minorHAnsi"/>
        </w:rPr>
        <w:t>Medio Ambiente, Agua y Transición Ecológica, Primer Piso. Quito, Ecuador</w:t>
      </w:r>
    </w:p>
    <w:p w14:paraId="2A7BAB21" w14:textId="77777777" w:rsidR="005809A6" w:rsidRPr="002E43B7" w:rsidRDefault="005809A6" w:rsidP="005809A6">
      <w:pPr>
        <w:jc w:val="center"/>
        <w:rPr>
          <w:rFonts w:asciiTheme="minorHAnsi" w:hAnsiTheme="minorHAnsi" w:cstheme="minorHAnsi"/>
          <w:color w:val="000000"/>
          <w:sz w:val="20"/>
          <w:szCs w:val="20"/>
        </w:rPr>
      </w:pPr>
      <w:r>
        <w:rPr>
          <w:rFonts w:asciiTheme="minorHAnsi" w:hAnsiTheme="minorHAnsi"/>
          <w:sz w:val="20"/>
        </w:rPr>
        <w:t xml:space="preserve">Número de teléfono: </w:t>
      </w:r>
      <w:r>
        <w:rPr>
          <w:rFonts w:asciiTheme="minorHAnsi" w:hAnsiTheme="minorHAnsi"/>
          <w:color w:val="000000"/>
          <w:sz w:val="20"/>
        </w:rPr>
        <w:t>+5932-3987600</w:t>
      </w:r>
    </w:p>
    <w:p w14:paraId="128B7CF9" w14:textId="0C461063" w:rsidR="005809A6" w:rsidRPr="002E43B7" w:rsidRDefault="005809A6" w:rsidP="005809A6">
      <w:pPr>
        <w:spacing w:after="120"/>
        <w:jc w:val="center"/>
        <w:rPr>
          <w:rFonts w:asciiTheme="minorHAnsi" w:hAnsiTheme="minorHAnsi" w:cstheme="minorHAnsi"/>
          <w:color w:val="000000"/>
          <w:sz w:val="20"/>
          <w:szCs w:val="20"/>
        </w:rPr>
      </w:pPr>
      <w:r>
        <w:rPr>
          <w:rFonts w:asciiTheme="minorHAnsi" w:hAnsiTheme="minorHAnsi"/>
          <w:color w:val="000000"/>
          <w:sz w:val="20"/>
        </w:rPr>
        <w:t>Código postal: 170525</w:t>
      </w:r>
    </w:p>
    <w:p w14:paraId="70B458ED" w14:textId="15E36CFF" w:rsidR="00B72E0C" w:rsidRPr="0064539C" w:rsidRDefault="00B72E0C" w:rsidP="0064539C">
      <w:pPr>
        <w:spacing w:after="120"/>
        <w:rPr>
          <w:rFonts w:asciiTheme="minorHAnsi" w:hAnsiTheme="minorHAnsi" w:cstheme="minorHAnsi"/>
          <w:i/>
          <w:color w:val="000000"/>
          <w:sz w:val="20"/>
          <w:szCs w:val="20"/>
          <w:u w:val="single"/>
        </w:rPr>
      </w:pPr>
      <w:r>
        <w:rPr>
          <w:rFonts w:asciiTheme="minorHAnsi" w:hAnsiTheme="minorHAnsi"/>
          <w:i/>
          <w:color w:val="000000"/>
          <w:sz w:val="20"/>
          <w:u w:val="single"/>
        </w:rPr>
        <w:t>Cooperación Sur-Sur</w:t>
      </w:r>
    </w:p>
    <w:p w14:paraId="2C646C88" w14:textId="0F417A69" w:rsidR="0033157A" w:rsidRPr="0064539C" w:rsidRDefault="0033157A" w:rsidP="0064539C">
      <w:pPr>
        <w:pStyle w:val="GEFFieldtoFillout"/>
        <w:shd w:val="clear" w:color="auto" w:fill="FFFFFF"/>
        <w:tabs>
          <w:tab w:val="left" w:pos="567"/>
        </w:tabs>
        <w:spacing w:after="120"/>
        <w:ind w:left="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El objetivo del Programa Global FARM del FMAM es unificar y coordinar los esfuerzos entre todos los proyectos </w:t>
      </w:r>
      <w:r w:rsidR="001A2067">
        <w:rPr>
          <w:rStyle w:val="normaltextrun"/>
          <w:rFonts w:asciiTheme="minorHAnsi" w:hAnsiTheme="minorHAnsi"/>
          <w:color w:val="000000" w:themeColor="text1"/>
          <w:sz w:val="20"/>
          <w:lang w:val="es-EC"/>
        </w:rPr>
        <w:t>Child</w:t>
      </w:r>
      <w:r w:rsidR="001A2067">
        <w:rPr>
          <w:rFonts w:asciiTheme="minorHAnsi" w:hAnsiTheme="minorHAnsi"/>
          <w:color w:val="000000" w:themeColor="text1"/>
          <w:sz w:val="20"/>
        </w:rPr>
        <w:t xml:space="preserve"> </w:t>
      </w:r>
      <w:r>
        <w:rPr>
          <w:rFonts w:asciiTheme="minorHAnsi" w:hAnsiTheme="minorHAnsi"/>
          <w:color w:val="000000" w:themeColor="text1"/>
          <w:sz w:val="20"/>
        </w:rPr>
        <w:t xml:space="preserve">FARM del FMAM y difundir los conocimientos generados a un público FARM más amplio con el fin de influir en las condiciones de inversión globales sobre productos químicos y plásticos en programas de agricultura sostenible, catalizar la expansión y el cumplimiento de las normas mundiales de sostenibilidad agrícola y, de este modo, acelerar la adopción de alternativas con bajo contenido en productos químicos o sin ellos y la disminución del uso de productos agroquímicos y agroplásticos. Los resultados de este </w:t>
      </w:r>
      <w:r w:rsidR="00A30162">
        <w:rPr>
          <w:rFonts w:asciiTheme="minorHAnsi" w:hAnsiTheme="minorHAnsi"/>
          <w:color w:val="000000" w:themeColor="text1"/>
          <w:sz w:val="20"/>
        </w:rPr>
        <w:t xml:space="preserve">Child </w:t>
      </w:r>
      <w:r w:rsidR="003279D4">
        <w:rPr>
          <w:rFonts w:asciiTheme="minorHAnsi" w:hAnsiTheme="minorHAnsi"/>
          <w:color w:val="000000" w:themeColor="text1"/>
          <w:sz w:val="20"/>
        </w:rPr>
        <w:t>P</w:t>
      </w:r>
      <w:r w:rsidR="00A30162">
        <w:rPr>
          <w:rFonts w:asciiTheme="minorHAnsi" w:hAnsiTheme="minorHAnsi"/>
          <w:color w:val="000000" w:themeColor="text1"/>
          <w:sz w:val="20"/>
        </w:rPr>
        <w:t>roject</w:t>
      </w:r>
      <w:r>
        <w:rPr>
          <w:rFonts w:asciiTheme="minorHAnsi" w:hAnsiTheme="minorHAnsi"/>
          <w:color w:val="000000" w:themeColor="text1"/>
          <w:sz w:val="20"/>
        </w:rPr>
        <w:t xml:space="preserve"> en Ecuador deben integrarse en la Cooperación Sur-Sur y la Cooperación Triangular potenciadas por la plataforma FARM del FMAM. </w:t>
      </w:r>
    </w:p>
    <w:p w14:paraId="76DE84CC" w14:textId="4C640DFC" w:rsidR="0033157A" w:rsidRPr="0064539C" w:rsidRDefault="0033157A" w:rsidP="0064539C">
      <w:pPr>
        <w:pStyle w:val="GEFFieldtoFillout"/>
        <w:shd w:val="clear" w:color="auto" w:fill="FFFFFF"/>
        <w:tabs>
          <w:tab w:val="left" w:pos="567"/>
        </w:tabs>
        <w:spacing w:after="120"/>
        <w:ind w:left="0"/>
        <w:jc w:val="both"/>
        <w:rPr>
          <w:rFonts w:asciiTheme="minorHAnsi" w:hAnsiTheme="minorHAnsi" w:cstheme="minorHAnsi"/>
          <w:color w:val="000000" w:themeColor="text1"/>
          <w:sz w:val="20"/>
          <w:szCs w:val="20"/>
        </w:rPr>
      </w:pPr>
      <w:r>
        <w:rPr>
          <w:rFonts w:asciiTheme="minorHAnsi" w:hAnsiTheme="minorHAnsi"/>
          <w:color w:val="000000" w:themeColor="text1"/>
          <w:sz w:val="20"/>
        </w:rPr>
        <w:t>Este FSP en Ecuador proporcionará acceso a la información y oportunidades para el intercambio entre las partes interesadas clave, informando a los proyectos FARM del FMAM, así como a la comunidad en general, sobre las experiencias en la reducción del uso de productos agroquímicos nocivos, la adopción de prácticas de producción innovadoras y sostenibles, así como el acceso a la financiación, incluyendo pero no limitado al acceso y uso de información, materiales técnicos, orientación y lecciones aprendidas para ayudar al desarrollo e implementación del Proyecto Global</w:t>
      </w:r>
      <w:r w:rsidR="00A30162">
        <w:rPr>
          <w:rFonts w:asciiTheme="minorHAnsi" w:hAnsiTheme="minorHAnsi"/>
          <w:color w:val="000000" w:themeColor="text1"/>
          <w:sz w:val="20"/>
          <w:lang w:val="es-EC"/>
        </w:rPr>
        <w:t xml:space="preserve"> Child</w:t>
      </w:r>
      <w:r>
        <w:rPr>
          <w:rFonts w:asciiTheme="minorHAnsi" w:hAnsiTheme="minorHAnsi"/>
          <w:color w:val="000000" w:themeColor="text1"/>
          <w:sz w:val="20"/>
        </w:rPr>
        <w:t xml:space="preserve"> .</w:t>
      </w:r>
    </w:p>
    <w:p w14:paraId="09C83C8E" w14:textId="09C1DD4B" w:rsidR="0033157A" w:rsidRPr="0064539C" w:rsidRDefault="0033157A" w:rsidP="0064539C">
      <w:pPr>
        <w:pStyle w:val="GEFFieldtoFillout"/>
        <w:shd w:val="clear" w:color="auto" w:fill="FFFFFF"/>
        <w:tabs>
          <w:tab w:val="left" w:pos="567"/>
        </w:tabs>
        <w:spacing w:after="120"/>
        <w:ind w:left="0"/>
        <w:jc w:val="both"/>
        <w:rPr>
          <w:rFonts w:asciiTheme="minorHAnsi" w:hAnsiTheme="minorHAnsi" w:cstheme="minorHAnsi"/>
          <w:color w:val="000000" w:themeColor="text1"/>
          <w:sz w:val="20"/>
          <w:szCs w:val="20"/>
        </w:rPr>
      </w:pPr>
      <w:r>
        <w:rPr>
          <w:rFonts w:asciiTheme="minorHAnsi" w:hAnsiTheme="minorHAnsi"/>
          <w:color w:val="000000" w:themeColor="text1"/>
          <w:sz w:val="20"/>
        </w:rPr>
        <w:t xml:space="preserve">El </w:t>
      </w:r>
      <w:r w:rsidR="003279D4">
        <w:rPr>
          <w:rFonts w:asciiTheme="minorHAnsi" w:hAnsiTheme="minorHAnsi"/>
          <w:color w:val="000000" w:themeColor="text1"/>
          <w:sz w:val="20"/>
        </w:rPr>
        <w:t>p</w:t>
      </w:r>
      <w:r>
        <w:rPr>
          <w:rFonts w:asciiTheme="minorHAnsi" w:hAnsiTheme="minorHAnsi"/>
          <w:color w:val="000000" w:themeColor="text1"/>
          <w:sz w:val="20"/>
        </w:rPr>
        <w:t xml:space="preserve">royecto </w:t>
      </w:r>
      <w:r w:rsidR="00A30162">
        <w:rPr>
          <w:rFonts w:asciiTheme="minorHAnsi" w:hAnsiTheme="minorHAnsi"/>
          <w:color w:val="000000" w:themeColor="text1"/>
          <w:sz w:val="20"/>
          <w:lang w:val="es-EC"/>
        </w:rPr>
        <w:t xml:space="preserve">Child </w:t>
      </w:r>
      <w:r>
        <w:rPr>
          <w:rFonts w:asciiTheme="minorHAnsi" w:hAnsiTheme="minorHAnsi"/>
          <w:color w:val="000000" w:themeColor="text1"/>
          <w:sz w:val="20"/>
        </w:rPr>
        <w:t>Ecuador asegurará que los resultados, experiencias, lecciones aprendidas y mejores prácticas del proyecto sean capturados, publicados y retomados por la Plataforma Global de Difusión FARM del FMAM de forma trimestral y anual</w:t>
      </w:r>
      <w:r>
        <w:rPr>
          <w:rFonts w:asciiTheme="minorHAnsi" w:hAnsiTheme="minorHAnsi"/>
          <w:i/>
          <w:color w:val="000000" w:themeColor="text1"/>
          <w:sz w:val="20"/>
        </w:rPr>
        <w:t xml:space="preserve"> </w:t>
      </w:r>
      <w:r>
        <w:rPr>
          <w:rFonts w:asciiTheme="minorHAnsi" w:hAnsiTheme="minorHAnsi"/>
          <w:color w:val="000000" w:themeColor="text1"/>
          <w:sz w:val="20"/>
        </w:rPr>
        <w:t xml:space="preserve">para su difusión nacional y global y para fomentar la </w:t>
      </w:r>
      <w:r>
        <w:rPr>
          <w:rFonts w:asciiTheme="minorHAnsi" w:hAnsiTheme="minorHAnsi"/>
          <w:color w:val="000000" w:themeColor="text1"/>
          <w:sz w:val="20"/>
          <w:u w:val="single"/>
        </w:rPr>
        <w:t>Cooperación Sur-Sur y Triangular</w:t>
      </w:r>
      <w:r>
        <w:rPr>
          <w:rFonts w:asciiTheme="minorHAnsi" w:hAnsiTheme="minorHAnsi"/>
          <w:color w:val="000000" w:themeColor="text1"/>
          <w:sz w:val="20"/>
        </w:rPr>
        <w:t xml:space="preserve">, utilizando plantillas de informes proporcionadas por el </w:t>
      </w:r>
      <w:r w:rsidR="00F839E3">
        <w:rPr>
          <w:rFonts w:asciiTheme="minorHAnsi" w:hAnsiTheme="minorHAnsi"/>
          <w:color w:val="000000" w:themeColor="text1"/>
          <w:sz w:val="20"/>
        </w:rPr>
        <w:t>C</w:t>
      </w:r>
      <w:r>
        <w:rPr>
          <w:rFonts w:asciiTheme="minorHAnsi" w:hAnsiTheme="minorHAnsi"/>
          <w:color w:val="000000" w:themeColor="text1"/>
          <w:sz w:val="20"/>
        </w:rPr>
        <w:t xml:space="preserve">omponente </w:t>
      </w:r>
      <w:r w:rsidR="00F839E3">
        <w:rPr>
          <w:rFonts w:asciiTheme="minorHAnsi" w:hAnsiTheme="minorHAnsi"/>
          <w:color w:val="000000" w:themeColor="text1"/>
          <w:sz w:val="20"/>
        </w:rPr>
        <w:t>G</w:t>
      </w:r>
      <w:r>
        <w:rPr>
          <w:rFonts w:asciiTheme="minorHAnsi" w:hAnsiTheme="minorHAnsi"/>
          <w:color w:val="000000" w:themeColor="text1"/>
          <w:sz w:val="20"/>
        </w:rPr>
        <w:t>lobal FARM del FMAM cuando sea apropiado.</w:t>
      </w:r>
    </w:p>
    <w:p w14:paraId="0BFCEC08" w14:textId="4F1BCEFE" w:rsidR="00966EF0" w:rsidRPr="0064539C" w:rsidRDefault="00845134" w:rsidP="0064539C">
      <w:pPr>
        <w:spacing w:after="120"/>
        <w:jc w:val="both"/>
        <w:rPr>
          <w:rFonts w:asciiTheme="minorHAnsi" w:eastAsia="SimSun" w:hAnsiTheme="minorHAnsi" w:cstheme="minorHAnsi"/>
          <w:sz w:val="20"/>
          <w:szCs w:val="20"/>
        </w:rPr>
      </w:pPr>
      <w:r>
        <w:rPr>
          <w:rFonts w:asciiTheme="minorHAnsi" w:hAnsiTheme="minorHAnsi"/>
          <w:sz w:val="20"/>
        </w:rPr>
        <w:t>Este FSP también llevará a cabo acciones específicas sobre cooperación Sur-Sur y triangular para presentar oportunidades de replicación en otros países, y facilitar la difusión a través de plataformas globales Sur-Sur y globales en curso, como la plataforma de la ONU de intercambio de conocimientos South-South Galaxy y PANORAMA</w:t>
      </w:r>
      <w:r w:rsidRPr="0064539C">
        <w:rPr>
          <w:rStyle w:val="Refdenotaalpie"/>
          <w:rFonts w:asciiTheme="minorHAnsi" w:eastAsia="SimSun" w:hAnsiTheme="minorHAnsi" w:cstheme="minorHAnsi"/>
          <w:sz w:val="20"/>
          <w:szCs w:val="20"/>
          <w:lang w:val="en-GB"/>
        </w:rPr>
        <w:footnoteReference w:id="25"/>
      </w:r>
      <w:r>
        <w:rPr>
          <w:rFonts w:asciiTheme="minorHAnsi" w:hAnsiTheme="minorHAnsi"/>
          <w:sz w:val="20"/>
        </w:rPr>
        <w:t>. Además, para llevar la voz de Ecuador a los foros mundiales y regionales, el proyecto explorará oportunidades de participación significativa en eventos específicos en los que el PNUD podría apoyar el compromiso con el discurso mundial de desarrollo sobre la gestión de productos agroquímicos. Además, el proyecto ofrecerá oportunidades de cooperación regional con países que están llevando a cabo iniciativas de financiación de la reducción y gestión de agroquímicos en contextos geopolíticos, sociales y ambientales relevantes para el proyecto propuesto en Ecuador.</w:t>
      </w:r>
    </w:p>
    <w:p w14:paraId="3922C3FF" w14:textId="6D53415D" w:rsidR="00966EF0" w:rsidRPr="009769B2" w:rsidRDefault="00966EF0" w:rsidP="0064539C">
      <w:pPr>
        <w:spacing w:after="120"/>
        <w:rPr>
          <w:rFonts w:ascii="Calibri" w:eastAsia="SimSun" w:hAnsi="Calibri"/>
          <w:i/>
        </w:rPr>
      </w:pPr>
      <w:r>
        <w:rPr>
          <w:rFonts w:ascii="Calibri" w:hAnsi="Calibri"/>
          <w:sz w:val="20"/>
          <w:u w:val="single"/>
        </w:rPr>
        <w:t xml:space="preserve">Igualdad de género y </w:t>
      </w:r>
      <w:r w:rsidR="00F839E3">
        <w:rPr>
          <w:rFonts w:ascii="Calibri" w:hAnsi="Calibri"/>
          <w:sz w:val="20"/>
          <w:u w:val="single"/>
        </w:rPr>
        <w:t>e</w:t>
      </w:r>
      <w:r>
        <w:rPr>
          <w:rFonts w:ascii="Calibri" w:hAnsi="Calibri"/>
          <w:sz w:val="20"/>
          <w:u w:val="single"/>
        </w:rPr>
        <w:t>mpoderamiento de la mujer</w:t>
      </w:r>
      <w:r>
        <w:rPr>
          <w:rFonts w:ascii="Calibri" w:hAnsi="Calibri"/>
          <w:sz w:val="20"/>
        </w:rPr>
        <w:t xml:space="preserve">:  </w:t>
      </w:r>
    </w:p>
    <w:p w14:paraId="0889AD26" w14:textId="7031A1FD" w:rsidR="004B5D34" w:rsidRPr="004B5D34" w:rsidRDefault="004B5D34" w:rsidP="0064539C">
      <w:pPr>
        <w:spacing w:after="120"/>
        <w:jc w:val="both"/>
        <w:rPr>
          <w:rFonts w:asciiTheme="minorHAnsi" w:eastAsia="MS Mincho" w:hAnsiTheme="minorHAnsi" w:cstheme="minorHAnsi"/>
          <w:iCs/>
          <w:sz w:val="20"/>
          <w:szCs w:val="20"/>
        </w:rPr>
      </w:pPr>
      <w:r>
        <w:rPr>
          <w:rFonts w:asciiTheme="minorHAnsi" w:hAnsiTheme="minorHAnsi"/>
          <w:sz w:val="20"/>
        </w:rPr>
        <w:t xml:space="preserve">Durante la fase del PPG, se llevó a cabo un análisis de género y se desarrolló un plan de acción de género para abordar la igualdad de género en los resultados del proyecto. El </w:t>
      </w:r>
      <w:r>
        <w:rPr>
          <w:rFonts w:asciiTheme="minorHAnsi" w:hAnsiTheme="minorHAnsi"/>
          <w:color w:val="000000" w:themeColor="text1"/>
          <w:sz w:val="20"/>
        </w:rPr>
        <w:t xml:space="preserve">Anexo 10 "Análisis de Género y Plan de Acción" incluye el detalle de este trabajo, pero se puede destacar que el objetivo principal de este plan es </w:t>
      </w:r>
      <w:r>
        <w:rPr>
          <w:rFonts w:asciiTheme="minorHAnsi" w:hAnsiTheme="minorHAnsi"/>
          <w:sz w:val="20"/>
        </w:rPr>
        <w:t>asegurar que las consideraciones de género sean integradas en todas las acciones promovidas por el proyecto "Financiamiento de la Gestión y Reducción de Agroquímicos en Ecuador" promoviendo la participación equitativa y justa de mujeres y hombres en el diseño de alternativas innovadoras, beneficios y oportunidades en cada uno de sus componentes. Asimismo, se establecieron los siguientes objetivos específicos:</w:t>
      </w:r>
    </w:p>
    <w:p w14:paraId="24C44BC5" w14:textId="2DFF72B0" w:rsidR="004B5D34" w:rsidRPr="009B79FF" w:rsidRDefault="004B5D34" w:rsidP="009B79FF">
      <w:pPr>
        <w:spacing w:after="120"/>
        <w:jc w:val="both"/>
        <w:rPr>
          <w:rFonts w:asciiTheme="minorHAnsi" w:hAnsiTheme="minorHAnsi" w:cstheme="minorHAnsi"/>
          <w:iCs/>
          <w:color w:val="000000" w:themeColor="text1"/>
          <w:sz w:val="20"/>
          <w:szCs w:val="20"/>
        </w:rPr>
      </w:pPr>
      <w:r>
        <w:rPr>
          <w:rFonts w:asciiTheme="minorHAnsi" w:hAnsiTheme="minorHAnsi"/>
          <w:color w:val="000000" w:themeColor="text1"/>
          <w:sz w:val="20"/>
        </w:rPr>
        <w:t>a) Sensibilizar sobre los conceptos del enfoque de género para lograr un desarrollo sostenible e integrador en la reducción y gestión de productos agroquímicos peligrosos y residuos (incluidos los plásticos de uso agrícola)</w:t>
      </w:r>
    </w:p>
    <w:p w14:paraId="199B8A8D" w14:textId="3BDFA4FA" w:rsidR="004B5D34" w:rsidRPr="009B79FF" w:rsidRDefault="004B5D34" w:rsidP="009B79FF">
      <w:pPr>
        <w:spacing w:after="120"/>
        <w:jc w:val="both"/>
        <w:rPr>
          <w:rFonts w:asciiTheme="minorHAnsi" w:hAnsiTheme="minorHAnsi" w:cstheme="minorHAnsi"/>
          <w:iCs/>
          <w:color w:val="000000" w:themeColor="text1"/>
          <w:sz w:val="20"/>
          <w:szCs w:val="20"/>
        </w:rPr>
      </w:pPr>
      <w:r>
        <w:rPr>
          <w:rFonts w:asciiTheme="minorHAnsi" w:hAnsiTheme="minorHAnsi"/>
          <w:color w:val="000000" w:themeColor="text1"/>
          <w:sz w:val="20"/>
        </w:rPr>
        <w:t>b) Promover acciones en el proyecto que protejan la salud de hombres y mujeres, teniendo en cuenta la exposición diferenciada por género a los agroquímicos y sus residuos</w:t>
      </w:r>
    </w:p>
    <w:p w14:paraId="17FBE2B5" w14:textId="0DC8D8E6" w:rsidR="003F698D" w:rsidRDefault="004B5D34" w:rsidP="009B79FF">
      <w:pPr>
        <w:spacing w:after="120"/>
        <w:jc w:val="both"/>
        <w:rPr>
          <w:rFonts w:asciiTheme="minorHAnsi" w:hAnsiTheme="minorHAnsi" w:cstheme="minorHAnsi"/>
          <w:iCs/>
          <w:color w:val="000000" w:themeColor="text1"/>
          <w:sz w:val="20"/>
          <w:szCs w:val="20"/>
        </w:rPr>
      </w:pPr>
      <w:r>
        <w:rPr>
          <w:rFonts w:asciiTheme="minorHAnsi" w:hAnsiTheme="minorHAnsi"/>
          <w:color w:val="000000" w:themeColor="text1"/>
          <w:sz w:val="20"/>
        </w:rPr>
        <w:t>c) Mejorar los espacios de participación y empoderamiento de las mujeres como agentes de cambio para garantizar que el sector agrícola esté libre de agroquímicos peligrosos</w:t>
      </w:r>
    </w:p>
    <w:p w14:paraId="3B52F6A3" w14:textId="6D35AD5E" w:rsidR="009B79FF" w:rsidRPr="009B79FF" w:rsidRDefault="003F698D" w:rsidP="009B79FF">
      <w:pPr>
        <w:spacing w:after="120"/>
        <w:jc w:val="both"/>
        <w:rPr>
          <w:rFonts w:asciiTheme="minorHAnsi" w:hAnsiTheme="minorHAnsi" w:cstheme="minorHAnsi"/>
          <w:iCs/>
          <w:color w:val="000000" w:themeColor="text1"/>
          <w:sz w:val="20"/>
          <w:szCs w:val="20"/>
        </w:rPr>
      </w:pPr>
      <w:r>
        <w:rPr>
          <w:rFonts w:asciiTheme="minorHAnsi" w:hAnsiTheme="minorHAnsi"/>
          <w:color w:val="000000" w:themeColor="text1"/>
          <w:sz w:val="20"/>
        </w:rPr>
        <w:t>d) Generar información desagregada por sexo que sirva de base para fortalecer los mecanismos de monitoreo, comunicación y evaluación del proyecto sobre la reducción y gestión de agroquímicos y residuos peligrosos</w:t>
      </w:r>
    </w:p>
    <w:p w14:paraId="3EC78D6F" w14:textId="3F48E9BB" w:rsidR="004B5D34" w:rsidRPr="00997CF2" w:rsidRDefault="004B5D34" w:rsidP="0064539C">
      <w:pPr>
        <w:spacing w:after="120"/>
        <w:jc w:val="both"/>
        <w:rPr>
          <w:rFonts w:asciiTheme="minorHAnsi" w:hAnsiTheme="minorHAnsi" w:cstheme="minorHAnsi"/>
          <w:iCs/>
          <w:sz w:val="20"/>
          <w:szCs w:val="20"/>
        </w:rPr>
      </w:pPr>
      <w:r>
        <w:rPr>
          <w:rFonts w:asciiTheme="minorHAnsi" w:hAnsiTheme="minorHAnsi"/>
          <w:sz w:val="20"/>
        </w:rPr>
        <w:t>El plan de género incluye una estrategia para la integración del enfoque de género en la gestión ambientalmente adecuada de productos químicos perjudiciales y residuos plásticos en el sector agrícola, que guía este proceso en todas las acciones a desarrollarse por el proyecto, y además de las actividades propuestas para cada componente garantizará que las consideraciones de género se tengan en cuenta para el marco completo de resultados.</w:t>
      </w:r>
    </w:p>
    <w:p w14:paraId="124E677B" w14:textId="27AC1414" w:rsidR="00966EF0" w:rsidRPr="00BC1DBE" w:rsidRDefault="00966EF0" w:rsidP="0064539C">
      <w:pPr>
        <w:spacing w:after="120"/>
        <w:rPr>
          <w:rFonts w:ascii="Calibri" w:eastAsia="SimSun" w:hAnsi="Calibri"/>
          <w:i/>
          <w:sz w:val="20"/>
          <w:szCs w:val="20"/>
        </w:rPr>
      </w:pPr>
      <w:r>
        <w:rPr>
          <w:rFonts w:ascii="Calibri" w:hAnsi="Calibri"/>
          <w:sz w:val="20"/>
          <w:u w:val="single"/>
        </w:rPr>
        <w:t>Innovación, sostenibilidad y potencial de ampliación</w:t>
      </w:r>
      <w:r>
        <w:rPr>
          <w:rFonts w:ascii="Calibri" w:hAnsi="Calibri"/>
          <w:sz w:val="20"/>
        </w:rPr>
        <w:t xml:space="preserve">: </w:t>
      </w:r>
    </w:p>
    <w:p w14:paraId="20CC3C69" w14:textId="0BF603BD" w:rsidR="00457892" w:rsidRDefault="00457892" w:rsidP="0064539C">
      <w:pPr>
        <w:spacing w:after="120"/>
        <w:rPr>
          <w:rFonts w:asciiTheme="minorHAnsi" w:hAnsiTheme="minorHAnsi" w:cstheme="minorHAnsi"/>
          <w:sz w:val="20"/>
          <w:szCs w:val="20"/>
          <w:u w:val="single"/>
        </w:rPr>
      </w:pPr>
      <w:r>
        <w:rPr>
          <w:rFonts w:asciiTheme="minorHAnsi" w:hAnsiTheme="minorHAnsi"/>
          <w:sz w:val="20"/>
          <w:u w:val="single"/>
        </w:rPr>
        <w:t>Innovación</w:t>
      </w:r>
    </w:p>
    <w:p w14:paraId="1AEE6071" w14:textId="3E141F0A" w:rsidR="00E5161C" w:rsidRPr="00DF63FF" w:rsidRDefault="00E5161C" w:rsidP="0064539C">
      <w:pPr>
        <w:spacing w:after="120"/>
        <w:jc w:val="both"/>
        <w:rPr>
          <w:rFonts w:asciiTheme="minorHAnsi" w:hAnsiTheme="minorHAnsi" w:cstheme="minorHAnsi"/>
          <w:color w:val="000000" w:themeColor="text1"/>
          <w:sz w:val="20"/>
          <w:szCs w:val="20"/>
        </w:rPr>
      </w:pPr>
      <w:r>
        <w:rPr>
          <w:rFonts w:asciiTheme="minorHAnsi" w:hAnsiTheme="minorHAnsi"/>
          <w:color w:val="000000" w:themeColor="text1"/>
          <w:sz w:val="20"/>
        </w:rPr>
        <w:t>Este programa representará uno de los primeros esfuerzos concertados para reducir el uso de productos agroquímicos nocivos a escala mundial, utilizando un enfoque integrado que vincula a convenios internacionales, bancos multilaterales de desarrollo (BMD), organismos nacionales de agricultura y medio ambiente, grupos de productos básicos (commodities), fabricantes de productos agroquímicos y agroplásticos, y agricultores.  El programa ayudará a vincular y mejorar la eficiencia y eficacia del flujo de información entre cada uno de estos grupos de actores y generará mejores enfoques y plantillas para abordar los incentivos perversos que impulsan el uso de productos agroquímicos nocivos, al tiempo que impulsa la financiación hacia una adopción más amplia de alternativas bajas y no químicas. Esto incluirá marcos normativos, incentivos financieros y acceso a los conocimientos necesarios para adoptar enfoques mejorados.  El programa se centrará en el sector privado y en los inversores para garantizar la sostenibilidad de sus efectos.</w:t>
      </w:r>
    </w:p>
    <w:p w14:paraId="0A7B18DC" w14:textId="571665BA" w:rsidR="00D9069E" w:rsidRPr="00DF63FF" w:rsidRDefault="00E5161C"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 xml:space="preserve">A nivel del </w:t>
      </w:r>
      <w:r w:rsidR="00A30162">
        <w:rPr>
          <w:rFonts w:asciiTheme="minorHAnsi" w:hAnsiTheme="minorHAnsi"/>
          <w:color w:val="000000" w:themeColor="text1"/>
          <w:sz w:val="20"/>
        </w:rPr>
        <w:t xml:space="preserve">Child </w:t>
      </w:r>
      <w:r w:rsidR="003279D4">
        <w:rPr>
          <w:rFonts w:asciiTheme="minorHAnsi" w:hAnsiTheme="minorHAnsi"/>
          <w:color w:val="000000" w:themeColor="text1"/>
          <w:sz w:val="20"/>
        </w:rPr>
        <w:t>P</w:t>
      </w:r>
      <w:r w:rsidR="00A30162">
        <w:rPr>
          <w:rFonts w:asciiTheme="minorHAnsi" w:hAnsiTheme="minorHAnsi"/>
          <w:color w:val="000000" w:themeColor="text1"/>
          <w:sz w:val="20"/>
        </w:rPr>
        <w:t>roject</w:t>
      </w:r>
      <w:r>
        <w:rPr>
          <w:rFonts w:asciiTheme="minorHAnsi" w:hAnsiTheme="minorHAnsi"/>
          <w:color w:val="000000" w:themeColor="text1"/>
          <w:sz w:val="20"/>
        </w:rPr>
        <w:t xml:space="preserve"> de Ecuador</w:t>
      </w:r>
      <w:r w:rsidR="00206AD8">
        <w:rPr>
          <w:rFonts w:asciiTheme="minorHAnsi" w:hAnsiTheme="minorHAnsi"/>
          <w:color w:val="000000" w:themeColor="text1"/>
          <w:sz w:val="20"/>
        </w:rPr>
        <w:t>,</w:t>
      </w:r>
      <w:r>
        <w:rPr>
          <w:rFonts w:asciiTheme="minorHAnsi" w:hAnsiTheme="minorHAnsi"/>
          <w:color w:val="000000" w:themeColor="text1"/>
          <w:sz w:val="20"/>
        </w:rPr>
        <w:t xml:space="preserve"> la propuesta es innovadora ya que el enfoque se basa en crear las condiciones necesarias a nivel nacional y local para promover la reducción del uso de agroquímicos y plásticos nocivos dentro del sector agrícola. Este enfoque difiere de los proyectos anteriores ejecutados en el país, en los que se apoyó eficazmente el desecho/eliminación ambiental de los pesticidas COP/PAP.</w:t>
      </w:r>
    </w:p>
    <w:p w14:paraId="7D8B2CCA" w14:textId="156AB94E" w:rsidR="008328D0" w:rsidRPr="00DF63FF" w:rsidRDefault="008328D0"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 xml:space="preserve">En el marco del Componente 1, el proyecto pondrá en marcha un </w:t>
      </w:r>
      <w:r w:rsidR="00E12542">
        <w:rPr>
          <w:rFonts w:asciiTheme="minorHAnsi" w:hAnsiTheme="minorHAnsi"/>
          <w:color w:val="000000" w:themeColor="text1"/>
          <w:sz w:val="20"/>
        </w:rPr>
        <w:t>p</w:t>
      </w:r>
      <w:r>
        <w:rPr>
          <w:rFonts w:asciiTheme="minorHAnsi" w:hAnsiTheme="minorHAnsi"/>
          <w:color w:val="000000" w:themeColor="text1"/>
          <w:sz w:val="20"/>
        </w:rPr>
        <w:t xml:space="preserve">lan </w:t>
      </w:r>
      <w:r w:rsidR="00E12542">
        <w:rPr>
          <w:rFonts w:asciiTheme="minorHAnsi" w:hAnsiTheme="minorHAnsi"/>
          <w:color w:val="000000" w:themeColor="text1"/>
          <w:sz w:val="20"/>
        </w:rPr>
        <w:t>n</w:t>
      </w:r>
      <w:r>
        <w:rPr>
          <w:rFonts w:asciiTheme="minorHAnsi" w:hAnsiTheme="minorHAnsi"/>
          <w:color w:val="000000" w:themeColor="text1"/>
          <w:sz w:val="20"/>
        </w:rPr>
        <w:t xml:space="preserve">acional para promover la reducción de los PAPs mediante la sustitución/restricción/prohibición gradual de estos productos agroquímicos, garantizando la disponibilidad de alternativas menos peligrosas con resultados efectivos para la producción agrícola en el contexto nacional. Además, el proyecto estimulará el fortalecimiento institucional, el diseño y la aplicación de marcos normativos y entornos propicios para el sector agrícola que integren y aborden plenamente la cuestión del uso nocivo de productos agroquímicos.  </w:t>
      </w:r>
    </w:p>
    <w:p w14:paraId="0DCC32CB" w14:textId="04444E89" w:rsidR="008328D0" w:rsidRPr="00DF63FF" w:rsidRDefault="008328D0"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En el marco del Componente 2, el enfoque innovador está relacionado con los siguientes aspectos:</w:t>
      </w:r>
    </w:p>
    <w:p w14:paraId="4B857FA3" w14:textId="3A53943E" w:rsidR="004C35BB" w:rsidRPr="00DF63FF" w:rsidRDefault="00DF63FF">
      <w:pPr>
        <w:pStyle w:val="Prrafodelista"/>
        <w:numPr>
          <w:ilvl w:val="0"/>
          <w:numId w:val="23"/>
        </w:num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Realizar estudios y generar información en términos de impacto económico debido al consumo de agroquímicos e incentivos fiscales, para promover el desarrollo de políticas basadas en evidencia.</w:t>
      </w:r>
    </w:p>
    <w:p w14:paraId="5EDD713D" w14:textId="1F5C8A94" w:rsidR="008328D0" w:rsidRPr="00DF63FF" w:rsidRDefault="00DF63FF">
      <w:pPr>
        <w:pStyle w:val="Prrafodelista"/>
        <w:numPr>
          <w:ilvl w:val="0"/>
          <w:numId w:val="23"/>
        </w:numPr>
        <w:spacing w:after="120"/>
        <w:jc w:val="both"/>
        <w:rPr>
          <w:rFonts w:asciiTheme="minorHAnsi" w:eastAsia="Calibri" w:hAnsiTheme="minorHAnsi" w:cstheme="minorBidi"/>
          <w:color w:val="000000" w:themeColor="text1"/>
          <w:sz w:val="20"/>
          <w:szCs w:val="20"/>
        </w:rPr>
      </w:pPr>
      <w:r>
        <w:rPr>
          <w:rFonts w:ascii="Calibri" w:hAnsi="Calibri"/>
          <w:color w:val="000000" w:themeColor="text1"/>
          <w:sz w:val="20"/>
        </w:rPr>
        <w:t>Crear programas de financiación y promover la gestión de riesgos de las cadenas de valor, aplicando conceptos de recuperación verde considerando criterios de calidad ambiental (contaminación), adaptación y mitigación del cambio climático. Se realizarán esfuerzos adicionales para apoyar técnicamente a los agricultores en su aplicación en cultivos específicos.</w:t>
      </w:r>
    </w:p>
    <w:p w14:paraId="6D0B5A1D" w14:textId="33729B4C" w:rsidR="004C35BB" w:rsidRPr="00DF63FF" w:rsidRDefault="004C35BB">
      <w:pPr>
        <w:pStyle w:val="Prrafodelista"/>
        <w:numPr>
          <w:ilvl w:val="0"/>
          <w:numId w:val="23"/>
        </w:numPr>
        <w:spacing w:after="120"/>
        <w:jc w:val="both"/>
        <w:rPr>
          <w:rFonts w:asciiTheme="minorHAnsi" w:eastAsia="Calibri" w:hAnsiTheme="minorHAnsi" w:cstheme="minorBidi"/>
          <w:color w:val="000000" w:themeColor="text1"/>
          <w:sz w:val="20"/>
          <w:szCs w:val="20"/>
        </w:rPr>
      </w:pPr>
      <w:r>
        <w:rPr>
          <w:rFonts w:ascii="Calibri" w:hAnsi="Calibri"/>
          <w:color w:val="000000" w:themeColor="text1"/>
          <w:sz w:val="20"/>
        </w:rPr>
        <w:t xml:space="preserve">Promover iniciativas innovadoras para la reducción de productos agroquímicos nocivos y la gestión de plásticos agrícolas mediante el apoyo a tres (3) propuestas evaluadas a través de un </w:t>
      </w:r>
      <w:r w:rsidR="00F253D9">
        <w:rPr>
          <w:rFonts w:ascii="Calibri" w:hAnsi="Calibri"/>
          <w:color w:val="000000" w:themeColor="text1"/>
          <w:sz w:val="20"/>
        </w:rPr>
        <w:t>M</w:t>
      </w:r>
      <w:r>
        <w:rPr>
          <w:rFonts w:ascii="Calibri" w:hAnsi="Calibri"/>
          <w:color w:val="000000" w:themeColor="text1"/>
          <w:sz w:val="20"/>
        </w:rPr>
        <w:t xml:space="preserve">ecanismo de </w:t>
      </w:r>
      <w:r w:rsidR="00F253D9">
        <w:rPr>
          <w:rFonts w:ascii="Calibri" w:hAnsi="Calibri"/>
          <w:color w:val="000000" w:themeColor="text1"/>
          <w:sz w:val="20"/>
        </w:rPr>
        <w:t>F</w:t>
      </w:r>
      <w:r>
        <w:rPr>
          <w:rFonts w:ascii="Calibri" w:hAnsi="Calibri"/>
          <w:color w:val="000000" w:themeColor="text1"/>
          <w:sz w:val="20"/>
        </w:rPr>
        <w:t xml:space="preserve">ondos </w:t>
      </w:r>
      <w:r w:rsidR="00F253D9">
        <w:rPr>
          <w:rFonts w:ascii="Calibri" w:hAnsi="Calibri"/>
          <w:color w:val="000000" w:themeColor="text1"/>
          <w:sz w:val="20"/>
        </w:rPr>
        <w:t>C</w:t>
      </w:r>
      <w:r>
        <w:rPr>
          <w:rFonts w:ascii="Calibri" w:hAnsi="Calibri"/>
          <w:color w:val="000000" w:themeColor="text1"/>
          <w:sz w:val="20"/>
        </w:rPr>
        <w:t>oncursables diseñado por el proyecto.</w:t>
      </w:r>
    </w:p>
    <w:p w14:paraId="67583E53" w14:textId="3C3D1F0A" w:rsidR="008328D0" w:rsidRPr="00DF63FF" w:rsidRDefault="004C35BB">
      <w:pPr>
        <w:pStyle w:val="Prrafodelista"/>
        <w:numPr>
          <w:ilvl w:val="0"/>
          <w:numId w:val="23"/>
        </w:numPr>
        <w:spacing w:after="120"/>
        <w:jc w:val="both"/>
        <w:rPr>
          <w:rFonts w:asciiTheme="minorHAnsi" w:eastAsia="Calibri" w:hAnsiTheme="minorHAnsi" w:cstheme="minorBidi"/>
          <w:color w:val="000000" w:themeColor="text1"/>
          <w:sz w:val="20"/>
          <w:szCs w:val="20"/>
        </w:rPr>
      </w:pPr>
      <w:r>
        <w:rPr>
          <w:rFonts w:ascii="Calibri" w:hAnsi="Calibri"/>
          <w:color w:val="000000" w:themeColor="text1"/>
          <w:sz w:val="20"/>
        </w:rPr>
        <w:t>Desarrollo de capacidades en la gestión de plásticos para uso agrícola mediante la ejecución de 2 proyectos demostrativos destinados a reducir, sustituir y/o reciclar.</w:t>
      </w:r>
    </w:p>
    <w:p w14:paraId="0FDCA338" w14:textId="3B6BE537" w:rsidR="00DF63FF" w:rsidRPr="00DF63FF" w:rsidRDefault="00DF63FF" w:rsidP="0064539C">
      <w:pPr>
        <w:pStyle w:val="GEFFieldtoFillout"/>
        <w:shd w:val="clear" w:color="auto" w:fill="FFFFFF"/>
        <w:tabs>
          <w:tab w:val="left" w:pos="567"/>
        </w:tabs>
        <w:spacing w:after="120"/>
        <w:ind w:left="0"/>
        <w:jc w:val="both"/>
        <w:rPr>
          <w:rFonts w:asciiTheme="minorHAnsi" w:hAnsiTheme="minorHAnsi"/>
          <w:sz w:val="20"/>
          <w:szCs w:val="20"/>
        </w:rPr>
      </w:pPr>
      <w:r>
        <w:rPr>
          <w:rFonts w:asciiTheme="minorHAnsi" w:hAnsiTheme="minorHAnsi"/>
          <w:sz w:val="20"/>
        </w:rPr>
        <w:t xml:space="preserve">A través de estas actividades, el </w:t>
      </w:r>
      <w:r w:rsidR="00F15011">
        <w:rPr>
          <w:rFonts w:asciiTheme="minorHAnsi" w:hAnsiTheme="minorHAnsi"/>
          <w:sz w:val="20"/>
        </w:rPr>
        <w:t>FSP</w:t>
      </w:r>
      <w:r>
        <w:rPr>
          <w:rFonts w:asciiTheme="minorHAnsi" w:hAnsiTheme="minorHAnsi"/>
          <w:sz w:val="20"/>
        </w:rPr>
        <w:t xml:space="preserve"> también garantizará el fortalecimiento de las instituciones financieras, unidades de extensión, así como asociaciones privadas sobre las diferentes alternativas de financiación y prácticas de agricultura sostenible a adoptarse en el sector. Esto es importante para la sostenibilidad a largo plazo del proyecto, ya que institucionaliza el acceso de los agricultores a la financiación a nivel local y reconoce que los fondos de los donantes del FMAM sólo pueden llegar hasta cierto punto.</w:t>
      </w:r>
    </w:p>
    <w:p w14:paraId="46E9E69C" w14:textId="2ACD2926" w:rsidR="008328D0" w:rsidRPr="00DF63FF" w:rsidRDefault="008328D0"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En el marco del Componente 3, el aspecto innovador introducido por el proyecto es que la investigación y la información relacionadas con la mejora de las prácticas agrícolas diseñadas para ayudar a los agricultores con resultados basados en evidencias se apoyarán mediante la ejecución de dos (2) proyectos piloto. Estos proyectos llevarán a cabo actividades de investigación participativa y de acción sobre agroecología en lugares concretos, con la debida implicación de los agricultores, demostrando que una agricultura sostenible que reduzca la dependencia de los productos químicos puede ofrecer una productividad que redunde en beneficios medioambientales globales, comunidades más sanas y fuertes rendimientos de la inversión. Además, se llevarán a cabo esfuerzos para unir a los agricultores en el intercambio de conocimientos y experiencias, así como para ponerlos en contacto con consumidores responsables para sus productos de valor añadido.</w:t>
      </w:r>
    </w:p>
    <w:p w14:paraId="617B1C28" w14:textId="65D1BB05" w:rsidR="00457892" w:rsidRDefault="00457892" w:rsidP="0064539C">
      <w:pPr>
        <w:spacing w:after="120"/>
        <w:rPr>
          <w:rFonts w:asciiTheme="minorHAnsi" w:hAnsiTheme="minorHAnsi" w:cstheme="minorHAnsi"/>
          <w:sz w:val="20"/>
          <w:szCs w:val="20"/>
          <w:u w:val="single"/>
        </w:rPr>
      </w:pPr>
      <w:r>
        <w:rPr>
          <w:rFonts w:asciiTheme="minorHAnsi" w:hAnsiTheme="minorHAnsi"/>
          <w:sz w:val="20"/>
          <w:u w:val="single"/>
        </w:rPr>
        <w:t>Sostenibilidad</w:t>
      </w:r>
    </w:p>
    <w:p w14:paraId="3A008AAE" w14:textId="7A968660" w:rsidR="00CB58A8" w:rsidRDefault="00CB58A8"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La sostenibilidad del programa se garantizará mediante la integración de los resultados en los marcos decisorios nacionales y mundiales. A escala global, la estrecha participación de la Secretaría del Convenio de Estocolmo y los vínculos con el sector privado internacional (productos agroquímicos, biocontrol y certificación de cultivos, y sistemas de productos básicos -commodities-) brindarán la oportunidad de consultar y ofrecer soluciones a un abanico mucho más amplio de actores que los que participan directamente en el programa.</w:t>
      </w:r>
    </w:p>
    <w:p w14:paraId="30ECB0DB" w14:textId="6040ED41" w:rsidR="000720AA" w:rsidRDefault="000720AA"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La sostenibilidad de las intervenciones del proyecto más allá de su finalización se garantizará principalmente del siguiente modo:</w:t>
      </w:r>
    </w:p>
    <w:p w14:paraId="5FDD21E6" w14:textId="6A95CB74" w:rsidR="000720AA" w:rsidRDefault="000720AA" w:rsidP="0064539C">
      <w:pPr>
        <w:pStyle w:val="GEFFieldtoFillout"/>
        <w:shd w:val="clear" w:color="auto" w:fill="FFFFFF"/>
        <w:spacing w:after="120"/>
        <w:ind w:left="0"/>
        <w:jc w:val="both"/>
        <w:rPr>
          <w:rFonts w:asciiTheme="minorHAnsi" w:eastAsia="Calibri" w:hAnsiTheme="minorHAnsi"/>
          <w:color w:val="000000" w:themeColor="text1"/>
          <w:sz w:val="20"/>
          <w:szCs w:val="20"/>
        </w:rPr>
      </w:pPr>
      <w:r>
        <w:rPr>
          <w:rFonts w:asciiTheme="minorHAnsi" w:hAnsiTheme="minorHAnsi"/>
          <w:color w:val="000000" w:themeColor="text1"/>
          <w:sz w:val="20"/>
        </w:rPr>
        <w:t>Bajo el Componente 1, el desarrollo de un Plan Nacional de Reducción del uso de agroquímicos perjudiciales que incluya el desarrollo de metodologías y procedimientos necesarios para identificar, evaluar, registrar y adoptar efectivamente alternativas más seguras en el contexto de la actividad agrícola en Ecuador. Este plan establece un enfoque sistemático para que el país aborde no sólo los productos agroquímicos que preocupan en la actualidad, sino también los próximos, en consonancia con los compromisos internacionales y los acuerdos comerciales internacionales.</w:t>
      </w:r>
    </w:p>
    <w:p w14:paraId="7D78655C" w14:textId="057B223D" w:rsidR="000720AA" w:rsidRDefault="000720AA" w:rsidP="0064539C">
      <w:pPr>
        <w:pStyle w:val="GEFFieldtoFillout"/>
        <w:shd w:val="clear" w:color="auto" w:fill="FFFFFF"/>
        <w:spacing w:after="120"/>
        <w:ind w:left="0"/>
        <w:jc w:val="both"/>
        <w:rPr>
          <w:rFonts w:asciiTheme="minorHAnsi" w:hAnsiTheme="minorHAnsi" w:cstheme="minorHAnsi"/>
          <w:sz w:val="20"/>
          <w:szCs w:val="20"/>
        </w:rPr>
      </w:pPr>
      <w:r>
        <w:rPr>
          <w:rFonts w:asciiTheme="minorHAnsi" w:hAnsiTheme="minorHAnsi"/>
          <w:sz w:val="20"/>
        </w:rPr>
        <w:t>Además, tras la ejecución del proyecto, Ecuador dispondrá de un marco político y normativo reforzado y de una mayor capacidad institucional para la gestión del ciclo de vida de los productos agroquímicos y sus residuos (incluidos los plásticos de uso agrícola).</w:t>
      </w:r>
    </w:p>
    <w:p w14:paraId="4FEBF7D2" w14:textId="1A442B24" w:rsidR="000720AA" w:rsidRDefault="000720AA" w:rsidP="0064539C">
      <w:pPr>
        <w:pStyle w:val="GEFFieldtoFillout"/>
        <w:shd w:val="clear" w:color="auto" w:fill="FFFFFF"/>
        <w:spacing w:after="120"/>
        <w:ind w:left="0"/>
        <w:jc w:val="both"/>
        <w:rPr>
          <w:rFonts w:asciiTheme="minorHAnsi" w:hAnsiTheme="minorHAnsi" w:cstheme="minorHAnsi"/>
          <w:sz w:val="20"/>
          <w:szCs w:val="20"/>
        </w:rPr>
      </w:pPr>
      <w:r>
        <w:rPr>
          <w:rFonts w:asciiTheme="minorHAnsi" w:hAnsiTheme="minorHAnsi"/>
          <w:sz w:val="20"/>
        </w:rPr>
        <w:t xml:space="preserve">En el marco del Componente 2, el proyecto promoverá el desarrollo de productos financieros que estarán disponibles más allá de la duración del proyecto. Para reforzar la sostenibilidad en términos de disponibilidad de financiación para los agricultores que apliquen prácticas agrícolas sostenibles con la consiguiente reducción del uso de agroquímicos, el proyecto creará capacidad técnica entre los principales agentes de la cadena de valor. Estos actores, responsables de la transición gradual en los años siguientes a la ejecución del proyecto, son: i) las entidades financieras, para seguir desarrollando mecanismos financieros adaptados a la agricultura sostenible; ii) las </w:t>
      </w:r>
      <w:r w:rsidR="00E34A0B">
        <w:rPr>
          <w:rFonts w:asciiTheme="minorHAnsi" w:hAnsiTheme="minorHAnsi"/>
          <w:sz w:val="20"/>
        </w:rPr>
        <w:t>U</w:t>
      </w:r>
      <w:r>
        <w:rPr>
          <w:rFonts w:asciiTheme="minorHAnsi" w:hAnsiTheme="minorHAnsi"/>
          <w:sz w:val="20"/>
        </w:rPr>
        <w:t xml:space="preserve">nidades </w:t>
      </w:r>
      <w:r w:rsidR="00E34A0B">
        <w:rPr>
          <w:rFonts w:asciiTheme="minorHAnsi" w:hAnsiTheme="minorHAnsi"/>
          <w:sz w:val="20"/>
        </w:rPr>
        <w:t>N</w:t>
      </w:r>
      <w:r>
        <w:rPr>
          <w:rFonts w:asciiTheme="minorHAnsi" w:hAnsiTheme="minorHAnsi"/>
          <w:sz w:val="20"/>
        </w:rPr>
        <w:t xml:space="preserve">acionales de </w:t>
      </w:r>
      <w:r w:rsidR="00E34A0B">
        <w:rPr>
          <w:rFonts w:asciiTheme="minorHAnsi" w:hAnsiTheme="minorHAnsi"/>
          <w:sz w:val="20"/>
        </w:rPr>
        <w:t>E</w:t>
      </w:r>
      <w:r>
        <w:rPr>
          <w:rFonts w:asciiTheme="minorHAnsi" w:hAnsiTheme="minorHAnsi"/>
          <w:sz w:val="20"/>
        </w:rPr>
        <w:t xml:space="preserve">xtensión, para difundir y promover la adopción de prácticas de agricultura sostenible y el acceso a mecanismos financieros, y iii) los agricultores, para que puedan recurrir a estos mecanismos para adoptar prácticas sostenibles. </w:t>
      </w:r>
    </w:p>
    <w:p w14:paraId="15DD578A" w14:textId="3F2CA4C5" w:rsidR="00BF5D90" w:rsidRPr="00BF5D90" w:rsidRDefault="00BF5D90" w:rsidP="0064539C">
      <w:pPr>
        <w:spacing w:after="120"/>
        <w:jc w:val="both"/>
        <w:rPr>
          <w:rFonts w:asciiTheme="minorHAnsi" w:hAnsiTheme="minorHAnsi" w:cstheme="minorHAnsi"/>
          <w:sz w:val="20"/>
          <w:szCs w:val="20"/>
        </w:rPr>
      </w:pPr>
      <w:r>
        <w:rPr>
          <w:rFonts w:asciiTheme="minorHAnsi" w:hAnsiTheme="minorHAnsi"/>
          <w:sz w:val="20"/>
        </w:rPr>
        <w:t>Lo anterior</w:t>
      </w:r>
      <w:r>
        <w:rPr>
          <w:rFonts w:asciiTheme="minorHAnsi" w:hAnsiTheme="minorHAnsi"/>
          <w:color w:val="000000" w:themeColor="text1"/>
          <w:sz w:val="20"/>
        </w:rPr>
        <w:t xml:space="preserve">, junto con la elaboración de estudios económicos y la recomendación de incentivos fiscales, contribuirá a </w:t>
      </w:r>
      <w:r>
        <w:rPr>
          <w:rFonts w:asciiTheme="minorHAnsi" w:hAnsiTheme="minorHAnsi"/>
          <w:sz w:val="20"/>
        </w:rPr>
        <w:t xml:space="preserve">aumentar el flujo de capital de inversión local e internacional y de prestamistas orientados al impacto para sostener en el tiempo la transición hacia una agricultura de bajo consumo/no química una vez finalizado este </w:t>
      </w:r>
      <w:r w:rsidR="00F15011">
        <w:rPr>
          <w:rFonts w:asciiTheme="minorHAnsi" w:hAnsiTheme="minorHAnsi"/>
          <w:sz w:val="20"/>
        </w:rPr>
        <w:t>FSP</w:t>
      </w:r>
      <w:r>
        <w:rPr>
          <w:rFonts w:asciiTheme="minorHAnsi" w:hAnsiTheme="minorHAnsi"/>
          <w:sz w:val="20"/>
        </w:rPr>
        <w:t>.</w:t>
      </w:r>
    </w:p>
    <w:p w14:paraId="28D078EC" w14:textId="6B475DF1" w:rsidR="00344293" w:rsidRDefault="00344293" w:rsidP="00671011">
      <w:pPr>
        <w:snapToGrid w:val="0"/>
        <w:spacing w:after="120"/>
        <w:jc w:val="both"/>
        <w:rPr>
          <w:rFonts w:asciiTheme="minorHAnsi" w:hAnsiTheme="minorHAnsi" w:cstheme="minorHAnsi"/>
          <w:sz w:val="20"/>
          <w:szCs w:val="20"/>
        </w:rPr>
      </w:pPr>
      <w:r>
        <w:rPr>
          <w:rFonts w:asciiTheme="minorHAnsi" w:hAnsiTheme="minorHAnsi"/>
          <w:sz w:val="20"/>
        </w:rPr>
        <w:t>En el marco del Componente 3, el proyecto garantizará y mejorará la vinculación de los agricultores que producen de manera sostenible con mercados y consumidores responsables. Esto permitirá a los agricultores seguir aplicando prácticas sostenibles más allá de la vida del proyecto, ya que sus productos tienen una demanda adecuada. Además, durante el último año de ejecución se diseñará un "Plan de Sostenibilidad" para la sostenibilidad de los resultados obtenidos tras la finalización del proyecto, identificando los mecanismos adecuados y los responsables asociados.</w:t>
      </w:r>
    </w:p>
    <w:p w14:paraId="6642E063" w14:textId="5AF9AE13" w:rsidR="00BF5D90" w:rsidRPr="00344293" w:rsidRDefault="00344293" w:rsidP="0064539C">
      <w:pPr>
        <w:spacing w:after="120"/>
        <w:jc w:val="both"/>
        <w:rPr>
          <w:rFonts w:asciiTheme="minorHAnsi" w:hAnsiTheme="minorHAnsi" w:cstheme="minorHAnsi"/>
          <w:sz w:val="20"/>
          <w:szCs w:val="20"/>
        </w:rPr>
      </w:pPr>
      <w:r>
        <w:rPr>
          <w:rFonts w:asciiTheme="minorHAnsi" w:hAnsiTheme="minorHAnsi"/>
          <w:sz w:val="20"/>
        </w:rPr>
        <w:t xml:space="preserve">Además, el proyecto documentará de forma sistemática las lecciones aprendidas y las experiencias y las pondrá a disposición a través de la Plataforma de Gestión del Conocimiento de Global FARM, y recibirá las de otros proyectos </w:t>
      </w:r>
      <w:r w:rsidR="001A2067">
        <w:rPr>
          <w:rFonts w:asciiTheme="minorHAnsi" w:hAnsiTheme="minorHAnsi"/>
          <w:sz w:val="20"/>
        </w:rPr>
        <w:t>Child</w:t>
      </w:r>
      <w:r>
        <w:rPr>
          <w:rFonts w:asciiTheme="minorHAnsi" w:hAnsiTheme="minorHAnsi"/>
          <w:sz w:val="20"/>
        </w:rPr>
        <w:t xml:space="preserve"> dentro del Programa Global FARM. La documentación y sistematización de las lecciones aprendidas también se aplicará a los Componentes 1 y 2.</w:t>
      </w:r>
    </w:p>
    <w:p w14:paraId="4F76BE86" w14:textId="049D8045" w:rsidR="00CB58A8" w:rsidRDefault="00CB58A8" w:rsidP="0064539C">
      <w:pPr>
        <w:spacing w:after="120"/>
        <w:jc w:val="both"/>
        <w:rPr>
          <w:rFonts w:asciiTheme="minorHAnsi" w:eastAsia="Calibri" w:hAnsiTheme="minorHAnsi" w:cstheme="minorBidi"/>
          <w:color w:val="000000" w:themeColor="text1"/>
          <w:sz w:val="20"/>
          <w:szCs w:val="20"/>
          <w:u w:val="single"/>
        </w:rPr>
      </w:pPr>
      <w:r>
        <w:rPr>
          <w:rFonts w:asciiTheme="minorHAnsi" w:hAnsiTheme="minorHAnsi"/>
          <w:color w:val="000000" w:themeColor="text1"/>
          <w:sz w:val="20"/>
          <w:u w:val="single"/>
        </w:rPr>
        <w:t>Potencial de ampliación</w:t>
      </w:r>
    </w:p>
    <w:p w14:paraId="73C46413" w14:textId="27BA9D92" w:rsidR="00CB58A8" w:rsidRDefault="005638C4" w:rsidP="0064539C">
      <w:pPr>
        <w:spacing w:after="120"/>
        <w:jc w:val="both"/>
        <w:rPr>
          <w:rFonts w:asciiTheme="minorHAnsi" w:eastAsia="Calibri" w:hAnsiTheme="minorHAnsi" w:cstheme="minorBidi"/>
          <w:color w:val="000000" w:themeColor="text1"/>
          <w:sz w:val="20"/>
          <w:szCs w:val="20"/>
        </w:rPr>
      </w:pPr>
      <w:r>
        <w:rPr>
          <w:rFonts w:asciiTheme="minorHAnsi" w:hAnsiTheme="minorHAnsi"/>
          <w:color w:val="000000" w:themeColor="text1"/>
          <w:sz w:val="20"/>
        </w:rPr>
        <w:t>Se calcula que más de 2.000 millones de personas en todo el mundo trabajan en la agricultura y el sector genera más de 3,4 billones de dólares anuales</w:t>
      </w:r>
      <w:r w:rsidRPr="005638C4">
        <w:rPr>
          <w:rStyle w:val="Refdenotaalpie"/>
          <w:rFonts w:asciiTheme="minorHAnsi" w:eastAsia="Calibri" w:hAnsiTheme="minorHAnsi" w:cstheme="minorBidi"/>
          <w:color w:val="000000" w:themeColor="text1"/>
          <w:sz w:val="20"/>
          <w:szCs w:val="20"/>
        </w:rPr>
        <w:footnoteReference w:id="26"/>
      </w:r>
      <w:r>
        <w:rPr>
          <w:rFonts w:asciiTheme="minorHAnsi" w:hAnsiTheme="minorHAnsi"/>
          <w:color w:val="000000" w:themeColor="text1"/>
          <w:sz w:val="20"/>
        </w:rPr>
        <w:t xml:space="preserve">. En los PMA, la agricultura emplea a más personas que cualquier otra industria. El potencial de ampliación es enorme. El programa se ha diseñado para integrar y promover la ampliación de las experiencias exitosas, por ejemplo, mediante la creación de capacidades a escala mundial, regional, nacional y de los productores para acceder y compartir información y resultados. El </w:t>
      </w:r>
      <w:r w:rsidR="00A30162">
        <w:rPr>
          <w:rFonts w:asciiTheme="minorHAnsi" w:hAnsiTheme="minorHAnsi"/>
          <w:color w:val="000000" w:themeColor="text1"/>
          <w:sz w:val="20"/>
        </w:rPr>
        <w:t xml:space="preserve">Child </w:t>
      </w:r>
      <w:r w:rsidR="003279D4">
        <w:rPr>
          <w:rFonts w:asciiTheme="minorHAnsi" w:hAnsiTheme="minorHAnsi"/>
          <w:color w:val="000000" w:themeColor="text1"/>
          <w:sz w:val="20"/>
        </w:rPr>
        <w:t>P</w:t>
      </w:r>
      <w:r w:rsidR="00A30162">
        <w:rPr>
          <w:rFonts w:asciiTheme="minorHAnsi" w:hAnsiTheme="minorHAnsi"/>
          <w:color w:val="000000" w:themeColor="text1"/>
          <w:sz w:val="20"/>
        </w:rPr>
        <w:t>roject</w:t>
      </w:r>
      <w:r>
        <w:rPr>
          <w:rFonts w:asciiTheme="minorHAnsi" w:hAnsiTheme="minorHAnsi"/>
          <w:color w:val="000000" w:themeColor="text1"/>
          <w:sz w:val="20"/>
        </w:rPr>
        <w:t xml:space="preserve"> de Ecuador tratará de poner en contacto a profesionales y responsables locales y globales de gobiernos, sociedad civil y empresas de otros países. El </w:t>
      </w:r>
      <w:r w:rsidR="00A30162">
        <w:rPr>
          <w:rFonts w:asciiTheme="minorHAnsi" w:hAnsiTheme="minorHAnsi"/>
          <w:color w:val="000000" w:themeColor="text1"/>
          <w:sz w:val="20"/>
        </w:rPr>
        <w:t xml:space="preserve">Child </w:t>
      </w:r>
      <w:r w:rsidR="003279D4">
        <w:rPr>
          <w:rFonts w:asciiTheme="minorHAnsi" w:hAnsiTheme="minorHAnsi"/>
          <w:color w:val="000000" w:themeColor="text1"/>
          <w:sz w:val="20"/>
        </w:rPr>
        <w:t>P</w:t>
      </w:r>
      <w:r w:rsidR="00A30162">
        <w:rPr>
          <w:rFonts w:asciiTheme="minorHAnsi" w:hAnsiTheme="minorHAnsi"/>
          <w:color w:val="000000" w:themeColor="text1"/>
          <w:sz w:val="20"/>
        </w:rPr>
        <w:t>roject</w:t>
      </w:r>
      <w:r>
        <w:rPr>
          <w:rFonts w:asciiTheme="minorHAnsi" w:hAnsiTheme="minorHAnsi"/>
          <w:color w:val="000000" w:themeColor="text1"/>
          <w:sz w:val="20"/>
        </w:rPr>
        <w:t xml:space="preserve"> utilizará el componente global para poner en contacto a compradores internacionales y productores locales, con el fin de garantizar que el comprador motive a los productores en el uso de las mejores prácticas ambientales y las mejores técnicas disponibles para ofrecer productos responsables. Las actividades del componente tendrán como objetivo reforzar la capacidad de los profesionales - virtualmente y a través de encuentros y eventos inspiradores cara a cara - en temas relevantes a través de múltiples cadenas de suministro de cultivos y paisajes. Esto fomentará una comunidad de prácticas entre los países participantes y permitirá compartir modelos de éxito con un amplio abanico de agentes y partes interesadas de todo el mundo.</w:t>
      </w:r>
      <w:bookmarkStart w:id="34" w:name="_Toc207800912"/>
    </w:p>
    <w:p w14:paraId="2627C6FE" w14:textId="4BAB36CD" w:rsidR="005638C4" w:rsidRPr="005638C4" w:rsidRDefault="005638C4" w:rsidP="0064539C">
      <w:pPr>
        <w:pStyle w:val="GEFFieldtoFillout"/>
        <w:shd w:val="clear" w:color="auto" w:fill="FFFFFF"/>
        <w:tabs>
          <w:tab w:val="left" w:pos="567"/>
        </w:tabs>
        <w:spacing w:after="120"/>
        <w:ind w:left="0"/>
        <w:jc w:val="both"/>
        <w:rPr>
          <w:rFonts w:asciiTheme="minorHAnsi" w:hAnsiTheme="minorHAnsi"/>
          <w:color w:val="000000" w:themeColor="text1"/>
          <w:sz w:val="20"/>
          <w:szCs w:val="20"/>
        </w:rPr>
      </w:pPr>
      <w:r>
        <w:rPr>
          <w:rFonts w:asciiTheme="minorHAnsi" w:hAnsiTheme="minorHAnsi"/>
          <w:color w:val="000000" w:themeColor="text1"/>
          <w:sz w:val="20"/>
        </w:rPr>
        <w:t xml:space="preserve">El enfoque de desarrollo de capacidades integrado en todos los componentes consiste en garantizar que los conocimientos y las experiencias permanezcan en el país dentro de las instituciones pertinentes. En el marco del Componente 1, el proyecto aumentará la capacidad de las instituciones gubernamentales a nivel nacional y local para evaluar, planificar y aplicar prácticas agrícolas sostenibles, así como la introducción y disponibilidad de alternativas más seguras. La adopción de normas y herramientas internacionales se adaptará y aplicará de acuerdo con el contexto nacional, con la participación de las principales partes interesadas de la cadena de valor de los productos agroquímicos. También se mejorarán las políticas y el marco normativo para crear un entorno propicio a la reducción de productos agroquímicos nocivos en la agricultura. </w:t>
      </w:r>
    </w:p>
    <w:p w14:paraId="4AA773AA" w14:textId="36D9812B" w:rsidR="005638C4" w:rsidRPr="005638C4" w:rsidRDefault="005638C4" w:rsidP="0064539C">
      <w:pPr>
        <w:pStyle w:val="GEFFieldtoFillout"/>
        <w:shd w:val="clear" w:color="auto" w:fill="FFFFFF"/>
        <w:tabs>
          <w:tab w:val="left" w:pos="567"/>
        </w:tabs>
        <w:spacing w:after="120"/>
        <w:ind w:left="0"/>
        <w:jc w:val="both"/>
        <w:rPr>
          <w:rFonts w:asciiTheme="minorHAnsi" w:hAnsiTheme="minorHAnsi"/>
          <w:color w:val="000000" w:themeColor="text1"/>
          <w:sz w:val="20"/>
          <w:szCs w:val="20"/>
        </w:rPr>
      </w:pPr>
      <w:r>
        <w:rPr>
          <w:rFonts w:asciiTheme="minorHAnsi" w:hAnsiTheme="minorHAnsi"/>
          <w:color w:val="000000" w:themeColor="text1"/>
          <w:sz w:val="20"/>
        </w:rPr>
        <w:t>Cuando el proyecto llegue a su fin, el aumento de la capacidad de las entidades nacionales y las autoridades locales, y la mejora del entorno político y normativo propicio para la producción agrícola sostenible seguirán sirviendo al sector agrícola y fomentando la eliminación progresiva de los productos agroquímicos nocivos, junto con la rápida identificación de alternativas más seguras dentro del sector agrícola.</w:t>
      </w:r>
    </w:p>
    <w:p w14:paraId="4FFC02CF" w14:textId="3D3BB93D" w:rsidR="000720AA" w:rsidRDefault="005638C4" w:rsidP="0064539C">
      <w:pPr>
        <w:spacing w:after="120"/>
        <w:jc w:val="both"/>
        <w:rPr>
          <w:rFonts w:asciiTheme="minorHAnsi" w:hAnsiTheme="minorHAnsi" w:cstheme="minorBidi"/>
          <w:color w:val="000000" w:themeColor="text1"/>
          <w:sz w:val="20"/>
          <w:szCs w:val="20"/>
        </w:rPr>
      </w:pPr>
      <w:r>
        <w:rPr>
          <w:rFonts w:asciiTheme="minorHAnsi" w:hAnsiTheme="minorHAnsi"/>
          <w:sz w:val="20"/>
        </w:rPr>
        <w:t>En el marco</w:t>
      </w:r>
      <w:r>
        <w:rPr>
          <w:rFonts w:asciiTheme="minorHAnsi" w:hAnsiTheme="minorHAnsi"/>
          <w:color w:val="000000" w:themeColor="text1"/>
          <w:sz w:val="20"/>
        </w:rPr>
        <w:t xml:space="preserve"> del Componente 2, el proyecto evaluará los incentivos fiscales viables para la reducción de productos agroquímicos nocivos y apoyará la aplicación de al menos uno de ellos. Se espera que este incentivo fiscal continúe después de la vida útil del proyecto y permita aumentar los beneficios</w:t>
      </w:r>
      <w:r w:rsidR="00E12542">
        <w:rPr>
          <w:rFonts w:asciiTheme="minorHAnsi" w:hAnsiTheme="minorHAnsi"/>
          <w:color w:val="000000" w:themeColor="text1"/>
          <w:sz w:val="20"/>
        </w:rPr>
        <w:t>.</w:t>
      </w:r>
    </w:p>
    <w:p w14:paraId="0DFF1008" w14:textId="637E5A33" w:rsidR="00CA00BC" w:rsidRDefault="000720AA" w:rsidP="0064539C">
      <w:pPr>
        <w:spacing w:after="120"/>
        <w:jc w:val="both"/>
        <w:rPr>
          <w:rFonts w:asciiTheme="minorHAnsi" w:hAnsiTheme="minorHAnsi" w:cstheme="minorBidi"/>
          <w:sz w:val="20"/>
          <w:szCs w:val="20"/>
        </w:rPr>
      </w:pPr>
      <w:r>
        <w:rPr>
          <w:rFonts w:asciiTheme="minorHAnsi" w:hAnsiTheme="minorHAnsi"/>
          <w:color w:val="000000" w:themeColor="text1"/>
          <w:sz w:val="20"/>
        </w:rPr>
        <w:t xml:space="preserve">El proyecto se asociará con </w:t>
      </w:r>
      <w:r>
        <w:rPr>
          <w:rFonts w:asciiTheme="minorHAnsi" w:hAnsiTheme="minorHAnsi"/>
          <w:sz w:val="20"/>
        </w:rPr>
        <w:t>entidades</w:t>
      </w:r>
      <w:r w:rsidR="00544E29">
        <w:rPr>
          <w:rFonts w:asciiTheme="minorHAnsi" w:hAnsiTheme="minorHAnsi"/>
          <w:sz w:val="20"/>
        </w:rPr>
        <w:t xml:space="preserve"> </w:t>
      </w:r>
      <w:r>
        <w:rPr>
          <w:rFonts w:asciiTheme="minorHAnsi" w:hAnsiTheme="minorHAnsi"/>
          <w:color w:val="000000" w:themeColor="text1"/>
          <w:sz w:val="20"/>
        </w:rPr>
        <w:t xml:space="preserve">financieras </w:t>
      </w:r>
      <w:r>
        <w:rPr>
          <w:rFonts w:asciiTheme="minorHAnsi" w:hAnsiTheme="minorHAnsi"/>
          <w:sz w:val="20"/>
        </w:rPr>
        <w:t xml:space="preserve">para establecer productos financieros adaptados y con condiciones financieras asequibles para los agricultores que apliquen </w:t>
      </w:r>
      <w:r w:rsidR="00544E29">
        <w:rPr>
          <w:rFonts w:asciiTheme="minorHAnsi" w:hAnsiTheme="minorHAnsi"/>
          <w:sz w:val="20"/>
        </w:rPr>
        <w:t>B</w:t>
      </w:r>
      <w:r>
        <w:rPr>
          <w:rFonts w:asciiTheme="minorHAnsi" w:hAnsiTheme="minorHAnsi"/>
          <w:sz w:val="20"/>
        </w:rPr>
        <w:t xml:space="preserve">uenas </w:t>
      </w:r>
      <w:r w:rsidR="00544E29">
        <w:rPr>
          <w:rFonts w:asciiTheme="minorHAnsi" w:hAnsiTheme="minorHAnsi"/>
          <w:sz w:val="20"/>
        </w:rPr>
        <w:t>P</w:t>
      </w:r>
      <w:r>
        <w:rPr>
          <w:rFonts w:asciiTheme="minorHAnsi" w:hAnsiTheme="minorHAnsi"/>
          <w:sz w:val="20"/>
        </w:rPr>
        <w:t xml:space="preserve">rácticas </w:t>
      </w:r>
      <w:r w:rsidR="00544E29">
        <w:rPr>
          <w:rFonts w:asciiTheme="minorHAnsi" w:hAnsiTheme="minorHAnsi"/>
          <w:sz w:val="20"/>
        </w:rPr>
        <w:t>A</w:t>
      </w:r>
      <w:r>
        <w:rPr>
          <w:rFonts w:asciiTheme="minorHAnsi" w:hAnsiTheme="minorHAnsi"/>
          <w:sz w:val="20"/>
        </w:rPr>
        <w:t xml:space="preserve">grícolas (como la Gestión Integrada de Plagas (GIP), prácticas agroecológicas, producción ecológica, etc.) que permitan la reducción de pesticidas peligrosos en cultivos prioritarios. Para ello, el proyecto apoyará a estas entidades en el desarrollo de productos financieros para el sector agrícola </w:t>
      </w:r>
      <w:r>
        <w:rPr>
          <w:rFonts w:asciiTheme="minorHAnsi" w:hAnsiTheme="minorHAnsi"/>
          <w:color w:val="000000" w:themeColor="text1"/>
          <w:sz w:val="20"/>
        </w:rPr>
        <w:t xml:space="preserve">y reforzará su capacidad para llevar a cabo evaluaciones del riesgo financiero, con el fin de aumentar con el tiempo el volumen de financiación disponible a través </w:t>
      </w:r>
      <w:r>
        <w:rPr>
          <w:rFonts w:asciiTheme="minorHAnsi" w:hAnsiTheme="minorHAnsi"/>
          <w:sz w:val="20"/>
        </w:rPr>
        <w:t>de estos</w:t>
      </w:r>
      <w:r>
        <w:rPr>
          <w:rFonts w:asciiTheme="minorHAnsi" w:hAnsiTheme="minorHAnsi"/>
          <w:color w:val="000000" w:themeColor="text1"/>
          <w:sz w:val="20"/>
        </w:rPr>
        <w:t xml:space="preserve"> mecanismos financieros nuevos o mejorados. Estos productos financieros seguirán existiendo una vez finalizado el proyecto; bancarizar a</w:t>
      </w:r>
      <w:r>
        <w:rPr>
          <w:rFonts w:asciiTheme="minorHAnsi" w:hAnsiTheme="minorHAnsi"/>
          <w:sz w:val="20"/>
        </w:rPr>
        <w:t xml:space="preserve"> los agricultores es una propuesta de sostenibilidad del sector privado que va más allá de los fondos de los donantes.</w:t>
      </w:r>
    </w:p>
    <w:p w14:paraId="661F2B97" w14:textId="6512FDF1" w:rsidR="007517DE" w:rsidRDefault="007517DE" w:rsidP="0064539C">
      <w:pPr>
        <w:pStyle w:val="GEFFieldtoFillout"/>
        <w:shd w:val="clear" w:color="auto" w:fill="FFFFFF"/>
        <w:tabs>
          <w:tab w:val="left" w:pos="567"/>
        </w:tabs>
        <w:spacing w:after="120"/>
        <w:ind w:left="0"/>
        <w:jc w:val="both"/>
        <w:rPr>
          <w:rFonts w:asciiTheme="minorHAnsi" w:hAnsiTheme="minorHAnsi"/>
          <w:sz w:val="20"/>
          <w:szCs w:val="20"/>
        </w:rPr>
      </w:pPr>
      <w:r>
        <w:rPr>
          <w:rFonts w:asciiTheme="minorHAnsi" w:hAnsiTheme="minorHAnsi"/>
          <w:color w:val="000000" w:themeColor="text1"/>
          <w:sz w:val="20"/>
        </w:rPr>
        <w:t xml:space="preserve">Como parte </w:t>
      </w:r>
      <w:r>
        <w:rPr>
          <w:rFonts w:asciiTheme="minorHAnsi" w:hAnsiTheme="minorHAnsi"/>
          <w:sz w:val="20"/>
        </w:rPr>
        <w:t xml:space="preserve">del proyecto, los </w:t>
      </w:r>
      <w:r>
        <w:rPr>
          <w:rFonts w:asciiTheme="minorHAnsi" w:hAnsiTheme="minorHAnsi"/>
          <w:color w:val="000000" w:themeColor="text1"/>
          <w:sz w:val="20"/>
        </w:rPr>
        <w:t xml:space="preserve">agricultores seleccionados de los cultivos objetivo también recibirán formación sobre cómo desarrollar estas aplicaciones de productos financieros y cómo solicitar préstamos. </w:t>
      </w:r>
      <w:r>
        <w:rPr>
          <w:rFonts w:asciiTheme="minorHAnsi" w:hAnsiTheme="minorHAnsi"/>
          <w:sz w:val="20"/>
        </w:rPr>
        <w:t xml:space="preserve">Los </w:t>
      </w:r>
      <w:r>
        <w:rPr>
          <w:rFonts w:asciiTheme="minorHAnsi" w:hAnsiTheme="minorHAnsi"/>
          <w:color w:val="000000" w:themeColor="text1"/>
          <w:sz w:val="20"/>
        </w:rPr>
        <w:t xml:space="preserve">resultados de este apoyo se recogerán para </w:t>
      </w:r>
      <w:r>
        <w:rPr>
          <w:rFonts w:asciiTheme="minorHAnsi" w:hAnsiTheme="minorHAnsi"/>
          <w:sz w:val="20"/>
        </w:rPr>
        <w:t>que</w:t>
      </w:r>
      <w:r>
        <w:rPr>
          <w:rFonts w:asciiTheme="minorHAnsi" w:hAnsiTheme="minorHAnsi"/>
          <w:color w:val="000000" w:themeColor="text1"/>
          <w:sz w:val="20"/>
        </w:rPr>
        <w:t xml:space="preserve"> la información pueda ser fácilmente difundida y reproducida por otros agricultores. Las Unidades de Extensión (Agrocalidad, MAG y SSC) estarán debidamente involucradas durante este proceso para fortalecer sus capacidades y contribuir a la replicación en diferentes cultivos y regiones del país.</w:t>
      </w:r>
    </w:p>
    <w:p w14:paraId="46A8ACE5" w14:textId="0032634A" w:rsidR="00AB3E7F" w:rsidRDefault="00AB3E7F" w:rsidP="0064539C">
      <w:pPr>
        <w:spacing w:after="120"/>
        <w:jc w:val="both"/>
        <w:rPr>
          <w:rFonts w:asciiTheme="minorHAnsi" w:hAnsiTheme="minorHAnsi" w:cstheme="minorBidi"/>
          <w:sz w:val="20"/>
          <w:szCs w:val="20"/>
        </w:rPr>
      </w:pPr>
      <w:r>
        <w:rPr>
          <w:rFonts w:asciiTheme="minorHAnsi" w:hAnsiTheme="minorHAnsi"/>
          <w:sz w:val="20"/>
        </w:rPr>
        <w:t xml:space="preserve">Además, el proyecto apoyará la aplicación de:  i) dos (2) proyectos de demostración de soluciones viables desde el punto de vista ambiental y económico para minimizar, sustituir y/o reciclar los plásticos que se utilizan actualmente en los cultivos seleccionados, y ii) tres (3) iniciativas innovadoras para reducir el uso de productos agroquímicos perjudiciales mediante el desarrollo de un </w:t>
      </w:r>
      <w:r w:rsidR="00F253D9">
        <w:rPr>
          <w:rFonts w:asciiTheme="minorHAnsi" w:hAnsiTheme="minorHAnsi"/>
          <w:sz w:val="20"/>
        </w:rPr>
        <w:t>M</w:t>
      </w:r>
      <w:r>
        <w:rPr>
          <w:rFonts w:asciiTheme="minorHAnsi" w:hAnsiTheme="minorHAnsi"/>
          <w:sz w:val="20"/>
        </w:rPr>
        <w:t xml:space="preserve">ecanismo de </w:t>
      </w:r>
      <w:r w:rsidR="00F253D9">
        <w:rPr>
          <w:rFonts w:asciiTheme="minorHAnsi" w:hAnsiTheme="minorHAnsi"/>
          <w:sz w:val="20"/>
        </w:rPr>
        <w:t>F</w:t>
      </w:r>
      <w:r>
        <w:rPr>
          <w:rFonts w:asciiTheme="minorHAnsi" w:hAnsiTheme="minorHAnsi"/>
          <w:sz w:val="20"/>
        </w:rPr>
        <w:t xml:space="preserve">ondos </w:t>
      </w:r>
      <w:r w:rsidR="00F253D9">
        <w:rPr>
          <w:rFonts w:asciiTheme="minorHAnsi" w:hAnsiTheme="minorHAnsi"/>
          <w:sz w:val="20"/>
        </w:rPr>
        <w:t>C</w:t>
      </w:r>
      <w:r>
        <w:rPr>
          <w:rFonts w:asciiTheme="minorHAnsi" w:hAnsiTheme="minorHAnsi"/>
          <w:sz w:val="20"/>
        </w:rPr>
        <w:t>oncursables.</w:t>
      </w:r>
    </w:p>
    <w:p w14:paraId="023D8336" w14:textId="540E19EB" w:rsidR="000720AA" w:rsidRDefault="00AB3E7F" w:rsidP="0064539C">
      <w:pPr>
        <w:spacing w:after="120"/>
        <w:jc w:val="both"/>
        <w:rPr>
          <w:rFonts w:asciiTheme="minorHAnsi" w:hAnsiTheme="minorHAnsi" w:cstheme="minorBidi"/>
          <w:sz w:val="20"/>
          <w:szCs w:val="20"/>
        </w:rPr>
      </w:pPr>
      <w:r>
        <w:rPr>
          <w:rFonts w:asciiTheme="minorHAnsi" w:hAnsiTheme="minorHAnsi"/>
          <w:sz w:val="20"/>
        </w:rPr>
        <w:t>Los resultados de estas experiencias se ampliarán mediante la recopilación de las lecciones aprendidas y su adecuada difusión entre las principales partes interesadas para crear capacidad en todo el país.</w:t>
      </w:r>
    </w:p>
    <w:p w14:paraId="62BE0336" w14:textId="2817CE49" w:rsidR="00181C45" w:rsidRDefault="00287F35" w:rsidP="0064539C">
      <w:pPr>
        <w:spacing w:after="120"/>
        <w:jc w:val="both"/>
        <w:rPr>
          <w:rFonts w:asciiTheme="minorHAnsi" w:hAnsiTheme="minorHAnsi" w:cstheme="minorHAnsi"/>
          <w:color w:val="000000" w:themeColor="text1"/>
          <w:sz w:val="20"/>
          <w:szCs w:val="20"/>
        </w:rPr>
      </w:pPr>
      <w:r>
        <w:rPr>
          <w:rFonts w:asciiTheme="minorHAnsi" w:hAnsiTheme="minorHAnsi"/>
          <w:sz w:val="20"/>
        </w:rPr>
        <w:t xml:space="preserve">En el marco del Componente 3, a </w:t>
      </w:r>
      <w:r>
        <w:rPr>
          <w:rFonts w:asciiTheme="minorHAnsi" w:hAnsiTheme="minorHAnsi"/>
          <w:color w:val="000000" w:themeColor="text1"/>
          <w:sz w:val="20"/>
        </w:rPr>
        <w:t xml:space="preserve">lo largo de la ejecución del proyecto, los resultados, las experiencias, las lecciones aprendidas, los productos de conocimiento y las actividades de difusión se compartirán con el Programa Global, que captará, almacenará, organizará y difundirá estos conocimientos a una red global, incluida la Secretaría del Convenio de Estocolmo y el SAICM, en consonancia con las estrategias aprobadas de gestión de conocimientos, comunicación, participación de las partes interesadas y género del FARM. El proyecto global pondrá a disposición estas experiencias a través de la plataforma global prevista en el marco de FARM y de estrategias de divulgación. El </w:t>
      </w:r>
      <w:r w:rsidR="00A30162">
        <w:rPr>
          <w:rFonts w:asciiTheme="minorHAnsi" w:hAnsiTheme="minorHAnsi"/>
          <w:color w:val="000000" w:themeColor="text1"/>
          <w:sz w:val="20"/>
        </w:rPr>
        <w:t xml:space="preserve">Child </w:t>
      </w:r>
      <w:r w:rsidR="003279D4">
        <w:rPr>
          <w:rFonts w:asciiTheme="minorHAnsi" w:hAnsiTheme="minorHAnsi"/>
          <w:color w:val="000000" w:themeColor="text1"/>
          <w:sz w:val="20"/>
        </w:rPr>
        <w:t>P</w:t>
      </w:r>
      <w:r w:rsidR="00A30162">
        <w:rPr>
          <w:rFonts w:asciiTheme="minorHAnsi" w:hAnsiTheme="minorHAnsi"/>
          <w:color w:val="000000" w:themeColor="text1"/>
          <w:sz w:val="20"/>
        </w:rPr>
        <w:t>roject</w:t>
      </w:r>
      <w:r>
        <w:rPr>
          <w:rFonts w:asciiTheme="minorHAnsi" w:hAnsiTheme="minorHAnsi"/>
          <w:color w:val="000000" w:themeColor="text1"/>
          <w:sz w:val="20"/>
        </w:rPr>
        <w:t xml:space="preserve"> participará activamente en reuniones y actos internacionales y garantizará el flujo de información entre los convenios internacionales, organismos donantes y principales actores y responsables de la toma de decisiones a escala regional, nacional y local.</w:t>
      </w:r>
    </w:p>
    <w:p w14:paraId="5717E8D4" w14:textId="267AC8FA" w:rsidR="00EF748E" w:rsidRPr="00EF748E" w:rsidRDefault="00EF748E" w:rsidP="00EF748E">
      <w:pPr>
        <w:spacing w:after="120"/>
        <w:jc w:val="both"/>
        <w:rPr>
          <w:rFonts w:asciiTheme="minorHAnsi" w:hAnsiTheme="minorHAnsi" w:cstheme="minorHAnsi"/>
          <w:sz w:val="20"/>
          <w:szCs w:val="20"/>
        </w:rPr>
      </w:pPr>
      <w:r>
        <w:rPr>
          <w:rFonts w:asciiTheme="minorHAnsi" w:hAnsiTheme="minorHAnsi"/>
          <w:color w:val="000000"/>
          <w:sz w:val="20"/>
        </w:rPr>
        <w:t xml:space="preserve">Además, el proyecto contempla el desarrollo de una Estrategia de Replicación Nacional para replicar </w:t>
      </w:r>
      <w:r>
        <w:rPr>
          <w:rFonts w:asciiTheme="minorHAnsi" w:hAnsiTheme="minorHAnsi"/>
          <w:sz w:val="20"/>
        </w:rPr>
        <w:t>los resultados del proyecto y del Programa Global de forma generalizada en Ecuador, lo que permitirá la acumulación de resultados.</w:t>
      </w:r>
    </w:p>
    <w:p w14:paraId="3DD608AF" w14:textId="77777777" w:rsidR="00EF748E" w:rsidRPr="002152FE" w:rsidRDefault="00EF748E" w:rsidP="0064539C">
      <w:pPr>
        <w:spacing w:after="120"/>
        <w:jc w:val="both"/>
        <w:rPr>
          <w:rFonts w:asciiTheme="minorHAnsi" w:hAnsiTheme="minorHAnsi" w:cstheme="minorBidi"/>
          <w:sz w:val="20"/>
          <w:szCs w:val="20"/>
          <w:lang w:val="es-EC"/>
        </w:rPr>
      </w:pPr>
    </w:p>
    <w:p w14:paraId="542FF282" w14:textId="4E774C8D" w:rsidR="00CA00BC" w:rsidRPr="002152FE" w:rsidRDefault="00CA00BC" w:rsidP="00CB58A8">
      <w:pPr>
        <w:spacing w:after="120"/>
        <w:jc w:val="both"/>
        <w:rPr>
          <w:rFonts w:asciiTheme="minorHAnsi" w:hAnsiTheme="minorHAnsi" w:cstheme="minorBidi"/>
          <w:sz w:val="20"/>
          <w:szCs w:val="20"/>
          <w:lang w:val="es-EC"/>
        </w:rPr>
      </w:pPr>
    </w:p>
    <w:p w14:paraId="142FABE8" w14:textId="7B8D48EA" w:rsidR="005638C4" w:rsidRPr="002152FE" w:rsidRDefault="005638C4" w:rsidP="00CB58A8">
      <w:pPr>
        <w:spacing w:after="120"/>
        <w:jc w:val="both"/>
        <w:rPr>
          <w:rFonts w:asciiTheme="minorHAnsi" w:eastAsia="Calibri" w:hAnsiTheme="minorHAnsi" w:cstheme="minorBidi"/>
          <w:color w:val="000000" w:themeColor="text1"/>
          <w:sz w:val="20"/>
          <w:szCs w:val="20"/>
          <w:lang w:val="es-EC"/>
        </w:rPr>
        <w:sectPr w:rsidR="005638C4" w:rsidRPr="002152FE" w:rsidSect="00966EF0">
          <w:footerReference w:type="default" r:id="rId16"/>
          <w:footerReference w:type="first" r:id="rId17"/>
          <w:pgSz w:w="12240" w:h="15840" w:code="1"/>
          <w:pgMar w:top="1440" w:right="1440" w:bottom="1440" w:left="1440" w:header="720" w:footer="431" w:gutter="0"/>
          <w:cols w:space="708"/>
          <w:titlePg/>
          <w:docGrid w:linePitch="360"/>
        </w:sectPr>
      </w:pPr>
    </w:p>
    <w:p w14:paraId="6640A498" w14:textId="78E0D564" w:rsidR="00966EF0" w:rsidRPr="0064539C" w:rsidRDefault="00705641" w:rsidP="004B3194">
      <w:pPr>
        <w:keepNext/>
        <w:pBdr>
          <w:top w:val="single" w:sz="4" w:space="1" w:color="auto"/>
        </w:pBdr>
        <w:tabs>
          <w:tab w:val="num" w:pos="720"/>
        </w:tabs>
        <w:suppressAutoHyphens/>
        <w:spacing w:after="120"/>
        <w:ind w:left="720" w:hanging="720"/>
        <w:jc w:val="both"/>
        <w:outlineLvl w:val="0"/>
        <w:rPr>
          <w:rFonts w:ascii="Calibri" w:eastAsia="SimSun" w:hAnsi="Calibri"/>
          <w:b/>
          <w:smallCaps/>
          <w:spacing w:val="-2"/>
          <w:sz w:val="28"/>
          <w:szCs w:val="28"/>
        </w:rPr>
      </w:pPr>
      <w:bookmarkStart w:id="35" w:name="_Toc114650845"/>
      <w:bookmarkStart w:id="36" w:name="_Toc144822670"/>
      <w:r>
        <w:rPr>
          <w:rFonts w:ascii="Calibri" w:hAnsi="Calibri"/>
          <w:b/>
          <w:smallCaps/>
          <w:sz w:val="28"/>
        </w:rPr>
        <w:t>V. Marco de resultados del proyecto</w:t>
      </w:r>
      <w:r w:rsidR="009C7E97">
        <w:rPr>
          <w:rStyle w:val="Refdenotaalpie"/>
          <w:rFonts w:eastAsia="SimSun"/>
          <w:b/>
          <w:smallCaps/>
          <w:spacing w:val="-2"/>
          <w:szCs w:val="28"/>
          <w:lang w:val="en-US"/>
        </w:rPr>
        <w:footnoteReference w:id="27"/>
      </w:r>
      <w:bookmarkEnd w:id="35"/>
      <w:bookmarkEnd w:id="36"/>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4230"/>
        <w:gridCol w:w="2160"/>
        <w:gridCol w:w="2520"/>
        <w:gridCol w:w="2903"/>
      </w:tblGrid>
      <w:tr w:rsidR="00966EF0" w:rsidRPr="001B17BF" w14:paraId="20AC9BC0" w14:textId="77777777" w:rsidTr="00BA3DD6">
        <w:trPr>
          <w:trHeight w:val="305"/>
        </w:trPr>
        <w:tc>
          <w:tcPr>
            <w:tcW w:w="14418" w:type="dxa"/>
            <w:gridSpan w:val="5"/>
            <w:shd w:val="clear" w:color="auto" w:fill="auto"/>
          </w:tcPr>
          <w:p w14:paraId="18621FE6" w14:textId="1035B902" w:rsidR="00FB7E57" w:rsidRDefault="00966EF0" w:rsidP="00FB7E57">
            <w:pPr>
              <w:spacing w:after="4"/>
              <w:jc w:val="both"/>
              <w:rPr>
                <w:rFonts w:asciiTheme="minorHAnsi" w:hAnsiTheme="minorHAnsi" w:cstheme="minorHAnsi"/>
                <w:sz w:val="20"/>
                <w:szCs w:val="20"/>
              </w:rPr>
            </w:pPr>
            <w:r>
              <w:rPr>
                <w:rFonts w:ascii="Calibri" w:hAnsi="Calibri"/>
                <w:b/>
                <w:sz w:val="18"/>
              </w:rPr>
              <w:t xml:space="preserve">Este proyecto contribuirá al logro de los siguientes Objetivos de Desarrollo Sostenible:  </w:t>
            </w:r>
            <w:r>
              <w:rPr>
                <w:rFonts w:asciiTheme="minorHAnsi" w:hAnsiTheme="minorHAnsi"/>
                <w:sz w:val="20"/>
              </w:rPr>
              <w:t xml:space="preserve">ODS 1 "Fin de la </w:t>
            </w:r>
            <w:r w:rsidR="009C14A8">
              <w:rPr>
                <w:rFonts w:asciiTheme="minorHAnsi" w:hAnsiTheme="minorHAnsi"/>
                <w:sz w:val="20"/>
              </w:rPr>
              <w:t>P</w:t>
            </w:r>
            <w:r>
              <w:rPr>
                <w:rFonts w:asciiTheme="minorHAnsi" w:hAnsiTheme="minorHAnsi"/>
                <w:sz w:val="20"/>
              </w:rPr>
              <w:t xml:space="preserve">obreza"; ODS 2 "Hambre </w:t>
            </w:r>
            <w:r w:rsidR="009C14A8">
              <w:rPr>
                <w:rFonts w:asciiTheme="minorHAnsi" w:hAnsiTheme="minorHAnsi"/>
                <w:sz w:val="20"/>
              </w:rPr>
              <w:t>C</w:t>
            </w:r>
            <w:r>
              <w:rPr>
                <w:rFonts w:asciiTheme="minorHAnsi" w:hAnsiTheme="minorHAnsi"/>
                <w:sz w:val="20"/>
              </w:rPr>
              <w:t xml:space="preserve">ero"; ODS 3 "Salud y </w:t>
            </w:r>
            <w:r w:rsidR="009C14A8">
              <w:rPr>
                <w:rFonts w:asciiTheme="minorHAnsi" w:hAnsiTheme="minorHAnsi"/>
                <w:sz w:val="20"/>
              </w:rPr>
              <w:t>B</w:t>
            </w:r>
            <w:r>
              <w:rPr>
                <w:rFonts w:asciiTheme="minorHAnsi" w:hAnsiTheme="minorHAnsi"/>
                <w:sz w:val="20"/>
              </w:rPr>
              <w:t xml:space="preserve">ienestar"; ODS 5 "Igualdad de </w:t>
            </w:r>
            <w:r w:rsidR="009C14A8">
              <w:rPr>
                <w:rFonts w:asciiTheme="minorHAnsi" w:hAnsiTheme="minorHAnsi"/>
                <w:sz w:val="20"/>
              </w:rPr>
              <w:t>G</w:t>
            </w:r>
            <w:r>
              <w:rPr>
                <w:rFonts w:asciiTheme="minorHAnsi" w:hAnsiTheme="minorHAnsi"/>
                <w:sz w:val="20"/>
              </w:rPr>
              <w:t xml:space="preserve">énero"; </w:t>
            </w:r>
          </w:p>
          <w:p w14:paraId="58F74205" w14:textId="0EFA5D82" w:rsidR="00966EF0" w:rsidRPr="00FB7E57" w:rsidRDefault="00FB7E57" w:rsidP="00FB7E57">
            <w:pPr>
              <w:spacing w:after="4"/>
              <w:jc w:val="both"/>
              <w:rPr>
                <w:rFonts w:asciiTheme="minorHAnsi" w:hAnsiTheme="minorHAnsi" w:cstheme="minorHAnsi"/>
                <w:sz w:val="20"/>
                <w:szCs w:val="20"/>
              </w:rPr>
            </w:pPr>
            <w:r>
              <w:rPr>
                <w:rFonts w:asciiTheme="minorHAnsi" w:hAnsiTheme="minorHAnsi"/>
                <w:sz w:val="20"/>
              </w:rPr>
              <w:t xml:space="preserve">ODS 6 "Agua </w:t>
            </w:r>
            <w:r w:rsidR="009C14A8">
              <w:rPr>
                <w:rFonts w:asciiTheme="minorHAnsi" w:hAnsiTheme="minorHAnsi"/>
                <w:sz w:val="20"/>
              </w:rPr>
              <w:t>L</w:t>
            </w:r>
            <w:r>
              <w:rPr>
                <w:rFonts w:asciiTheme="minorHAnsi" w:hAnsiTheme="minorHAnsi"/>
                <w:sz w:val="20"/>
              </w:rPr>
              <w:t xml:space="preserve">impia y </w:t>
            </w:r>
            <w:r w:rsidR="009C14A8">
              <w:rPr>
                <w:rFonts w:asciiTheme="minorHAnsi" w:hAnsiTheme="minorHAnsi"/>
                <w:sz w:val="20"/>
              </w:rPr>
              <w:t>S</w:t>
            </w:r>
            <w:r>
              <w:rPr>
                <w:rFonts w:asciiTheme="minorHAnsi" w:hAnsiTheme="minorHAnsi"/>
                <w:sz w:val="20"/>
              </w:rPr>
              <w:t xml:space="preserve">aneamiento"; ODS 9 "Industria, </w:t>
            </w:r>
            <w:r w:rsidR="009C14A8">
              <w:rPr>
                <w:rFonts w:asciiTheme="minorHAnsi" w:hAnsiTheme="minorHAnsi"/>
                <w:sz w:val="20"/>
              </w:rPr>
              <w:t>I</w:t>
            </w:r>
            <w:r>
              <w:rPr>
                <w:rFonts w:asciiTheme="minorHAnsi" w:hAnsiTheme="minorHAnsi"/>
                <w:sz w:val="20"/>
              </w:rPr>
              <w:t xml:space="preserve">nnovación e </w:t>
            </w:r>
            <w:r w:rsidR="009C14A8">
              <w:rPr>
                <w:rFonts w:asciiTheme="minorHAnsi" w:hAnsiTheme="minorHAnsi"/>
                <w:sz w:val="20"/>
              </w:rPr>
              <w:t>I</w:t>
            </w:r>
            <w:r>
              <w:rPr>
                <w:rFonts w:asciiTheme="minorHAnsi" w:hAnsiTheme="minorHAnsi"/>
                <w:sz w:val="20"/>
              </w:rPr>
              <w:t xml:space="preserve">nfraestructuras; ODS 10 "Reducción de las </w:t>
            </w:r>
            <w:r w:rsidR="009C14A8">
              <w:rPr>
                <w:rFonts w:asciiTheme="minorHAnsi" w:hAnsiTheme="minorHAnsi"/>
                <w:sz w:val="20"/>
              </w:rPr>
              <w:t>D</w:t>
            </w:r>
            <w:r>
              <w:rPr>
                <w:rFonts w:asciiTheme="minorHAnsi" w:hAnsiTheme="minorHAnsi"/>
                <w:sz w:val="20"/>
              </w:rPr>
              <w:t xml:space="preserve">esigualdades" mediante el aumento de los ingresos de los pequeños agricultores; ODS 12 "Consumo y </w:t>
            </w:r>
            <w:r w:rsidR="009C14A8">
              <w:rPr>
                <w:rFonts w:asciiTheme="minorHAnsi" w:hAnsiTheme="minorHAnsi"/>
                <w:sz w:val="20"/>
              </w:rPr>
              <w:t>P</w:t>
            </w:r>
            <w:r>
              <w:rPr>
                <w:rFonts w:asciiTheme="minorHAnsi" w:hAnsiTheme="minorHAnsi"/>
                <w:sz w:val="20"/>
              </w:rPr>
              <w:t xml:space="preserve">roducción </w:t>
            </w:r>
            <w:r w:rsidR="009C14A8">
              <w:rPr>
                <w:rFonts w:asciiTheme="minorHAnsi" w:hAnsiTheme="minorHAnsi"/>
                <w:sz w:val="20"/>
              </w:rPr>
              <w:t>R</w:t>
            </w:r>
            <w:r>
              <w:rPr>
                <w:rFonts w:asciiTheme="minorHAnsi" w:hAnsiTheme="minorHAnsi"/>
                <w:sz w:val="20"/>
              </w:rPr>
              <w:t xml:space="preserve">esponsables"; ODS 14 "Vida </w:t>
            </w:r>
            <w:r w:rsidR="009C14A8">
              <w:rPr>
                <w:rFonts w:asciiTheme="minorHAnsi" w:hAnsiTheme="minorHAnsi"/>
                <w:sz w:val="20"/>
              </w:rPr>
              <w:t>S</w:t>
            </w:r>
            <w:r>
              <w:rPr>
                <w:rFonts w:asciiTheme="minorHAnsi" w:hAnsiTheme="minorHAnsi"/>
                <w:sz w:val="20"/>
              </w:rPr>
              <w:t xml:space="preserve">ubmarina"; ODS 15 "Vida de </w:t>
            </w:r>
            <w:r w:rsidR="009C14A8">
              <w:rPr>
                <w:rFonts w:asciiTheme="minorHAnsi" w:hAnsiTheme="minorHAnsi"/>
                <w:sz w:val="20"/>
              </w:rPr>
              <w:t>E</w:t>
            </w:r>
            <w:r>
              <w:rPr>
                <w:rFonts w:asciiTheme="minorHAnsi" w:hAnsiTheme="minorHAnsi"/>
                <w:sz w:val="20"/>
              </w:rPr>
              <w:t xml:space="preserve">cosistemas </w:t>
            </w:r>
            <w:r w:rsidR="009C14A8">
              <w:rPr>
                <w:rFonts w:asciiTheme="minorHAnsi" w:hAnsiTheme="minorHAnsi"/>
                <w:sz w:val="20"/>
              </w:rPr>
              <w:t>T</w:t>
            </w:r>
            <w:r>
              <w:rPr>
                <w:rFonts w:asciiTheme="minorHAnsi" w:hAnsiTheme="minorHAnsi"/>
                <w:sz w:val="20"/>
              </w:rPr>
              <w:t>errestres".</w:t>
            </w:r>
          </w:p>
        </w:tc>
      </w:tr>
      <w:tr w:rsidR="00966EF0" w:rsidRPr="001B17BF" w14:paraId="5E642FF8" w14:textId="77777777" w:rsidTr="00BA3DD6">
        <w:trPr>
          <w:trHeight w:val="287"/>
        </w:trPr>
        <w:tc>
          <w:tcPr>
            <w:tcW w:w="14418" w:type="dxa"/>
            <w:gridSpan w:val="5"/>
            <w:shd w:val="clear" w:color="auto" w:fill="auto"/>
          </w:tcPr>
          <w:p w14:paraId="18DFD7BD" w14:textId="0AB6B563" w:rsidR="00966EF0" w:rsidRPr="00A562E4" w:rsidRDefault="00966EF0" w:rsidP="00966EF0">
            <w:pPr>
              <w:spacing w:after="60"/>
              <w:jc w:val="both"/>
              <w:rPr>
                <w:rFonts w:ascii="Calibri" w:eastAsia="SimSun" w:hAnsi="Calibri" w:cs="Calibri"/>
                <w:b/>
                <w:sz w:val="18"/>
                <w:szCs w:val="18"/>
              </w:rPr>
            </w:pPr>
            <w:r>
              <w:rPr>
                <w:rFonts w:ascii="Calibri" w:hAnsi="Calibri"/>
                <w:b/>
                <w:sz w:val="18"/>
              </w:rPr>
              <w:t>Este proyecto contribuirá a los siguientes resultados nacionales (</w:t>
            </w:r>
            <w:r w:rsidR="006B685B">
              <w:rPr>
                <w:rFonts w:ascii="Calibri" w:hAnsi="Calibri"/>
                <w:b/>
                <w:sz w:val="18"/>
              </w:rPr>
              <w:t>UNDAF</w:t>
            </w:r>
            <w:r>
              <w:rPr>
                <w:rFonts w:ascii="Calibri" w:hAnsi="Calibri"/>
                <w:b/>
                <w:sz w:val="18"/>
              </w:rPr>
              <w:t xml:space="preserve">/CPD, RPD, GPD): </w:t>
            </w:r>
            <w:r>
              <w:rPr>
                <w:rFonts w:ascii="Calibri" w:hAnsi="Calibri"/>
                <w:sz w:val="18"/>
              </w:rPr>
              <w:t xml:space="preserve">UNSDCF 2022-2026 Efecto 2: </w:t>
            </w:r>
            <w:r w:rsidR="00517E47">
              <w:rPr>
                <w:rFonts w:ascii="Calibri" w:hAnsi="Calibri"/>
                <w:sz w:val="18"/>
              </w:rPr>
              <w:t>e</w:t>
            </w:r>
            <w:r>
              <w:rPr>
                <w:rFonts w:ascii="Calibri" w:hAnsi="Calibri"/>
                <w:sz w:val="18"/>
              </w:rPr>
              <w:t xml:space="preserve">n 2026, el Estado y la sociedad avanzan hacia la transición ecológica y hacia una economía sostenible e inclusiva, descarbonizada y resiliente a los efectos del cambio climático, conservando la biodiversidad, evitando la degradación del suelo y la contaminación de los ecosistemas, con un enfoque de género, inclusión y diversidad. / CPD Resultado 2.1: </w:t>
            </w:r>
            <w:r w:rsidR="00517E47">
              <w:rPr>
                <w:rFonts w:ascii="Calibri" w:hAnsi="Calibri"/>
                <w:sz w:val="18"/>
              </w:rPr>
              <w:t>s</w:t>
            </w:r>
            <w:r>
              <w:rPr>
                <w:rFonts w:ascii="Calibri" w:hAnsi="Calibri"/>
                <w:sz w:val="18"/>
              </w:rPr>
              <w:t xml:space="preserve">e aplican instrumentos y mecanismos a nivel nacional o subnacional para gestionar los recursos naturales de forma sostenible para integrar la adaptación al cambio climático, su mitigación y efectos, y para la transición hacia un sistema productivo más sostenible; Resultado 2.2 del CPD: </w:t>
            </w:r>
            <w:r w:rsidR="00517E47">
              <w:rPr>
                <w:rFonts w:ascii="Calibri" w:hAnsi="Calibri"/>
                <w:sz w:val="18"/>
              </w:rPr>
              <w:t>r</w:t>
            </w:r>
            <w:r>
              <w:rPr>
                <w:rFonts w:ascii="Calibri" w:hAnsi="Calibri"/>
                <w:sz w:val="18"/>
              </w:rPr>
              <w:t>ealización de actividades de conservación y gestión forestal sostenible, así como de buenas prácticas en la cadena de suministro sostenible.</w:t>
            </w:r>
          </w:p>
        </w:tc>
      </w:tr>
      <w:tr w:rsidR="00966EF0" w:rsidRPr="00140D10" w14:paraId="22A7F269" w14:textId="77777777" w:rsidTr="000C6D00">
        <w:trPr>
          <w:trHeight w:val="544"/>
        </w:trPr>
        <w:tc>
          <w:tcPr>
            <w:tcW w:w="2605" w:type="dxa"/>
            <w:shd w:val="clear" w:color="auto" w:fill="auto"/>
          </w:tcPr>
          <w:p w14:paraId="449133C8" w14:textId="77777777" w:rsidR="00966EF0" w:rsidRPr="002152FE" w:rsidRDefault="00966EF0" w:rsidP="00966EF0">
            <w:pPr>
              <w:spacing w:after="60"/>
              <w:jc w:val="center"/>
              <w:rPr>
                <w:rFonts w:ascii="Calibri" w:eastAsia="SimSun" w:hAnsi="Calibri" w:cs="Calibri"/>
                <w:b/>
                <w:bCs/>
                <w:sz w:val="18"/>
                <w:szCs w:val="18"/>
                <w:lang w:val="es-EC"/>
              </w:rPr>
            </w:pPr>
          </w:p>
        </w:tc>
        <w:tc>
          <w:tcPr>
            <w:tcW w:w="4230" w:type="dxa"/>
            <w:shd w:val="clear" w:color="auto" w:fill="auto"/>
          </w:tcPr>
          <w:p w14:paraId="117C4EB5" w14:textId="77777777" w:rsidR="00966EF0" w:rsidRPr="003647C7" w:rsidRDefault="00966EF0" w:rsidP="00966EF0">
            <w:pPr>
              <w:spacing w:after="60"/>
              <w:jc w:val="center"/>
              <w:rPr>
                <w:rFonts w:ascii="Calibri" w:eastAsia="SimSun" w:hAnsi="Calibri" w:cs="Calibri"/>
                <w:b/>
                <w:bCs/>
                <w:sz w:val="18"/>
                <w:szCs w:val="18"/>
              </w:rPr>
            </w:pPr>
            <w:r>
              <w:rPr>
                <w:rFonts w:ascii="Calibri" w:hAnsi="Calibri"/>
                <w:b/>
                <w:sz w:val="18"/>
              </w:rPr>
              <w:t>Indicadores de objetivos y resultados</w:t>
            </w:r>
          </w:p>
          <w:p w14:paraId="68E4416E" w14:textId="733CC3E8" w:rsidR="00966EF0" w:rsidRPr="00A562E4" w:rsidRDefault="00966EF0" w:rsidP="00966EF0">
            <w:pPr>
              <w:spacing w:after="60"/>
              <w:jc w:val="center"/>
              <w:rPr>
                <w:rFonts w:ascii="Calibri" w:eastAsia="SimSun" w:hAnsi="Calibri" w:cs="Calibri"/>
                <w:b/>
                <w:bCs/>
                <w:sz w:val="18"/>
                <w:szCs w:val="18"/>
              </w:rPr>
            </w:pPr>
            <w:r>
              <w:rPr>
                <w:rFonts w:ascii="Calibri" w:hAnsi="Calibri"/>
                <w:b/>
                <w:sz w:val="18"/>
              </w:rPr>
              <w:t>(no más de un total de 20 indicadores)</w:t>
            </w:r>
          </w:p>
        </w:tc>
        <w:tc>
          <w:tcPr>
            <w:tcW w:w="2160" w:type="dxa"/>
            <w:shd w:val="clear" w:color="auto" w:fill="auto"/>
            <w:vAlign w:val="center"/>
          </w:tcPr>
          <w:p w14:paraId="304615E2" w14:textId="29561C1D" w:rsidR="00966EF0" w:rsidRPr="00A562E4" w:rsidRDefault="00966EF0" w:rsidP="000C6D00">
            <w:pPr>
              <w:spacing w:after="60"/>
              <w:jc w:val="center"/>
              <w:rPr>
                <w:rFonts w:ascii="Calibri" w:eastAsia="SimSun" w:hAnsi="Calibri" w:cs="Calibri"/>
                <w:b/>
                <w:bCs/>
                <w:sz w:val="18"/>
                <w:szCs w:val="18"/>
              </w:rPr>
            </w:pPr>
            <w:r>
              <w:rPr>
                <w:rFonts w:ascii="Calibri" w:hAnsi="Calibri"/>
                <w:b/>
                <w:sz w:val="18"/>
              </w:rPr>
              <w:t>Línea de base</w:t>
            </w:r>
            <w:bookmarkStart w:id="37" w:name="_Ref430614916"/>
            <w:r w:rsidRPr="0018107D">
              <w:rPr>
                <w:rFonts w:ascii="Calibri" w:eastAsia="SimSun" w:hAnsi="Calibri" w:cs="Calibri"/>
                <w:b/>
                <w:bCs/>
                <w:sz w:val="18"/>
                <w:szCs w:val="18"/>
                <w:vertAlign w:val="superscript"/>
              </w:rPr>
              <w:footnoteReference w:id="28"/>
            </w:r>
            <w:bookmarkEnd w:id="37"/>
          </w:p>
        </w:tc>
        <w:tc>
          <w:tcPr>
            <w:tcW w:w="2520" w:type="dxa"/>
            <w:shd w:val="clear" w:color="auto" w:fill="auto"/>
            <w:vAlign w:val="center"/>
          </w:tcPr>
          <w:p w14:paraId="3900710D" w14:textId="01D02633" w:rsidR="00966EF0" w:rsidRPr="00A562E4" w:rsidRDefault="00966EF0" w:rsidP="000C6D00">
            <w:pPr>
              <w:spacing w:after="60"/>
              <w:jc w:val="center"/>
              <w:rPr>
                <w:rFonts w:ascii="Calibri" w:eastAsia="SimSun" w:hAnsi="Calibri" w:cs="Calibri"/>
                <w:b/>
                <w:bCs/>
                <w:sz w:val="18"/>
                <w:szCs w:val="18"/>
              </w:rPr>
            </w:pPr>
            <w:r>
              <w:rPr>
                <w:rFonts w:ascii="Calibri" w:hAnsi="Calibri"/>
                <w:b/>
                <w:sz w:val="18"/>
              </w:rPr>
              <w:t>Objetivo a mediano plazo</w:t>
            </w:r>
            <w:r w:rsidRPr="0018107D">
              <w:rPr>
                <w:rFonts w:ascii="Calibri" w:eastAsia="SimSun" w:hAnsi="Calibri" w:cs="Calibri"/>
                <w:b/>
                <w:bCs/>
                <w:sz w:val="18"/>
                <w:szCs w:val="18"/>
                <w:vertAlign w:val="superscript"/>
              </w:rPr>
              <w:footnoteReference w:id="29"/>
            </w:r>
          </w:p>
        </w:tc>
        <w:tc>
          <w:tcPr>
            <w:tcW w:w="2903" w:type="dxa"/>
            <w:shd w:val="clear" w:color="auto" w:fill="auto"/>
            <w:vAlign w:val="center"/>
          </w:tcPr>
          <w:p w14:paraId="067070E7" w14:textId="6608FC9E" w:rsidR="00966EF0" w:rsidRPr="00A562E4" w:rsidRDefault="00966EF0" w:rsidP="000C6D00">
            <w:pPr>
              <w:spacing w:after="60"/>
              <w:jc w:val="center"/>
              <w:rPr>
                <w:rFonts w:ascii="Calibri" w:eastAsia="SimSun" w:hAnsi="Calibri" w:cs="Calibri"/>
                <w:b/>
                <w:bCs/>
                <w:sz w:val="18"/>
                <w:szCs w:val="18"/>
              </w:rPr>
            </w:pPr>
            <w:r>
              <w:rPr>
                <w:rFonts w:ascii="Calibri" w:hAnsi="Calibri"/>
                <w:b/>
                <w:sz w:val="18"/>
              </w:rPr>
              <w:t>Objetivo al final del proyecto</w:t>
            </w:r>
          </w:p>
        </w:tc>
      </w:tr>
      <w:tr w:rsidR="00966EF0" w:rsidRPr="001B17BF" w14:paraId="45675D12" w14:textId="77777777" w:rsidTr="0018107D">
        <w:trPr>
          <w:trHeight w:val="477"/>
        </w:trPr>
        <w:tc>
          <w:tcPr>
            <w:tcW w:w="2605" w:type="dxa"/>
            <w:vMerge w:val="restart"/>
            <w:shd w:val="clear" w:color="auto" w:fill="auto"/>
          </w:tcPr>
          <w:p w14:paraId="5BAD2638" w14:textId="192E0CA3" w:rsidR="00966EF0" w:rsidRPr="0018107D" w:rsidRDefault="00966EF0" w:rsidP="00966EF0">
            <w:pPr>
              <w:spacing w:after="60"/>
              <w:rPr>
                <w:rFonts w:ascii="Calibri" w:eastAsia="SimSun" w:hAnsi="Calibri" w:cs="Calibri"/>
                <w:b/>
                <w:bCs/>
                <w:sz w:val="18"/>
                <w:szCs w:val="18"/>
              </w:rPr>
            </w:pPr>
            <w:r>
              <w:rPr>
                <w:rFonts w:ascii="Calibri" w:hAnsi="Calibri"/>
                <w:b/>
                <w:sz w:val="18"/>
              </w:rPr>
              <w:t>Objetivo del proyecto</w:t>
            </w:r>
          </w:p>
        </w:tc>
        <w:tc>
          <w:tcPr>
            <w:tcW w:w="11813" w:type="dxa"/>
            <w:gridSpan w:val="4"/>
          </w:tcPr>
          <w:p w14:paraId="1CA01C38" w14:textId="1E59541C" w:rsidR="00966EF0" w:rsidRPr="00A562E4" w:rsidRDefault="0018107D" w:rsidP="0018107D">
            <w:pPr>
              <w:rPr>
                <w:rFonts w:ascii="Calibri" w:hAnsi="Calibri" w:cs="Calibri"/>
                <w:sz w:val="18"/>
                <w:szCs w:val="18"/>
              </w:rPr>
            </w:pPr>
            <w:r>
              <w:rPr>
                <w:rFonts w:ascii="Calibri" w:hAnsi="Calibri"/>
                <w:sz w:val="18"/>
              </w:rPr>
              <w:t>Reducir el uso global</w:t>
            </w:r>
            <w:r w:rsidR="00517E47">
              <w:rPr>
                <w:rFonts w:ascii="Calibri" w:hAnsi="Calibri"/>
                <w:sz w:val="18"/>
              </w:rPr>
              <w:t xml:space="preserve"> </w:t>
            </w:r>
            <w:r>
              <w:rPr>
                <w:rFonts w:ascii="Calibri" w:hAnsi="Calibri"/>
                <w:sz w:val="18"/>
              </w:rPr>
              <w:t>de productos agroquímicos nocivos ayudando a los agricultores a acceder a financiación, a prácticas de producción innovadoras y sostenibles y a un acceso competitivo a los mercados de consumo en Ecuador</w:t>
            </w:r>
          </w:p>
        </w:tc>
      </w:tr>
      <w:tr w:rsidR="00966EF0" w:rsidRPr="005407A4" w14:paraId="536F44EF" w14:textId="77777777" w:rsidTr="00F7542E">
        <w:trPr>
          <w:trHeight w:val="665"/>
        </w:trPr>
        <w:tc>
          <w:tcPr>
            <w:tcW w:w="2605" w:type="dxa"/>
            <w:vMerge/>
          </w:tcPr>
          <w:p w14:paraId="296A5561" w14:textId="77777777" w:rsidR="00966EF0" w:rsidRPr="002152FE" w:rsidRDefault="00966EF0" w:rsidP="00966EF0">
            <w:pPr>
              <w:spacing w:after="60"/>
              <w:rPr>
                <w:rFonts w:ascii="Calibri" w:eastAsia="SimSun" w:hAnsi="Calibri" w:cs="Calibri"/>
                <w:b/>
                <w:bCs/>
                <w:i/>
                <w:sz w:val="18"/>
                <w:szCs w:val="18"/>
                <w:lang w:val="es-EC"/>
              </w:rPr>
            </w:pPr>
          </w:p>
        </w:tc>
        <w:tc>
          <w:tcPr>
            <w:tcW w:w="4230" w:type="dxa"/>
          </w:tcPr>
          <w:p w14:paraId="2239D6B6" w14:textId="6317A3ED" w:rsidR="004D3150" w:rsidRPr="00A562E4" w:rsidRDefault="004D3150" w:rsidP="00966EF0">
            <w:pPr>
              <w:spacing w:after="60"/>
              <w:rPr>
                <w:rFonts w:ascii="Calibri" w:eastAsia="SimSun" w:hAnsi="Calibri" w:cs="Calibri"/>
                <w:b/>
                <w:bCs/>
                <w:sz w:val="18"/>
                <w:szCs w:val="18"/>
                <w:u w:val="single"/>
              </w:rPr>
            </w:pPr>
            <w:r>
              <w:rPr>
                <w:rFonts w:ascii="Calibri" w:hAnsi="Calibri"/>
                <w:b/>
                <w:sz w:val="18"/>
                <w:u w:val="single"/>
              </w:rPr>
              <w:t>Indicador 1:</w:t>
            </w:r>
          </w:p>
          <w:p w14:paraId="74D53F5D" w14:textId="63FC720A" w:rsidR="004D3150" w:rsidRPr="00A562E4" w:rsidRDefault="00966EF0" w:rsidP="00966EF0">
            <w:pPr>
              <w:spacing w:after="60"/>
              <w:rPr>
                <w:rFonts w:ascii="Calibri" w:eastAsia="SimSun" w:hAnsi="Calibri" w:cs="Calibri"/>
                <w:bCs/>
                <w:sz w:val="18"/>
                <w:szCs w:val="18"/>
                <w:u w:val="single"/>
              </w:rPr>
            </w:pPr>
            <w:r>
              <w:rPr>
                <w:rFonts w:ascii="Calibri" w:hAnsi="Calibri"/>
                <w:sz w:val="18"/>
                <w:u w:val="single"/>
              </w:rPr>
              <w:t xml:space="preserve">Indicadores </w:t>
            </w:r>
            <w:r w:rsidR="00517E47">
              <w:rPr>
                <w:rFonts w:ascii="Calibri" w:hAnsi="Calibri"/>
                <w:sz w:val="18"/>
                <w:u w:val="single"/>
              </w:rPr>
              <w:t>B</w:t>
            </w:r>
            <w:r>
              <w:rPr>
                <w:rFonts w:ascii="Calibri" w:hAnsi="Calibri"/>
                <w:sz w:val="18"/>
                <w:u w:val="single"/>
              </w:rPr>
              <w:t xml:space="preserve">ásicos </w:t>
            </w:r>
            <w:r>
              <w:rPr>
                <w:rFonts w:ascii="Calibri" w:hAnsi="Calibri"/>
                <w:b/>
                <w:sz w:val="18"/>
                <w:u w:val="single"/>
              </w:rPr>
              <w:t>Obligatorios</w:t>
            </w:r>
            <w:r>
              <w:rPr>
                <w:rFonts w:ascii="Calibri" w:hAnsi="Calibri"/>
                <w:sz w:val="18"/>
                <w:u w:val="single"/>
              </w:rPr>
              <w:t xml:space="preserve"> del FMAM 11:</w:t>
            </w:r>
          </w:p>
          <w:p w14:paraId="22E7AE92" w14:textId="53EC702F" w:rsidR="00966EF0" w:rsidRPr="003264DC" w:rsidRDefault="00966EF0" w:rsidP="00966EF0">
            <w:pPr>
              <w:spacing w:after="60"/>
              <w:rPr>
                <w:rFonts w:ascii="Calibri" w:eastAsia="SimSun" w:hAnsi="Calibri" w:cs="Calibri"/>
                <w:bCs/>
                <w:i/>
                <w:sz w:val="18"/>
                <w:szCs w:val="18"/>
              </w:rPr>
            </w:pPr>
            <w:r>
              <w:rPr>
                <w:rFonts w:ascii="Calibri" w:hAnsi="Calibri"/>
                <w:sz w:val="18"/>
              </w:rPr>
              <w:t># de beneficiarios directos del proyecto desglosados por género (individuos)</w:t>
            </w:r>
          </w:p>
        </w:tc>
        <w:tc>
          <w:tcPr>
            <w:tcW w:w="2160" w:type="dxa"/>
          </w:tcPr>
          <w:p w14:paraId="7E6D748F" w14:textId="141160ED" w:rsidR="007C45F6" w:rsidRPr="002E57BC" w:rsidRDefault="007C45F6" w:rsidP="007C45F6">
            <w:pPr>
              <w:jc w:val="center"/>
              <w:rPr>
                <w:rFonts w:asciiTheme="minorHAnsi" w:hAnsiTheme="minorHAnsi" w:cstheme="minorBidi"/>
                <w:color w:val="000000" w:themeColor="text1"/>
                <w:sz w:val="18"/>
                <w:szCs w:val="18"/>
              </w:rPr>
            </w:pPr>
            <w:r>
              <w:rPr>
                <w:rFonts w:asciiTheme="minorHAnsi" w:hAnsiTheme="minorHAnsi"/>
                <w:color w:val="000000" w:themeColor="text1"/>
                <w:sz w:val="18"/>
              </w:rPr>
              <w:t>Durante la fase del PPG, 311 beneficiarios directos del proyecto han participado en reuniones bilaterales/de mesa redonda:</w:t>
            </w:r>
          </w:p>
          <w:p w14:paraId="55D09C40" w14:textId="7C0A4DEF" w:rsidR="007C45F6" w:rsidRPr="002E57BC" w:rsidRDefault="007C45F6" w:rsidP="007C45F6">
            <w:pPr>
              <w:jc w:val="center"/>
              <w:rPr>
                <w:rFonts w:asciiTheme="minorHAnsi" w:hAnsiTheme="minorHAnsi" w:cstheme="minorBidi"/>
                <w:color w:val="000000" w:themeColor="text1"/>
                <w:sz w:val="18"/>
                <w:szCs w:val="18"/>
              </w:rPr>
            </w:pPr>
            <w:r>
              <w:rPr>
                <w:rFonts w:asciiTheme="minorHAnsi" w:hAnsiTheme="minorHAnsi"/>
                <w:color w:val="000000" w:themeColor="text1"/>
                <w:sz w:val="18"/>
              </w:rPr>
              <w:t>Mujeres: 159</w:t>
            </w:r>
          </w:p>
          <w:p w14:paraId="2D20E9D6" w14:textId="2D6E9854" w:rsidR="00966EF0" w:rsidRPr="007C45F6" w:rsidRDefault="007C45F6" w:rsidP="007C45F6">
            <w:pPr>
              <w:jc w:val="center"/>
              <w:rPr>
                <w:rFonts w:asciiTheme="minorHAnsi" w:hAnsiTheme="minorHAnsi" w:cstheme="minorBidi"/>
                <w:sz w:val="18"/>
                <w:szCs w:val="18"/>
              </w:rPr>
            </w:pPr>
            <w:r>
              <w:rPr>
                <w:rFonts w:asciiTheme="minorHAnsi" w:hAnsiTheme="minorHAnsi"/>
                <w:color w:val="000000" w:themeColor="text1"/>
                <w:sz w:val="18"/>
              </w:rPr>
              <w:t>Hombres: 152</w:t>
            </w:r>
          </w:p>
        </w:tc>
        <w:tc>
          <w:tcPr>
            <w:tcW w:w="2520" w:type="dxa"/>
            <w:vAlign w:val="center"/>
          </w:tcPr>
          <w:p w14:paraId="51D0E93E" w14:textId="73622E8D" w:rsidR="00F7542E" w:rsidRPr="009B1578" w:rsidRDefault="00F7542E" w:rsidP="00F7542E">
            <w:pPr>
              <w:spacing w:before="40" w:after="40"/>
              <w:jc w:val="center"/>
              <w:rPr>
                <w:rFonts w:asciiTheme="minorHAnsi" w:hAnsiTheme="minorHAnsi" w:cstheme="minorHAnsi"/>
                <w:bCs/>
                <w:sz w:val="18"/>
                <w:szCs w:val="18"/>
              </w:rPr>
            </w:pPr>
            <w:r>
              <w:rPr>
                <w:rFonts w:asciiTheme="minorHAnsi" w:hAnsiTheme="minorHAnsi"/>
                <w:sz w:val="18"/>
              </w:rPr>
              <w:t>2.300</w:t>
            </w:r>
          </w:p>
          <w:p w14:paraId="5690CF5B" w14:textId="77777777" w:rsidR="00F7542E" w:rsidRPr="009B1578" w:rsidRDefault="00F7542E" w:rsidP="00F7542E">
            <w:pPr>
              <w:spacing w:before="40" w:after="40"/>
              <w:jc w:val="center"/>
              <w:rPr>
                <w:rFonts w:asciiTheme="minorHAnsi" w:hAnsiTheme="minorHAnsi" w:cstheme="minorHAnsi"/>
                <w:bCs/>
                <w:sz w:val="18"/>
                <w:szCs w:val="18"/>
              </w:rPr>
            </w:pPr>
          </w:p>
          <w:p w14:paraId="0C6FBC1D" w14:textId="6FF8D15A" w:rsidR="00F7542E" w:rsidRDefault="00F7542E" w:rsidP="00F7542E">
            <w:pPr>
              <w:spacing w:before="40" w:after="40"/>
              <w:jc w:val="center"/>
              <w:rPr>
                <w:rFonts w:asciiTheme="minorHAnsi" w:hAnsiTheme="minorHAnsi" w:cstheme="minorHAnsi"/>
                <w:bCs/>
                <w:sz w:val="18"/>
                <w:szCs w:val="18"/>
              </w:rPr>
            </w:pPr>
            <w:r>
              <w:rPr>
                <w:rFonts w:asciiTheme="minorHAnsi" w:hAnsiTheme="minorHAnsi"/>
                <w:sz w:val="18"/>
              </w:rPr>
              <w:t>Mujeres: 802</w:t>
            </w:r>
          </w:p>
          <w:p w14:paraId="62B78591" w14:textId="08D75534" w:rsidR="00966EF0" w:rsidRPr="00A562E4" w:rsidRDefault="00F7542E" w:rsidP="00F7542E">
            <w:pPr>
              <w:spacing w:after="60"/>
              <w:jc w:val="center"/>
              <w:rPr>
                <w:rFonts w:ascii="Calibri" w:eastAsia="SimSun" w:hAnsi="Calibri" w:cs="Calibri"/>
                <w:bCs/>
                <w:i/>
                <w:sz w:val="18"/>
                <w:szCs w:val="18"/>
                <w:highlight w:val="yellow"/>
              </w:rPr>
            </w:pPr>
            <w:r>
              <w:rPr>
                <w:rFonts w:asciiTheme="minorHAnsi" w:hAnsiTheme="minorHAnsi"/>
                <w:sz w:val="18"/>
              </w:rPr>
              <w:t>Hombres:  1.498</w:t>
            </w:r>
          </w:p>
        </w:tc>
        <w:tc>
          <w:tcPr>
            <w:tcW w:w="2903" w:type="dxa"/>
            <w:vAlign w:val="center"/>
          </w:tcPr>
          <w:p w14:paraId="1BC85419" w14:textId="352FF8C9" w:rsidR="003264DC" w:rsidRPr="009B1578" w:rsidRDefault="003264DC" w:rsidP="00F7542E">
            <w:pPr>
              <w:spacing w:before="40" w:after="40"/>
              <w:jc w:val="center"/>
              <w:rPr>
                <w:rFonts w:asciiTheme="minorHAnsi" w:hAnsiTheme="minorHAnsi" w:cstheme="minorHAnsi"/>
                <w:bCs/>
                <w:sz w:val="18"/>
                <w:szCs w:val="18"/>
              </w:rPr>
            </w:pPr>
            <w:r>
              <w:rPr>
                <w:rFonts w:asciiTheme="minorHAnsi" w:hAnsiTheme="minorHAnsi"/>
                <w:sz w:val="18"/>
              </w:rPr>
              <w:t>7.800</w:t>
            </w:r>
          </w:p>
          <w:p w14:paraId="6F4F040B" w14:textId="77777777" w:rsidR="003264DC" w:rsidRPr="009B1578" w:rsidRDefault="003264DC" w:rsidP="00F7542E">
            <w:pPr>
              <w:spacing w:before="40" w:after="40"/>
              <w:jc w:val="center"/>
              <w:rPr>
                <w:rFonts w:asciiTheme="minorHAnsi" w:hAnsiTheme="minorHAnsi" w:cstheme="minorHAnsi"/>
                <w:bCs/>
                <w:sz w:val="18"/>
                <w:szCs w:val="18"/>
              </w:rPr>
            </w:pPr>
          </w:p>
          <w:p w14:paraId="04C5C845" w14:textId="3DDB0C83" w:rsidR="003264DC" w:rsidRDefault="003264DC" w:rsidP="00F7542E">
            <w:pPr>
              <w:spacing w:before="40" w:after="40"/>
              <w:jc w:val="center"/>
              <w:rPr>
                <w:rFonts w:asciiTheme="minorHAnsi" w:hAnsiTheme="minorHAnsi" w:cstheme="minorHAnsi"/>
                <w:bCs/>
                <w:sz w:val="18"/>
                <w:szCs w:val="18"/>
              </w:rPr>
            </w:pPr>
            <w:r>
              <w:rPr>
                <w:rFonts w:asciiTheme="minorHAnsi" w:hAnsiTheme="minorHAnsi"/>
                <w:sz w:val="18"/>
              </w:rPr>
              <w:t>Mujeres: 2.721</w:t>
            </w:r>
          </w:p>
          <w:p w14:paraId="358BE8D0" w14:textId="12E0A51F" w:rsidR="003264DC" w:rsidRPr="00A562E4" w:rsidRDefault="003264DC" w:rsidP="00F7542E">
            <w:pPr>
              <w:spacing w:before="40" w:after="40"/>
              <w:jc w:val="center"/>
              <w:rPr>
                <w:rFonts w:ascii="Calibri" w:eastAsia="SimSun" w:hAnsi="Calibri" w:cs="Calibri"/>
                <w:bCs/>
                <w:i/>
                <w:sz w:val="18"/>
                <w:szCs w:val="18"/>
                <w:highlight w:val="yellow"/>
              </w:rPr>
            </w:pPr>
            <w:r>
              <w:rPr>
                <w:rFonts w:asciiTheme="minorHAnsi" w:hAnsiTheme="minorHAnsi"/>
                <w:sz w:val="18"/>
              </w:rPr>
              <w:t>Hombres:  5.079</w:t>
            </w:r>
          </w:p>
        </w:tc>
      </w:tr>
      <w:tr w:rsidR="00966EF0" w:rsidRPr="001B17BF" w14:paraId="7126EB0B" w14:textId="77777777" w:rsidTr="00716C69">
        <w:trPr>
          <w:trHeight w:val="1167"/>
        </w:trPr>
        <w:tc>
          <w:tcPr>
            <w:tcW w:w="2605" w:type="dxa"/>
            <w:vMerge/>
          </w:tcPr>
          <w:p w14:paraId="6EB468B3" w14:textId="77777777" w:rsidR="00966EF0" w:rsidRPr="00A562E4" w:rsidRDefault="00966EF0" w:rsidP="00966EF0">
            <w:pPr>
              <w:spacing w:after="60"/>
              <w:rPr>
                <w:rFonts w:ascii="Calibri" w:eastAsia="SimSun" w:hAnsi="Calibri" w:cs="Calibri"/>
                <w:b/>
                <w:bCs/>
                <w:sz w:val="18"/>
                <w:szCs w:val="18"/>
                <w:lang w:val="en-US"/>
              </w:rPr>
            </w:pPr>
          </w:p>
        </w:tc>
        <w:tc>
          <w:tcPr>
            <w:tcW w:w="4230" w:type="dxa"/>
          </w:tcPr>
          <w:p w14:paraId="2E4D5C1F" w14:textId="54777B98" w:rsidR="004D3150" w:rsidRPr="00A562E4" w:rsidRDefault="004D3150" w:rsidP="00966EF0">
            <w:pPr>
              <w:spacing w:after="60"/>
              <w:rPr>
                <w:rFonts w:ascii="Calibri" w:eastAsia="SimSun" w:hAnsi="Calibri" w:cs="Calibri"/>
                <w:b/>
                <w:bCs/>
                <w:sz w:val="18"/>
                <w:szCs w:val="18"/>
                <w:u w:val="single"/>
              </w:rPr>
            </w:pPr>
            <w:r>
              <w:rPr>
                <w:rFonts w:ascii="Calibri" w:hAnsi="Calibri"/>
                <w:b/>
                <w:sz w:val="18"/>
                <w:u w:val="single"/>
              </w:rPr>
              <w:t>Indicador 2:</w:t>
            </w:r>
          </w:p>
          <w:p w14:paraId="1A21A01A" w14:textId="66AFC87D" w:rsidR="00966EF0" w:rsidRPr="00A562E4" w:rsidRDefault="00966EF0" w:rsidP="00966EF0">
            <w:pPr>
              <w:spacing w:after="60"/>
              <w:rPr>
                <w:rFonts w:ascii="Calibri" w:eastAsia="SimSun" w:hAnsi="Calibri" w:cs="Calibri"/>
                <w:bCs/>
                <w:sz w:val="18"/>
                <w:szCs w:val="18"/>
                <w:u w:val="single"/>
              </w:rPr>
            </w:pPr>
            <w:r>
              <w:rPr>
                <w:rFonts w:ascii="Calibri" w:hAnsi="Calibri"/>
                <w:sz w:val="18"/>
                <w:u w:val="single"/>
              </w:rPr>
              <w:t xml:space="preserve">Indicadores </w:t>
            </w:r>
            <w:r w:rsidR="00517E47">
              <w:rPr>
                <w:rFonts w:ascii="Calibri" w:hAnsi="Calibri"/>
                <w:sz w:val="18"/>
                <w:u w:val="single"/>
              </w:rPr>
              <w:t>B</w:t>
            </w:r>
            <w:r>
              <w:rPr>
                <w:rFonts w:ascii="Calibri" w:hAnsi="Calibri"/>
                <w:sz w:val="18"/>
                <w:u w:val="single"/>
              </w:rPr>
              <w:t xml:space="preserve">ásicos </w:t>
            </w:r>
            <w:r>
              <w:rPr>
                <w:rFonts w:ascii="Calibri" w:hAnsi="Calibri"/>
                <w:b/>
                <w:sz w:val="18"/>
                <w:u w:val="single"/>
              </w:rPr>
              <w:t>Obligatorios</w:t>
            </w:r>
            <w:r>
              <w:rPr>
                <w:rFonts w:ascii="Calibri" w:hAnsi="Calibri"/>
                <w:sz w:val="18"/>
                <w:u w:val="single"/>
              </w:rPr>
              <w:t xml:space="preserve"> del FMAM 6: </w:t>
            </w:r>
          </w:p>
          <w:p w14:paraId="21B7E018" w14:textId="6D30FCAB" w:rsidR="00966EF0" w:rsidRPr="00A562E4" w:rsidRDefault="004D3150" w:rsidP="00966EF0">
            <w:pPr>
              <w:spacing w:after="60"/>
              <w:rPr>
                <w:rFonts w:ascii="Calibri" w:eastAsia="SimSun" w:hAnsi="Calibri" w:cs="Calibri"/>
                <w:bCs/>
                <w:sz w:val="18"/>
                <w:szCs w:val="18"/>
              </w:rPr>
            </w:pPr>
            <w:r>
              <w:rPr>
                <w:rFonts w:ascii="Calibri" w:hAnsi="Calibri"/>
                <w:sz w:val="18"/>
              </w:rPr>
              <w:t xml:space="preserve">Emisiones de </w:t>
            </w:r>
            <w:r w:rsidR="004F5EC6">
              <w:rPr>
                <w:rFonts w:ascii="Calibri" w:hAnsi="Calibri"/>
                <w:sz w:val="18"/>
              </w:rPr>
              <w:t>G</w:t>
            </w:r>
            <w:r>
              <w:rPr>
                <w:rFonts w:ascii="Calibri" w:hAnsi="Calibri"/>
                <w:sz w:val="18"/>
              </w:rPr>
              <w:t xml:space="preserve">ases de </w:t>
            </w:r>
            <w:r w:rsidR="004F5EC6">
              <w:rPr>
                <w:rFonts w:ascii="Calibri" w:hAnsi="Calibri"/>
                <w:sz w:val="18"/>
              </w:rPr>
              <w:t>E</w:t>
            </w:r>
            <w:r>
              <w:rPr>
                <w:rFonts w:ascii="Calibri" w:hAnsi="Calibri"/>
                <w:sz w:val="18"/>
              </w:rPr>
              <w:t xml:space="preserve">fecto </w:t>
            </w:r>
            <w:r w:rsidR="004F5EC6">
              <w:rPr>
                <w:rFonts w:ascii="Calibri" w:hAnsi="Calibri"/>
                <w:sz w:val="18"/>
              </w:rPr>
              <w:t>I</w:t>
            </w:r>
            <w:r>
              <w:rPr>
                <w:rFonts w:ascii="Calibri" w:hAnsi="Calibri"/>
                <w:sz w:val="18"/>
              </w:rPr>
              <w:t>nvernadero mitigadas (toneladas métricas de CO2e)</w:t>
            </w:r>
          </w:p>
        </w:tc>
        <w:tc>
          <w:tcPr>
            <w:tcW w:w="2160" w:type="dxa"/>
            <w:vAlign w:val="center"/>
          </w:tcPr>
          <w:p w14:paraId="261CB8EF" w14:textId="3A9EFF91" w:rsidR="00F259B1" w:rsidRPr="00F259B1" w:rsidRDefault="00F259B1" w:rsidP="00F259B1">
            <w:pPr>
              <w:spacing w:after="60"/>
              <w:jc w:val="center"/>
              <w:rPr>
                <w:rFonts w:ascii="Calibri" w:eastAsia="SimSun" w:hAnsi="Calibri" w:cs="Calibri"/>
                <w:bCs/>
                <w:iCs/>
                <w:sz w:val="18"/>
                <w:szCs w:val="18"/>
                <w:highlight w:val="yellow"/>
              </w:rPr>
            </w:pPr>
            <w:r>
              <w:rPr>
                <w:rFonts w:ascii="Calibri" w:hAnsi="Calibri"/>
                <w:sz w:val="18"/>
              </w:rPr>
              <w:t>-</w:t>
            </w:r>
          </w:p>
        </w:tc>
        <w:tc>
          <w:tcPr>
            <w:tcW w:w="2520" w:type="dxa"/>
            <w:vAlign w:val="center"/>
          </w:tcPr>
          <w:p w14:paraId="36EF75DA" w14:textId="0B5A16F9" w:rsidR="00966EF0" w:rsidRPr="00646018" w:rsidRDefault="00853078" w:rsidP="00716C69">
            <w:pPr>
              <w:spacing w:after="60"/>
              <w:jc w:val="center"/>
              <w:rPr>
                <w:rFonts w:ascii="Calibri" w:eastAsia="SimSun" w:hAnsi="Calibri" w:cs="Calibri"/>
                <w:bCs/>
                <w:i/>
                <w:sz w:val="18"/>
                <w:szCs w:val="18"/>
              </w:rPr>
            </w:pPr>
            <w:r>
              <w:rPr>
                <w:rFonts w:ascii="Calibri" w:hAnsi="Calibri"/>
                <w:sz w:val="18"/>
              </w:rPr>
              <w:t>0 Tm de emisiones de GEI mitigadas</w:t>
            </w:r>
          </w:p>
        </w:tc>
        <w:tc>
          <w:tcPr>
            <w:tcW w:w="2903" w:type="dxa"/>
            <w:shd w:val="clear" w:color="auto" w:fill="auto"/>
            <w:vAlign w:val="center"/>
          </w:tcPr>
          <w:p w14:paraId="1B88FB8C" w14:textId="1A3002D6" w:rsidR="00966EF0" w:rsidRPr="00646018" w:rsidRDefault="00646018" w:rsidP="004315D7">
            <w:pPr>
              <w:spacing w:after="60"/>
              <w:jc w:val="center"/>
              <w:rPr>
                <w:rFonts w:ascii="Calibri" w:eastAsia="SimSun" w:hAnsi="Calibri" w:cs="Calibri"/>
                <w:bCs/>
                <w:iCs/>
                <w:sz w:val="18"/>
                <w:szCs w:val="18"/>
              </w:rPr>
            </w:pPr>
            <w:r>
              <w:rPr>
                <w:rFonts w:ascii="Calibri" w:hAnsi="Calibri"/>
                <w:sz w:val="18"/>
              </w:rPr>
              <w:t>322 Tm de emisiones de GEI mitigadas</w:t>
            </w:r>
            <w:r w:rsidR="00213CC1">
              <w:rPr>
                <w:rStyle w:val="Refdenotaalpie"/>
                <w:rFonts w:eastAsia="SimSun" w:cs="Calibri"/>
                <w:bCs/>
                <w:iCs/>
                <w:szCs w:val="18"/>
                <w:lang w:val="en-US"/>
              </w:rPr>
              <w:footnoteReference w:id="30"/>
            </w:r>
          </w:p>
        </w:tc>
      </w:tr>
      <w:tr w:rsidR="00966EF0" w:rsidRPr="001B17BF" w14:paraId="57E5097B" w14:textId="77777777" w:rsidTr="00B76EFC">
        <w:trPr>
          <w:trHeight w:val="305"/>
        </w:trPr>
        <w:tc>
          <w:tcPr>
            <w:tcW w:w="2605" w:type="dxa"/>
            <w:vMerge/>
          </w:tcPr>
          <w:p w14:paraId="7D14063E" w14:textId="77777777" w:rsidR="00966EF0" w:rsidRPr="002152FE" w:rsidRDefault="00966EF0" w:rsidP="00966EF0">
            <w:pPr>
              <w:spacing w:after="60"/>
              <w:rPr>
                <w:rFonts w:ascii="Calibri" w:eastAsia="SimSun" w:hAnsi="Calibri" w:cs="Calibri"/>
                <w:b/>
                <w:bCs/>
                <w:sz w:val="18"/>
                <w:szCs w:val="18"/>
                <w:lang w:val="es-EC"/>
              </w:rPr>
            </w:pPr>
          </w:p>
        </w:tc>
        <w:tc>
          <w:tcPr>
            <w:tcW w:w="4230" w:type="dxa"/>
          </w:tcPr>
          <w:p w14:paraId="0A921234" w14:textId="48755C2F" w:rsidR="004D3150" w:rsidRPr="00A562E4" w:rsidRDefault="004D3150" w:rsidP="004D3150">
            <w:pPr>
              <w:spacing w:after="60"/>
              <w:rPr>
                <w:rFonts w:ascii="Calibri" w:eastAsia="SimSun" w:hAnsi="Calibri" w:cs="Calibri"/>
                <w:b/>
                <w:bCs/>
                <w:sz w:val="18"/>
                <w:szCs w:val="18"/>
                <w:u w:val="single"/>
              </w:rPr>
            </w:pPr>
            <w:r>
              <w:rPr>
                <w:rFonts w:ascii="Calibri" w:hAnsi="Calibri"/>
                <w:b/>
                <w:sz w:val="18"/>
                <w:u w:val="single"/>
              </w:rPr>
              <w:t>Indicador 3:</w:t>
            </w:r>
          </w:p>
          <w:p w14:paraId="20D0FE54" w14:textId="3EE97DF2" w:rsidR="004D3150" w:rsidRPr="00A562E4" w:rsidRDefault="004D3150" w:rsidP="004D3150">
            <w:pPr>
              <w:spacing w:after="60"/>
              <w:rPr>
                <w:rFonts w:ascii="Calibri" w:eastAsia="SimSun" w:hAnsi="Calibri" w:cs="Calibri"/>
                <w:bCs/>
                <w:sz w:val="18"/>
                <w:szCs w:val="18"/>
                <w:u w:val="single"/>
              </w:rPr>
            </w:pPr>
            <w:r>
              <w:rPr>
                <w:rFonts w:ascii="Calibri" w:hAnsi="Calibri"/>
                <w:sz w:val="18"/>
                <w:u w:val="single"/>
              </w:rPr>
              <w:t xml:space="preserve">Indicadores </w:t>
            </w:r>
            <w:r w:rsidR="00517E47">
              <w:rPr>
                <w:rFonts w:ascii="Calibri" w:hAnsi="Calibri"/>
                <w:sz w:val="18"/>
                <w:u w:val="single"/>
              </w:rPr>
              <w:t>B</w:t>
            </w:r>
            <w:r>
              <w:rPr>
                <w:rFonts w:ascii="Calibri" w:hAnsi="Calibri"/>
                <w:sz w:val="18"/>
                <w:u w:val="single"/>
              </w:rPr>
              <w:t xml:space="preserve">ásicos </w:t>
            </w:r>
            <w:r>
              <w:rPr>
                <w:rFonts w:ascii="Calibri" w:hAnsi="Calibri"/>
                <w:b/>
                <w:sz w:val="18"/>
                <w:u w:val="single"/>
              </w:rPr>
              <w:t>Obligatorios</w:t>
            </w:r>
            <w:r>
              <w:rPr>
                <w:rFonts w:ascii="Calibri" w:hAnsi="Calibri"/>
                <w:sz w:val="18"/>
                <w:u w:val="single"/>
              </w:rPr>
              <w:t xml:space="preserve"> del FMAM 9: </w:t>
            </w:r>
          </w:p>
          <w:p w14:paraId="40931175" w14:textId="6792EF36" w:rsidR="009077D3" w:rsidRPr="00EE2078" w:rsidRDefault="009077D3" w:rsidP="004D3150">
            <w:pPr>
              <w:spacing w:after="60"/>
              <w:rPr>
                <w:rFonts w:asciiTheme="minorHAnsi" w:eastAsia="SimSun" w:hAnsiTheme="minorHAnsi" w:cstheme="minorHAnsi"/>
                <w:bCs/>
                <w:sz w:val="18"/>
                <w:szCs w:val="18"/>
                <w:u w:val="single"/>
              </w:rPr>
            </w:pPr>
            <w:r>
              <w:rPr>
                <w:rFonts w:asciiTheme="minorHAnsi" w:hAnsiTheme="minorHAnsi"/>
                <w:sz w:val="18"/>
              </w:rPr>
              <w:t xml:space="preserve">Reducción, eliminación/destrucción, retirada progresiva, eliminación y </w:t>
            </w:r>
            <w:r w:rsidR="00626B84">
              <w:rPr>
                <w:rFonts w:asciiTheme="minorHAnsi" w:hAnsiTheme="minorHAnsi"/>
                <w:sz w:val="18"/>
              </w:rPr>
              <w:t>prevención de uso</w:t>
            </w:r>
            <w:r>
              <w:rPr>
                <w:rFonts w:asciiTheme="minorHAnsi" w:hAnsiTheme="minorHAnsi"/>
                <w:sz w:val="18"/>
              </w:rPr>
              <w:t xml:space="preserve"> de sustancias químicas preocupantes a nivel mundial y sus residuos en el ambiente y en procesos, materiales y productos (toneladas métricas de sustancias químicas tóxicas reducidas)</w:t>
            </w:r>
          </w:p>
          <w:p w14:paraId="04408578" w14:textId="29E9D4B6" w:rsidR="00966EF0" w:rsidRPr="002152FE" w:rsidRDefault="00966EF0" w:rsidP="00966EF0">
            <w:pPr>
              <w:spacing w:after="60"/>
              <w:rPr>
                <w:rFonts w:ascii="Calibri" w:eastAsia="SimSun" w:hAnsi="Calibri" w:cs="Calibri"/>
                <w:bCs/>
                <w:sz w:val="18"/>
                <w:szCs w:val="18"/>
                <w:lang w:val="es-EC"/>
              </w:rPr>
            </w:pPr>
          </w:p>
        </w:tc>
        <w:tc>
          <w:tcPr>
            <w:tcW w:w="2160" w:type="dxa"/>
            <w:vAlign w:val="center"/>
          </w:tcPr>
          <w:p w14:paraId="3A4CF355" w14:textId="3F37243F" w:rsidR="00F259B1" w:rsidRPr="00F259B1" w:rsidRDefault="000105D0" w:rsidP="00B76EFC">
            <w:pPr>
              <w:spacing w:after="60"/>
              <w:jc w:val="center"/>
              <w:rPr>
                <w:rFonts w:ascii="Calibri" w:eastAsia="SimSun" w:hAnsi="Calibri" w:cs="Calibri"/>
                <w:bCs/>
                <w:i/>
                <w:sz w:val="18"/>
                <w:szCs w:val="18"/>
                <w:highlight w:val="yellow"/>
              </w:rPr>
            </w:pPr>
            <w:r>
              <w:rPr>
                <w:rFonts w:asciiTheme="minorHAnsi" w:hAnsiTheme="minorHAnsi"/>
                <w:sz w:val="18"/>
              </w:rPr>
              <w:t xml:space="preserve">92.8 Tm de pesticidas obsoletos (incluidos POPs/PAPs) eliminados por el </w:t>
            </w:r>
            <w:r w:rsidR="004F5EC6">
              <w:rPr>
                <w:rFonts w:asciiTheme="minorHAnsi" w:hAnsiTheme="minorHAnsi"/>
                <w:sz w:val="18"/>
              </w:rPr>
              <w:t>p</w:t>
            </w:r>
            <w:r>
              <w:rPr>
                <w:rFonts w:asciiTheme="minorHAnsi" w:hAnsiTheme="minorHAnsi"/>
                <w:sz w:val="18"/>
              </w:rPr>
              <w:t>royecto PNGQ del FMAM/PNUD</w:t>
            </w:r>
          </w:p>
        </w:tc>
        <w:tc>
          <w:tcPr>
            <w:tcW w:w="2520" w:type="dxa"/>
            <w:vAlign w:val="center"/>
          </w:tcPr>
          <w:p w14:paraId="351FDA33" w14:textId="41766625" w:rsidR="00966EF0" w:rsidRPr="00853078" w:rsidRDefault="00AC30CF" w:rsidP="00853078">
            <w:pPr>
              <w:spacing w:after="60"/>
              <w:jc w:val="center"/>
              <w:rPr>
                <w:rFonts w:ascii="Calibri" w:eastAsia="SimSun" w:hAnsi="Calibri" w:cs="Calibri"/>
                <w:bCs/>
                <w:iCs/>
                <w:sz w:val="18"/>
                <w:szCs w:val="18"/>
              </w:rPr>
            </w:pPr>
            <w:r>
              <w:rPr>
                <w:rFonts w:ascii="Calibri" w:hAnsi="Calibri"/>
                <w:sz w:val="18"/>
              </w:rPr>
              <w:t>200 Tm de pesticidas evitados (COP y PAP)</w:t>
            </w:r>
          </w:p>
        </w:tc>
        <w:tc>
          <w:tcPr>
            <w:tcW w:w="2903" w:type="dxa"/>
            <w:vAlign w:val="center"/>
          </w:tcPr>
          <w:p w14:paraId="731F273A" w14:textId="77777777" w:rsidR="00A431C3" w:rsidRPr="0044265A" w:rsidRDefault="00A431C3" w:rsidP="009E1C4B">
            <w:pPr>
              <w:spacing w:after="60"/>
              <w:jc w:val="center"/>
              <w:rPr>
                <w:rFonts w:ascii="Calibri" w:eastAsia="SimSun" w:hAnsi="Calibri" w:cs="Calibri"/>
                <w:bCs/>
                <w:iCs/>
                <w:sz w:val="18"/>
                <w:szCs w:val="18"/>
              </w:rPr>
            </w:pPr>
            <w:r>
              <w:rPr>
                <w:rFonts w:ascii="Calibri" w:hAnsi="Calibri"/>
                <w:sz w:val="18"/>
              </w:rPr>
              <w:t xml:space="preserve">1.000 toneladas de pesticidas evitados </w:t>
            </w:r>
          </w:p>
          <w:p w14:paraId="0F6088FF" w14:textId="398C0E83" w:rsidR="00584C60" w:rsidRPr="0044265A" w:rsidRDefault="00A431C3" w:rsidP="009E1C4B">
            <w:pPr>
              <w:spacing w:after="60"/>
              <w:jc w:val="center"/>
              <w:rPr>
                <w:rFonts w:ascii="Calibri" w:eastAsia="SimSun" w:hAnsi="Calibri" w:cs="Calibri"/>
                <w:bCs/>
                <w:iCs/>
                <w:sz w:val="18"/>
                <w:szCs w:val="18"/>
              </w:rPr>
            </w:pPr>
            <w:r>
              <w:rPr>
                <w:rFonts w:ascii="Calibri" w:hAnsi="Calibri"/>
                <w:sz w:val="18"/>
              </w:rPr>
              <w:t>(58 Tm de COPs: DDT;</w:t>
            </w:r>
          </w:p>
          <w:p w14:paraId="0FC41F96" w14:textId="76396A70" w:rsidR="00140D10" w:rsidRPr="0044265A" w:rsidRDefault="00140D10" w:rsidP="009E1C4B">
            <w:pPr>
              <w:spacing w:after="60"/>
              <w:jc w:val="center"/>
              <w:rPr>
                <w:rFonts w:ascii="Calibri" w:eastAsia="SimSun" w:hAnsi="Calibri" w:cs="Calibri"/>
                <w:bCs/>
                <w:iCs/>
                <w:sz w:val="18"/>
                <w:szCs w:val="18"/>
              </w:rPr>
            </w:pPr>
            <w:r>
              <w:rPr>
                <w:rFonts w:ascii="Calibri" w:hAnsi="Calibri"/>
                <w:sz w:val="18"/>
              </w:rPr>
              <w:t>232 Tm de candidatos a contaminantes orgánicos persistentes: Clorpirifos</w:t>
            </w:r>
            <w:r w:rsidR="004963B5">
              <w:rPr>
                <w:rFonts w:ascii="Calibri" w:hAnsi="Calibri"/>
                <w:sz w:val="18"/>
              </w:rPr>
              <w:t xml:space="preserve"> y 710 Tm de </w:t>
            </w:r>
            <w:r w:rsidR="00D959E4">
              <w:rPr>
                <w:rFonts w:ascii="Calibri" w:hAnsi="Calibri"/>
                <w:sz w:val="18"/>
              </w:rPr>
              <w:t>PAP</w:t>
            </w:r>
            <w:r w:rsidR="004963B5">
              <w:rPr>
                <w:rFonts w:ascii="Calibri" w:hAnsi="Calibri"/>
                <w:sz w:val="18"/>
              </w:rPr>
              <w:t>)</w:t>
            </w:r>
          </w:p>
          <w:p w14:paraId="22029399" w14:textId="2D898267" w:rsidR="00966EF0" w:rsidRPr="003456B9" w:rsidRDefault="00140D10" w:rsidP="009E1C4B">
            <w:pPr>
              <w:spacing w:after="60"/>
              <w:jc w:val="center"/>
              <w:rPr>
                <w:rFonts w:ascii="Calibri" w:eastAsia="SimSun" w:hAnsi="Calibri" w:cs="Calibri"/>
                <w:bCs/>
                <w:iCs/>
                <w:sz w:val="18"/>
                <w:szCs w:val="18"/>
              </w:rPr>
            </w:pPr>
            <w:r>
              <w:rPr>
                <w:rFonts w:ascii="Calibri" w:hAnsi="Calibri"/>
                <w:sz w:val="18"/>
              </w:rPr>
              <w:t>y 710 Tm de PAPs</w:t>
            </w:r>
            <w:r w:rsidR="00984D5D" w:rsidRPr="0044265A">
              <w:rPr>
                <w:rStyle w:val="Refdenotaalpie"/>
                <w:rFonts w:eastAsia="SimSun" w:cs="Calibri"/>
                <w:bCs/>
                <w:iCs/>
                <w:szCs w:val="18"/>
                <w:lang w:val="en-US"/>
              </w:rPr>
              <w:footnoteReference w:id="31"/>
            </w:r>
            <w:r>
              <w:rPr>
                <w:rFonts w:ascii="Calibri" w:hAnsi="Calibri"/>
                <w:sz w:val="18"/>
              </w:rPr>
              <w:t>).</w:t>
            </w:r>
            <w:r w:rsidR="009E1C4B" w:rsidRPr="0044265A">
              <w:rPr>
                <w:rStyle w:val="Refdenotaalpie"/>
                <w:rFonts w:eastAsia="SimSun" w:cs="Calibri"/>
                <w:bCs/>
                <w:iCs/>
                <w:szCs w:val="18"/>
                <w:lang w:val="en-US"/>
              </w:rPr>
              <w:footnoteReference w:id="32"/>
            </w:r>
          </w:p>
        </w:tc>
      </w:tr>
      <w:tr w:rsidR="00F259B1" w:rsidRPr="000D41EB" w14:paraId="0C58AEB0" w14:textId="77777777" w:rsidTr="00827271">
        <w:trPr>
          <w:trHeight w:val="350"/>
        </w:trPr>
        <w:tc>
          <w:tcPr>
            <w:tcW w:w="2605" w:type="dxa"/>
            <w:vMerge/>
          </w:tcPr>
          <w:p w14:paraId="08A996AB" w14:textId="77777777" w:rsidR="00F259B1" w:rsidRPr="00A562E4" w:rsidRDefault="00F259B1" w:rsidP="00F259B1">
            <w:pPr>
              <w:spacing w:after="60"/>
              <w:rPr>
                <w:rFonts w:ascii="Calibri" w:eastAsia="SimSun" w:hAnsi="Calibri" w:cs="Calibri"/>
                <w:b/>
                <w:bCs/>
                <w:sz w:val="18"/>
                <w:szCs w:val="18"/>
                <w:lang w:val="en-US"/>
              </w:rPr>
            </w:pPr>
          </w:p>
        </w:tc>
        <w:tc>
          <w:tcPr>
            <w:tcW w:w="4230" w:type="dxa"/>
          </w:tcPr>
          <w:p w14:paraId="7A9E0EA1" w14:textId="12E86BF5" w:rsidR="00F259B1" w:rsidRPr="00A562E4" w:rsidRDefault="00F259B1" w:rsidP="00F259B1">
            <w:pPr>
              <w:spacing w:after="60"/>
              <w:rPr>
                <w:rFonts w:ascii="Calibri" w:eastAsia="SimSun" w:hAnsi="Calibri" w:cs="Calibri"/>
                <w:b/>
                <w:bCs/>
                <w:sz w:val="18"/>
                <w:szCs w:val="18"/>
                <w:u w:val="single"/>
              </w:rPr>
            </w:pPr>
            <w:r>
              <w:rPr>
                <w:rFonts w:ascii="Calibri" w:hAnsi="Calibri"/>
                <w:b/>
                <w:sz w:val="18"/>
                <w:u w:val="single"/>
              </w:rPr>
              <w:t>Indicador 4:</w:t>
            </w:r>
          </w:p>
          <w:p w14:paraId="1CA432F2" w14:textId="13B53217" w:rsidR="00F259B1" w:rsidRPr="00A562E4" w:rsidRDefault="00F259B1" w:rsidP="00F259B1">
            <w:pPr>
              <w:spacing w:after="60"/>
              <w:rPr>
                <w:rFonts w:ascii="Calibri" w:eastAsia="SimSun" w:hAnsi="Calibri" w:cs="Calibri"/>
                <w:bCs/>
                <w:sz w:val="18"/>
                <w:szCs w:val="18"/>
                <w:u w:val="single"/>
              </w:rPr>
            </w:pPr>
            <w:r>
              <w:rPr>
                <w:rFonts w:ascii="Calibri" w:hAnsi="Calibri"/>
                <w:sz w:val="18"/>
                <w:u w:val="single"/>
              </w:rPr>
              <w:t xml:space="preserve">Indicadores </w:t>
            </w:r>
            <w:r w:rsidR="004963B5">
              <w:rPr>
                <w:rFonts w:ascii="Calibri" w:hAnsi="Calibri"/>
                <w:sz w:val="18"/>
                <w:u w:val="single"/>
              </w:rPr>
              <w:t>B</w:t>
            </w:r>
            <w:r>
              <w:rPr>
                <w:rFonts w:ascii="Calibri" w:hAnsi="Calibri"/>
                <w:sz w:val="18"/>
                <w:u w:val="single"/>
              </w:rPr>
              <w:t xml:space="preserve">ásicos </w:t>
            </w:r>
            <w:r>
              <w:rPr>
                <w:rFonts w:ascii="Calibri" w:hAnsi="Calibri"/>
                <w:b/>
                <w:sz w:val="18"/>
                <w:u w:val="single"/>
              </w:rPr>
              <w:t>Obligatorios</w:t>
            </w:r>
            <w:r>
              <w:rPr>
                <w:rFonts w:ascii="Calibri" w:hAnsi="Calibri"/>
                <w:sz w:val="18"/>
                <w:u w:val="single"/>
              </w:rPr>
              <w:t xml:space="preserve"> del FMAM 10: </w:t>
            </w:r>
          </w:p>
          <w:p w14:paraId="6D05CF92" w14:textId="2350E8B6" w:rsidR="00F259B1" w:rsidRPr="00EE2078" w:rsidRDefault="00F259B1" w:rsidP="00F259B1">
            <w:pPr>
              <w:spacing w:after="60"/>
              <w:rPr>
                <w:rFonts w:asciiTheme="minorHAnsi" w:eastAsia="SimSun" w:hAnsiTheme="minorHAnsi" w:cstheme="minorHAnsi"/>
                <w:bCs/>
                <w:sz w:val="18"/>
                <w:szCs w:val="18"/>
              </w:rPr>
            </w:pPr>
            <w:r>
              <w:rPr>
                <w:rFonts w:asciiTheme="minorHAnsi" w:hAnsiTheme="minorHAnsi"/>
                <w:sz w:val="18"/>
              </w:rPr>
              <w:t xml:space="preserve">Reducción, </w:t>
            </w:r>
            <w:r w:rsidR="00626B84">
              <w:rPr>
                <w:rFonts w:asciiTheme="minorHAnsi" w:hAnsiTheme="minorHAnsi"/>
                <w:sz w:val="18"/>
              </w:rPr>
              <w:t>prevención</w:t>
            </w:r>
            <w:r>
              <w:rPr>
                <w:rFonts w:asciiTheme="minorHAnsi" w:hAnsiTheme="minorHAnsi"/>
                <w:sz w:val="18"/>
              </w:rPr>
              <w:t xml:space="preserve"> de emisiones de COP a la atmósfera procedentes de fuentes puntuales y difusas (gramos de equivalente tóxico gTEQ)</w:t>
            </w:r>
          </w:p>
        </w:tc>
        <w:tc>
          <w:tcPr>
            <w:tcW w:w="2160" w:type="dxa"/>
            <w:vAlign w:val="center"/>
          </w:tcPr>
          <w:p w14:paraId="12F90FC0" w14:textId="1C4F0964" w:rsidR="00F259B1" w:rsidRPr="00D91260" w:rsidRDefault="00A75FDA" w:rsidP="00F259B1">
            <w:pPr>
              <w:spacing w:after="60"/>
              <w:jc w:val="center"/>
              <w:rPr>
                <w:rFonts w:ascii="Calibri" w:eastAsia="SimSun" w:hAnsi="Calibri" w:cs="Calibri"/>
                <w:bCs/>
                <w:i/>
                <w:sz w:val="18"/>
                <w:szCs w:val="18"/>
                <w:highlight w:val="yellow"/>
              </w:rPr>
            </w:pPr>
            <w:r>
              <w:rPr>
                <w:rFonts w:asciiTheme="minorHAnsi" w:hAnsiTheme="minorHAnsi"/>
                <w:sz w:val="18"/>
              </w:rPr>
              <w:t>-</w:t>
            </w:r>
          </w:p>
        </w:tc>
        <w:tc>
          <w:tcPr>
            <w:tcW w:w="2520" w:type="dxa"/>
            <w:vAlign w:val="center"/>
          </w:tcPr>
          <w:p w14:paraId="77DDE807" w14:textId="294F694F" w:rsidR="00F259B1" w:rsidRPr="00A562E4" w:rsidRDefault="00E03615" w:rsidP="00827271">
            <w:pPr>
              <w:spacing w:after="60"/>
              <w:jc w:val="center"/>
              <w:rPr>
                <w:rFonts w:ascii="Calibri" w:eastAsia="SimSun" w:hAnsi="Calibri" w:cs="Calibri"/>
                <w:bCs/>
                <w:i/>
                <w:sz w:val="18"/>
                <w:szCs w:val="18"/>
                <w:highlight w:val="yellow"/>
              </w:rPr>
            </w:pPr>
            <w:r>
              <w:rPr>
                <w:rFonts w:asciiTheme="minorHAnsi" w:hAnsiTheme="minorHAnsi"/>
                <w:sz w:val="18"/>
              </w:rPr>
              <w:t>0.4 gTeq de emisiones evitadas</w:t>
            </w:r>
          </w:p>
        </w:tc>
        <w:tc>
          <w:tcPr>
            <w:tcW w:w="2903" w:type="dxa"/>
            <w:vAlign w:val="center"/>
          </w:tcPr>
          <w:p w14:paraId="171B45FD" w14:textId="6687C414" w:rsidR="00F259B1" w:rsidRPr="009A5977" w:rsidRDefault="00EC2E44" w:rsidP="00D91260">
            <w:pPr>
              <w:spacing w:after="60"/>
              <w:jc w:val="center"/>
              <w:rPr>
                <w:rFonts w:ascii="Calibri" w:eastAsia="SimSun" w:hAnsi="Calibri" w:cs="Calibri"/>
                <w:bCs/>
                <w:iCs/>
                <w:sz w:val="18"/>
                <w:szCs w:val="18"/>
                <w:highlight w:val="yellow"/>
              </w:rPr>
            </w:pPr>
            <w:r>
              <w:rPr>
                <w:rFonts w:asciiTheme="minorHAnsi" w:hAnsiTheme="minorHAnsi"/>
                <w:sz w:val="18"/>
              </w:rPr>
              <w:t>4.6 gTeq de emisiones evitadas</w:t>
            </w:r>
            <w:r w:rsidR="003A2836">
              <w:rPr>
                <w:rStyle w:val="Refdenotaalpie"/>
                <w:rFonts w:cstheme="minorHAnsi"/>
                <w:bCs/>
                <w:szCs w:val="18"/>
                <w:lang w:val="en-US"/>
              </w:rPr>
              <w:footnoteReference w:id="33"/>
            </w:r>
          </w:p>
        </w:tc>
      </w:tr>
      <w:tr w:rsidR="00F259B1" w:rsidRPr="0018107D" w14:paraId="48F03C58" w14:textId="77777777" w:rsidTr="00966EF0">
        <w:trPr>
          <w:trHeight w:val="575"/>
        </w:trPr>
        <w:tc>
          <w:tcPr>
            <w:tcW w:w="2605" w:type="dxa"/>
            <w:shd w:val="clear" w:color="auto" w:fill="E7E6E6"/>
          </w:tcPr>
          <w:p w14:paraId="41325D1F" w14:textId="025FE993" w:rsidR="00F259B1" w:rsidRPr="0018107D" w:rsidRDefault="00F259B1" w:rsidP="00F259B1">
            <w:pPr>
              <w:spacing w:after="60"/>
              <w:rPr>
                <w:rFonts w:ascii="Calibri" w:eastAsia="SimSun" w:hAnsi="Calibri" w:cs="Calibri"/>
                <w:b/>
                <w:bCs/>
                <w:i/>
                <w:sz w:val="18"/>
                <w:szCs w:val="18"/>
              </w:rPr>
            </w:pPr>
            <w:r>
              <w:rPr>
                <w:rFonts w:ascii="Calibri" w:hAnsi="Calibri"/>
                <w:b/>
                <w:sz w:val="18"/>
              </w:rPr>
              <w:t xml:space="preserve">Componente 1 del proyecto </w:t>
            </w:r>
          </w:p>
        </w:tc>
        <w:tc>
          <w:tcPr>
            <w:tcW w:w="11813" w:type="dxa"/>
            <w:gridSpan w:val="4"/>
            <w:shd w:val="clear" w:color="auto" w:fill="E7E6E6"/>
          </w:tcPr>
          <w:p w14:paraId="442B372B" w14:textId="017A1EF1" w:rsidR="00F259B1" w:rsidRPr="0018107D" w:rsidRDefault="00F259B1" w:rsidP="00F259B1">
            <w:pPr>
              <w:spacing w:after="60"/>
              <w:rPr>
                <w:rFonts w:ascii="Calibri" w:eastAsia="SimSun" w:hAnsi="Calibri" w:cs="Calibri"/>
                <w:b/>
                <w:bCs/>
                <w:sz w:val="18"/>
                <w:szCs w:val="18"/>
                <w:highlight w:val="yellow"/>
              </w:rPr>
            </w:pPr>
            <w:r>
              <w:rPr>
                <w:rFonts w:ascii="Calibri" w:hAnsi="Calibri"/>
                <w:b/>
                <w:sz w:val="18"/>
              </w:rPr>
              <w:t>Política gubernamental y aplicación</w:t>
            </w:r>
          </w:p>
        </w:tc>
      </w:tr>
      <w:tr w:rsidR="00730755" w:rsidRPr="005D3406" w14:paraId="66E9DFD1" w14:textId="77777777" w:rsidTr="00730755">
        <w:trPr>
          <w:trHeight w:val="575"/>
        </w:trPr>
        <w:tc>
          <w:tcPr>
            <w:tcW w:w="2605" w:type="dxa"/>
            <w:vMerge w:val="restart"/>
            <w:shd w:val="clear" w:color="auto" w:fill="D9D9D9"/>
          </w:tcPr>
          <w:p w14:paraId="5B829BC8" w14:textId="032B6FF0" w:rsidR="00730755" w:rsidRDefault="00730755" w:rsidP="00730755">
            <w:pPr>
              <w:spacing w:after="60"/>
              <w:rPr>
                <w:rFonts w:ascii="Calibri" w:eastAsia="SimSun" w:hAnsi="Calibri" w:cs="Calibri"/>
                <w:b/>
                <w:bCs/>
                <w:sz w:val="18"/>
                <w:szCs w:val="18"/>
              </w:rPr>
            </w:pPr>
            <w:r>
              <w:rPr>
                <w:rFonts w:ascii="Calibri" w:hAnsi="Calibri"/>
                <w:b/>
                <w:sz w:val="18"/>
              </w:rPr>
              <w:t>Resultado</w:t>
            </w:r>
            <w:r>
              <w:rPr>
                <w:rFonts w:ascii="Calibri" w:hAnsi="Calibri"/>
                <w:b/>
                <w:sz w:val="18"/>
                <w:vertAlign w:val="superscript"/>
              </w:rPr>
              <w:t xml:space="preserve"> </w:t>
            </w:r>
            <w:r>
              <w:rPr>
                <w:rFonts w:ascii="Calibri" w:hAnsi="Calibri"/>
                <w:b/>
                <w:sz w:val="18"/>
              </w:rPr>
              <w:t>1</w:t>
            </w:r>
          </w:p>
          <w:p w14:paraId="57EE8088" w14:textId="465C3C50" w:rsidR="00730755" w:rsidRPr="00E65E91" w:rsidRDefault="00730755" w:rsidP="00730755">
            <w:pPr>
              <w:spacing w:after="60"/>
              <w:rPr>
                <w:rFonts w:ascii="Calibri" w:eastAsia="SimSun" w:hAnsi="Calibri" w:cs="Calibri"/>
                <w:b/>
                <w:bCs/>
                <w:sz w:val="18"/>
                <w:szCs w:val="18"/>
              </w:rPr>
            </w:pPr>
            <w:r>
              <w:rPr>
                <w:rFonts w:ascii="Calibri" w:hAnsi="Calibri"/>
                <w:sz w:val="18"/>
              </w:rPr>
              <w:t>Los marcos políticos y de inversión incentivan la reducción del uso de productos agroquímicos perjudiciales; y los marcos normativos mejoran la gestión adecuada de los productos químicos agrícolas.</w:t>
            </w:r>
          </w:p>
        </w:tc>
        <w:tc>
          <w:tcPr>
            <w:tcW w:w="4230" w:type="dxa"/>
            <w:shd w:val="clear" w:color="auto" w:fill="FFFFFF"/>
          </w:tcPr>
          <w:p w14:paraId="2E099888" w14:textId="77777777" w:rsidR="007A7E63" w:rsidRDefault="00730755" w:rsidP="00891BF0">
            <w:pPr>
              <w:spacing w:after="60"/>
              <w:jc w:val="both"/>
              <w:rPr>
                <w:rFonts w:ascii="Calibri" w:eastAsia="SimSun" w:hAnsi="Calibri" w:cs="Calibri"/>
                <w:bCs/>
                <w:iCs/>
                <w:sz w:val="18"/>
                <w:szCs w:val="18"/>
              </w:rPr>
            </w:pPr>
            <w:r>
              <w:rPr>
                <w:rFonts w:ascii="Calibri" w:hAnsi="Calibri"/>
                <w:sz w:val="18"/>
              </w:rPr>
              <w:t xml:space="preserve">Indicador 5: </w:t>
            </w:r>
          </w:p>
          <w:p w14:paraId="1526F593" w14:textId="27E5981F" w:rsidR="00730755" w:rsidRPr="00891BF0" w:rsidRDefault="00730755" w:rsidP="00891BF0">
            <w:pPr>
              <w:spacing w:after="60"/>
              <w:jc w:val="both"/>
              <w:rPr>
                <w:rFonts w:ascii="Calibri" w:eastAsia="SimSun" w:hAnsi="Calibri" w:cs="Calibri"/>
                <w:bCs/>
                <w:iCs/>
                <w:sz w:val="18"/>
                <w:szCs w:val="18"/>
              </w:rPr>
            </w:pPr>
            <w:r>
              <w:rPr>
                <w:rFonts w:ascii="Calibri" w:hAnsi="Calibri"/>
                <w:sz w:val="18"/>
              </w:rPr>
              <w:t>Capacidad creada en las instituciones gubernamentales medida por:</w:t>
            </w:r>
          </w:p>
          <w:p w14:paraId="1E418D02" w14:textId="4501B7B3" w:rsidR="00F654EF" w:rsidRPr="00891BF0" w:rsidRDefault="00F654EF">
            <w:pPr>
              <w:pStyle w:val="Prrafodelista"/>
              <w:numPr>
                <w:ilvl w:val="0"/>
                <w:numId w:val="32"/>
              </w:numPr>
              <w:spacing w:after="60"/>
              <w:jc w:val="both"/>
              <w:rPr>
                <w:rFonts w:asciiTheme="minorHAnsi" w:hAnsiTheme="minorHAnsi" w:cstheme="minorHAnsi"/>
                <w:bCs/>
                <w:iCs/>
                <w:sz w:val="18"/>
                <w:szCs w:val="18"/>
              </w:rPr>
            </w:pPr>
            <w:r>
              <w:rPr>
                <w:rFonts w:asciiTheme="minorHAnsi" w:hAnsiTheme="minorHAnsi"/>
                <w:sz w:val="18"/>
              </w:rPr>
              <w:t>Número de funcionarios de aduanas y de las fuerzas de seguridad formados en prevención del comercio ilegal</w:t>
            </w:r>
          </w:p>
          <w:p w14:paraId="7FBB2A5D" w14:textId="577E47E0" w:rsidR="00F654EF" w:rsidRPr="00891BF0" w:rsidRDefault="00F654EF">
            <w:pPr>
              <w:pStyle w:val="Prrafodelista"/>
              <w:numPr>
                <w:ilvl w:val="0"/>
                <w:numId w:val="32"/>
              </w:numPr>
              <w:spacing w:after="60"/>
              <w:jc w:val="both"/>
              <w:rPr>
                <w:rFonts w:asciiTheme="minorHAnsi" w:hAnsiTheme="minorHAnsi" w:cstheme="minorHAnsi"/>
                <w:bCs/>
                <w:iCs/>
                <w:sz w:val="18"/>
                <w:szCs w:val="18"/>
              </w:rPr>
            </w:pPr>
            <w:r>
              <w:rPr>
                <w:rFonts w:asciiTheme="minorHAnsi" w:hAnsiTheme="minorHAnsi"/>
                <w:sz w:val="18"/>
              </w:rPr>
              <w:t xml:space="preserve">Número de funcionarios públicos formados en el </w:t>
            </w:r>
            <w:r w:rsidR="00500A15">
              <w:rPr>
                <w:rFonts w:asciiTheme="minorHAnsi" w:hAnsiTheme="minorHAnsi"/>
                <w:sz w:val="18"/>
              </w:rPr>
              <w:t>K</w:t>
            </w:r>
            <w:r>
              <w:rPr>
                <w:rFonts w:asciiTheme="minorHAnsi" w:hAnsiTheme="minorHAnsi"/>
                <w:sz w:val="18"/>
              </w:rPr>
              <w:t xml:space="preserve">it de </w:t>
            </w:r>
            <w:r w:rsidR="00500A15">
              <w:rPr>
                <w:rFonts w:asciiTheme="minorHAnsi" w:hAnsiTheme="minorHAnsi"/>
                <w:sz w:val="18"/>
              </w:rPr>
              <w:t>H</w:t>
            </w:r>
            <w:r>
              <w:rPr>
                <w:rFonts w:asciiTheme="minorHAnsi" w:hAnsiTheme="minorHAnsi"/>
                <w:sz w:val="18"/>
              </w:rPr>
              <w:t xml:space="preserve">erramientas de la FAO para el </w:t>
            </w:r>
            <w:r w:rsidR="00B66CA0">
              <w:rPr>
                <w:rFonts w:asciiTheme="minorHAnsi" w:hAnsiTheme="minorHAnsi"/>
                <w:sz w:val="18"/>
              </w:rPr>
              <w:t>R</w:t>
            </w:r>
            <w:r>
              <w:rPr>
                <w:rFonts w:asciiTheme="minorHAnsi" w:hAnsiTheme="minorHAnsi"/>
                <w:sz w:val="18"/>
              </w:rPr>
              <w:t xml:space="preserve">egistro de </w:t>
            </w:r>
            <w:r w:rsidR="00B66CA0">
              <w:rPr>
                <w:rFonts w:asciiTheme="minorHAnsi" w:hAnsiTheme="minorHAnsi"/>
                <w:sz w:val="18"/>
              </w:rPr>
              <w:t>P</w:t>
            </w:r>
            <w:r>
              <w:rPr>
                <w:rFonts w:asciiTheme="minorHAnsi" w:hAnsiTheme="minorHAnsi"/>
                <w:sz w:val="18"/>
              </w:rPr>
              <w:t>laguicidas</w:t>
            </w:r>
          </w:p>
          <w:p w14:paraId="24417F3E" w14:textId="740CF68B" w:rsidR="00F654EF" w:rsidRPr="00891BF0" w:rsidRDefault="004939E3">
            <w:pPr>
              <w:pStyle w:val="Prrafodelista"/>
              <w:numPr>
                <w:ilvl w:val="0"/>
                <w:numId w:val="32"/>
              </w:numPr>
              <w:spacing w:after="60"/>
              <w:jc w:val="both"/>
              <w:rPr>
                <w:rFonts w:asciiTheme="minorHAnsi" w:hAnsiTheme="minorHAnsi" w:cstheme="minorHAnsi"/>
                <w:bCs/>
                <w:iCs/>
                <w:sz w:val="18"/>
                <w:szCs w:val="18"/>
              </w:rPr>
            </w:pPr>
            <w:r>
              <w:rPr>
                <w:rFonts w:asciiTheme="minorHAnsi" w:hAnsiTheme="minorHAnsi"/>
                <w:sz w:val="18"/>
              </w:rPr>
              <w:t xml:space="preserve">Elaboración de un </w:t>
            </w:r>
            <w:r w:rsidR="00B66CA0">
              <w:rPr>
                <w:rFonts w:asciiTheme="minorHAnsi" w:hAnsiTheme="minorHAnsi"/>
                <w:sz w:val="18"/>
              </w:rPr>
              <w:t>P</w:t>
            </w:r>
            <w:r>
              <w:rPr>
                <w:rFonts w:asciiTheme="minorHAnsi" w:hAnsiTheme="minorHAnsi"/>
                <w:sz w:val="18"/>
              </w:rPr>
              <w:t xml:space="preserve">lan de </w:t>
            </w:r>
            <w:r w:rsidR="00B66CA0">
              <w:rPr>
                <w:rFonts w:asciiTheme="minorHAnsi" w:hAnsiTheme="minorHAnsi"/>
                <w:sz w:val="18"/>
              </w:rPr>
              <w:t>A</w:t>
            </w:r>
            <w:r>
              <w:rPr>
                <w:rFonts w:asciiTheme="minorHAnsi" w:hAnsiTheme="minorHAnsi"/>
                <w:sz w:val="18"/>
              </w:rPr>
              <w:t xml:space="preserve">cción </w:t>
            </w:r>
            <w:r w:rsidR="00B66CA0">
              <w:rPr>
                <w:rFonts w:asciiTheme="minorHAnsi" w:hAnsiTheme="minorHAnsi"/>
                <w:sz w:val="18"/>
              </w:rPr>
              <w:t>N</w:t>
            </w:r>
            <w:r>
              <w:rPr>
                <w:rFonts w:asciiTheme="minorHAnsi" w:hAnsiTheme="minorHAnsi"/>
                <w:sz w:val="18"/>
              </w:rPr>
              <w:t>acional para la aplicación del Código Internacional de Conducta</w:t>
            </w:r>
          </w:p>
          <w:p w14:paraId="73C5BC37" w14:textId="305B24C3" w:rsidR="00730755" w:rsidRPr="004939E3" w:rsidRDefault="004939E3">
            <w:pPr>
              <w:pStyle w:val="Prrafodelista"/>
              <w:numPr>
                <w:ilvl w:val="0"/>
                <w:numId w:val="32"/>
              </w:numPr>
              <w:spacing w:after="60"/>
              <w:jc w:val="both"/>
              <w:rPr>
                <w:rFonts w:asciiTheme="minorHAnsi" w:hAnsiTheme="minorHAnsi" w:cstheme="minorHAnsi"/>
                <w:bCs/>
                <w:iCs/>
                <w:sz w:val="18"/>
                <w:szCs w:val="18"/>
              </w:rPr>
            </w:pPr>
            <w:r>
              <w:rPr>
                <w:rFonts w:asciiTheme="minorHAnsi" w:hAnsiTheme="minorHAnsi"/>
                <w:sz w:val="18"/>
              </w:rPr>
              <w:t xml:space="preserve">Plataforma oficial de intercambio de información diseñada, y número de personas formadas para la </w:t>
            </w:r>
            <w:r>
              <w:rPr>
                <w:rFonts w:ascii="Calibri" w:hAnsi="Calibri"/>
                <w:sz w:val="18"/>
              </w:rPr>
              <w:t>identificación, control y eliminación final de plaguicidas y residuos</w:t>
            </w:r>
          </w:p>
        </w:tc>
        <w:tc>
          <w:tcPr>
            <w:tcW w:w="2160" w:type="dxa"/>
            <w:shd w:val="clear" w:color="auto" w:fill="FFFFFF"/>
            <w:vAlign w:val="center"/>
          </w:tcPr>
          <w:p w14:paraId="03D28FE2" w14:textId="250BB052" w:rsidR="00730755" w:rsidRPr="005A3C3F" w:rsidRDefault="00393E2E" w:rsidP="00730755">
            <w:pPr>
              <w:spacing w:after="60"/>
              <w:jc w:val="center"/>
              <w:rPr>
                <w:rFonts w:ascii="Calibri" w:eastAsia="SimSun" w:hAnsi="Calibri" w:cs="Calibri"/>
                <w:bCs/>
                <w:i/>
                <w:sz w:val="18"/>
                <w:szCs w:val="18"/>
                <w:highlight w:val="yellow"/>
              </w:rPr>
            </w:pPr>
            <w:r>
              <w:rPr>
                <w:rFonts w:ascii="Calibri" w:hAnsi="Calibri"/>
                <w:sz w:val="18"/>
              </w:rPr>
              <w:t>El PNGQ del FMAM/PNUD ha formado a 884 personas (451 mujeres y 433 hombres) de diferentes grupos de actores clave en la gestión ambiental adecuada de plaguicidas y residuos relacionados (incluidos plásticos)</w:t>
            </w:r>
            <w:r w:rsidR="00B66CA0">
              <w:rPr>
                <w:rFonts w:ascii="Calibri" w:hAnsi="Calibri"/>
                <w:sz w:val="18"/>
              </w:rPr>
              <w:t>.</w:t>
            </w:r>
          </w:p>
        </w:tc>
        <w:tc>
          <w:tcPr>
            <w:tcW w:w="2520" w:type="dxa"/>
            <w:shd w:val="clear" w:color="auto" w:fill="FFFFFF"/>
          </w:tcPr>
          <w:p w14:paraId="72F73C3B" w14:textId="74DB9A5D" w:rsidR="00891BF0" w:rsidRPr="00891BF0" w:rsidRDefault="005F0BA6">
            <w:pPr>
              <w:pStyle w:val="Prrafodelista"/>
              <w:numPr>
                <w:ilvl w:val="0"/>
                <w:numId w:val="33"/>
              </w:numPr>
              <w:spacing w:after="60"/>
              <w:ind w:left="360"/>
              <w:jc w:val="both"/>
              <w:rPr>
                <w:rFonts w:asciiTheme="minorHAnsi" w:hAnsiTheme="minorHAnsi" w:cstheme="minorHAnsi"/>
                <w:bCs/>
                <w:iCs/>
                <w:sz w:val="18"/>
                <w:szCs w:val="18"/>
              </w:rPr>
            </w:pPr>
            <w:r>
              <w:rPr>
                <w:rFonts w:asciiTheme="minorHAnsi" w:hAnsiTheme="minorHAnsi"/>
                <w:sz w:val="18"/>
              </w:rPr>
              <w:t>20 funcionarios de Aduanas y Control de Aduanas formados en prevención del comercio ilegal.</w:t>
            </w:r>
          </w:p>
          <w:p w14:paraId="11CE8A3D" w14:textId="767E8D67" w:rsidR="00891BF0" w:rsidRPr="00891BF0" w:rsidRDefault="00891BF0">
            <w:pPr>
              <w:pStyle w:val="Prrafodelista"/>
              <w:numPr>
                <w:ilvl w:val="0"/>
                <w:numId w:val="33"/>
              </w:numPr>
              <w:spacing w:after="60"/>
              <w:ind w:left="360"/>
              <w:jc w:val="both"/>
              <w:rPr>
                <w:rFonts w:asciiTheme="minorHAnsi" w:hAnsiTheme="minorHAnsi" w:cstheme="minorHAnsi"/>
                <w:bCs/>
                <w:iCs/>
                <w:sz w:val="18"/>
                <w:szCs w:val="18"/>
              </w:rPr>
            </w:pPr>
            <w:r>
              <w:rPr>
                <w:rFonts w:asciiTheme="minorHAnsi" w:hAnsiTheme="minorHAnsi"/>
                <w:sz w:val="18"/>
              </w:rPr>
              <w:t xml:space="preserve">Formación de 30 funcionarios públicos sobre el </w:t>
            </w:r>
            <w:r w:rsidR="00500A15">
              <w:rPr>
                <w:rFonts w:asciiTheme="minorHAnsi" w:hAnsiTheme="minorHAnsi"/>
                <w:sz w:val="18"/>
              </w:rPr>
              <w:t>K</w:t>
            </w:r>
            <w:r>
              <w:rPr>
                <w:rFonts w:asciiTheme="minorHAnsi" w:hAnsiTheme="minorHAnsi"/>
                <w:sz w:val="18"/>
              </w:rPr>
              <w:t xml:space="preserve">it de </w:t>
            </w:r>
            <w:r w:rsidR="00500A15">
              <w:rPr>
                <w:rFonts w:asciiTheme="minorHAnsi" w:hAnsiTheme="minorHAnsi"/>
                <w:sz w:val="18"/>
              </w:rPr>
              <w:t>H</w:t>
            </w:r>
            <w:r>
              <w:rPr>
                <w:rFonts w:asciiTheme="minorHAnsi" w:hAnsiTheme="minorHAnsi"/>
                <w:sz w:val="18"/>
              </w:rPr>
              <w:t xml:space="preserve">erramientas de la FAO para el </w:t>
            </w:r>
            <w:r w:rsidR="00B66CA0">
              <w:rPr>
                <w:rFonts w:asciiTheme="minorHAnsi" w:hAnsiTheme="minorHAnsi"/>
                <w:sz w:val="18"/>
              </w:rPr>
              <w:t>R</w:t>
            </w:r>
            <w:r>
              <w:rPr>
                <w:rFonts w:asciiTheme="minorHAnsi" w:hAnsiTheme="minorHAnsi"/>
                <w:sz w:val="18"/>
              </w:rPr>
              <w:t xml:space="preserve">egistro de </w:t>
            </w:r>
            <w:r w:rsidR="00B66CA0">
              <w:rPr>
                <w:rFonts w:asciiTheme="minorHAnsi" w:hAnsiTheme="minorHAnsi"/>
                <w:sz w:val="18"/>
              </w:rPr>
              <w:t>P</w:t>
            </w:r>
            <w:r>
              <w:rPr>
                <w:rFonts w:asciiTheme="minorHAnsi" w:hAnsiTheme="minorHAnsi"/>
                <w:sz w:val="18"/>
              </w:rPr>
              <w:t>laguicidas.</w:t>
            </w:r>
          </w:p>
          <w:p w14:paraId="5936C547" w14:textId="77777777" w:rsidR="00A16718" w:rsidRDefault="00A16718">
            <w:pPr>
              <w:pStyle w:val="Prrafodelista"/>
              <w:numPr>
                <w:ilvl w:val="0"/>
                <w:numId w:val="33"/>
              </w:numPr>
              <w:spacing w:after="60"/>
              <w:ind w:left="360"/>
              <w:jc w:val="both"/>
              <w:rPr>
                <w:rFonts w:asciiTheme="minorHAnsi" w:hAnsiTheme="minorHAnsi" w:cstheme="minorHAnsi"/>
                <w:bCs/>
                <w:iCs/>
                <w:sz w:val="18"/>
                <w:szCs w:val="18"/>
              </w:rPr>
            </w:pPr>
            <w:r>
              <w:rPr>
                <w:rFonts w:asciiTheme="minorHAnsi" w:hAnsiTheme="minorHAnsi"/>
                <w:sz w:val="18"/>
              </w:rPr>
              <w:t>Elaboración de un Plan de Acción Nacional para la aplicación del Código Internacional de Conducta.</w:t>
            </w:r>
          </w:p>
          <w:p w14:paraId="3FE674FE" w14:textId="6353A727" w:rsidR="00730755" w:rsidRPr="00A16718" w:rsidRDefault="005D3406">
            <w:pPr>
              <w:pStyle w:val="Prrafodelista"/>
              <w:numPr>
                <w:ilvl w:val="0"/>
                <w:numId w:val="33"/>
              </w:numPr>
              <w:spacing w:after="60"/>
              <w:ind w:left="360"/>
              <w:jc w:val="both"/>
              <w:rPr>
                <w:rFonts w:asciiTheme="minorHAnsi" w:hAnsiTheme="minorHAnsi" w:cstheme="minorHAnsi"/>
                <w:bCs/>
                <w:iCs/>
                <w:sz w:val="18"/>
                <w:szCs w:val="18"/>
              </w:rPr>
            </w:pPr>
            <w:r>
              <w:rPr>
                <w:rFonts w:asciiTheme="minorHAnsi" w:hAnsiTheme="minorHAnsi"/>
                <w:sz w:val="18"/>
              </w:rPr>
              <w:t xml:space="preserve">400 personas formadas para la </w:t>
            </w:r>
            <w:r>
              <w:rPr>
                <w:rFonts w:ascii="Calibri" w:hAnsi="Calibri"/>
                <w:sz w:val="18"/>
              </w:rPr>
              <w:t>identificación, control y eliminación final de plaguicidas y residuos.</w:t>
            </w:r>
            <w:r>
              <w:rPr>
                <w:rFonts w:asciiTheme="minorHAnsi" w:hAnsiTheme="minorHAnsi"/>
                <w:sz w:val="18"/>
              </w:rPr>
              <w:t xml:space="preserve"> (120 inspectores; 200 sectores privados; 80 de administraciones locales/nacionales)</w:t>
            </w:r>
          </w:p>
        </w:tc>
        <w:tc>
          <w:tcPr>
            <w:tcW w:w="2903" w:type="dxa"/>
            <w:shd w:val="clear" w:color="auto" w:fill="FFFFFF"/>
          </w:tcPr>
          <w:p w14:paraId="05445745" w14:textId="19935D15" w:rsidR="00891BF0" w:rsidRPr="00891BF0" w:rsidRDefault="005F0BA6">
            <w:pPr>
              <w:pStyle w:val="Prrafodelista"/>
              <w:numPr>
                <w:ilvl w:val="0"/>
                <w:numId w:val="34"/>
              </w:numPr>
              <w:spacing w:after="60"/>
              <w:ind w:left="360"/>
              <w:jc w:val="both"/>
              <w:rPr>
                <w:rFonts w:asciiTheme="minorHAnsi" w:hAnsiTheme="minorHAnsi" w:cstheme="minorHAnsi"/>
                <w:bCs/>
                <w:iCs/>
                <w:sz w:val="18"/>
                <w:szCs w:val="18"/>
              </w:rPr>
            </w:pPr>
            <w:r>
              <w:rPr>
                <w:rFonts w:asciiTheme="minorHAnsi" w:hAnsiTheme="minorHAnsi"/>
                <w:sz w:val="18"/>
              </w:rPr>
              <w:t>50 funcionarios de Aduanas y Control de Aduanas formados en prevención del comercio ilegal.</w:t>
            </w:r>
          </w:p>
          <w:p w14:paraId="2A450A4D" w14:textId="2984B655" w:rsidR="00891BF0" w:rsidRDefault="00891BF0">
            <w:pPr>
              <w:pStyle w:val="Prrafodelista"/>
              <w:numPr>
                <w:ilvl w:val="0"/>
                <w:numId w:val="34"/>
              </w:numPr>
              <w:spacing w:after="60"/>
              <w:ind w:left="360"/>
              <w:jc w:val="both"/>
              <w:rPr>
                <w:rFonts w:asciiTheme="minorHAnsi" w:hAnsiTheme="minorHAnsi" w:cstheme="minorHAnsi"/>
                <w:bCs/>
                <w:iCs/>
                <w:sz w:val="18"/>
                <w:szCs w:val="18"/>
              </w:rPr>
            </w:pPr>
            <w:r>
              <w:rPr>
                <w:rFonts w:asciiTheme="minorHAnsi" w:hAnsiTheme="minorHAnsi"/>
                <w:sz w:val="18"/>
              </w:rPr>
              <w:t xml:space="preserve">Formación de 30 funcionarios públicos sobre el </w:t>
            </w:r>
            <w:r w:rsidR="00500A15">
              <w:rPr>
                <w:rFonts w:asciiTheme="minorHAnsi" w:hAnsiTheme="minorHAnsi"/>
                <w:sz w:val="18"/>
              </w:rPr>
              <w:t>K</w:t>
            </w:r>
            <w:r>
              <w:rPr>
                <w:rFonts w:asciiTheme="minorHAnsi" w:hAnsiTheme="minorHAnsi"/>
                <w:sz w:val="18"/>
              </w:rPr>
              <w:t xml:space="preserve">it de </w:t>
            </w:r>
            <w:r w:rsidR="00500A15">
              <w:rPr>
                <w:rFonts w:asciiTheme="minorHAnsi" w:hAnsiTheme="minorHAnsi"/>
                <w:sz w:val="18"/>
              </w:rPr>
              <w:t>H</w:t>
            </w:r>
            <w:r>
              <w:rPr>
                <w:rFonts w:asciiTheme="minorHAnsi" w:hAnsiTheme="minorHAnsi"/>
                <w:sz w:val="18"/>
              </w:rPr>
              <w:t xml:space="preserve">erramientas de la FAO para el </w:t>
            </w:r>
            <w:r w:rsidR="00B66CA0">
              <w:rPr>
                <w:rFonts w:asciiTheme="minorHAnsi" w:hAnsiTheme="minorHAnsi"/>
                <w:sz w:val="18"/>
              </w:rPr>
              <w:t>R</w:t>
            </w:r>
            <w:r>
              <w:rPr>
                <w:rFonts w:asciiTheme="minorHAnsi" w:hAnsiTheme="minorHAnsi"/>
                <w:sz w:val="18"/>
              </w:rPr>
              <w:t xml:space="preserve">egistro de </w:t>
            </w:r>
            <w:r w:rsidR="00B66CA0">
              <w:rPr>
                <w:rFonts w:asciiTheme="minorHAnsi" w:hAnsiTheme="minorHAnsi"/>
                <w:sz w:val="18"/>
              </w:rPr>
              <w:t>P</w:t>
            </w:r>
            <w:r>
              <w:rPr>
                <w:rFonts w:asciiTheme="minorHAnsi" w:hAnsiTheme="minorHAnsi"/>
                <w:sz w:val="18"/>
              </w:rPr>
              <w:t>laguicidas.</w:t>
            </w:r>
          </w:p>
          <w:p w14:paraId="16103866" w14:textId="2EF9B470" w:rsidR="00891BF0" w:rsidRDefault="00891BF0">
            <w:pPr>
              <w:pStyle w:val="Prrafodelista"/>
              <w:numPr>
                <w:ilvl w:val="0"/>
                <w:numId w:val="34"/>
              </w:numPr>
              <w:spacing w:after="60"/>
              <w:ind w:left="360"/>
              <w:jc w:val="both"/>
              <w:rPr>
                <w:rFonts w:asciiTheme="minorHAnsi" w:hAnsiTheme="minorHAnsi" w:cstheme="minorHAnsi"/>
                <w:bCs/>
                <w:iCs/>
                <w:sz w:val="18"/>
                <w:szCs w:val="18"/>
              </w:rPr>
            </w:pPr>
            <w:r>
              <w:rPr>
                <w:rFonts w:asciiTheme="minorHAnsi" w:hAnsiTheme="minorHAnsi"/>
                <w:sz w:val="18"/>
              </w:rPr>
              <w:t>Elaboración de un Plan de Acción Nacional para la aplicación del Código Internacional de Conducta.</w:t>
            </w:r>
          </w:p>
          <w:p w14:paraId="07230E57" w14:textId="35F3C08B" w:rsidR="00730755" w:rsidRPr="005D3406" w:rsidRDefault="00891BF0">
            <w:pPr>
              <w:pStyle w:val="Prrafodelista"/>
              <w:numPr>
                <w:ilvl w:val="0"/>
                <w:numId w:val="34"/>
              </w:numPr>
              <w:spacing w:after="60"/>
              <w:ind w:left="360"/>
              <w:jc w:val="both"/>
              <w:rPr>
                <w:rFonts w:asciiTheme="minorHAnsi" w:hAnsiTheme="minorHAnsi" w:cstheme="minorHAnsi"/>
                <w:bCs/>
                <w:iCs/>
                <w:sz w:val="18"/>
                <w:szCs w:val="18"/>
              </w:rPr>
            </w:pPr>
            <w:r>
              <w:rPr>
                <w:rFonts w:asciiTheme="minorHAnsi" w:hAnsiTheme="minorHAnsi"/>
                <w:sz w:val="18"/>
              </w:rPr>
              <w:t xml:space="preserve">Diseño de una plataforma oficial de intercambio de información y formación de 1000 personas para la </w:t>
            </w:r>
            <w:r>
              <w:rPr>
                <w:rFonts w:ascii="Calibri" w:hAnsi="Calibri"/>
                <w:sz w:val="18"/>
              </w:rPr>
              <w:t>identificación, control y eliminación final de plaguicidas y residuos. (</w:t>
            </w:r>
            <w:r>
              <w:rPr>
                <w:rFonts w:asciiTheme="minorHAnsi" w:hAnsiTheme="minorHAnsi"/>
                <w:sz w:val="18"/>
              </w:rPr>
              <w:t>300 inspectores; 500 sectores privados; 200 de gobiernos locales/nacionales)</w:t>
            </w:r>
          </w:p>
        </w:tc>
      </w:tr>
      <w:tr w:rsidR="00730755" w:rsidRPr="001B17BF" w14:paraId="55DA4F8E" w14:textId="77777777" w:rsidTr="00050287">
        <w:trPr>
          <w:trHeight w:val="584"/>
        </w:trPr>
        <w:tc>
          <w:tcPr>
            <w:tcW w:w="2605" w:type="dxa"/>
            <w:vMerge/>
          </w:tcPr>
          <w:p w14:paraId="353C4851" w14:textId="77777777" w:rsidR="00730755" w:rsidRPr="00F46CDE" w:rsidRDefault="00730755" w:rsidP="00730755">
            <w:pPr>
              <w:spacing w:after="60"/>
              <w:rPr>
                <w:rFonts w:ascii="Calibri" w:eastAsia="SimSun" w:hAnsi="Calibri" w:cs="Calibri"/>
                <w:b/>
                <w:bCs/>
                <w:sz w:val="18"/>
                <w:szCs w:val="18"/>
                <w:lang w:val="es-EC"/>
              </w:rPr>
            </w:pPr>
          </w:p>
        </w:tc>
        <w:tc>
          <w:tcPr>
            <w:tcW w:w="4230" w:type="dxa"/>
            <w:shd w:val="clear" w:color="auto" w:fill="FFFFFF"/>
          </w:tcPr>
          <w:p w14:paraId="3E178DA7" w14:textId="0FD12885" w:rsidR="00730755" w:rsidRPr="00BE385C" w:rsidRDefault="00730755" w:rsidP="00730755">
            <w:pPr>
              <w:spacing w:after="60"/>
              <w:rPr>
                <w:rFonts w:ascii="Calibri" w:eastAsia="SimSun" w:hAnsi="Calibri" w:cs="Calibri"/>
                <w:bCs/>
                <w:iCs/>
                <w:sz w:val="18"/>
                <w:szCs w:val="18"/>
              </w:rPr>
            </w:pPr>
            <w:r>
              <w:rPr>
                <w:rFonts w:ascii="Calibri" w:hAnsi="Calibri"/>
                <w:sz w:val="18"/>
              </w:rPr>
              <w:t xml:space="preserve">Indicador 6: </w:t>
            </w:r>
          </w:p>
          <w:p w14:paraId="64AF1AC6" w14:textId="1B407FED" w:rsidR="00730755" w:rsidRPr="00A74019" w:rsidRDefault="00730755" w:rsidP="00891BF0">
            <w:pPr>
              <w:spacing w:after="120"/>
              <w:rPr>
                <w:rFonts w:asciiTheme="minorHAnsi" w:hAnsiTheme="minorHAnsi" w:cstheme="minorHAnsi"/>
                <w:iCs/>
                <w:sz w:val="18"/>
                <w:szCs w:val="18"/>
              </w:rPr>
            </w:pPr>
            <w:r>
              <w:rPr>
                <w:rFonts w:asciiTheme="minorHAnsi" w:hAnsiTheme="minorHAnsi"/>
                <w:sz w:val="18"/>
              </w:rPr>
              <w:t>Desarrollo del Plan Nacional de Reducción de Agroquímicos Perjudiciales y Hoja de Ruta del Marco Legal</w:t>
            </w:r>
          </w:p>
        </w:tc>
        <w:tc>
          <w:tcPr>
            <w:tcW w:w="2160" w:type="dxa"/>
            <w:shd w:val="clear" w:color="auto" w:fill="FFFFFF"/>
            <w:vAlign w:val="center"/>
          </w:tcPr>
          <w:p w14:paraId="2CA3057B" w14:textId="7C460133" w:rsidR="00730755" w:rsidRPr="00075A20" w:rsidRDefault="00730755" w:rsidP="00730755">
            <w:pPr>
              <w:spacing w:after="60"/>
              <w:jc w:val="center"/>
              <w:rPr>
                <w:rFonts w:ascii="Calibri" w:eastAsia="SimSun" w:hAnsi="Calibri" w:cs="Calibri"/>
                <w:bCs/>
                <w:i/>
                <w:sz w:val="18"/>
                <w:szCs w:val="18"/>
                <w:highlight w:val="yellow"/>
              </w:rPr>
            </w:pPr>
            <w:r>
              <w:rPr>
                <w:rFonts w:ascii="Calibri" w:hAnsi="Calibri"/>
                <w:sz w:val="18"/>
              </w:rPr>
              <w:t>-</w:t>
            </w:r>
          </w:p>
        </w:tc>
        <w:tc>
          <w:tcPr>
            <w:tcW w:w="2520" w:type="dxa"/>
            <w:shd w:val="clear" w:color="auto" w:fill="FFFFFF"/>
            <w:vAlign w:val="center"/>
          </w:tcPr>
          <w:p w14:paraId="05161A93" w14:textId="14786B23" w:rsidR="00730755" w:rsidRPr="00050287" w:rsidRDefault="00730755" w:rsidP="00730755">
            <w:pPr>
              <w:spacing w:after="60"/>
              <w:jc w:val="center"/>
              <w:rPr>
                <w:rFonts w:ascii="Calibri" w:eastAsia="SimSun" w:hAnsi="Calibri" w:cs="Calibri"/>
                <w:bCs/>
                <w:iCs/>
                <w:sz w:val="18"/>
                <w:szCs w:val="18"/>
                <w:highlight w:val="yellow"/>
              </w:rPr>
            </w:pPr>
            <w:r>
              <w:rPr>
                <w:rFonts w:ascii="Calibri" w:hAnsi="Calibri"/>
                <w:sz w:val="18"/>
              </w:rPr>
              <w:t>Elaboración de una hoja de ruta para el marco jurídico</w:t>
            </w:r>
          </w:p>
        </w:tc>
        <w:tc>
          <w:tcPr>
            <w:tcW w:w="2903" w:type="dxa"/>
            <w:shd w:val="clear" w:color="auto" w:fill="FFFFFF"/>
            <w:vAlign w:val="center"/>
          </w:tcPr>
          <w:p w14:paraId="3C06398B" w14:textId="6AB2CE7E" w:rsidR="00730755" w:rsidRPr="00075A20" w:rsidRDefault="00730755" w:rsidP="00730755">
            <w:pPr>
              <w:spacing w:after="60"/>
              <w:jc w:val="center"/>
              <w:rPr>
                <w:rFonts w:ascii="Calibri" w:eastAsia="SimSun" w:hAnsi="Calibri" w:cs="Calibri"/>
                <w:i/>
                <w:sz w:val="18"/>
                <w:szCs w:val="18"/>
                <w:highlight w:val="yellow"/>
              </w:rPr>
            </w:pPr>
            <w:r>
              <w:rPr>
                <w:rFonts w:asciiTheme="minorHAnsi" w:hAnsiTheme="minorHAnsi"/>
                <w:sz w:val="18"/>
              </w:rPr>
              <w:t>Desarrollo de un (1) Plan Nacional de Reducción de Agroquímicos Nocivos</w:t>
            </w:r>
          </w:p>
        </w:tc>
      </w:tr>
      <w:tr w:rsidR="00730755" w:rsidRPr="0018107D" w14:paraId="223BA6C0" w14:textId="77777777" w:rsidTr="00966EF0">
        <w:trPr>
          <w:trHeight w:val="620"/>
        </w:trPr>
        <w:tc>
          <w:tcPr>
            <w:tcW w:w="2605" w:type="dxa"/>
            <w:shd w:val="clear" w:color="auto" w:fill="D9D9D9"/>
          </w:tcPr>
          <w:p w14:paraId="332ACE0F" w14:textId="77777777" w:rsidR="00730755" w:rsidRPr="0018107D" w:rsidRDefault="00730755" w:rsidP="00730755">
            <w:pPr>
              <w:spacing w:after="60"/>
              <w:rPr>
                <w:rFonts w:ascii="Calibri" w:eastAsia="SimSun" w:hAnsi="Calibri" w:cs="Calibri"/>
                <w:b/>
                <w:bCs/>
                <w:sz w:val="18"/>
                <w:szCs w:val="18"/>
              </w:rPr>
            </w:pPr>
            <w:r>
              <w:rPr>
                <w:rFonts w:ascii="Calibri" w:hAnsi="Calibri"/>
                <w:b/>
                <w:sz w:val="18"/>
              </w:rPr>
              <w:t>Productos para lograr el Resultado 1</w:t>
            </w:r>
          </w:p>
        </w:tc>
        <w:tc>
          <w:tcPr>
            <w:tcW w:w="11813" w:type="dxa"/>
            <w:gridSpan w:val="4"/>
            <w:shd w:val="clear" w:color="auto" w:fill="FFFFFF"/>
          </w:tcPr>
          <w:p w14:paraId="0BEB09CD" w14:textId="7EF66BD9" w:rsidR="00730755" w:rsidRPr="00E409B5" w:rsidRDefault="00730755" w:rsidP="00730755">
            <w:pPr>
              <w:spacing w:after="40"/>
              <w:jc w:val="both"/>
              <w:rPr>
                <w:rFonts w:ascii="Calibri" w:eastAsia="SimSun" w:hAnsi="Calibri" w:cs="Calibri"/>
                <w:bCs/>
                <w:iCs/>
                <w:sz w:val="18"/>
                <w:szCs w:val="18"/>
              </w:rPr>
            </w:pPr>
            <w:r>
              <w:rPr>
                <w:rFonts w:ascii="Calibri" w:hAnsi="Calibri"/>
                <w:sz w:val="18"/>
              </w:rPr>
              <w:t xml:space="preserve">Resultado 1.1. Formación y divulgación con las autoridades aduaneras para </w:t>
            </w:r>
            <w:r>
              <w:rPr>
                <w:rFonts w:ascii="Calibri" w:hAnsi="Calibri"/>
                <w:color w:val="000000" w:themeColor="text1"/>
                <w:sz w:val="18"/>
              </w:rPr>
              <w:t>evitar las importaciones y el comercio ilegales de productos químicos peligrosos.</w:t>
            </w:r>
          </w:p>
          <w:p w14:paraId="2C993B55" w14:textId="3395D07D" w:rsidR="00730755" w:rsidRPr="00E409B5" w:rsidRDefault="00730755" w:rsidP="00730755">
            <w:pPr>
              <w:pStyle w:val="Default"/>
              <w:spacing w:after="40"/>
              <w:jc w:val="both"/>
              <w:rPr>
                <w:rFonts w:ascii="Calibri" w:hAnsi="Calibri" w:cs="Calibri"/>
                <w:iCs/>
                <w:color w:val="auto"/>
                <w:sz w:val="18"/>
                <w:szCs w:val="18"/>
              </w:rPr>
            </w:pPr>
            <w:r>
              <w:rPr>
                <w:rFonts w:ascii="Calibri" w:hAnsi="Calibri"/>
                <w:sz w:val="18"/>
              </w:rPr>
              <w:t xml:space="preserve">Resultado 1.2. Capacidad de las instituciones gubernamentales y del sector privado para adoptar, utilizar y adaptar adecuadamente herramientas como el Kit de </w:t>
            </w:r>
            <w:r w:rsidR="00500A15">
              <w:rPr>
                <w:rFonts w:ascii="Calibri" w:hAnsi="Calibri"/>
                <w:sz w:val="18"/>
              </w:rPr>
              <w:t>H</w:t>
            </w:r>
            <w:r>
              <w:rPr>
                <w:rFonts w:ascii="Calibri" w:hAnsi="Calibri"/>
                <w:sz w:val="18"/>
              </w:rPr>
              <w:t xml:space="preserve">erramientas para el </w:t>
            </w:r>
            <w:r w:rsidR="00794C01">
              <w:rPr>
                <w:rFonts w:ascii="Calibri" w:hAnsi="Calibri"/>
                <w:sz w:val="18"/>
              </w:rPr>
              <w:t>R</w:t>
            </w:r>
            <w:r>
              <w:rPr>
                <w:rFonts w:ascii="Calibri" w:hAnsi="Calibri"/>
                <w:sz w:val="18"/>
              </w:rPr>
              <w:t xml:space="preserve">egistro de </w:t>
            </w:r>
            <w:r w:rsidR="00794C01">
              <w:rPr>
                <w:rFonts w:ascii="Calibri" w:hAnsi="Calibri"/>
                <w:sz w:val="18"/>
              </w:rPr>
              <w:t>P</w:t>
            </w:r>
            <w:r>
              <w:rPr>
                <w:rFonts w:ascii="Calibri" w:hAnsi="Calibri"/>
                <w:sz w:val="18"/>
              </w:rPr>
              <w:t>laguicidas de la FAO</w:t>
            </w:r>
            <w:r>
              <w:rPr>
                <w:rFonts w:ascii="Calibri" w:hAnsi="Calibri"/>
                <w:color w:val="auto"/>
                <w:sz w:val="18"/>
              </w:rPr>
              <w:t xml:space="preserve">, el Código Internacional de Conducta para la distribución y el uso de plaguicidas, entre otras, que permitan la correcta aplicación de las normas sobre plaguicidas/plásticos.  </w:t>
            </w:r>
          </w:p>
          <w:p w14:paraId="09E55BF7" w14:textId="4198DB24" w:rsidR="00730755" w:rsidRPr="00E409B5" w:rsidRDefault="00730755" w:rsidP="00730755">
            <w:pPr>
              <w:spacing w:after="40"/>
              <w:jc w:val="both"/>
              <w:rPr>
                <w:rFonts w:ascii="Calibri" w:eastAsia="SimSun" w:hAnsi="Calibri" w:cs="Calibri"/>
                <w:bCs/>
                <w:iCs/>
                <w:sz w:val="18"/>
                <w:szCs w:val="18"/>
              </w:rPr>
            </w:pPr>
            <w:r>
              <w:rPr>
                <w:rFonts w:ascii="Calibri" w:hAnsi="Calibri"/>
                <w:sz w:val="18"/>
              </w:rPr>
              <w:t>Resultado 1.3. Fortalecimiento institucional para la rápida identificación de alternativas a los agroquímicos con alto impacto ambiental (es decir, PAPs), procesos ágiles de registro de mejores productos y fortalecimiento de los procesos de compra para facilitar el uso de las alternativas encontradas.</w:t>
            </w:r>
          </w:p>
          <w:p w14:paraId="3D3FE91A" w14:textId="2A6D4605" w:rsidR="00730755" w:rsidRPr="00E409B5" w:rsidRDefault="00730755" w:rsidP="00730755">
            <w:pPr>
              <w:pStyle w:val="Default"/>
              <w:spacing w:after="40"/>
              <w:jc w:val="both"/>
              <w:rPr>
                <w:rFonts w:ascii="Calibri" w:hAnsi="Calibri" w:cs="Calibri"/>
                <w:iCs/>
                <w:color w:val="auto"/>
                <w:sz w:val="18"/>
                <w:szCs w:val="18"/>
              </w:rPr>
            </w:pPr>
            <w:r>
              <w:rPr>
                <w:rFonts w:ascii="Calibri" w:hAnsi="Calibri"/>
                <w:sz w:val="18"/>
              </w:rPr>
              <w:t xml:space="preserve">Resultado 1.4. </w:t>
            </w:r>
            <w:r>
              <w:rPr>
                <w:rFonts w:ascii="Calibri" w:hAnsi="Calibri"/>
                <w:color w:val="auto"/>
                <w:sz w:val="18"/>
              </w:rPr>
              <w:t xml:space="preserve">Fortalecimiento institucional para la identificación, control y disposición final de plaguicidas y sus residuos. Incorporación de estrategias de alerta temprana para la generación de residuos. </w:t>
            </w:r>
          </w:p>
          <w:p w14:paraId="0C2FD644" w14:textId="62BB224E" w:rsidR="00730755" w:rsidRPr="0018107D" w:rsidRDefault="00730755" w:rsidP="00730755">
            <w:pPr>
              <w:spacing w:after="40"/>
              <w:jc w:val="both"/>
              <w:rPr>
                <w:rFonts w:ascii="Calibri" w:eastAsia="SimSun" w:hAnsi="Calibri" w:cs="Calibri"/>
                <w:bCs/>
                <w:i/>
                <w:sz w:val="18"/>
                <w:szCs w:val="18"/>
                <w:highlight w:val="yellow"/>
              </w:rPr>
            </w:pPr>
            <w:r>
              <w:rPr>
                <w:rFonts w:ascii="Calibri" w:hAnsi="Calibri"/>
                <w:sz w:val="18"/>
              </w:rPr>
              <w:t xml:space="preserve">Resultado 1.5. Actualización o elaboración de normativas a todos los niveles (nacional y local), en coherencia con el </w:t>
            </w:r>
            <w:r w:rsidR="00794C01">
              <w:rPr>
                <w:rFonts w:ascii="Calibri" w:hAnsi="Calibri"/>
                <w:sz w:val="18"/>
              </w:rPr>
              <w:t>C</w:t>
            </w:r>
            <w:r>
              <w:rPr>
                <w:rFonts w:ascii="Calibri" w:hAnsi="Calibri"/>
                <w:sz w:val="18"/>
              </w:rPr>
              <w:t xml:space="preserve">ontrol </w:t>
            </w:r>
            <w:r w:rsidR="00794C01">
              <w:rPr>
                <w:rFonts w:ascii="Calibri" w:hAnsi="Calibri"/>
                <w:sz w:val="18"/>
              </w:rPr>
              <w:t>R</w:t>
            </w:r>
            <w:r>
              <w:rPr>
                <w:rFonts w:ascii="Calibri" w:hAnsi="Calibri"/>
                <w:sz w:val="18"/>
              </w:rPr>
              <w:t xml:space="preserve">egional del </w:t>
            </w:r>
            <w:r w:rsidR="00794C01">
              <w:rPr>
                <w:rFonts w:ascii="Calibri" w:hAnsi="Calibri"/>
                <w:sz w:val="18"/>
              </w:rPr>
              <w:t>C</w:t>
            </w:r>
            <w:r>
              <w:rPr>
                <w:rFonts w:ascii="Calibri" w:hAnsi="Calibri"/>
                <w:sz w:val="18"/>
              </w:rPr>
              <w:t xml:space="preserve">omercio de </w:t>
            </w:r>
            <w:r w:rsidR="00794C01">
              <w:rPr>
                <w:rFonts w:ascii="Calibri" w:hAnsi="Calibri"/>
                <w:sz w:val="18"/>
              </w:rPr>
              <w:t>S</w:t>
            </w:r>
            <w:r>
              <w:rPr>
                <w:rFonts w:ascii="Calibri" w:hAnsi="Calibri"/>
                <w:sz w:val="18"/>
              </w:rPr>
              <w:t xml:space="preserve">ustancias </w:t>
            </w:r>
            <w:r w:rsidR="00794C01">
              <w:rPr>
                <w:rFonts w:ascii="Calibri" w:hAnsi="Calibri"/>
                <w:sz w:val="18"/>
              </w:rPr>
              <w:t>A</w:t>
            </w:r>
            <w:r>
              <w:rPr>
                <w:rFonts w:ascii="Calibri" w:hAnsi="Calibri"/>
                <w:sz w:val="18"/>
              </w:rPr>
              <w:t>groquímicas y aplicadas a lo largo del ciclo de vida de los productos / sustancias. (considerando el reciclado de plásticos para uso agrícola)</w:t>
            </w:r>
            <w:r>
              <w:rPr>
                <w:sz w:val="20"/>
              </w:rPr>
              <w:t xml:space="preserve">  </w:t>
            </w:r>
          </w:p>
        </w:tc>
      </w:tr>
      <w:tr w:rsidR="00730755" w:rsidRPr="0018107D" w14:paraId="43DD160B" w14:textId="77777777" w:rsidTr="00966EF0">
        <w:trPr>
          <w:trHeight w:val="620"/>
        </w:trPr>
        <w:tc>
          <w:tcPr>
            <w:tcW w:w="2605" w:type="dxa"/>
            <w:shd w:val="clear" w:color="auto" w:fill="E7E6E6"/>
          </w:tcPr>
          <w:p w14:paraId="44926133" w14:textId="77E6B011" w:rsidR="00730755" w:rsidRPr="0018107D" w:rsidRDefault="00730755" w:rsidP="00730755">
            <w:pPr>
              <w:spacing w:after="60"/>
              <w:rPr>
                <w:rFonts w:ascii="Calibri" w:eastAsia="SimSun" w:hAnsi="Calibri" w:cs="Calibri"/>
                <w:b/>
                <w:bCs/>
                <w:i/>
                <w:iCs/>
                <w:sz w:val="18"/>
                <w:szCs w:val="18"/>
              </w:rPr>
            </w:pPr>
            <w:r>
              <w:rPr>
                <w:rFonts w:ascii="Calibri" w:hAnsi="Calibri"/>
                <w:b/>
                <w:sz w:val="18"/>
              </w:rPr>
              <w:t>Componente 2 del proyecto</w:t>
            </w:r>
          </w:p>
        </w:tc>
        <w:tc>
          <w:tcPr>
            <w:tcW w:w="11813" w:type="dxa"/>
            <w:gridSpan w:val="4"/>
            <w:shd w:val="clear" w:color="auto" w:fill="E7E6E6"/>
          </w:tcPr>
          <w:p w14:paraId="3EA7BBD1" w14:textId="4020073E" w:rsidR="00730755" w:rsidRPr="0018107D" w:rsidRDefault="00730755" w:rsidP="00730755">
            <w:pPr>
              <w:spacing w:after="60"/>
              <w:rPr>
                <w:rFonts w:ascii="Calibri" w:eastAsia="SimSun" w:hAnsi="Calibri" w:cs="Calibri"/>
                <w:b/>
                <w:bCs/>
                <w:sz w:val="18"/>
                <w:szCs w:val="18"/>
                <w:highlight w:val="yellow"/>
              </w:rPr>
            </w:pPr>
            <w:r>
              <w:rPr>
                <w:rFonts w:ascii="Calibri" w:hAnsi="Calibri"/>
                <w:b/>
                <w:sz w:val="18"/>
              </w:rPr>
              <w:t>Finanzas e inversiones</w:t>
            </w:r>
          </w:p>
        </w:tc>
      </w:tr>
      <w:tr w:rsidR="007A7E63" w:rsidRPr="001B17BF" w14:paraId="243BD652" w14:textId="77777777" w:rsidTr="00FE44B2">
        <w:trPr>
          <w:trHeight w:val="413"/>
        </w:trPr>
        <w:tc>
          <w:tcPr>
            <w:tcW w:w="2605" w:type="dxa"/>
            <w:vMerge w:val="restart"/>
            <w:shd w:val="clear" w:color="auto" w:fill="auto"/>
          </w:tcPr>
          <w:p w14:paraId="041935A8" w14:textId="796992CA" w:rsidR="007A7E63" w:rsidRPr="00A562E4" w:rsidRDefault="007A7E63" w:rsidP="00730755">
            <w:pPr>
              <w:spacing w:after="60"/>
              <w:rPr>
                <w:rFonts w:ascii="Calibri" w:eastAsia="SimSun" w:hAnsi="Calibri" w:cs="Calibri"/>
                <w:b/>
                <w:bCs/>
                <w:sz w:val="18"/>
                <w:szCs w:val="18"/>
              </w:rPr>
            </w:pPr>
            <w:r>
              <w:rPr>
                <w:rFonts w:ascii="Calibri" w:hAnsi="Calibri"/>
                <w:b/>
                <w:sz w:val="18"/>
              </w:rPr>
              <w:t>Resultado 2</w:t>
            </w:r>
          </w:p>
          <w:p w14:paraId="562C24A7" w14:textId="61535C96" w:rsidR="007A7E63" w:rsidRPr="00A562E4" w:rsidRDefault="007A7E63" w:rsidP="00730755">
            <w:pPr>
              <w:spacing w:after="60"/>
              <w:jc w:val="both"/>
              <w:rPr>
                <w:rFonts w:ascii="Calibri" w:eastAsia="SimSun" w:hAnsi="Calibri" w:cs="Calibri"/>
                <w:b/>
                <w:bCs/>
                <w:sz w:val="18"/>
                <w:szCs w:val="18"/>
              </w:rPr>
            </w:pPr>
            <w:r>
              <w:rPr>
                <w:rFonts w:ascii="Calibri" w:hAnsi="Calibri"/>
                <w:sz w:val="18"/>
              </w:rPr>
              <w:t>La adopción generalizada de alternativas innovadoras más seguras y de prácticas agrícolas sostenibles reduce la demanda de productos agroquímicos y los sustituye eficazmente. Y se identifican y gestionan residuos agroquímicos de forma sostenible mediante sistemas reforzados de reducción o reciclaje de residuos.</w:t>
            </w:r>
          </w:p>
        </w:tc>
        <w:tc>
          <w:tcPr>
            <w:tcW w:w="4230" w:type="dxa"/>
          </w:tcPr>
          <w:p w14:paraId="766C384D" w14:textId="77777777" w:rsidR="003401ED" w:rsidRDefault="007A7E63" w:rsidP="00730755">
            <w:pPr>
              <w:spacing w:after="60"/>
              <w:rPr>
                <w:rFonts w:ascii="Calibri" w:hAnsi="Calibri"/>
                <w:color w:val="000000" w:themeColor="text1"/>
                <w:sz w:val="18"/>
              </w:rPr>
            </w:pPr>
            <w:r>
              <w:rPr>
                <w:rFonts w:ascii="Calibri" w:hAnsi="Calibri"/>
                <w:color w:val="000000" w:themeColor="text1"/>
                <w:sz w:val="18"/>
              </w:rPr>
              <w:t xml:space="preserve">Indicador 7: </w:t>
            </w:r>
          </w:p>
          <w:p w14:paraId="76870477" w14:textId="35A97760" w:rsidR="007A7E63" w:rsidRPr="007A7E63" w:rsidRDefault="007A7E63" w:rsidP="00730755">
            <w:pPr>
              <w:spacing w:after="60"/>
              <w:rPr>
                <w:rFonts w:ascii="Calibri" w:eastAsia="SimSun" w:hAnsi="Calibri" w:cs="Calibri"/>
                <w:bCs/>
                <w:iCs/>
                <w:color w:val="000000" w:themeColor="text1"/>
                <w:sz w:val="18"/>
                <w:szCs w:val="18"/>
              </w:rPr>
            </w:pPr>
            <w:r>
              <w:rPr>
                <w:rFonts w:ascii="Calibri" w:hAnsi="Calibri"/>
                <w:color w:val="000000" w:themeColor="text1"/>
                <w:sz w:val="18"/>
              </w:rPr>
              <w:t xml:space="preserve">Estudios económicos desarrollados y número de </w:t>
            </w:r>
            <w:r w:rsidR="00B436A3">
              <w:rPr>
                <w:rFonts w:ascii="Calibri" w:hAnsi="Calibri"/>
                <w:color w:val="000000" w:themeColor="text1"/>
                <w:sz w:val="18"/>
              </w:rPr>
              <w:t>I</w:t>
            </w:r>
            <w:r>
              <w:rPr>
                <w:rFonts w:ascii="Calibri" w:hAnsi="Calibri"/>
                <w:color w:val="000000" w:themeColor="text1"/>
                <w:sz w:val="18"/>
              </w:rPr>
              <w:t xml:space="preserve">ncentivos </w:t>
            </w:r>
            <w:r w:rsidR="00B436A3">
              <w:rPr>
                <w:rFonts w:ascii="Calibri" w:hAnsi="Calibri"/>
                <w:color w:val="000000" w:themeColor="text1"/>
                <w:sz w:val="18"/>
              </w:rPr>
              <w:t>F</w:t>
            </w:r>
            <w:r>
              <w:rPr>
                <w:rFonts w:ascii="Calibri" w:hAnsi="Calibri"/>
                <w:color w:val="000000" w:themeColor="text1"/>
                <w:sz w:val="18"/>
              </w:rPr>
              <w:t>iscales explorados</w:t>
            </w:r>
          </w:p>
        </w:tc>
        <w:tc>
          <w:tcPr>
            <w:tcW w:w="2160" w:type="dxa"/>
            <w:vAlign w:val="center"/>
          </w:tcPr>
          <w:p w14:paraId="34C3355A" w14:textId="7E06D8C9" w:rsidR="007A7E63" w:rsidRPr="00B51EE7" w:rsidRDefault="007A7E63" w:rsidP="00730755">
            <w:pPr>
              <w:spacing w:after="60"/>
              <w:jc w:val="center"/>
              <w:rPr>
                <w:rFonts w:ascii="Calibri" w:eastAsia="SimSun" w:hAnsi="Calibri" w:cs="Calibri"/>
                <w:bCs/>
                <w:i/>
                <w:sz w:val="18"/>
                <w:szCs w:val="18"/>
                <w:highlight w:val="yellow"/>
              </w:rPr>
            </w:pPr>
            <w:r>
              <w:rPr>
                <w:rFonts w:ascii="Calibri" w:hAnsi="Calibri"/>
                <w:sz w:val="18"/>
              </w:rPr>
              <w:t>-</w:t>
            </w:r>
          </w:p>
        </w:tc>
        <w:tc>
          <w:tcPr>
            <w:tcW w:w="2520" w:type="dxa"/>
          </w:tcPr>
          <w:p w14:paraId="16A5916D" w14:textId="41556B20" w:rsidR="007A7E63" w:rsidRPr="00FE44B2" w:rsidRDefault="007A7E63" w:rsidP="00730755">
            <w:pPr>
              <w:spacing w:after="60"/>
              <w:jc w:val="center"/>
              <w:rPr>
                <w:rFonts w:ascii="Calibri" w:eastAsia="SimSun" w:hAnsi="Calibri" w:cs="Calibri"/>
                <w:bCs/>
                <w:iCs/>
                <w:sz w:val="18"/>
                <w:szCs w:val="18"/>
              </w:rPr>
            </w:pPr>
            <w:r>
              <w:rPr>
                <w:rFonts w:ascii="Calibri" w:hAnsi="Calibri"/>
                <w:sz w:val="18"/>
              </w:rPr>
              <w:t>Un (1) Informe de Estudios de Valoración Económica</w:t>
            </w:r>
          </w:p>
          <w:p w14:paraId="3FE29BBB" w14:textId="41A528ED" w:rsidR="007A7E63" w:rsidRPr="00FE44B2" w:rsidRDefault="007A7E63" w:rsidP="00730755">
            <w:pPr>
              <w:spacing w:after="60"/>
              <w:jc w:val="center"/>
              <w:rPr>
                <w:rFonts w:ascii="Calibri" w:eastAsia="SimSun" w:hAnsi="Calibri" w:cs="Calibri"/>
                <w:bCs/>
                <w:iCs/>
                <w:sz w:val="18"/>
                <w:szCs w:val="18"/>
                <w:highlight w:val="yellow"/>
              </w:rPr>
            </w:pPr>
            <w:r>
              <w:rPr>
                <w:rFonts w:ascii="Calibri" w:hAnsi="Calibri"/>
                <w:sz w:val="18"/>
              </w:rPr>
              <w:t xml:space="preserve">Cinco (5) Incentivos </w:t>
            </w:r>
            <w:r w:rsidR="00B436A3">
              <w:rPr>
                <w:rFonts w:ascii="Calibri" w:hAnsi="Calibri"/>
                <w:sz w:val="18"/>
              </w:rPr>
              <w:t>F</w:t>
            </w:r>
            <w:r>
              <w:rPr>
                <w:rFonts w:ascii="Calibri" w:hAnsi="Calibri"/>
                <w:sz w:val="18"/>
              </w:rPr>
              <w:t>iscales viables explorados</w:t>
            </w:r>
          </w:p>
        </w:tc>
        <w:tc>
          <w:tcPr>
            <w:tcW w:w="2903" w:type="dxa"/>
          </w:tcPr>
          <w:p w14:paraId="5794054D" w14:textId="781FE81B" w:rsidR="007A7E63" w:rsidRPr="00FE44B2" w:rsidRDefault="007A7E63" w:rsidP="00730755">
            <w:pPr>
              <w:spacing w:after="60"/>
              <w:jc w:val="center"/>
              <w:rPr>
                <w:rFonts w:ascii="Calibri" w:eastAsia="SimSun" w:hAnsi="Calibri" w:cs="Calibri"/>
                <w:bCs/>
                <w:iCs/>
                <w:sz w:val="18"/>
                <w:szCs w:val="18"/>
              </w:rPr>
            </w:pPr>
            <w:r>
              <w:rPr>
                <w:rFonts w:ascii="Calibri" w:hAnsi="Calibri"/>
                <w:sz w:val="18"/>
              </w:rPr>
              <w:t>Un (1) Informe de Estudios de Valoración Económica</w:t>
            </w:r>
          </w:p>
          <w:p w14:paraId="737D2D32" w14:textId="6FAC4537" w:rsidR="007A7E63" w:rsidRPr="00FE44B2" w:rsidRDefault="007A7E63" w:rsidP="00730755">
            <w:pPr>
              <w:spacing w:after="60"/>
              <w:jc w:val="center"/>
              <w:rPr>
                <w:rFonts w:ascii="Calibri" w:eastAsia="SimSun" w:hAnsi="Calibri" w:cs="Calibri"/>
                <w:iCs/>
                <w:sz w:val="18"/>
                <w:szCs w:val="18"/>
                <w:highlight w:val="yellow"/>
              </w:rPr>
            </w:pPr>
            <w:r>
              <w:rPr>
                <w:rFonts w:ascii="Calibri" w:hAnsi="Calibri"/>
                <w:sz w:val="18"/>
              </w:rPr>
              <w:t xml:space="preserve">Cinco (5) Incentivos </w:t>
            </w:r>
            <w:r w:rsidR="00E34A0B">
              <w:rPr>
                <w:rFonts w:ascii="Calibri" w:hAnsi="Calibri"/>
                <w:sz w:val="18"/>
              </w:rPr>
              <w:t>F</w:t>
            </w:r>
            <w:r>
              <w:rPr>
                <w:rFonts w:ascii="Calibri" w:hAnsi="Calibri"/>
                <w:sz w:val="18"/>
              </w:rPr>
              <w:t>iscales viables explorados</w:t>
            </w:r>
          </w:p>
        </w:tc>
      </w:tr>
      <w:tr w:rsidR="007A7E63" w:rsidRPr="001B17BF" w14:paraId="1C0A7AEF" w14:textId="77777777" w:rsidTr="00D47EC7">
        <w:trPr>
          <w:trHeight w:val="440"/>
        </w:trPr>
        <w:tc>
          <w:tcPr>
            <w:tcW w:w="2605" w:type="dxa"/>
            <w:vMerge/>
          </w:tcPr>
          <w:p w14:paraId="2699C4B5" w14:textId="77777777" w:rsidR="007A7E63" w:rsidRPr="002152FE" w:rsidRDefault="007A7E63" w:rsidP="00730755">
            <w:pPr>
              <w:spacing w:after="60"/>
              <w:rPr>
                <w:rFonts w:ascii="Calibri" w:eastAsia="SimSun" w:hAnsi="Calibri" w:cs="Calibri"/>
                <w:b/>
                <w:bCs/>
                <w:sz w:val="18"/>
                <w:szCs w:val="18"/>
                <w:lang w:val="es-EC"/>
              </w:rPr>
            </w:pPr>
          </w:p>
        </w:tc>
        <w:tc>
          <w:tcPr>
            <w:tcW w:w="4230" w:type="dxa"/>
          </w:tcPr>
          <w:p w14:paraId="02809CCB" w14:textId="77777777" w:rsidR="003401ED" w:rsidRDefault="007A7E63" w:rsidP="00B436A3">
            <w:pPr>
              <w:spacing w:after="60"/>
              <w:jc w:val="both"/>
              <w:rPr>
                <w:rFonts w:ascii="Calibri" w:hAnsi="Calibri"/>
                <w:color w:val="000000" w:themeColor="text1"/>
                <w:sz w:val="18"/>
              </w:rPr>
            </w:pPr>
            <w:r>
              <w:rPr>
                <w:rFonts w:ascii="Calibri" w:hAnsi="Calibri"/>
                <w:color w:val="000000" w:themeColor="text1"/>
                <w:sz w:val="18"/>
              </w:rPr>
              <w:t xml:space="preserve">Indicador 8: </w:t>
            </w:r>
          </w:p>
          <w:p w14:paraId="741C2114" w14:textId="5E0B4271" w:rsidR="007A7E63" w:rsidRPr="007A7E63" w:rsidRDefault="007A7E63" w:rsidP="00B436A3">
            <w:pPr>
              <w:spacing w:after="60"/>
              <w:jc w:val="both"/>
              <w:rPr>
                <w:rFonts w:ascii="Calibri" w:eastAsia="SimSun" w:hAnsi="Calibri" w:cs="Calibri"/>
                <w:iCs/>
                <w:color w:val="000000" w:themeColor="text1"/>
                <w:sz w:val="18"/>
                <w:szCs w:val="18"/>
              </w:rPr>
            </w:pPr>
            <w:r>
              <w:rPr>
                <w:rFonts w:asciiTheme="minorHAnsi" w:hAnsiTheme="minorHAnsi"/>
                <w:color w:val="000000" w:themeColor="text1"/>
                <w:sz w:val="18"/>
              </w:rPr>
              <w:t xml:space="preserve">Creación de un </w:t>
            </w:r>
            <w:r w:rsidR="00B436A3">
              <w:rPr>
                <w:rFonts w:asciiTheme="minorHAnsi" w:hAnsiTheme="minorHAnsi"/>
                <w:color w:val="000000" w:themeColor="text1"/>
                <w:sz w:val="18"/>
              </w:rPr>
              <w:t>P</w:t>
            </w:r>
            <w:r>
              <w:rPr>
                <w:rFonts w:asciiTheme="minorHAnsi" w:hAnsiTheme="minorHAnsi"/>
                <w:color w:val="000000" w:themeColor="text1"/>
                <w:sz w:val="18"/>
              </w:rPr>
              <w:t xml:space="preserve">rograma de </w:t>
            </w:r>
            <w:r w:rsidR="00B436A3">
              <w:rPr>
                <w:rFonts w:asciiTheme="minorHAnsi" w:hAnsiTheme="minorHAnsi"/>
                <w:color w:val="000000" w:themeColor="text1"/>
                <w:sz w:val="18"/>
              </w:rPr>
              <w:t>F</w:t>
            </w:r>
            <w:r>
              <w:rPr>
                <w:rFonts w:asciiTheme="minorHAnsi" w:hAnsiTheme="minorHAnsi"/>
                <w:color w:val="000000" w:themeColor="text1"/>
                <w:sz w:val="18"/>
              </w:rPr>
              <w:t>inanciación adaptado a los agricultores para que adopten prácticas agrícolas sostenibles</w:t>
            </w:r>
          </w:p>
        </w:tc>
        <w:tc>
          <w:tcPr>
            <w:tcW w:w="2160" w:type="dxa"/>
            <w:vAlign w:val="center"/>
          </w:tcPr>
          <w:p w14:paraId="762DE77C" w14:textId="6418DF01" w:rsidR="007A7E63" w:rsidRPr="00D47EC7" w:rsidRDefault="007A7E63" w:rsidP="00730755">
            <w:pPr>
              <w:spacing w:after="60"/>
              <w:jc w:val="center"/>
              <w:rPr>
                <w:rFonts w:ascii="Calibri" w:eastAsia="SimSun" w:hAnsi="Calibri" w:cs="Calibri"/>
                <w:bCs/>
                <w:iCs/>
                <w:sz w:val="18"/>
                <w:szCs w:val="18"/>
              </w:rPr>
            </w:pPr>
            <w:r>
              <w:rPr>
                <w:rFonts w:ascii="Calibri" w:hAnsi="Calibri"/>
                <w:sz w:val="18"/>
              </w:rPr>
              <w:t>No existen productos financieros adaptados a la adopción de prácticas agrícolas sostenibles.</w:t>
            </w:r>
          </w:p>
        </w:tc>
        <w:tc>
          <w:tcPr>
            <w:tcW w:w="2520" w:type="dxa"/>
            <w:vAlign w:val="center"/>
          </w:tcPr>
          <w:p w14:paraId="5A167D8D" w14:textId="4DBB96DC" w:rsidR="007A7E63" w:rsidRPr="00E409B5" w:rsidRDefault="007A7E63" w:rsidP="00B436A3">
            <w:pPr>
              <w:spacing w:after="60"/>
              <w:jc w:val="center"/>
              <w:rPr>
                <w:rFonts w:ascii="Calibri" w:eastAsia="SimSun" w:hAnsi="Calibri" w:cs="Calibri"/>
                <w:bCs/>
                <w:i/>
                <w:sz w:val="18"/>
                <w:szCs w:val="18"/>
                <w:highlight w:val="yellow"/>
              </w:rPr>
            </w:pPr>
            <w:r>
              <w:rPr>
                <w:rFonts w:asciiTheme="minorHAnsi" w:hAnsiTheme="minorHAnsi"/>
                <w:color w:val="000000" w:themeColor="text1"/>
                <w:sz w:val="18"/>
              </w:rPr>
              <w:t xml:space="preserve">Creación de un (1) </w:t>
            </w:r>
            <w:r w:rsidR="00B436A3">
              <w:rPr>
                <w:rFonts w:asciiTheme="minorHAnsi" w:hAnsiTheme="minorHAnsi"/>
                <w:color w:val="000000" w:themeColor="text1"/>
                <w:sz w:val="18"/>
              </w:rPr>
              <w:t>M</w:t>
            </w:r>
            <w:r>
              <w:rPr>
                <w:rFonts w:asciiTheme="minorHAnsi" w:hAnsiTheme="minorHAnsi"/>
                <w:color w:val="000000" w:themeColor="text1"/>
                <w:sz w:val="18"/>
              </w:rPr>
              <w:t xml:space="preserve">ecanismo </w:t>
            </w:r>
            <w:r w:rsidR="00B436A3">
              <w:rPr>
                <w:rFonts w:asciiTheme="minorHAnsi" w:hAnsiTheme="minorHAnsi"/>
                <w:color w:val="000000" w:themeColor="text1"/>
                <w:sz w:val="18"/>
              </w:rPr>
              <w:t>F</w:t>
            </w:r>
            <w:r>
              <w:rPr>
                <w:rFonts w:asciiTheme="minorHAnsi" w:hAnsiTheme="minorHAnsi"/>
                <w:color w:val="000000" w:themeColor="text1"/>
                <w:sz w:val="18"/>
              </w:rPr>
              <w:t>inanciero</w:t>
            </w:r>
          </w:p>
        </w:tc>
        <w:tc>
          <w:tcPr>
            <w:tcW w:w="2903" w:type="dxa"/>
            <w:vAlign w:val="center"/>
          </w:tcPr>
          <w:p w14:paraId="739EC15E" w14:textId="389C54D9" w:rsidR="007A7E63" w:rsidRDefault="007A7E63" w:rsidP="00730755">
            <w:pPr>
              <w:spacing w:after="60"/>
              <w:jc w:val="center"/>
              <w:rPr>
                <w:rFonts w:asciiTheme="minorHAnsi" w:hAnsiTheme="minorHAnsi" w:cstheme="minorBidi"/>
                <w:color w:val="000000" w:themeColor="text1"/>
                <w:sz w:val="18"/>
                <w:szCs w:val="18"/>
              </w:rPr>
            </w:pPr>
            <w:r>
              <w:rPr>
                <w:rFonts w:asciiTheme="minorHAnsi" w:hAnsiTheme="minorHAnsi"/>
                <w:color w:val="000000" w:themeColor="text1"/>
                <w:sz w:val="18"/>
              </w:rPr>
              <w:t xml:space="preserve">Creación de un (1) </w:t>
            </w:r>
            <w:r w:rsidR="00E34A0B">
              <w:rPr>
                <w:rFonts w:asciiTheme="minorHAnsi" w:hAnsiTheme="minorHAnsi"/>
                <w:color w:val="000000" w:themeColor="text1"/>
                <w:sz w:val="18"/>
              </w:rPr>
              <w:t>P</w:t>
            </w:r>
            <w:r>
              <w:rPr>
                <w:rFonts w:asciiTheme="minorHAnsi" w:hAnsiTheme="minorHAnsi"/>
                <w:color w:val="000000" w:themeColor="text1"/>
                <w:sz w:val="18"/>
              </w:rPr>
              <w:t>rograma de Finanzas</w:t>
            </w:r>
          </w:p>
          <w:p w14:paraId="2BDB6DA7" w14:textId="3E241FFF" w:rsidR="007A7E63" w:rsidRPr="00E409B5" w:rsidRDefault="007A7E63" w:rsidP="00730755">
            <w:pPr>
              <w:spacing w:after="60"/>
              <w:jc w:val="center"/>
              <w:rPr>
                <w:rFonts w:ascii="Calibri" w:eastAsia="SimSun" w:hAnsi="Calibri" w:cs="Calibri"/>
                <w:i/>
                <w:sz w:val="18"/>
                <w:szCs w:val="18"/>
                <w:highlight w:val="yellow"/>
              </w:rPr>
            </w:pPr>
            <w:r>
              <w:rPr>
                <w:rFonts w:asciiTheme="minorHAnsi" w:hAnsiTheme="minorHAnsi"/>
                <w:color w:val="000000" w:themeColor="text1"/>
                <w:sz w:val="18"/>
              </w:rPr>
              <w:t xml:space="preserve">Cinco (5) agricultores recibieron ayuda para solicitar el </w:t>
            </w:r>
            <w:r w:rsidR="00E34A0B">
              <w:rPr>
                <w:rFonts w:asciiTheme="minorHAnsi" w:hAnsiTheme="minorHAnsi"/>
                <w:color w:val="000000" w:themeColor="text1"/>
                <w:sz w:val="18"/>
              </w:rPr>
              <w:t>M</w:t>
            </w:r>
            <w:r>
              <w:rPr>
                <w:rFonts w:asciiTheme="minorHAnsi" w:hAnsiTheme="minorHAnsi"/>
                <w:color w:val="000000" w:themeColor="text1"/>
                <w:sz w:val="18"/>
              </w:rPr>
              <w:t xml:space="preserve">ecanismo </w:t>
            </w:r>
            <w:r w:rsidR="00E34A0B">
              <w:rPr>
                <w:rFonts w:asciiTheme="minorHAnsi" w:hAnsiTheme="minorHAnsi"/>
                <w:color w:val="000000" w:themeColor="text1"/>
                <w:sz w:val="18"/>
              </w:rPr>
              <w:t>F</w:t>
            </w:r>
            <w:r>
              <w:rPr>
                <w:rFonts w:asciiTheme="minorHAnsi" w:hAnsiTheme="minorHAnsi"/>
                <w:color w:val="000000" w:themeColor="text1"/>
                <w:sz w:val="18"/>
              </w:rPr>
              <w:t>inanciero.</w:t>
            </w:r>
          </w:p>
        </w:tc>
      </w:tr>
      <w:tr w:rsidR="007A7E63" w:rsidRPr="00C569E8" w14:paraId="582D8F43" w14:textId="77777777" w:rsidTr="00FB4EC6">
        <w:trPr>
          <w:trHeight w:val="440"/>
        </w:trPr>
        <w:tc>
          <w:tcPr>
            <w:tcW w:w="2605" w:type="dxa"/>
            <w:vMerge/>
          </w:tcPr>
          <w:p w14:paraId="1D0016B8" w14:textId="77777777" w:rsidR="007A7E63" w:rsidRPr="002152FE" w:rsidRDefault="007A7E63" w:rsidP="00730755">
            <w:pPr>
              <w:spacing w:after="60"/>
              <w:rPr>
                <w:rFonts w:ascii="Calibri" w:eastAsia="SimSun" w:hAnsi="Calibri" w:cs="Calibri"/>
                <w:b/>
                <w:bCs/>
                <w:sz w:val="18"/>
                <w:szCs w:val="18"/>
                <w:lang w:val="es-EC"/>
              </w:rPr>
            </w:pPr>
          </w:p>
        </w:tc>
        <w:tc>
          <w:tcPr>
            <w:tcW w:w="4230" w:type="dxa"/>
          </w:tcPr>
          <w:p w14:paraId="4E1E3775" w14:textId="77777777" w:rsidR="003401ED" w:rsidRDefault="007A7E63" w:rsidP="00730755">
            <w:pPr>
              <w:spacing w:after="60"/>
              <w:jc w:val="both"/>
              <w:rPr>
                <w:rFonts w:ascii="Calibri" w:hAnsi="Calibri"/>
                <w:color w:val="000000" w:themeColor="text1"/>
                <w:sz w:val="18"/>
              </w:rPr>
            </w:pPr>
            <w:r>
              <w:rPr>
                <w:rFonts w:ascii="Calibri" w:hAnsi="Calibri"/>
                <w:color w:val="000000" w:themeColor="text1"/>
                <w:sz w:val="18"/>
              </w:rPr>
              <w:t xml:space="preserve">Indicador 9: </w:t>
            </w:r>
          </w:p>
          <w:p w14:paraId="27746524" w14:textId="0AEC3FA0" w:rsidR="007A7E63" w:rsidRPr="007A7E63" w:rsidRDefault="007A7E63" w:rsidP="00730755">
            <w:pPr>
              <w:spacing w:after="60"/>
              <w:jc w:val="both"/>
              <w:rPr>
                <w:rFonts w:ascii="Calibri" w:eastAsia="SimSun" w:hAnsi="Calibri" w:cs="Calibri"/>
                <w:bCs/>
                <w:iCs/>
                <w:color w:val="000000" w:themeColor="text1"/>
                <w:sz w:val="18"/>
                <w:szCs w:val="18"/>
              </w:rPr>
            </w:pPr>
            <w:r>
              <w:rPr>
                <w:rFonts w:ascii="Calibri" w:hAnsi="Calibri"/>
                <w:color w:val="000000" w:themeColor="text1"/>
                <w:sz w:val="18"/>
              </w:rPr>
              <w:t xml:space="preserve">Número de </w:t>
            </w:r>
            <w:r>
              <w:rPr>
                <w:rFonts w:asciiTheme="minorHAnsi" w:hAnsiTheme="minorHAnsi"/>
                <w:color w:val="000000" w:themeColor="text1"/>
                <w:sz w:val="18"/>
              </w:rPr>
              <w:t>proyectos piloto implementados para el desarrollo de capacidades en la gestión de plásticos para uso agrícola en zonas rurales</w:t>
            </w:r>
          </w:p>
        </w:tc>
        <w:tc>
          <w:tcPr>
            <w:tcW w:w="2160" w:type="dxa"/>
            <w:shd w:val="clear" w:color="auto" w:fill="auto"/>
            <w:vAlign w:val="center"/>
          </w:tcPr>
          <w:p w14:paraId="3758D6D1" w14:textId="554D6D56" w:rsidR="007A7E63" w:rsidRPr="003672CB" w:rsidRDefault="007A7E63" w:rsidP="00730755">
            <w:pPr>
              <w:spacing w:after="60"/>
              <w:jc w:val="center"/>
              <w:rPr>
                <w:rFonts w:asciiTheme="minorHAnsi" w:eastAsia="SimSun" w:hAnsiTheme="minorHAnsi" w:cstheme="minorHAnsi"/>
                <w:bCs/>
                <w:iCs/>
                <w:sz w:val="18"/>
                <w:szCs w:val="18"/>
              </w:rPr>
            </w:pPr>
            <w:r>
              <w:rPr>
                <w:rFonts w:asciiTheme="minorHAnsi" w:hAnsiTheme="minorHAnsi"/>
                <w:sz w:val="18"/>
              </w:rPr>
              <w:t>No se han puesto en marcha proyectos piloto</w:t>
            </w:r>
            <w:r w:rsidR="003401ED">
              <w:rPr>
                <w:rFonts w:asciiTheme="minorHAnsi" w:hAnsiTheme="minorHAnsi"/>
                <w:sz w:val="18"/>
              </w:rPr>
              <w:t>.</w:t>
            </w:r>
          </w:p>
        </w:tc>
        <w:tc>
          <w:tcPr>
            <w:tcW w:w="2520" w:type="dxa"/>
            <w:vAlign w:val="center"/>
          </w:tcPr>
          <w:p w14:paraId="6635E75D" w14:textId="02142AC2" w:rsidR="007A7E63" w:rsidRPr="003672CB" w:rsidRDefault="007A7E63" w:rsidP="00730755">
            <w:pPr>
              <w:jc w:val="center"/>
              <w:rPr>
                <w:rFonts w:asciiTheme="minorHAnsi" w:hAnsiTheme="minorHAnsi" w:cstheme="minorHAnsi"/>
                <w:color w:val="000000" w:themeColor="text1"/>
                <w:sz w:val="18"/>
                <w:szCs w:val="18"/>
              </w:rPr>
            </w:pPr>
            <w:r>
              <w:rPr>
                <w:rFonts w:asciiTheme="minorHAnsi" w:hAnsiTheme="minorHAnsi"/>
                <w:sz w:val="18"/>
              </w:rPr>
              <w:t>No se han puesto en marcha proyectos piloto</w:t>
            </w:r>
            <w:r w:rsidR="003401ED">
              <w:rPr>
                <w:rFonts w:asciiTheme="minorHAnsi" w:hAnsiTheme="minorHAnsi"/>
                <w:sz w:val="18"/>
              </w:rPr>
              <w:t>.</w:t>
            </w:r>
          </w:p>
        </w:tc>
        <w:tc>
          <w:tcPr>
            <w:tcW w:w="2903" w:type="dxa"/>
            <w:vAlign w:val="center"/>
          </w:tcPr>
          <w:p w14:paraId="3CF9DA04" w14:textId="6329A547" w:rsidR="007A7E63" w:rsidRPr="00E409B5" w:rsidRDefault="007A7E63" w:rsidP="00730755">
            <w:pPr>
              <w:jc w:val="center"/>
              <w:rPr>
                <w:rFonts w:asciiTheme="minorHAnsi" w:hAnsiTheme="minorHAnsi" w:cstheme="minorBidi"/>
                <w:color w:val="000000" w:themeColor="text1"/>
                <w:sz w:val="18"/>
                <w:szCs w:val="18"/>
              </w:rPr>
            </w:pPr>
            <w:r>
              <w:rPr>
                <w:rFonts w:asciiTheme="minorHAnsi" w:hAnsiTheme="minorHAnsi"/>
                <w:color w:val="000000" w:themeColor="text1"/>
                <w:sz w:val="18"/>
              </w:rPr>
              <w:t>Ejecución de dos (2) proyectos piloto</w:t>
            </w:r>
          </w:p>
        </w:tc>
      </w:tr>
      <w:tr w:rsidR="007A7E63" w:rsidRPr="001B17BF" w14:paraId="729ABBB7" w14:textId="77777777" w:rsidTr="00FB4EC6">
        <w:trPr>
          <w:trHeight w:val="440"/>
        </w:trPr>
        <w:tc>
          <w:tcPr>
            <w:tcW w:w="2605" w:type="dxa"/>
            <w:vMerge/>
          </w:tcPr>
          <w:p w14:paraId="76FC88D9" w14:textId="77777777" w:rsidR="007A7E63" w:rsidRPr="002152FE" w:rsidRDefault="007A7E63" w:rsidP="00730755">
            <w:pPr>
              <w:spacing w:after="60"/>
              <w:rPr>
                <w:rFonts w:ascii="Calibri" w:eastAsia="SimSun" w:hAnsi="Calibri" w:cs="Calibri"/>
                <w:b/>
                <w:bCs/>
                <w:sz w:val="18"/>
                <w:szCs w:val="18"/>
                <w:lang w:val="es-EC"/>
              </w:rPr>
            </w:pPr>
          </w:p>
        </w:tc>
        <w:tc>
          <w:tcPr>
            <w:tcW w:w="4230" w:type="dxa"/>
          </w:tcPr>
          <w:p w14:paraId="4D33BF82" w14:textId="77777777" w:rsidR="003401ED" w:rsidRDefault="007A7E63" w:rsidP="00730755">
            <w:pPr>
              <w:spacing w:after="60"/>
              <w:jc w:val="both"/>
              <w:rPr>
                <w:rFonts w:ascii="Calibri" w:hAnsi="Calibri"/>
                <w:color w:val="000000" w:themeColor="text1"/>
                <w:sz w:val="18"/>
              </w:rPr>
            </w:pPr>
            <w:r>
              <w:rPr>
                <w:rFonts w:ascii="Calibri" w:hAnsi="Calibri"/>
                <w:color w:val="000000" w:themeColor="text1"/>
                <w:sz w:val="18"/>
              </w:rPr>
              <w:t xml:space="preserve">Indicador 10: </w:t>
            </w:r>
          </w:p>
          <w:p w14:paraId="511AD249" w14:textId="49912740" w:rsidR="007A7E63" w:rsidRPr="007A7E63" w:rsidRDefault="007A7E63" w:rsidP="00730755">
            <w:pPr>
              <w:spacing w:after="60"/>
              <w:jc w:val="both"/>
              <w:rPr>
                <w:rFonts w:ascii="Calibri" w:eastAsia="SimSun" w:hAnsi="Calibri" w:cs="Calibri"/>
                <w:bCs/>
                <w:iCs/>
                <w:color w:val="000000" w:themeColor="text1"/>
                <w:sz w:val="18"/>
                <w:szCs w:val="18"/>
              </w:rPr>
            </w:pPr>
            <w:r>
              <w:rPr>
                <w:rFonts w:ascii="Calibri" w:hAnsi="Calibri"/>
                <w:color w:val="000000" w:themeColor="text1"/>
                <w:sz w:val="18"/>
              </w:rPr>
              <w:t xml:space="preserve">Mecanismo de </w:t>
            </w:r>
            <w:r w:rsidR="00B436A3">
              <w:rPr>
                <w:rFonts w:ascii="Calibri" w:hAnsi="Calibri"/>
                <w:color w:val="000000" w:themeColor="text1"/>
                <w:sz w:val="18"/>
              </w:rPr>
              <w:t>F</w:t>
            </w:r>
            <w:r>
              <w:rPr>
                <w:rFonts w:ascii="Calibri" w:hAnsi="Calibri"/>
                <w:color w:val="000000" w:themeColor="text1"/>
                <w:sz w:val="18"/>
              </w:rPr>
              <w:t xml:space="preserve">ondo </w:t>
            </w:r>
            <w:r w:rsidR="00B436A3">
              <w:rPr>
                <w:rFonts w:ascii="Calibri" w:hAnsi="Calibri"/>
                <w:color w:val="000000" w:themeColor="text1"/>
                <w:sz w:val="18"/>
              </w:rPr>
              <w:t>C</w:t>
            </w:r>
            <w:r>
              <w:rPr>
                <w:rFonts w:ascii="Calibri" w:hAnsi="Calibri"/>
                <w:color w:val="000000" w:themeColor="text1"/>
                <w:sz w:val="18"/>
              </w:rPr>
              <w:t>oncursable desarrollado para la reducción del uso de PAPs</w:t>
            </w:r>
          </w:p>
        </w:tc>
        <w:tc>
          <w:tcPr>
            <w:tcW w:w="2160" w:type="dxa"/>
            <w:shd w:val="clear" w:color="auto" w:fill="auto"/>
            <w:vAlign w:val="center"/>
          </w:tcPr>
          <w:p w14:paraId="0D021244" w14:textId="2A3C5F39" w:rsidR="007A7E63" w:rsidRPr="00FB4EC6" w:rsidRDefault="007A7E63">
            <w:pPr>
              <w:pStyle w:val="Prrafodelista"/>
              <w:numPr>
                <w:ilvl w:val="0"/>
                <w:numId w:val="23"/>
              </w:numPr>
              <w:spacing w:after="60"/>
              <w:jc w:val="center"/>
              <w:rPr>
                <w:rFonts w:ascii="Calibri" w:hAnsi="Calibri" w:cs="Calibri"/>
                <w:bCs/>
                <w:iCs/>
                <w:sz w:val="18"/>
                <w:szCs w:val="18"/>
              </w:rPr>
            </w:pPr>
          </w:p>
        </w:tc>
        <w:tc>
          <w:tcPr>
            <w:tcW w:w="2520" w:type="dxa"/>
            <w:vAlign w:val="center"/>
          </w:tcPr>
          <w:p w14:paraId="238362B8" w14:textId="6EA1663A" w:rsidR="007A7E63" w:rsidRPr="00E409B5" w:rsidRDefault="007A7E63" w:rsidP="00730755">
            <w:pPr>
              <w:jc w:val="center"/>
              <w:rPr>
                <w:rFonts w:asciiTheme="minorHAnsi" w:hAnsiTheme="minorHAnsi" w:cstheme="minorBidi"/>
                <w:color w:val="000000" w:themeColor="text1"/>
                <w:sz w:val="18"/>
                <w:szCs w:val="18"/>
              </w:rPr>
            </w:pPr>
            <w:r>
              <w:rPr>
                <w:rFonts w:ascii="Calibri" w:hAnsi="Calibri"/>
                <w:sz w:val="18"/>
              </w:rPr>
              <w:t xml:space="preserve">Un (1) Mecanismo de </w:t>
            </w:r>
            <w:r w:rsidR="00B436A3">
              <w:rPr>
                <w:rFonts w:ascii="Calibri" w:hAnsi="Calibri"/>
                <w:sz w:val="18"/>
              </w:rPr>
              <w:t>F</w:t>
            </w:r>
            <w:r>
              <w:rPr>
                <w:rFonts w:ascii="Calibri" w:hAnsi="Calibri"/>
                <w:sz w:val="18"/>
              </w:rPr>
              <w:t xml:space="preserve">ondo </w:t>
            </w:r>
            <w:r w:rsidR="00B436A3">
              <w:rPr>
                <w:rFonts w:ascii="Calibri" w:hAnsi="Calibri"/>
                <w:sz w:val="18"/>
              </w:rPr>
              <w:t>C</w:t>
            </w:r>
            <w:r>
              <w:rPr>
                <w:rFonts w:ascii="Calibri" w:hAnsi="Calibri"/>
                <w:sz w:val="18"/>
              </w:rPr>
              <w:t>oncursable desarrollado</w:t>
            </w:r>
          </w:p>
        </w:tc>
        <w:tc>
          <w:tcPr>
            <w:tcW w:w="2903" w:type="dxa"/>
            <w:vAlign w:val="center"/>
          </w:tcPr>
          <w:p w14:paraId="14CF1C58" w14:textId="124DBD23" w:rsidR="007A7E63" w:rsidRPr="00FB72EE" w:rsidRDefault="007A7E63" w:rsidP="00730755">
            <w:pPr>
              <w:jc w:val="center"/>
              <w:rPr>
                <w:rFonts w:ascii="Calibri" w:eastAsia="SimSun" w:hAnsi="Calibri" w:cs="Calibri"/>
                <w:bCs/>
                <w:iCs/>
                <w:sz w:val="18"/>
                <w:szCs w:val="18"/>
              </w:rPr>
            </w:pPr>
            <w:r>
              <w:rPr>
                <w:rFonts w:ascii="Calibri" w:hAnsi="Calibri"/>
                <w:sz w:val="18"/>
              </w:rPr>
              <w:t xml:space="preserve">Un (1) Mecanismo de </w:t>
            </w:r>
            <w:r w:rsidR="00E34A0B">
              <w:rPr>
                <w:rFonts w:ascii="Calibri" w:hAnsi="Calibri"/>
                <w:sz w:val="18"/>
              </w:rPr>
              <w:t>F</w:t>
            </w:r>
            <w:r>
              <w:rPr>
                <w:rFonts w:ascii="Calibri" w:hAnsi="Calibri"/>
                <w:sz w:val="18"/>
              </w:rPr>
              <w:t xml:space="preserve">ondo </w:t>
            </w:r>
            <w:r w:rsidR="00E34A0B">
              <w:rPr>
                <w:rFonts w:ascii="Calibri" w:hAnsi="Calibri"/>
                <w:sz w:val="18"/>
              </w:rPr>
              <w:t>C</w:t>
            </w:r>
            <w:r>
              <w:rPr>
                <w:rFonts w:ascii="Calibri" w:hAnsi="Calibri"/>
                <w:sz w:val="18"/>
              </w:rPr>
              <w:t>oncursable desarrollado</w:t>
            </w:r>
          </w:p>
          <w:p w14:paraId="026EE02C" w14:textId="4B5D9D23" w:rsidR="007A7E63" w:rsidRPr="00FB72EE" w:rsidRDefault="007A7E63" w:rsidP="00730755">
            <w:pPr>
              <w:jc w:val="center"/>
              <w:rPr>
                <w:rFonts w:asciiTheme="minorHAnsi" w:hAnsiTheme="minorHAnsi" w:cstheme="minorBidi"/>
                <w:color w:val="000000" w:themeColor="text1"/>
                <w:sz w:val="18"/>
                <w:szCs w:val="18"/>
              </w:rPr>
            </w:pPr>
            <w:r>
              <w:rPr>
                <w:rFonts w:ascii="Calibri" w:hAnsi="Calibri"/>
                <w:sz w:val="18"/>
              </w:rPr>
              <w:t>Tres (3) iniciativas seleccionadas y aplicadas para reducir el uso de PAPs</w:t>
            </w:r>
          </w:p>
        </w:tc>
      </w:tr>
      <w:tr w:rsidR="00730755" w:rsidRPr="001B17BF" w14:paraId="0E1F1EFF" w14:textId="77777777" w:rsidTr="00BA3DD6">
        <w:trPr>
          <w:trHeight w:val="530"/>
        </w:trPr>
        <w:tc>
          <w:tcPr>
            <w:tcW w:w="2605" w:type="dxa"/>
            <w:shd w:val="clear" w:color="auto" w:fill="auto"/>
          </w:tcPr>
          <w:p w14:paraId="591ADF71" w14:textId="0591A29C" w:rsidR="00730755" w:rsidRPr="0018107D" w:rsidRDefault="00730755" w:rsidP="00730755">
            <w:pPr>
              <w:spacing w:after="60"/>
              <w:rPr>
                <w:rFonts w:ascii="Calibri" w:eastAsia="SimSun" w:hAnsi="Calibri" w:cs="Calibri"/>
                <w:b/>
                <w:bCs/>
                <w:sz w:val="18"/>
                <w:szCs w:val="18"/>
              </w:rPr>
            </w:pPr>
            <w:r>
              <w:rPr>
                <w:rFonts w:ascii="Calibri" w:hAnsi="Calibri"/>
                <w:b/>
                <w:sz w:val="18"/>
              </w:rPr>
              <w:t>Productos para lograr el Resultado 2</w:t>
            </w:r>
          </w:p>
        </w:tc>
        <w:tc>
          <w:tcPr>
            <w:tcW w:w="11813" w:type="dxa"/>
            <w:gridSpan w:val="4"/>
          </w:tcPr>
          <w:p w14:paraId="78197D90" w14:textId="6162351C" w:rsidR="00730755" w:rsidRPr="005D24BA" w:rsidRDefault="00730755" w:rsidP="00730755">
            <w:pPr>
              <w:spacing w:after="40"/>
              <w:jc w:val="both"/>
              <w:rPr>
                <w:rFonts w:asciiTheme="minorHAnsi" w:hAnsiTheme="minorHAnsi" w:cstheme="minorHAnsi"/>
                <w:iCs/>
                <w:sz w:val="18"/>
                <w:szCs w:val="18"/>
              </w:rPr>
            </w:pPr>
            <w:r>
              <w:rPr>
                <w:rFonts w:asciiTheme="minorHAnsi" w:hAnsiTheme="minorHAnsi"/>
                <w:sz w:val="18"/>
              </w:rPr>
              <w:t>Resultado 2.1. Realización de estudios de valoración económica para evaluar el impacto del elevado consumo per cápita y por hectárea de productos agroquímicos en el gasto público.</w:t>
            </w:r>
          </w:p>
          <w:p w14:paraId="04F2F37A" w14:textId="5E207E7B" w:rsidR="00730755" w:rsidRPr="005D24BA"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Resultado 2.2. Exploración de nuevos incentivos fiscales que favorezcan la reducción y/o sustitución de plaguicidas peligrosos.</w:t>
            </w:r>
          </w:p>
          <w:p w14:paraId="77735407" w14:textId="10642B60" w:rsidR="00730755" w:rsidRPr="005D24BA" w:rsidRDefault="00730755" w:rsidP="00730755">
            <w:pPr>
              <w:spacing w:after="40"/>
              <w:jc w:val="both"/>
              <w:rPr>
                <w:rFonts w:asciiTheme="minorHAnsi" w:hAnsiTheme="minorHAnsi" w:cstheme="minorHAnsi"/>
                <w:iCs/>
                <w:sz w:val="18"/>
                <w:szCs w:val="18"/>
              </w:rPr>
            </w:pPr>
            <w:r>
              <w:rPr>
                <w:rFonts w:asciiTheme="minorHAnsi" w:hAnsiTheme="minorHAnsi"/>
                <w:sz w:val="18"/>
              </w:rPr>
              <w:t>Resultado 2.3. Reforzar las capacidades financieras para facilitar el acceso al crédito a los agricultores que utilicen buenas prácticas. Crear programas de financiación y gestión de riesgos de las cadenas de valor, aplicando conceptos de recuperación verde considerando criterios de calidad ambiental (contaminación), adaptación y mitigación del cambio climático.</w:t>
            </w:r>
          </w:p>
          <w:p w14:paraId="1E6B800A" w14:textId="1426984C" w:rsidR="00730755" w:rsidRPr="005D24BA"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 xml:space="preserve">Resultado 2.4. Fortalecimiento de la capacidad de las </w:t>
            </w:r>
            <w:r w:rsidR="00E34A0B">
              <w:rPr>
                <w:rFonts w:asciiTheme="minorHAnsi" w:hAnsiTheme="minorHAnsi"/>
                <w:sz w:val="18"/>
              </w:rPr>
              <w:t>U</w:t>
            </w:r>
            <w:r>
              <w:rPr>
                <w:rFonts w:asciiTheme="minorHAnsi" w:hAnsiTheme="minorHAnsi"/>
                <w:sz w:val="18"/>
              </w:rPr>
              <w:t xml:space="preserve">nidades </w:t>
            </w:r>
            <w:r w:rsidR="00E34A0B">
              <w:rPr>
                <w:rFonts w:asciiTheme="minorHAnsi" w:hAnsiTheme="minorHAnsi"/>
                <w:sz w:val="18"/>
              </w:rPr>
              <w:t>N</w:t>
            </w:r>
            <w:r>
              <w:rPr>
                <w:rFonts w:asciiTheme="minorHAnsi" w:hAnsiTheme="minorHAnsi"/>
                <w:sz w:val="18"/>
              </w:rPr>
              <w:t xml:space="preserve">acionales de </w:t>
            </w:r>
            <w:r w:rsidR="00450A2F">
              <w:rPr>
                <w:rFonts w:asciiTheme="minorHAnsi" w:hAnsiTheme="minorHAnsi"/>
                <w:sz w:val="18"/>
              </w:rPr>
              <w:t>E</w:t>
            </w:r>
            <w:r>
              <w:rPr>
                <w:rFonts w:asciiTheme="minorHAnsi" w:hAnsiTheme="minorHAnsi"/>
                <w:sz w:val="18"/>
              </w:rPr>
              <w:t>xtensión dependientes de Agrocalidad, Ministerio de Agricultura y Seguro Social Campesino, como de las asociaciones privadas para acceder a los mecanismos financieros e incentivos creados por el proyecto y sobre mejores prácticas agrícolas sostenibles para aumentar los ingresos y reducir el uso de agroquímicos nocivos en cultivos prioritarios.</w:t>
            </w:r>
          </w:p>
          <w:p w14:paraId="29CB9088" w14:textId="27AD6903" w:rsidR="00730755" w:rsidRPr="005D24BA"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 xml:space="preserve">Resultado 2.5. Apoyo técnico al </w:t>
            </w:r>
            <w:r w:rsidR="003A0C39">
              <w:rPr>
                <w:rFonts w:asciiTheme="minorHAnsi" w:hAnsiTheme="minorHAnsi"/>
                <w:sz w:val="18"/>
              </w:rPr>
              <w:t>G</w:t>
            </w:r>
            <w:r>
              <w:rPr>
                <w:rFonts w:asciiTheme="minorHAnsi" w:hAnsiTheme="minorHAnsi"/>
                <w:sz w:val="18"/>
              </w:rPr>
              <w:t>obierno en materia de contratación pública para evitar la adquisición de sustancias peligrosas y eliminar los productos almacenados existentes de COPs/PAPs, y desarrollo de capacidades para gestionar o reciclar de forma sostenible los residuos plásticos y otros tipos de residuos asociados a los productos agroquímicos nocivos.</w:t>
            </w:r>
          </w:p>
          <w:p w14:paraId="76FAC9DD" w14:textId="2E9F5D30" w:rsidR="00730755" w:rsidRPr="00A562E4" w:rsidRDefault="00730755" w:rsidP="00730755">
            <w:pPr>
              <w:spacing w:after="40"/>
              <w:jc w:val="both"/>
              <w:rPr>
                <w:rFonts w:ascii="Calibri" w:eastAsia="SimSun" w:hAnsi="Calibri" w:cs="Calibri"/>
                <w:bCs/>
                <w:i/>
                <w:sz w:val="18"/>
                <w:szCs w:val="18"/>
                <w:highlight w:val="yellow"/>
              </w:rPr>
            </w:pPr>
            <w:r>
              <w:rPr>
                <w:rFonts w:asciiTheme="minorHAnsi" w:hAnsiTheme="minorHAnsi"/>
                <w:sz w:val="18"/>
              </w:rPr>
              <w:t xml:space="preserve">Resultado 2.6. Desarrollo de un </w:t>
            </w:r>
            <w:r w:rsidR="00F253D9">
              <w:rPr>
                <w:rFonts w:asciiTheme="minorHAnsi" w:hAnsiTheme="minorHAnsi"/>
                <w:sz w:val="18"/>
              </w:rPr>
              <w:t>M</w:t>
            </w:r>
            <w:r>
              <w:rPr>
                <w:rFonts w:asciiTheme="minorHAnsi" w:hAnsiTheme="minorHAnsi"/>
                <w:sz w:val="18"/>
              </w:rPr>
              <w:t xml:space="preserve">ecanismo de </w:t>
            </w:r>
            <w:r w:rsidR="00F253D9">
              <w:rPr>
                <w:rFonts w:asciiTheme="minorHAnsi" w:hAnsiTheme="minorHAnsi"/>
                <w:sz w:val="18"/>
              </w:rPr>
              <w:t>F</w:t>
            </w:r>
            <w:r>
              <w:rPr>
                <w:rFonts w:asciiTheme="minorHAnsi" w:hAnsiTheme="minorHAnsi"/>
                <w:sz w:val="18"/>
              </w:rPr>
              <w:t xml:space="preserve">ondos </w:t>
            </w:r>
            <w:r w:rsidR="00F253D9">
              <w:rPr>
                <w:rFonts w:asciiTheme="minorHAnsi" w:hAnsiTheme="minorHAnsi"/>
                <w:sz w:val="18"/>
              </w:rPr>
              <w:t>C</w:t>
            </w:r>
            <w:r>
              <w:rPr>
                <w:rFonts w:asciiTheme="minorHAnsi" w:hAnsiTheme="minorHAnsi"/>
                <w:sz w:val="18"/>
              </w:rPr>
              <w:t>oncursables para identificar y financiar propuestas e iniciativas innovadoras para reducir el uso de PAPs.</w:t>
            </w:r>
          </w:p>
        </w:tc>
      </w:tr>
      <w:tr w:rsidR="00730755" w:rsidRPr="001B17BF" w14:paraId="6903C1E1" w14:textId="77777777" w:rsidTr="00966EF0">
        <w:trPr>
          <w:trHeight w:val="620"/>
        </w:trPr>
        <w:tc>
          <w:tcPr>
            <w:tcW w:w="2605" w:type="dxa"/>
            <w:shd w:val="clear" w:color="auto" w:fill="E7E6E6"/>
          </w:tcPr>
          <w:p w14:paraId="25538032" w14:textId="209853FC" w:rsidR="00730755" w:rsidRPr="0018107D" w:rsidRDefault="00730755" w:rsidP="00730755">
            <w:pPr>
              <w:spacing w:after="60"/>
              <w:rPr>
                <w:rFonts w:ascii="Calibri" w:eastAsia="SimSun" w:hAnsi="Calibri" w:cs="Calibri"/>
                <w:b/>
                <w:bCs/>
                <w:sz w:val="18"/>
                <w:szCs w:val="18"/>
              </w:rPr>
            </w:pPr>
            <w:r>
              <w:rPr>
                <w:rFonts w:ascii="Calibri" w:hAnsi="Calibri"/>
                <w:b/>
                <w:sz w:val="18"/>
              </w:rPr>
              <w:t>Componente 3 del proyecto</w:t>
            </w:r>
          </w:p>
        </w:tc>
        <w:tc>
          <w:tcPr>
            <w:tcW w:w="11813" w:type="dxa"/>
            <w:gridSpan w:val="4"/>
            <w:shd w:val="clear" w:color="auto" w:fill="E7E6E6"/>
          </w:tcPr>
          <w:p w14:paraId="0F69CDAB" w14:textId="32C6CF7B" w:rsidR="00730755" w:rsidRPr="00A562E4" w:rsidRDefault="00730755" w:rsidP="00730755">
            <w:pPr>
              <w:spacing w:after="60"/>
              <w:jc w:val="both"/>
              <w:rPr>
                <w:rFonts w:ascii="Calibri" w:eastAsia="SimSun" w:hAnsi="Calibri" w:cs="Calibri"/>
                <w:b/>
                <w:bCs/>
                <w:sz w:val="18"/>
                <w:szCs w:val="18"/>
                <w:highlight w:val="yellow"/>
              </w:rPr>
            </w:pPr>
            <w:r>
              <w:rPr>
                <w:rFonts w:ascii="Calibri" w:hAnsi="Calibri"/>
                <w:b/>
                <w:sz w:val="18"/>
              </w:rPr>
              <w:t>Desarrollo de capacidades y difusión de conocimientos</w:t>
            </w:r>
          </w:p>
        </w:tc>
      </w:tr>
      <w:tr w:rsidR="00730755" w:rsidRPr="005C0299" w14:paraId="3A5C2BA2" w14:textId="77777777" w:rsidTr="00BE385C">
        <w:trPr>
          <w:trHeight w:val="620"/>
        </w:trPr>
        <w:tc>
          <w:tcPr>
            <w:tcW w:w="2605" w:type="dxa"/>
            <w:vMerge w:val="restart"/>
            <w:shd w:val="clear" w:color="auto" w:fill="auto"/>
          </w:tcPr>
          <w:p w14:paraId="21AEFFA4" w14:textId="360859CB" w:rsidR="00730755" w:rsidRPr="00961066" w:rsidRDefault="00730755" w:rsidP="00730755">
            <w:pPr>
              <w:spacing w:after="60"/>
              <w:rPr>
                <w:rFonts w:asciiTheme="minorHAnsi" w:eastAsia="SimSun" w:hAnsiTheme="minorHAnsi" w:cstheme="minorHAnsi"/>
                <w:b/>
                <w:bCs/>
                <w:sz w:val="18"/>
                <w:szCs w:val="18"/>
              </w:rPr>
            </w:pPr>
            <w:r>
              <w:rPr>
                <w:rFonts w:asciiTheme="minorHAnsi" w:hAnsiTheme="minorHAnsi"/>
                <w:b/>
                <w:sz w:val="18"/>
              </w:rPr>
              <w:t>Resultado 3</w:t>
            </w:r>
          </w:p>
          <w:p w14:paraId="5191F598" w14:textId="1CAA3828" w:rsidR="00730755" w:rsidRPr="00961066" w:rsidRDefault="00730755" w:rsidP="00730755">
            <w:pPr>
              <w:spacing w:after="60"/>
              <w:jc w:val="both"/>
              <w:rPr>
                <w:rFonts w:asciiTheme="minorHAnsi" w:eastAsia="SimSun" w:hAnsiTheme="minorHAnsi" w:cstheme="minorHAnsi"/>
                <w:b/>
                <w:bCs/>
                <w:sz w:val="18"/>
                <w:szCs w:val="18"/>
              </w:rPr>
            </w:pPr>
            <w:r>
              <w:rPr>
                <w:rFonts w:asciiTheme="minorHAnsi" w:hAnsiTheme="minorHAnsi"/>
                <w:sz w:val="18"/>
              </w:rPr>
              <w:t>Las plataformas de información y gestión de conocimientos catalizan la toma de decisiones y las inversiones basadas en evidencias, y potencian la ampliación, la reproducción y el impacto de los programas FARM</w:t>
            </w:r>
            <w:r w:rsidR="005B5041">
              <w:rPr>
                <w:rFonts w:asciiTheme="minorHAnsi" w:hAnsiTheme="minorHAnsi"/>
                <w:sz w:val="18"/>
              </w:rPr>
              <w:t>.</w:t>
            </w:r>
          </w:p>
        </w:tc>
        <w:tc>
          <w:tcPr>
            <w:tcW w:w="4230" w:type="dxa"/>
          </w:tcPr>
          <w:p w14:paraId="1385FC5A" w14:textId="77777777" w:rsidR="003401ED" w:rsidRDefault="00730755" w:rsidP="009D0796">
            <w:pPr>
              <w:spacing w:after="60"/>
              <w:jc w:val="both"/>
              <w:rPr>
                <w:rFonts w:ascii="Calibri" w:hAnsi="Calibri"/>
                <w:sz w:val="18"/>
              </w:rPr>
            </w:pPr>
            <w:r>
              <w:rPr>
                <w:rFonts w:ascii="Calibri" w:hAnsi="Calibri"/>
                <w:sz w:val="18"/>
              </w:rPr>
              <w:t xml:space="preserve">Indicador 11: </w:t>
            </w:r>
          </w:p>
          <w:p w14:paraId="678798D7" w14:textId="31082A9E" w:rsidR="00730755" w:rsidRPr="005C0299" w:rsidRDefault="00730755" w:rsidP="009D0796">
            <w:pPr>
              <w:spacing w:after="60"/>
              <w:jc w:val="both"/>
              <w:rPr>
                <w:rFonts w:ascii="Calibri" w:eastAsia="SimSun" w:hAnsi="Calibri" w:cs="Calibri"/>
                <w:bCs/>
                <w:iCs/>
                <w:sz w:val="18"/>
                <w:szCs w:val="18"/>
                <w:highlight w:val="yellow"/>
              </w:rPr>
            </w:pPr>
            <w:r>
              <w:rPr>
                <w:rFonts w:ascii="Calibri" w:hAnsi="Calibri"/>
                <w:sz w:val="18"/>
              </w:rPr>
              <w:t xml:space="preserve">Número de </w:t>
            </w:r>
            <w:r w:rsidR="005B5041">
              <w:rPr>
                <w:rFonts w:ascii="Calibri" w:hAnsi="Calibri"/>
                <w:sz w:val="18"/>
              </w:rPr>
              <w:t xml:space="preserve">proyectos </w:t>
            </w:r>
            <w:r>
              <w:rPr>
                <w:rFonts w:ascii="Calibri" w:hAnsi="Calibri"/>
                <w:sz w:val="18"/>
              </w:rPr>
              <w:t>piloto implementados en investigación y acción participativa en agroecología</w:t>
            </w:r>
          </w:p>
        </w:tc>
        <w:tc>
          <w:tcPr>
            <w:tcW w:w="2160" w:type="dxa"/>
            <w:vAlign w:val="center"/>
          </w:tcPr>
          <w:p w14:paraId="57FF5B07" w14:textId="3AE1D593" w:rsidR="00730755" w:rsidRPr="00337CDB" w:rsidRDefault="00730755" w:rsidP="00337CDB">
            <w:pPr>
              <w:spacing w:after="60"/>
              <w:jc w:val="center"/>
              <w:rPr>
                <w:rFonts w:ascii="Calibri" w:eastAsia="SimSun" w:hAnsi="Calibri" w:cs="Calibri"/>
                <w:bCs/>
                <w:iCs/>
                <w:sz w:val="18"/>
                <w:szCs w:val="18"/>
              </w:rPr>
            </w:pPr>
            <w:r>
              <w:rPr>
                <w:rFonts w:asciiTheme="minorHAnsi" w:hAnsiTheme="minorHAnsi"/>
                <w:sz w:val="18"/>
              </w:rPr>
              <w:t>No se han puesto en marcha proyectos piloto</w:t>
            </w:r>
            <w:r w:rsidR="003401ED">
              <w:rPr>
                <w:rFonts w:asciiTheme="minorHAnsi" w:hAnsiTheme="minorHAnsi"/>
                <w:sz w:val="18"/>
              </w:rPr>
              <w:t>.</w:t>
            </w:r>
          </w:p>
        </w:tc>
        <w:tc>
          <w:tcPr>
            <w:tcW w:w="2520" w:type="dxa"/>
            <w:vAlign w:val="center"/>
          </w:tcPr>
          <w:p w14:paraId="7A53FD19" w14:textId="49DE9AA7" w:rsidR="00730755" w:rsidRPr="005C0299" w:rsidRDefault="00730755" w:rsidP="00730755">
            <w:pPr>
              <w:spacing w:after="60"/>
              <w:jc w:val="center"/>
              <w:rPr>
                <w:rFonts w:ascii="Calibri" w:eastAsia="SimSun" w:hAnsi="Calibri" w:cs="Calibri"/>
                <w:bCs/>
                <w:iCs/>
                <w:sz w:val="18"/>
                <w:szCs w:val="18"/>
              </w:rPr>
            </w:pPr>
            <w:r>
              <w:rPr>
                <w:rFonts w:asciiTheme="minorHAnsi" w:hAnsiTheme="minorHAnsi"/>
                <w:sz w:val="18"/>
              </w:rPr>
              <w:t>No se han puesto en marcha proyectos piloto</w:t>
            </w:r>
            <w:r w:rsidR="003401ED">
              <w:rPr>
                <w:rFonts w:asciiTheme="minorHAnsi" w:hAnsiTheme="minorHAnsi"/>
                <w:sz w:val="18"/>
              </w:rPr>
              <w:t>.</w:t>
            </w:r>
          </w:p>
        </w:tc>
        <w:tc>
          <w:tcPr>
            <w:tcW w:w="2903" w:type="dxa"/>
            <w:vAlign w:val="center"/>
          </w:tcPr>
          <w:p w14:paraId="032194F5" w14:textId="3B5EC3AC" w:rsidR="00730755" w:rsidRPr="005C0299" w:rsidRDefault="00730755" w:rsidP="00730755">
            <w:pPr>
              <w:spacing w:after="60"/>
              <w:jc w:val="center"/>
              <w:rPr>
                <w:rFonts w:ascii="Calibri" w:eastAsia="SimSun" w:hAnsi="Calibri" w:cs="Calibri"/>
                <w:iCs/>
                <w:sz w:val="18"/>
                <w:szCs w:val="18"/>
              </w:rPr>
            </w:pPr>
            <w:r>
              <w:rPr>
                <w:rFonts w:asciiTheme="minorHAnsi" w:hAnsiTheme="minorHAnsi"/>
                <w:color w:val="000000" w:themeColor="text1"/>
                <w:sz w:val="18"/>
              </w:rPr>
              <w:t>Ejecución de dos (2) proyectos piloto</w:t>
            </w:r>
          </w:p>
        </w:tc>
      </w:tr>
      <w:tr w:rsidR="00730755" w:rsidRPr="001B17BF" w14:paraId="112B4CF8" w14:textId="77777777" w:rsidTr="00337CDB">
        <w:trPr>
          <w:trHeight w:val="530"/>
        </w:trPr>
        <w:tc>
          <w:tcPr>
            <w:tcW w:w="2605" w:type="dxa"/>
            <w:vMerge/>
          </w:tcPr>
          <w:p w14:paraId="7D02BB45" w14:textId="77777777" w:rsidR="00730755" w:rsidRPr="002152FE" w:rsidRDefault="00730755" w:rsidP="00730755">
            <w:pPr>
              <w:spacing w:after="60"/>
              <w:rPr>
                <w:rFonts w:ascii="Calibri" w:eastAsia="SimSun" w:hAnsi="Calibri" w:cs="Calibri"/>
                <w:b/>
                <w:bCs/>
                <w:sz w:val="18"/>
                <w:szCs w:val="18"/>
                <w:lang w:val="es-EC"/>
              </w:rPr>
            </w:pPr>
          </w:p>
        </w:tc>
        <w:tc>
          <w:tcPr>
            <w:tcW w:w="4230" w:type="dxa"/>
          </w:tcPr>
          <w:p w14:paraId="745CB58C" w14:textId="77777777" w:rsidR="003401ED" w:rsidRDefault="00730755" w:rsidP="009D0796">
            <w:pPr>
              <w:spacing w:after="60"/>
              <w:jc w:val="both"/>
              <w:rPr>
                <w:rFonts w:asciiTheme="minorHAnsi" w:hAnsiTheme="minorHAnsi"/>
                <w:sz w:val="18"/>
              </w:rPr>
            </w:pPr>
            <w:r>
              <w:rPr>
                <w:rFonts w:asciiTheme="minorHAnsi" w:hAnsiTheme="minorHAnsi"/>
                <w:sz w:val="18"/>
              </w:rPr>
              <w:t xml:space="preserve">Indicador 12: </w:t>
            </w:r>
          </w:p>
          <w:p w14:paraId="6CD7399A" w14:textId="2157CC03" w:rsidR="00730755" w:rsidRPr="0061657C" w:rsidRDefault="00730755" w:rsidP="009D0796">
            <w:pPr>
              <w:spacing w:after="60"/>
              <w:jc w:val="both"/>
              <w:rPr>
                <w:rFonts w:asciiTheme="minorHAnsi" w:eastAsia="SimSun" w:hAnsiTheme="minorHAnsi" w:cstheme="minorHAnsi"/>
                <w:iCs/>
                <w:sz w:val="18"/>
                <w:szCs w:val="18"/>
                <w:highlight w:val="yellow"/>
              </w:rPr>
            </w:pPr>
            <w:r>
              <w:rPr>
                <w:rFonts w:asciiTheme="minorHAnsi" w:hAnsiTheme="minorHAnsi"/>
                <w:sz w:val="18"/>
              </w:rPr>
              <w:t>Número de personas que han recibido formación y han participado en actividades de sensibilización para reforzar el sector rural en la producción agrícola sostenible</w:t>
            </w:r>
          </w:p>
        </w:tc>
        <w:tc>
          <w:tcPr>
            <w:tcW w:w="2160" w:type="dxa"/>
            <w:vAlign w:val="center"/>
          </w:tcPr>
          <w:p w14:paraId="17C9CCBF" w14:textId="2BF56080" w:rsidR="00730755" w:rsidRPr="00337CDB" w:rsidRDefault="00730755">
            <w:pPr>
              <w:pStyle w:val="Prrafodelista"/>
              <w:numPr>
                <w:ilvl w:val="0"/>
                <w:numId w:val="23"/>
              </w:numPr>
              <w:spacing w:after="60"/>
              <w:jc w:val="center"/>
              <w:rPr>
                <w:rFonts w:ascii="Calibri" w:hAnsi="Calibri" w:cs="Calibri"/>
                <w:bCs/>
                <w:i/>
                <w:sz w:val="18"/>
                <w:szCs w:val="18"/>
              </w:rPr>
            </w:pPr>
          </w:p>
        </w:tc>
        <w:tc>
          <w:tcPr>
            <w:tcW w:w="2520" w:type="dxa"/>
            <w:vAlign w:val="center"/>
          </w:tcPr>
          <w:p w14:paraId="33C08258" w14:textId="403A560C" w:rsidR="00730755" w:rsidRPr="00AF0820" w:rsidRDefault="0061657C" w:rsidP="0061657C">
            <w:pPr>
              <w:spacing w:after="60"/>
              <w:jc w:val="center"/>
              <w:rPr>
                <w:rFonts w:ascii="Calibri" w:eastAsia="SimSun" w:hAnsi="Calibri" w:cs="Calibri"/>
                <w:bCs/>
                <w:i/>
                <w:sz w:val="18"/>
                <w:szCs w:val="18"/>
                <w:highlight w:val="yellow"/>
              </w:rPr>
            </w:pPr>
            <w:r>
              <w:rPr>
                <w:rFonts w:ascii="Calibri" w:hAnsi="Calibri"/>
                <w:sz w:val="18"/>
              </w:rPr>
              <w:t>560 agricultores (168 mujeres y 392 hombres) formados y 800 personas (400 mujeres y 400 hombres) concienciadas sobre la producción agrícola sostenible</w:t>
            </w:r>
          </w:p>
        </w:tc>
        <w:tc>
          <w:tcPr>
            <w:tcW w:w="2903" w:type="dxa"/>
            <w:vAlign w:val="center"/>
          </w:tcPr>
          <w:p w14:paraId="7B554454" w14:textId="1903E4BA" w:rsidR="00730755" w:rsidRPr="00AF0820" w:rsidRDefault="0061657C" w:rsidP="0061657C">
            <w:pPr>
              <w:spacing w:after="60"/>
              <w:jc w:val="center"/>
              <w:rPr>
                <w:rFonts w:ascii="Calibri" w:eastAsia="SimSun" w:hAnsi="Calibri" w:cs="Calibri"/>
                <w:i/>
                <w:sz w:val="18"/>
                <w:szCs w:val="18"/>
                <w:highlight w:val="yellow"/>
              </w:rPr>
            </w:pPr>
            <w:r>
              <w:rPr>
                <w:rFonts w:ascii="Calibri" w:hAnsi="Calibri"/>
                <w:sz w:val="18"/>
              </w:rPr>
              <w:t>1.400 agricultores (420 mujeres y 980 hombres) formados y 2.000 personas (1.000 mujeres y 1.000 hombres) concienciadas sobre la producción agrícola sostenible</w:t>
            </w:r>
          </w:p>
        </w:tc>
      </w:tr>
      <w:tr w:rsidR="00730755" w:rsidRPr="001B17BF" w14:paraId="0545412C" w14:textId="77777777" w:rsidTr="00BA3DD6">
        <w:trPr>
          <w:trHeight w:val="350"/>
        </w:trPr>
        <w:tc>
          <w:tcPr>
            <w:tcW w:w="2605" w:type="dxa"/>
            <w:shd w:val="clear" w:color="auto" w:fill="auto"/>
          </w:tcPr>
          <w:p w14:paraId="453482B6" w14:textId="643F2BD2" w:rsidR="00730755" w:rsidRPr="0018107D" w:rsidRDefault="00730755" w:rsidP="00730755">
            <w:pPr>
              <w:spacing w:after="60"/>
              <w:rPr>
                <w:rFonts w:ascii="Calibri" w:eastAsia="SimSun" w:hAnsi="Calibri" w:cs="Calibri"/>
                <w:b/>
                <w:bCs/>
                <w:sz w:val="18"/>
                <w:szCs w:val="18"/>
              </w:rPr>
            </w:pPr>
            <w:r>
              <w:rPr>
                <w:rFonts w:ascii="Calibri" w:hAnsi="Calibri"/>
                <w:b/>
                <w:sz w:val="18"/>
              </w:rPr>
              <w:t>Productos para lograr el Resultado 3</w:t>
            </w:r>
          </w:p>
        </w:tc>
        <w:tc>
          <w:tcPr>
            <w:tcW w:w="11813" w:type="dxa"/>
            <w:gridSpan w:val="4"/>
          </w:tcPr>
          <w:p w14:paraId="0086C8C5" w14:textId="092C0C53" w:rsidR="00730755" w:rsidRPr="005D24BA"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Resultado 3.1. Promoción de la investigación y acción participativa en agroecología, para diseñar e implementar con los agricultores y la población local</w:t>
            </w:r>
            <w:r w:rsidR="00DF7A7A">
              <w:rPr>
                <w:rFonts w:asciiTheme="minorHAnsi" w:hAnsiTheme="minorHAnsi"/>
                <w:sz w:val="18"/>
              </w:rPr>
              <w:t>,</w:t>
            </w:r>
            <w:r>
              <w:rPr>
                <w:rFonts w:asciiTheme="minorHAnsi" w:hAnsiTheme="minorHAnsi"/>
                <w:sz w:val="18"/>
              </w:rPr>
              <w:t xml:space="preserve"> y propuestas que aumenten la sostenibilidad agrícola a través de unidades de extensión públicas y privadas (Agrocalidad, MAG, Seguro Social Campesino y Asociaciones Privadas).</w:t>
            </w:r>
          </w:p>
          <w:p w14:paraId="4DD0E10B" w14:textId="456A694B" w:rsidR="00730755" w:rsidRPr="005D24BA"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 xml:space="preserve">Resultado 3.2. Facilitar la identificación, documentación, sistematización y difusión, para que los actores clave a nivel nacional y global reciban, compartan y apliquen el conocimiento generado por el </w:t>
            </w:r>
            <w:r w:rsidR="00DF7A7A">
              <w:rPr>
                <w:rFonts w:asciiTheme="minorHAnsi" w:hAnsiTheme="minorHAnsi"/>
                <w:sz w:val="18"/>
              </w:rPr>
              <w:t>p</w:t>
            </w:r>
            <w:r>
              <w:rPr>
                <w:rFonts w:asciiTheme="minorHAnsi" w:hAnsiTheme="minorHAnsi"/>
                <w:sz w:val="18"/>
              </w:rPr>
              <w:t>royecto, incorporando un enfoque integrado que incluya las mejores prácticas agrícolas y opciones no químicas.</w:t>
            </w:r>
          </w:p>
          <w:p w14:paraId="615634AB" w14:textId="4C9BD24E" w:rsidR="00730755" w:rsidRPr="005D24BA"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Resultado 3.3. Formación y capacitación. Estrategias de sensibilización, diálogo e intercambio creadas para ayudar al sector rural a crear una agricultura ecológica saludable y vincular su trabajo con consumidores responsables.</w:t>
            </w:r>
          </w:p>
          <w:p w14:paraId="0A8757F0" w14:textId="6A0180B6" w:rsidR="00730755" w:rsidRPr="005D24BA" w:rsidRDefault="00730755" w:rsidP="00DF7A7A">
            <w:pPr>
              <w:spacing w:after="40"/>
              <w:jc w:val="both"/>
              <w:rPr>
                <w:rFonts w:ascii="Calibri" w:eastAsia="SimSun" w:hAnsi="Calibri" w:cs="Calibri"/>
                <w:bCs/>
                <w:i/>
                <w:sz w:val="18"/>
                <w:szCs w:val="18"/>
              </w:rPr>
            </w:pPr>
            <w:r>
              <w:rPr>
                <w:rFonts w:asciiTheme="minorHAnsi" w:hAnsiTheme="minorHAnsi"/>
                <w:sz w:val="18"/>
              </w:rPr>
              <w:t xml:space="preserve">Resultado 3.4. Promover el intercambio de conocimientos y experiencias en esquemas de cooperación Sur-Sur y entre los actores del </w:t>
            </w:r>
            <w:r w:rsidR="00DF7A7A">
              <w:rPr>
                <w:rFonts w:asciiTheme="minorHAnsi" w:hAnsiTheme="minorHAnsi"/>
                <w:sz w:val="18"/>
              </w:rPr>
              <w:t>P</w:t>
            </w:r>
            <w:r>
              <w:rPr>
                <w:rFonts w:asciiTheme="minorHAnsi" w:hAnsiTheme="minorHAnsi"/>
                <w:sz w:val="18"/>
              </w:rPr>
              <w:t xml:space="preserve">rograma </w:t>
            </w:r>
            <w:r w:rsidR="00DF7A7A">
              <w:rPr>
                <w:rFonts w:asciiTheme="minorHAnsi" w:hAnsiTheme="minorHAnsi"/>
                <w:sz w:val="18"/>
              </w:rPr>
              <w:t>G</w:t>
            </w:r>
            <w:r>
              <w:rPr>
                <w:rFonts w:asciiTheme="minorHAnsi" w:hAnsiTheme="minorHAnsi"/>
                <w:sz w:val="18"/>
              </w:rPr>
              <w:t xml:space="preserve">lobal para fortalecer las capacidades de las regiones en el desarrollo sostenible de la agricultura, considerando a compradores y productores, para asegurar la motivación en el uso de mejores prácticas ambientales para ofrecer productos sostenibles a través del </w:t>
            </w:r>
            <w:r w:rsidR="00DF7A7A">
              <w:rPr>
                <w:rFonts w:asciiTheme="minorHAnsi" w:hAnsiTheme="minorHAnsi"/>
                <w:sz w:val="18"/>
              </w:rPr>
              <w:t>C</w:t>
            </w:r>
            <w:r>
              <w:rPr>
                <w:rFonts w:asciiTheme="minorHAnsi" w:hAnsiTheme="minorHAnsi"/>
                <w:sz w:val="18"/>
              </w:rPr>
              <w:t xml:space="preserve">omponente </w:t>
            </w:r>
            <w:r w:rsidR="00DF7A7A">
              <w:rPr>
                <w:rFonts w:asciiTheme="minorHAnsi" w:hAnsiTheme="minorHAnsi"/>
                <w:sz w:val="18"/>
              </w:rPr>
              <w:t>G</w:t>
            </w:r>
            <w:r>
              <w:rPr>
                <w:rFonts w:asciiTheme="minorHAnsi" w:hAnsiTheme="minorHAnsi"/>
                <w:sz w:val="18"/>
              </w:rPr>
              <w:t>lobal.</w:t>
            </w:r>
          </w:p>
        </w:tc>
      </w:tr>
      <w:tr w:rsidR="00730755" w:rsidRPr="00C569E8" w14:paraId="493297A0" w14:textId="77777777" w:rsidTr="005C0299">
        <w:trPr>
          <w:trHeight w:val="334"/>
        </w:trPr>
        <w:tc>
          <w:tcPr>
            <w:tcW w:w="2605" w:type="dxa"/>
            <w:shd w:val="clear" w:color="auto" w:fill="E7E6E6"/>
          </w:tcPr>
          <w:p w14:paraId="604C97D2" w14:textId="05C443DA" w:rsidR="00730755" w:rsidRPr="0018107D" w:rsidRDefault="00730755" w:rsidP="00730755">
            <w:pPr>
              <w:spacing w:after="60"/>
              <w:rPr>
                <w:rFonts w:ascii="Calibri" w:eastAsia="SimSun" w:hAnsi="Calibri" w:cs="Calibri"/>
                <w:b/>
                <w:bCs/>
                <w:sz w:val="18"/>
                <w:szCs w:val="18"/>
              </w:rPr>
            </w:pPr>
            <w:r>
              <w:rPr>
                <w:rFonts w:ascii="Calibri" w:hAnsi="Calibri"/>
                <w:b/>
                <w:sz w:val="18"/>
              </w:rPr>
              <w:t xml:space="preserve">Componente </w:t>
            </w:r>
            <w:r w:rsidRPr="007D6873">
              <w:rPr>
                <w:rFonts w:ascii="Calibri" w:hAnsi="Calibri"/>
                <w:b/>
                <w:sz w:val="18"/>
              </w:rPr>
              <w:t>4</w:t>
            </w:r>
            <w:r>
              <w:rPr>
                <w:rFonts w:ascii="Calibri" w:hAnsi="Calibri"/>
                <w:b/>
                <w:i/>
                <w:sz w:val="18"/>
              </w:rPr>
              <w:t xml:space="preserve"> </w:t>
            </w:r>
            <w:r>
              <w:rPr>
                <w:rFonts w:ascii="Calibri" w:hAnsi="Calibri"/>
                <w:b/>
                <w:sz w:val="18"/>
              </w:rPr>
              <w:t>del proyecto</w:t>
            </w:r>
          </w:p>
        </w:tc>
        <w:tc>
          <w:tcPr>
            <w:tcW w:w="11813" w:type="dxa"/>
            <w:gridSpan w:val="4"/>
            <w:shd w:val="clear" w:color="auto" w:fill="E7E6E6"/>
          </w:tcPr>
          <w:p w14:paraId="5EAA6005" w14:textId="56B3C20C" w:rsidR="00730755" w:rsidRPr="005C0299" w:rsidRDefault="00730755" w:rsidP="00730755">
            <w:pPr>
              <w:spacing w:after="60"/>
              <w:rPr>
                <w:rFonts w:ascii="Calibri" w:eastAsia="SimSun" w:hAnsi="Calibri" w:cs="Calibri"/>
                <w:b/>
                <w:bCs/>
                <w:sz w:val="18"/>
                <w:szCs w:val="18"/>
              </w:rPr>
            </w:pPr>
            <w:r>
              <w:rPr>
                <w:rFonts w:ascii="Calibri" w:hAnsi="Calibri"/>
                <w:b/>
                <w:sz w:val="18"/>
              </w:rPr>
              <w:t xml:space="preserve">Monitoreo y </w:t>
            </w:r>
            <w:r w:rsidR="004D4243">
              <w:rPr>
                <w:rFonts w:ascii="Calibri" w:hAnsi="Calibri"/>
                <w:b/>
                <w:sz w:val="18"/>
              </w:rPr>
              <w:t>E</w:t>
            </w:r>
            <w:r>
              <w:rPr>
                <w:rFonts w:ascii="Calibri" w:hAnsi="Calibri"/>
                <w:b/>
                <w:sz w:val="18"/>
              </w:rPr>
              <w:t xml:space="preserve">valuación </w:t>
            </w:r>
          </w:p>
        </w:tc>
      </w:tr>
      <w:tr w:rsidR="00730755" w:rsidRPr="009A5977" w14:paraId="454A666A" w14:textId="77777777" w:rsidTr="00CF5F2A">
        <w:trPr>
          <w:trHeight w:val="440"/>
        </w:trPr>
        <w:tc>
          <w:tcPr>
            <w:tcW w:w="2605" w:type="dxa"/>
            <w:shd w:val="clear" w:color="auto" w:fill="auto"/>
          </w:tcPr>
          <w:p w14:paraId="34EFBFF9" w14:textId="4B645214" w:rsidR="00730755" w:rsidRPr="0018107D" w:rsidRDefault="00730755" w:rsidP="00730755">
            <w:pPr>
              <w:spacing w:after="60"/>
              <w:rPr>
                <w:rFonts w:ascii="Calibri" w:eastAsia="SimSun" w:hAnsi="Calibri" w:cs="Calibri"/>
                <w:b/>
                <w:bCs/>
                <w:sz w:val="18"/>
                <w:szCs w:val="18"/>
              </w:rPr>
            </w:pPr>
            <w:r>
              <w:rPr>
                <w:rFonts w:ascii="Calibri" w:hAnsi="Calibri"/>
                <w:b/>
                <w:sz w:val="18"/>
              </w:rPr>
              <w:t>Resultado 4</w:t>
            </w:r>
          </w:p>
          <w:p w14:paraId="6CA48E0B" w14:textId="492830D5" w:rsidR="00730755" w:rsidRPr="005C0299" w:rsidRDefault="00730755" w:rsidP="00730755">
            <w:pPr>
              <w:spacing w:after="60"/>
              <w:rPr>
                <w:rFonts w:ascii="Calibri" w:eastAsia="SimSun" w:hAnsi="Calibri" w:cs="Calibri"/>
                <w:sz w:val="18"/>
                <w:szCs w:val="18"/>
              </w:rPr>
            </w:pPr>
            <w:r>
              <w:rPr>
                <w:rFonts w:ascii="Calibri" w:hAnsi="Calibri"/>
                <w:sz w:val="18"/>
              </w:rPr>
              <w:t xml:space="preserve">Monitoreo y </w:t>
            </w:r>
            <w:r w:rsidR="004D4243">
              <w:rPr>
                <w:rFonts w:ascii="Calibri" w:hAnsi="Calibri"/>
                <w:sz w:val="18"/>
              </w:rPr>
              <w:t>E</w:t>
            </w:r>
            <w:r>
              <w:rPr>
                <w:rFonts w:ascii="Calibri" w:hAnsi="Calibri"/>
                <w:sz w:val="18"/>
              </w:rPr>
              <w:t>valuación</w:t>
            </w:r>
          </w:p>
          <w:p w14:paraId="7FEA2CFC" w14:textId="2EBD1425" w:rsidR="00730755" w:rsidRPr="0018107D" w:rsidRDefault="00730755" w:rsidP="00730755">
            <w:pPr>
              <w:spacing w:after="60"/>
              <w:rPr>
                <w:rFonts w:ascii="Calibri" w:eastAsia="SimSun" w:hAnsi="Calibri" w:cs="Calibri"/>
                <w:b/>
                <w:bCs/>
                <w:sz w:val="18"/>
                <w:szCs w:val="18"/>
              </w:rPr>
            </w:pPr>
          </w:p>
        </w:tc>
        <w:tc>
          <w:tcPr>
            <w:tcW w:w="4230" w:type="dxa"/>
          </w:tcPr>
          <w:p w14:paraId="1484C4C2" w14:textId="77777777" w:rsidR="009D0796" w:rsidRDefault="00730755" w:rsidP="00730755">
            <w:pPr>
              <w:spacing w:after="60"/>
              <w:rPr>
                <w:rFonts w:ascii="Calibri" w:eastAsia="SimSun" w:hAnsi="Calibri" w:cs="Calibri"/>
                <w:bCs/>
                <w:iCs/>
                <w:sz w:val="18"/>
                <w:szCs w:val="18"/>
              </w:rPr>
            </w:pPr>
            <w:r>
              <w:rPr>
                <w:rFonts w:ascii="Calibri" w:hAnsi="Calibri"/>
                <w:sz w:val="18"/>
              </w:rPr>
              <w:t xml:space="preserve">Indicador 13: </w:t>
            </w:r>
          </w:p>
          <w:p w14:paraId="55CCBC74" w14:textId="25E6397E" w:rsidR="00730755" w:rsidRPr="005C0299" w:rsidRDefault="00730755" w:rsidP="00730755">
            <w:pPr>
              <w:spacing w:after="60"/>
              <w:rPr>
                <w:rFonts w:ascii="Calibri" w:eastAsia="SimSun" w:hAnsi="Calibri" w:cs="Calibri"/>
                <w:bCs/>
                <w:iCs/>
                <w:sz w:val="18"/>
                <w:szCs w:val="18"/>
              </w:rPr>
            </w:pPr>
            <w:r>
              <w:rPr>
                <w:rFonts w:asciiTheme="minorHAnsi" w:hAnsiTheme="minorHAnsi"/>
                <w:sz w:val="18"/>
              </w:rPr>
              <w:t xml:space="preserve">Porcentaje del gasto del proyecto dedicado a actividades previstas del </w:t>
            </w:r>
            <w:r w:rsidR="00F15011">
              <w:rPr>
                <w:rFonts w:asciiTheme="minorHAnsi" w:hAnsiTheme="minorHAnsi"/>
                <w:sz w:val="18"/>
              </w:rPr>
              <w:t>FSP</w:t>
            </w:r>
          </w:p>
        </w:tc>
        <w:tc>
          <w:tcPr>
            <w:tcW w:w="2160" w:type="dxa"/>
            <w:vAlign w:val="center"/>
          </w:tcPr>
          <w:p w14:paraId="2A668030" w14:textId="21544E71" w:rsidR="00730755" w:rsidRPr="005C0299" w:rsidRDefault="00730755" w:rsidP="00CF5F2A">
            <w:pPr>
              <w:spacing w:after="60"/>
              <w:jc w:val="center"/>
              <w:rPr>
                <w:rFonts w:ascii="Calibri" w:eastAsia="SimSun" w:hAnsi="Calibri" w:cs="Calibri"/>
                <w:bCs/>
                <w:iCs/>
                <w:sz w:val="18"/>
                <w:szCs w:val="18"/>
              </w:rPr>
            </w:pPr>
            <w:r>
              <w:rPr>
                <w:rFonts w:ascii="Calibri" w:hAnsi="Calibri"/>
                <w:sz w:val="18"/>
              </w:rPr>
              <w:t>0%</w:t>
            </w:r>
          </w:p>
        </w:tc>
        <w:tc>
          <w:tcPr>
            <w:tcW w:w="2520" w:type="dxa"/>
            <w:vAlign w:val="center"/>
          </w:tcPr>
          <w:p w14:paraId="3950874E" w14:textId="73747FAC" w:rsidR="00730755" w:rsidRPr="005C0299" w:rsidRDefault="00730755" w:rsidP="00CF5F2A">
            <w:pPr>
              <w:spacing w:after="60"/>
              <w:jc w:val="center"/>
              <w:rPr>
                <w:rFonts w:ascii="Calibri" w:eastAsia="SimSun" w:hAnsi="Calibri" w:cs="Calibri"/>
                <w:bCs/>
                <w:iCs/>
                <w:sz w:val="18"/>
                <w:szCs w:val="18"/>
              </w:rPr>
            </w:pPr>
            <w:r>
              <w:rPr>
                <w:rFonts w:ascii="Calibri" w:hAnsi="Calibri"/>
                <w:sz w:val="18"/>
              </w:rPr>
              <w:t>40%</w:t>
            </w:r>
          </w:p>
        </w:tc>
        <w:tc>
          <w:tcPr>
            <w:tcW w:w="2903" w:type="dxa"/>
            <w:vAlign w:val="center"/>
          </w:tcPr>
          <w:p w14:paraId="61639B51" w14:textId="5BCB1002" w:rsidR="00730755" w:rsidRPr="005C0299" w:rsidRDefault="00730755" w:rsidP="00CF5F2A">
            <w:pPr>
              <w:spacing w:after="60"/>
              <w:jc w:val="center"/>
              <w:rPr>
                <w:rFonts w:ascii="Calibri" w:eastAsia="SimSun" w:hAnsi="Calibri" w:cs="Calibri"/>
                <w:iCs/>
                <w:sz w:val="18"/>
                <w:szCs w:val="18"/>
              </w:rPr>
            </w:pPr>
            <w:r>
              <w:rPr>
                <w:rFonts w:ascii="Calibri" w:hAnsi="Calibri"/>
                <w:sz w:val="18"/>
              </w:rPr>
              <w:t>100%</w:t>
            </w:r>
          </w:p>
        </w:tc>
      </w:tr>
      <w:tr w:rsidR="00730755" w:rsidRPr="001B17BF" w14:paraId="213FB3CD" w14:textId="77777777" w:rsidTr="00BA3DD6">
        <w:trPr>
          <w:trHeight w:val="683"/>
        </w:trPr>
        <w:tc>
          <w:tcPr>
            <w:tcW w:w="2605" w:type="dxa"/>
            <w:shd w:val="clear" w:color="auto" w:fill="auto"/>
          </w:tcPr>
          <w:p w14:paraId="50F02925" w14:textId="5D3D1788" w:rsidR="00730755" w:rsidRPr="0018107D" w:rsidRDefault="00730755" w:rsidP="00730755">
            <w:pPr>
              <w:spacing w:after="60"/>
              <w:rPr>
                <w:rFonts w:ascii="Calibri" w:eastAsia="SimSun" w:hAnsi="Calibri" w:cs="Calibri"/>
                <w:b/>
                <w:bCs/>
                <w:sz w:val="18"/>
                <w:szCs w:val="18"/>
              </w:rPr>
            </w:pPr>
            <w:r>
              <w:rPr>
                <w:rFonts w:ascii="Calibri" w:hAnsi="Calibri"/>
                <w:b/>
                <w:sz w:val="18"/>
              </w:rPr>
              <w:t>Productos para lograr el Resultado 4</w:t>
            </w:r>
          </w:p>
        </w:tc>
        <w:tc>
          <w:tcPr>
            <w:tcW w:w="11813" w:type="dxa"/>
            <w:gridSpan w:val="4"/>
          </w:tcPr>
          <w:p w14:paraId="0272FF3E" w14:textId="5FAAC691" w:rsidR="00730755" w:rsidRPr="005C0299" w:rsidRDefault="00730755" w:rsidP="00730755">
            <w:pPr>
              <w:spacing w:after="40"/>
              <w:jc w:val="both"/>
              <w:rPr>
                <w:rFonts w:asciiTheme="minorHAnsi" w:eastAsia="SimSun" w:hAnsiTheme="minorHAnsi" w:cstheme="minorHAnsi"/>
                <w:bCs/>
                <w:iCs/>
                <w:sz w:val="18"/>
                <w:szCs w:val="18"/>
              </w:rPr>
            </w:pPr>
            <w:r>
              <w:rPr>
                <w:rFonts w:asciiTheme="minorHAnsi" w:hAnsiTheme="minorHAnsi"/>
                <w:sz w:val="18"/>
              </w:rPr>
              <w:t>Resultado 4.1. M&amp;E y gestión adaptativa aplicadas para evaluar el rendimiento del proyecto y el impacto de los BAG.</w:t>
            </w:r>
          </w:p>
          <w:p w14:paraId="286762A2" w14:textId="2243DAEC" w:rsidR="00730755" w:rsidRPr="00A562E4" w:rsidRDefault="00730755" w:rsidP="00730755">
            <w:pPr>
              <w:spacing w:after="40"/>
              <w:jc w:val="both"/>
              <w:rPr>
                <w:rFonts w:ascii="Calibri" w:eastAsia="SimSun" w:hAnsi="Calibri" w:cs="Calibri"/>
                <w:bCs/>
                <w:i/>
                <w:sz w:val="18"/>
                <w:szCs w:val="18"/>
                <w:highlight w:val="yellow"/>
              </w:rPr>
            </w:pPr>
            <w:r>
              <w:rPr>
                <w:rFonts w:asciiTheme="minorHAnsi" w:hAnsiTheme="minorHAnsi"/>
                <w:sz w:val="18"/>
              </w:rPr>
              <w:t>Resultado 4.2. Herramientas de M&amp;E proporcionadas para evaluar los avances, retos y lecciones aprendidas; y para garantizar la sostenibilidad futura de los logros conseguidos a través del proyecto en la reducción/sustitución de PAPs y residuos.</w:t>
            </w:r>
          </w:p>
        </w:tc>
      </w:tr>
    </w:tbl>
    <w:p w14:paraId="3F139286" w14:textId="77777777" w:rsidR="00966EF0" w:rsidRPr="002152FE" w:rsidRDefault="00966EF0" w:rsidP="00966EF0">
      <w:pPr>
        <w:spacing w:after="60"/>
        <w:jc w:val="both"/>
        <w:rPr>
          <w:rFonts w:ascii="Calibri" w:eastAsia="SimSun" w:hAnsi="Calibri"/>
          <w:sz w:val="20"/>
          <w:lang w:val="es-EC"/>
        </w:rPr>
        <w:sectPr w:rsidR="00966EF0" w:rsidRPr="002152FE" w:rsidSect="00BA3DD6">
          <w:pgSz w:w="15840" w:h="12240" w:orient="landscape" w:code="1"/>
          <w:pgMar w:top="720" w:right="720" w:bottom="720" w:left="720" w:header="720" w:footer="432" w:gutter="0"/>
          <w:cols w:space="708"/>
          <w:titlePg/>
          <w:docGrid w:linePitch="360"/>
        </w:sectPr>
      </w:pPr>
    </w:p>
    <w:p w14:paraId="4FD69E60" w14:textId="24F61A99" w:rsidR="00094411" w:rsidRDefault="00705641" w:rsidP="003D1D13">
      <w:pPr>
        <w:keepNext/>
        <w:pBdr>
          <w:top w:val="single" w:sz="4" w:space="1" w:color="auto"/>
        </w:pBdr>
        <w:tabs>
          <w:tab w:val="num" w:pos="720"/>
        </w:tabs>
        <w:suppressAutoHyphens/>
        <w:spacing w:after="120"/>
        <w:ind w:left="720" w:hanging="720"/>
        <w:jc w:val="both"/>
        <w:outlineLvl w:val="0"/>
        <w:rPr>
          <w:rFonts w:ascii="Calibri" w:eastAsia="SimSun" w:hAnsi="Calibri"/>
          <w:b/>
          <w:smallCaps/>
          <w:spacing w:val="-2"/>
          <w:sz w:val="28"/>
          <w:szCs w:val="28"/>
        </w:rPr>
      </w:pPr>
      <w:bookmarkStart w:id="38" w:name="_Toc114650846"/>
      <w:bookmarkStart w:id="39" w:name="_Toc144822671"/>
      <w:bookmarkStart w:id="40" w:name="_Toc207800914"/>
      <w:bookmarkStart w:id="41" w:name="_Toc407785522"/>
      <w:bookmarkEnd w:id="34"/>
      <w:r>
        <w:rPr>
          <w:rFonts w:ascii="Calibri" w:hAnsi="Calibri"/>
          <w:b/>
          <w:smallCaps/>
          <w:sz w:val="28"/>
        </w:rPr>
        <w:t>VI. Plan de Monitoreo y evaluación</w:t>
      </w:r>
      <w:bookmarkEnd w:id="38"/>
      <w:bookmarkEnd w:id="39"/>
    </w:p>
    <w:p w14:paraId="3E8EC8A7" w14:textId="6AD4C0BD" w:rsidR="00966EF0" w:rsidRPr="009B2C70" w:rsidRDefault="00966EF0" w:rsidP="009B2C70">
      <w:pPr>
        <w:spacing w:after="120"/>
        <w:jc w:val="both"/>
        <w:rPr>
          <w:rFonts w:ascii="Calibri" w:eastAsia="SimSun" w:hAnsi="Calibri" w:cs="Calibri"/>
          <w:b/>
          <w:color w:val="0000FF"/>
          <w:sz w:val="20"/>
          <w:szCs w:val="20"/>
          <w:u w:val="single"/>
        </w:rPr>
      </w:pPr>
      <w:r>
        <w:rPr>
          <w:rFonts w:ascii="Calibri" w:hAnsi="Calibri"/>
          <w:sz w:val="20"/>
        </w:rPr>
        <w:t xml:space="preserve">El </w:t>
      </w:r>
      <w:r w:rsidR="00EE2D79">
        <w:rPr>
          <w:rFonts w:ascii="Calibri" w:hAnsi="Calibri"/>
          <w:sz w:val="20"/>
        </w:rPr>
        <w:t>M</w:t>
      </w:r>
      <w:r>
        <w:rPr>
          <w:rFonts w:ascii="Calibri" w:hAnsi="Calibri"/>
          <w:sz w:val="20"/>
        </w:rPr>
        <w:t xml:space="preserve">onitoreo y </w:t>
      </w:r>
      <w:r w:rsidR="00EE2D79">
        <w:rPr>
          <w:rFonts w:ascii="Calibri" w:hAnsi="Calibri"/>
          <w:sz w:val="20"/>
        </w:rPr>
        <w:t>E</w:t>
      </w:r>
      <w:r>
        <w:rPr>
          <w:rFonts w:ascii="Calibri" w:hAnsi="Calibri"/>
          <w:sz w:val="20"/>
        </w:rPr>
        <w:t xml:space="preserve">valuación a nivel de proyecto se llevarán a cabo de conformidad con los requisitos del PNUD, tal y como se indica en el documento </w:t>
      </w:r>
      <w:hyperlink r:id="rId18" w:history="1">
        <w:r>
          <w:rPr>
            <w:rFonts w:ascii="Calibri" w:hAnsi="Calibri"/>
            <w:color w:val="0000FF"/>
            <w:sz w:val="20"/>
            <w:u w:val="single"/>
          </w:rPr>
          <w:t>POPP DEL PNUD</w:t>
        </w:r>
      </w:hyperlink>
      <w:r>
        <w:rPr>
          <w:rFonts w:ascii="Calibri" w:hAnsi="Calibri"/>
          <w:color w:val="0000FF"/>
          <w:sz w:val="20"/>
          <w:u w:val="single"/>
        </w:rPr>
        <w:t xml:space="preserve"> (incluidas las orientaciones sobre las revisiones de los proyectos del FMAM) y la </w:t>
      </w:r>
      <w:hyperlink r:id="rId19" w:history="1">
        <w:r>
          <w:rPr>
            <w:rFonts w:ascii="Calibri" w:hAnsi="Calibri"/>
            <w:color w:val="0000FF"/>
            <w:sz w:val="20"/>
            <w:u w:val="single"/>
          </w:rPr>
          <w:t xml:space="preserve">Política de </w:t>
        </w:r>
        <w:r w:rsidR="00EE2D79">
          <w:rPr>
            <w:rFonts w:ascii="Calibri" w:hAnsi="Calibri"/>
            <w:color w:val="0000FF"/>
            <w:sz w:val="20"/>
            <w:u w:val="single"/>
          </w:rPr>
          <w:t>E</w:t>
        </w:r>
        <w:r>
          <w:rPr>
            <w:rFonts w:ascii="Calibri" w:hAnsi="Calibri"/>
            <w:color w:val="0000FF"/>
            <w:sz w:val="20"/>
            <w:u w:val="single"/>
          </w:rPr>
          <w:t>valuación del PNUD</w:t>
        </w:r>
      </w:hyperlink>
      <w:r w:rsidR="00EE2D79">
        <w:rPr>
          <w:rFonts w:ascii="Calibri" w:hAnsi="Calibri"/>
          <w:color w:val="0000FF"/>
          <w:sz w:val="20"/>
          <w:u w:val="single"/>
        </w:rPr>
        <w:t>.</w:t>
      </w:r>
      <w:r>
        <w:rPr>
          <w:rFonts w:ascii="Calibri" w:hAnsi="Calibri"/>
          <w:color w:val="0000FF"/>
          <w:sz w:val="20"/>
          <w:u w:val="single"/>
        </w:rPr>
        <w:t xml:space="preserve"> </w:t>
      </w:r>
      <w:r>
        <w:rPr>
          <w:rFonts w:ascii="Calibri" w:hAnsi="Calibri"/>
          <w:b/>
          <w:color w:val="0000FF"/>
          <w:sz w:val="20"/>
          <w:u w:val="single"/>
        </w:rPr>
        <w:t xml:space="preserve">La </w:t>
      </w:r>
      <w:r w:rsidR="00343360">
        <w:rPr>
          <w:rFonts w:ascii="Calibri" w:hAnsi="Calibri"/>
          <w:b/>
          <w:color w:val="0000FF"/>
          <w:sz w:val="20"/>
          <w:u w:val="single"/>
        </w:rPr>
        <w:t>Oficina Nacional</w:t>
      </w:r>
      <w:r>
        <w:rPr>
          <w:rFonts w:ascii="Calibri" w:hAnsi="Calibri"/>
          <w:b/>
          <w:color w:val="0000FF"/>
          <w:sz w:val="20"/>
          <w:u w:val="single"/>
        </w:rPr>
        <w:t xml:space="preserve"> del PNUD es responsable de garantizar el pleno cumplimiento de todos los requisitos de M&amp;E del proyecto del PNUD, incluido el monitoreo del proyecto, los requisitos de garantía de calidad del PNUD, la gestión trimestral de riesgos y los requisitos de evaluación. </w:t>
      </w:r>
    </w:p>
    <w:p w14:paraId="57C30AF0" w14:textId="127F8A4B" w:rsidR="00966EF0" w:rsidRPr="006A315B" w:rsidRDefault="00966EF0" w:rsidP="009B2C70">
      <w:pPr>
        <w:spacing w:after="120"/>
        <w:jc w:val="both"/>
        <w:rPr>
          <w:rFonts w:ascii="Calibri" w:eastAsia="SimSun" w:hAnsi="Calibri" w:cs="Calibri"/>
          <w:sz w:val="20"/>
          <w:szCs w:val="20"/>
        </w:rPr>
      </w:pPr>
      <w:r>
        <w:rPr>
          <w:rFonts w:ascii="Calibri" w:hAnsi="Calibri"/>
          <w:sz w:val="20"/>
        </w:rPr>
        <w:t xml:space="preserve">Los requisitos obligatorios adicionales de </w:t>
      </w:r>
      <w:r w:rsidR="00EE2D79">
        <w:rPr>
          <w:rFonts w:ascii="Calibri" w:hAnsi="Calibri"/>
          <w:sz w:val="20"/>
        </w:rPr>
        <w:t>M</w:t>
      </w:r>
      <w:r>
        <w:rPr>
          <w:rFonts w:ascii="Calibri" w:hAnsi="Calibri"/>
          <w:sz w:val="20"/>
        </w:rPr>
        <w:t xml:space="preserve">onitoreo y </w:t>
      </w:r>
      <w:r w:rsidR="00EE2D79">
        <w:rPr>
          <w:rFonts w:ascii="Calibri" w:hAnsi="Calibri"/>
          <w:sz w:val="20"/>
        </w:rPr>
        <w:t>E</w:t>
      </w:r>
      <w:r>
        <w:rPr>
          <w:rFonts w:ascii="Calibri" w:hAnsi="Calibri"/>
          <w:sz w:val="20"/>
        </w:rPr>
        <w:t xml:space="preserve">valuación específicos del FMAM se llevarán a cabo de conformidad con la </w:t>
      </w:r>
      <w:hyperlink r:id="rId20" w:history="1">
        <w:r>
          <w:rPr>
            <w:rFonts w:ascii="Calibri" w:hAnsi="Calibri"/>
            <w:color w:val="0000FF"/>
            <w:sz w:val="20"/>
            <w:u w:val="single"/>
          </w:rPr>
          <w:t>Política de Monitoreo del FMAM</w:t>
        </w:r>
      </w:hyperlink>
      <w:r>
        <w:rPr>
          <w:rFonts w:ascii="Calibri" w:hAnsi="Calibri"/>
          <w:sz w:val="20"/>
        </w:rPr>
        <w:t xml:space="preserve"> y la </w:t>
      </w:r>
      <w:hyperlink r:id="rId21" w:history="1">
        <w:r>
          <w:rPr>
            <w:rFonts w:ascii="Calibri" w:hAnsi="Calibri"/>
            <w:color w:val="0000FF"/>
            <w:sz w:val="20"/>
            <w:u w:val="single"/>
          </w:rPr>
          <w:t xml:space="preserve">Política de </w:t>
        </w:r>
        <w:r w:rsidR="00EE2D79">
          <w:rPr>
            <w:rFonts w:ascii="Calibri" w:hAnsi="Calibri"/>
            <w:color w:val="0000FF"/>
            <w:sz w:val="20"/>
            <w:u w:val="single"/>
          </w:rPr>
          <w:t>E</w:t>
        </w:r>
        <w:r>
          <w:rPr>
            <w:rFonts w:ascii="Calibri" w:hAnsi="Calibri"/>
            <w:color w:val="0000FF"/>
            <w:sz w:val="20"/>
            <w:u w:val="single"/>
          </w:rPr>
          <w:t>valuación del FMAM</w:t>
        </w:r>
      </w:hyperlink>
      <w:r>
        <w:rPr>
          <w:rFonts w:ascii="Calibri" w:hAnsi="Calibri"/>
          <w:sz w:val="20"/>
        </w:rPr>
        <w:t xml:space="preserve"> y otras </w:t>
      </w:r>
      <w:hyperlink r:id="rId22" w:history="1">
        <w:r>
          <w:rPr>
            <w:rFonts w:ascii="Calibri" w:hAnsi="Calibri"/>
            <w:color w:val="0000FF"/>
            <w:sz w:val="20"/>
            <w:u w:val="single"/>
          </w:rPr>
          <w:t>políticas pertinentes del FMAM</w:t>
        </w:r>
        <w:r w:rsidRPr="00966EF0">
          <w:rPr>
            <w:rFonts w:ascii="Arial" w:eastAsia="SimSun" w:hAnsi="Arial"/>
            <w:sz w:val="18"/>
            <w:szCs w:val="20"/>
            <w:vertAlign w:val="superscript"/>
          </w:rPr>
          <w:footnoteReference w:id="34"/>
        </w:r>
      </w:hyperlink>
      <w:r>
        <w:rPr>
          <w:rFonts w:ascii="Calibri" w:hAnsi="Calibri"/>
          <w:sz w:val="20"/>
        </w:rPr>
        <w:t xml:space="preserve">. El </w:t>
      </w:r>
      <w:r w:rsidR="00EE2D79">
        <w:rPr>
          <w:rFonts w:ascii="Calibri" w:hAnsi="Calibri"/>
          <w:sz w:val="20"/>
        </w:rPr>
        <w:t>P</w:t>
      </w:r>
      <w:r>
        <w:rPr>
          <w:rFonts w:ascii="Calibri" w:hAnsi="Calibri"/>
          <w:sz w:val="20"/>
        </w:rPr>
        <w:t xml:space="preserve">lan de </w:t>
      </w:r>
      <w:r w:rsidR="00EE2D79">
        <w:rPr>
          <w:rFonts w:ascii="Calibri" w:hAnsi="Calibri"/>
          <w:sz w:val="20"/>
        </w:rPr>
        <w:t>M</w:t>
      </w:r>
      <w:r>
        <w:rPr>
          <w:rFonts w:ascii="Calibri" w:hAnsi="Calibri"/>
          <w:sz w:val="20"/>
        </w:rPr>
        <w:t xml:space="preserve">onitoreo y </w:t>
      </w:r>
      <w:r w:rsidR="00EE2D79">
        <w:rPr>
          <w:rFonts w:ascii="Calibri" w:hAnsi="Calibri"/>
          <w:sz w:val="20"/>
        </w:rPr>
        <w:t>E</w:t>
      </w:r>
      <w:r>
        <w:rPr>
          <w:rFonts w:ascii="Calibri" w:hAnsi="Calibri"/>
          <w:sz w:val="20"/>
        </w:rPr>
        <w:t>valuación y el presupuesto que se incluyen a continuación orientarán las actividades de monitoreo y evaluación específicas del FMAM que se llevarán a cabo en el marco de este proyecto.</w:t>
      </w:r>
    </w:p>
    <w:p w14:paraId="1B7395C1" w14:textId="7FE0A89F" w:rsidR="00966EF0" w:rsidRPr="006A315B" w:rsidRDefault="00966EF0" w:rsidP="009B2C70">
      <w:pPr>
        <w:spacing w:after="120"/>
        <w:jc w:val="both"/>
        <w:rPr>
          <w:rFonts w:ascii="Calibri" w:eastAsia="SimSun" w:hAnsi="Calibri" w:cs="Calibri"/>
          <w:sz w:val="20"/>
          <w:szCs w:val="20"/>
        </w:rPr>
      </w:pPr>
      <w:r>
        <w:rPr>
          <w:rFonts w:ascii="Calibri" w:hAnsi="Calibri"/>
          <w:sz w:val="20"/>
        </w:rPr>
        <w:t xml:space="preserve">Además de estos requisitos obligatorios de M&amp;E del PNUD y del FMAM, se acordarán otras actividades de M&amp;E que se consideren necesarias para apoyar la gestión adaptativa a nivel de proyecto, incluso durante el Taller de Inicio del Proyecto, y se detallarán en el Informe de Inicio. </w:t>
      </w:r>
    </w:p>
    <w:p w14:paraId="37DECD06" w14:textId="10672A24" w:rsidR="00966EF0" w:rsidRPr="003D1D13" w:rsidRDefault="00966EF0" w:rsidP="003D1D13">
      <w:pPr>
        <w:spacing w:after="120"/>
        <w:rPr>
          <w:rFonts w:ascii="Calibri" w:eastAsia="SimSun" w:hAnsi="Calibri"/>
          <w:i/>
          <w:sz w:val="20"/>
          <w:szCs w:val="20"/>
        </w:rPr>
      </w:pPr>
      <w:r>
        <w:rPr>
          <w:rFonts w:ascii="Calibri" w:hAnsi="Calibri"/>
          <w:b/>
          <w:sz w:val="20"/>
        </w:rPr>
        <w:t>Requisitos mínimos de monitoreo e información de los proyectos exigidos por el FMAM:</w:t>
      </w:r>
      <w:r>
        <w:rPr>
          <w:rFonts w:ascii="Calibri" w:hAnsi="Calibri"/>
          <w:i/>
          <w:sz w:val="20"/>
          <w:highlight w:val="magenta"/>
        </w:rPr>
        <w:t xml:space="preserve"> </w:t>
      </w:r>
    </w:p>
    <w:p w14:paraId="796C32B9" w14:textId="17CE2489" w:rsidR="00966EF0" w:rsidRPr="001F7748" w:rsidRDefault="00966EF0" w:rsidP="00966EF0">
      <w:pPr>
        <w:rPr>
          <w:rFonts w:ascii="Calibri" w:eastAsia="SimSun" w:hAnsi="Calibri" w:cs="Calibri"/>
          <w:sz w:val="20"/>
          <w:szCs w:val="20"/>
        </w:rPr>
      </w:pPr>
      <w:r>
        <w:rPr>
          <w:rFonts w:ascii="Calibri" w:hAnsi="Calibri"/>
          <w:sz w:val="20"/>
          <w:u w:val="single"/>
        </w:rPr>
        <w:t>Taller e informe iniciales:</w:t>
      </w:r>
      <w:r>
        <w:rPr>
          <w:rFonts w:ascii="Calibri" w:hAnsi="Calibri"/>
          <w:sz w:val="20"/>
        </w:rPr>
        <w:t xml:space="preserve">  </w:t>
      </w:r>
      <w:r w:rsidR="003401ED">
        <w:rPr>
          <w:rFonts w:ascii="Calibri" w:hAnsi="Calibri"/>
          <w:sz w:val="20"/>
        </w:rPr>
        <w:t>e</w:t>
      </w:r>
      <w:r>
        <w:rPr>
          <w:rFonts w:ascii="Calibri" w:hAnsi="Calibri"/>
          <w:sz w:val="20"/>
        </w:rPr>
        <w:t xml:space="preserve">n el plazo de 2 meses a partir de la fecha del primer desembolso se celebrará un </w:t>
      </w:r>
      <w:r w:rsidR="00115F1B">
        <w:rPr>
          <w:rFonts w:ascii="Calibri" w:hAnsi="Calibri"/>
          <w:sz w:val="20"/>
        </w:rPr>
        <w:t>T</w:t>
      </w:r>
      <w:r>
        <w:rPr>
          <w:rFonts w:ascii="Calibri" w:hAnsi="Calibri"/>
          <w:sz w:val="20"/>
        </w:rPr>
        <w:t xml:space="preserve">aller de </w:t>
      </w:r>
      <w:r w:rsidR="00115F1B">
        <w:rPr>
          <w:rFonts w:ascii="Calibri" w:hAnsi="Calibri"/>
          <w:sz w:val="20"/>
        </w:rPr>
        <w:t>I</w:t>
      </w:r>
      <w:r>
        <w:rPr>
          <w:rFonts w:ascii="Calibri" w:hAnsi="Calibri"/>
          <w:sz w:val="20"/>
        </w:rPr>
        <w:t xml:space="preserve">nicio del </w:t>
      </w:r>
      <w:r w:rsidR="00115F1B">
        <w:rPr>
          <w:rFonts w:ascii="Calibri" w:hAnsi="Calibri"/>
          <w:sz w:val="20"/>
        </w:rPr>
        <w:t>P</w:t>
      </w:r>
      <w:r>
        <w:rPr>
          <w:rFonts w:ascii="Calibri" w:hAnsi="Calibri"/>
          <w:sz w:val="20"/>
        </w:rPr>
        <w:t xml:space="preserve">royecto, con el objetivo de: </w:t>
      </w:r>
    </w:p>
    <w:p w14:paraId="46E2D15A" w14:textId="77777777" w:rsidR="00966EF0" w:rsidRPr="001F7748" w:rsidRDefault="00966EF0">
      <w:pPr>
        <w:numPr>
          <w:ilvl w:val="0"/>
          <w:numId w:val="9"/>
        </w:numPr>
        <w:jc w:val="both"/>
        <w:rPr>
          <w:rFonts w:eastAsia="SimSun" w:cs="Calibri"/>
          <w:sz w:val="20"/>
          <w:szCs w:val="20"/>
        </w:rPr>
      </w:pPr>
      <w:r>
        <w:rPr>
          <w:rFonts w:ascii="Calibri" w:hAnsi="Calibri"/>
          <w:sz w:val="20"/>
        </w:rPr>
        <w:t xml:space="preserve">Familiarizar a las principales partes interesadas con la estrategia detallada del proyecto y discutir cualquier cambio que pueda haber tenido lugar en el contexto general desde que se conceptualizó inicialmente la idea del proyecto y que pueda influir en su estrategia y ejecución. </w:t>
      </w:r>
    </w:p>
    <w:p w14:paraId="06864423" w14:textId="6E00EB27" w:rsidR="00966EF0" w:rsidRPr="001F7748" w:rsidRDefault="00966EF0">
      <w:pPr>
        <w:numPr>
          <w:ilvl w:val="0"/>
          <w:numId w:val="9"/>
        </w:numPr>
        <w:jc w:val="both"/>
        <w:rPr>
          <w:rFonts w:eastAsia="SimSun" w:cs="Calibri"/>
          <w:sz w:val="20"/>
          <w:szCs w:val="20"/>
        </w:rPr>
      </w:pPr>
      <w:r>
        <w:rPr>
          <w:rFonts w:ascii="Calibri" w:hAnsi="Calibri"/>
          <w:sz w:val="20"/>
        </w:rPr>
        <w:t xml:space="preserve">Debatir las funciones y responsabilidades del equipo del proyecto, incluidas líneas jerárquicas, estrategias de </w:t>
      </w:r>
      <w:r w:rsidR="00400052">
        <w:rPr>
          <w:rFonts w:ascii="Calibri" w:hAnsi="Calibri"/>
          <w:sz w:val="20"/>
        </w:rPr>
        <w:t>P</w:t>
      </w:r>
      <w:r>
        <w:rPr>
          <w:rFonts w:ascii="Calibri" w:hAnsi="Calibri"/>
          <w:sz w:val="20"/>
        </w:rPr>
        <w:t xml:space="preserve">articipación de las </w:t>
      </w:r>
      <w:r w:rsidR="00400052">
        <w:rPr>
          <w:rFonts w:ascii="Calibri" w:hAnsi="Calibri"/>
          <w:sz w:val="20"/>
        </w:rPr>
        <w:t>P</w:t>
      </w:r>
      <w:r>
        <w:rPr>
          <w:rFonts w:ascii="Calibri" w:hAnsi="Calibri"/>
          <w:sz w:val="20"/>
        </w:rPr>
        <w:t xml:space="preserve">artes </w:t>
      </w:r>
      <w:r w:rsidR="00400052">
        <w:rPr>
          <w:rFonts w:ascii="Calibri" w:hAnsi="Calibri"/>
          <w:sz w:val="20"/>
        </w:rPr>
        <w:t>I</w:t>
      </w:r>
      <w:r>
        <w:rPr>
          <w:rFonts w:ascii="Calibri" w:hAnsi="Calibri"/>
          <w:sz w:val="20"/>
        </w:rPr>
        <w:t xml:space="preserve">nteresadas </w:t>
      </w:r>
      <w:r w:rsidR="00206AD8">
        <w:rPr>
          <w:rFonts w:ascii="Calibri" w:hAnsi="Calibri"/>
          <w:sz w:val="20"/>
        </w:rPr>
        <w:t>y Mecanismos</w:t>
      </w:r>
      <w:r>
        <w:rPr>
          <w:rFonts w:ascii="Calibri" w:hAnsi="Calibri"/>
          <w:sz w:val="20"/>
        </w:rPr>
        <w:t xml:space="preserve"> de </w:t>
      </w:r>
      <w:r w:rsidR="00400052">
        <w:rPr>
          <w:rFonts w:ascii="Calibri" w:hAnsi="Calibri"/>
          <w:sz w:val="20"/>
        </w:rPr>
        <w:t>R</w:t>
      </w:r>
      <w:r>
        <w:rPr>
          <w:rFonts w:ascii="Calibri" w:hAnsi="Calibri"/>
          <w:sz w:val="20"/>
        </w:rPr>
        <w:t xml:space="preserve">esolución de </w:t>
      </w:r>
      <w:r w:rsidR="00400052">
        <w:rPr>
          <w:rFonts w:ascii="Calibri" w:hAnsi="Calibri"/>
          <w:sz w:val="20"/>
        </w:rPr>
        <w:t>C</w:t>
      </w:r>
      <w:r>
        <w:rPr>
          <w:rFonts w:ascii="Calibri" w:hAnsi="Calibri"/>
          <w:sz w:val="20"/>
        </w:rPr>
        <w:t xml:space="preserve">onflictos. </w:t>
      </w:r>
    </w:p>
    <w:p w14:paraId="67F0AF68" w14:textId="622F491D" w:rsidR="00966EF0" w:rsidRPr="001F7748" w:rsidRDefault="00966EF0">
      <w:pPr>
        <w:numPr>
          <w:ilvl w:val="0"/>
          <w:numId w:val="9"/>
        </w:numPr>
        <w:jc w:val="both"/>
        <w:rPr>
          <w:rFonts w:eastAsia="SimSun" w:cs="Calibri"/>
          <w:sz w:val="20"/>
          <w:szCs w:val="20"/>
        </w:rPr>
      </w:pPr>
      <w:r>
        <w:rPr>
          <w:rFonts w:ascii="Calibri" w:hAnsi="Calibri"/>
          <w:sz w:val="20"/>
        </w:rPr>
        <w:t xml:space="preserve">Revisar el </w:t>
      </w:r>
      <w:r w:rsidR="00400052">
        <w:rPr>
          <w:rFonts w:ascii="Calibri" w:hAnsi="Calibri"/>
          <w:sz w:val="20"/>
        </w:rPr>
        <w:t>M</w:t>
      </w:r>
      <w:r>
        <w:rPr>
          <w:rFonts w:ascii="Calibri" w:hAnsi="Calibri"/>
          <w:sz w:val="20"/>
        </w:rPr>
        <w:t xml:space="preserve">arco de </w:t>
      </w:r>
      <w:r w:rsidR="00400052">
        <w:rPr>
          <w:rFonts w:ascii="Calibri" w:hAnsi="Calibri"/>
          <w:sz w:val="20"/>
        </w:rPr>
        <w:t>R</w:t>
      </w:r>
      <w:r>
        <w:rPr>
          <w:rFonts w:ascii="Calibri" w:hAnsi="Calibri"/>
          <w:sz w:val="20"/>
        </w:rPr>
        <w:t xml:space="preserve">esultados y el </w:t>
      </w:r>
      <w:r w:rsidR="00400052">
        <w:rPr>
          <w:rFonts w:ascii="Calibri" w:hAnsi="Calibri"/>
          <w:sz w:val="20"/>
        </w:rPr>
        <w:t>P</w:t>
      </w:r>
      <w:r>
        <w:rPr>
          <w:rFonts w:ascii="Calibri" w:hAnsi="Calibri"/>
          <w:sz w:val="20"/>
        </w:rPr>
        <w:t xml:space="preserve">lan de </w:t>
      </w:r>
      <w:r w:rsidR="00400052">
        <w:rPr>
          <w:rFonts w:ascii="Calibri" w:hAnsi="Calibri"/>
          <w:sz w:val="20"/>
        </w:rPr>
        <w:t>M</w:t>
      </w:r>
      <w:r>
        <w:rPr>
          <w:rFonts w:ascii="Calibri" w:hAnsi="Calibri"/>
          <w:sz w:val="20"/>
        </w:rPr>
        <w:t xml:space="preserve">onitoreo. </w:t>
      </w:r>
    </w:p>
    <w:p w14:paraId="17860791" w14:textId="2ADCC116" w:rsidR="00966EF0" w:rsidRPr="001F7748" w:rsidRDefault="00966EF0">
      <w:pPr>
        <w:numPr>
          <w:ilvl w:val="0"/>
          <w:numId w:val="9"/>
        </w:numPr>
        <w:jc w:val="both"/>
        <w:rPr>
          <w:rFonts w:ascii="Calibri" w:eastAsia="SimSun" w:hAnsi="Calibri" w:cs="Calibri"/>
          <w:sz w:val="20"/>
          <w:szCs w:val="20"/>
        </w:rPr>
      </w:pPr>
      <w:r>
        <w:rPr>
          <w:rFonts w:ascii="Calibri" w:hAnsi="Calibri"/>
          <w:sz w:val="20"/>
        </w:rPr>
        <w:t xml:space="preserve">Debatir las funciones y responsabilidades en materia de presentación de informes, </w:t>
      </w:r>
      <w:r w:rsidR="00400052">
        <w:rPr>
          <w:rFonts w:ascii="Calibri" w:hAnsi="Calibri"/>
          <w:sz w:val="20"/>
        </w:rPr>
        <w:t>M</w:t>
      </w:r>
      <w:r>
        <w:rPr>
          <w:rFonts w:ascii="Calibri" w:hAnsi="Calibri"/>
          <w:sz w:val="20"/>
        </w:rPr>
        <w:t xml:space="preserve">onitoreo y </w:t>
      </w:r>
      <w:r w:rsidR="00400052">
        <w:rPr>
          <w:rFonts w:ascii="Calibri" w:hAnsi="Calibri"/>
          <w:sz w:val="20"/>
        </w:rPr>
        <w:t>E</w:t>
      </w:r>
      <w:r>
        <w:rPr>
          <w:rFonts w:ascii="Calibri" w:hAnsi="Calibri"/>
          <w:sz w:val="20"/>
        </w:rPr>
        <w:t xml:space="preserve">valuación y ultimar el presupuesto de M&amp;E; identificar los institutos nacionales/regionales que participarán en el M&amp;E a nivel de proyecto; debatir la función del PFO del FMAM y otras partes interesadas en el </w:t>
      </w:r>
      <w:r w:rsidR="00400052">
        <w:rPr>
          <w:rFonts w:ascii="Calibri" w:hAnsi="Calibri"/>
          <w:sz w:val="20"/>
        </w:rPr>
        <w:t>M</w:t>
      </w:r>
      <w:r>
        <w:rPr>
          <w:rFonts w:ascii="Calibri" w:hAnsi="Calibri"/>
          <w:sz w:val="20"/>
        </w:rPr>
        <w:t xml:space="preserve">onitoreo y </w:t>
      </w:r>
      <w:r w:rsidR="00400052">
        <w:rPr>
          <w:rFonts w:ascii="Calibri" w:hAnsi="Calibri"/>
          <w:sz w:val="20"/>
        </w:rPr>
        <w:t>E</w:t>
      </w:r>
      <w:r>
        <w:rPr>
          <w:rFonts w:ascii="Calibri" w:hAnsi="Calibri"/>
          <w:sz w:val="20"/>
        </w:rPr>
        <w:t>valuación a nivel de proyecto.</w:t>
      </w:r>
    </w:p>
    <w:p w14:paraId="0BDD16E7" w14:textId="7E509A5A" w:rsidR="00966EF0" w:rsidRPr="001F7748" w:rsidRDefault="00966EF0">
      <w:pPr>
        <w:numPr>
          <w:ilvl w:val="0"/>
          <w:numId w:val="9"/>
        </w:numPr>
        <w:jc w:val="both"/>
        <w:rPr>
          <w:rFonts w:ascii="Calibri" w:eastAsia="SimSun" w:hAnsi="Calibri"/>
          <w:sz w:val="20"/>
          <w:szCs w:val="20"/>
        </w:rPr>
      </w:pPr>
      <w:r>
        <w:rPr>
          <w:rFonts w:ascii="Calibri" w:hAnsi="Calibri"/>
          <w:sz w:val="20"/>
        </w:rPr>
        <w:t xml:space="preserve">Actualizar y revisar las responsabilidades de monitoreo de las estrategias del proyecto, incluido el </w:t>
      </w:r>
      <w:r w:rsidR="00400052">
        <w:rPr>
          <w:rFonts w:ascii="Calibri" w:hAnsi="Calibri"/>
          <w:sz w:val="20"/>
        </w:rPr>
        <w:t>R</w:t>
      </w:r>
      <w:r>
        <w:rPr>
          <w:rFonts w:ascii="Calibri" w:hAnsi="Calibri"/>
          <w:sz w:val="20"/>
        </w:rPr>
        <w:t xml:space="preserve">egistro de </w:t>
      </w:r>
      <w:r w:rsidR="00400052">
        <w:rPr>
          <w:rFonts w:ascii="Calibri" w:hAnsi="Calibri"/>
          <w:sz w:val="20"/>
        </w:rPr>
        <w:t>R</w:t>
      </w:r>
      <w:r>
        <w:rPr>
          <w:rFonts w:ascii="Calibri" w:hAnsi="Calibri"/>
          <w:sz w:val="20"/>
        </w:rPr>
        <w:t xml:space="preserve">iesgos; el </w:t>
      </w:r>
      <w:r w:rsidR="00400052">
        <w:rPr>
          <w:rFonts w:ascii="Calibri" w:hAnsi="Calibri"/>
          <w:sz w:val="20"/>
        </w:rPr>
        <w:t>I</w:t>
      </w:r>
      <w:r>
        <w:rPr>
          <w:rFonts w:ascii="Calibri" w:hAnsi="Calibri"/>
          <w:sz w:val="20"/>
        </w:rPr>
        <w:t>nforme</w:t>
      </w:r>
      <w:r w:rsidR="001F57ED">
        <w:rPr>
          <w:rFonts w:ascii="Calibri" w:hAnsi="Calibri"/>
          <w:sz w:val="20"/>
        </w:rPr>
        <w:t xml:space="preserve"> de</w:t>
      </w:r>
      <w:r>
        <w:rPr>
          <w:rFonts w:ascii="Calibri" w:hAnsi="Calibri"/>
          <w:sz w:val="20"/>
        </w:rPr>
        <w:t xml:space="preserve"> SESP, el Marco de Gestión Ambiental y Social (cuando proceda) y otros requisitos de salvaguardia; mecanismos de reclamación del proyecto; la </w:t>
      </w:r>
      <w:r w:rsidR="00400052">
        <w:rPr>
          <w:rFonts w:ascii="Calibri" w:hAnsi="Calibri"/>
          <w:sz w:val="20"/>
        </w:rPr>
        <w:t>E</w:t>
      </w:r>
      <w:r>
        <w:rPr>
          <w:rFonts w:ascii="Calibri" w:hAnsi="Calibri"/>
          <w:sz w:val="20"/>
        </w:rPr>
        <w:t xml:space="preserve">strategia de </w:t>
      </w:r>
      <w:r w:rsidR="00400052">
        <w:rPr>
          <w:rFonts w:ascii="Calibri" w:hAnsi="Calibri"/>
          <w:sz w:val="20"/>
        </w:rPr>
        <w:t>G</w:t>
      </w:r>
      <w:r>
        <w:rPr>
          <w:rFonts w:ascii="Calibri" w:hAnsi="Calibri"/>
          <w:sz w:val="20"/>
        </w:rPr>
        <w:t xml:space="preserve">énero; </w:t>
      </w:r>
      <w:r w:rsidR="00400052">
        <w:rPr>
          <w:rFonts w:ascii="Calibri" w:hAnsi="Calibri"/>
          <w:sz w:val="20"/>
        </w:rPr>
        <w:t>E</w:t>
      </w:r>
      <w:r>
        <w:rPr>
          <w:rFonts w:ascii="Calibri" w:hAnsi="Calibri"/>
          <w:sz w:val="20"/>
        </w:rPr>
        <w:t xml:space="preserve">strategia de </w:t>
      </w:r>
      <w:r w:rsidR="00400052">
        <w:rPr>
          <w:rFonts w:ascii="Calibri" w:hAnsi="Calibri"/>
          <w:sz w:val="20"/>
        </w:rPr>
        <w:t>G</w:t>
      </w:r>
      <w:r>
        <w:rPr>
          <w:rFonts w:ascii="Calibri" w:hAnsi="Calibri"/>
          <w:sz w:val="20"/>
        </w:rPr>
        <w:t xml:space="preserve">estión de </w:t>
      </w:r>
      <w:r w:rsidR="00400052">
        <w:rPr>
          <w:rFonts w:ascii="Calibri" w:hAnsi="Calibri"/>
          <w:sz w:val="20"/>
        </w:rPr>
        <w:t>C</w:t>
      </w:r>
      <w:r>
        <w:rPr>
          <w:rFonts w:ascii="Calibri" w:hAnsi="Calibri"/>
          <w:sz w:val="20"/>
        </w:rPr>
        <w:t>onocimientos y otras estrategias de gestión pertinentes.</w:t>
      </w:r>
    </w:p>
    <w:p w14:paraId="3BC44B7F" w14:textId="77777777" w:rsidR="00966EF0" w:rsidRPr="001F7748" w:rsidRDefault="00966EF0">
      <w:pPr>
        <w:numPr>
          <w:ilvl w:val="0"/>
          <w:numId w:val="9"/>
        </w:numPr>
        <w:jc w:val="both"/>
        <w:rPr>
          <w:rFonts w:ascii="Calibri" w:eastAsia="SimSun" w:hAnsi="Calibri"/>
          <w:sz w:val="20"/>
          <w:szCs w:val="20"/>
        </w:rPr>
      </w:pPr>
      <w:r>
        <w:rPr>
          <w:rFonts w:ascii="Calibri" w:hAnsi="Calibri"/>
          <w:sz w:val="20"/>
        </w:rPr>
        <w:t xml:space="preserve">Revisar los procedimientos de información financiera y monitoreo presupuestario y otros requisitos obligatorios y acordar las disposiciones para la auditoría anual. </w:t>
      </w:r>
    </w:p>
    <w:p w14:paraId="74912E16" w14:textId="6867EC07" w:rsidR="00966EF0" w:rsidRPr="001F7748" w:rsidRDefault="00966EF0">
      <w:pPr>
        <w:numPr>
          <w:ilvl w:val="0"/>
          <w:numId w:val="9"/>
        </w:numPr>
        <w:jc w:val="both"/>
        <w:rPr>
          <w:rFonts w:ascii="Calibri" w:eastAsia="SimSun" w:hAnsi="Calibri"/>
          <w:sz w:val="20"/>
          <w:szCs w:val="20"/>
        </w:rPr>
      </w:pPr>
      <w:r>
        <w:rPr>
          <w:rFonts w:ascii="Calibri" w:hAnsi="Calibri"/>
          <w:sz w:val="20"/>
        </w:rPr>
        <w:t xml:space="preserve">Planificar y programar las reuniones de la Dirección del Proyecto y ultimar el </w:t>
      </w:r>
      <w:r w:rsidR="00400052">
        <w:rPr>
          <w:rFonts w:ascii="Calibri" w:hAnsi="Calibri"/>
          <w:sz w:val="20"/>
        </w:rPr>
        <w:t>P</w:t>
      </w:r>
      <w:r>
        <w:rPr>
          <w:rFonts w:ascii="Calibri" w:hAnsi="Calibri"/>
          <w:sz w:val="20"/>
        </w:rPr>
        <w:t xml:space="preserve">lan de </w:t>
      </w:r>
      <w:r w:rsidR="00400052">
        <w:rPr>
          <w:rFonts w:ascii="Calibri" w:hAnsi="Calibri"/>
          <w:sz w:val="20"/>
        </w:rPr>
        <w:t>T</w:t>
      </w:r>
      <w:r>
        <w:rPr>
          <w:rFonts w:ascii="Calibri" w:hAnsi="Calibri"/>
          <w:sz w:val="20"/>
        </w:rPr>
        <w:t xml:space="preserve">rabajo </w:t>
      </w:r>
      <w:r w:rsidR="00400052">
        <w:rPr>
          <w:rFonts w:ascii="Calibri" w:hAnsi="Calibri"/>
          <w:sz w:val="20"/>
        </w:rPr>
        <w:t>A</w:t>
      </w:r>
      <w:r>
        <w:rPr>
          <w:rFonts w:ascii="Calibri" w:hAnsi="Calibri"/>
          <w:sz w:val="20"/>
        </w:rPr>
        <w:t>nual del primer año.  Finalizar los términos de referencia de la Dirección del Proyecto.</w:t>
      </w:r>
    </w:p>
    <w:p w14:paraId="5FC8661A" w14:textId="3545DCC3" w:rsidR="00966EF0" w:rsidRPr="001F7748" w:rsidRDefault="00966EF0">
      <w:pPr>
        <w:numPr>
          <w:ilvl w:val="0"/>
          <w:numId w:val="9"/>
        </w:numPr>
        <w:spacing w:after="120"/>
        <w:jc w:val="both"/>
        <w:rPr>
          <w:rFonts w:ascii="Calibri" w:eastAsia="SimSun" w:hAnsi="Calibri"/>
          <w:sz w:val="20"/>
          <w:szCs w:val="20"/>
        </w:rPr>
      </w:pPr>
      <w:r>
        <w:rPr>
          <w:rFonts w:ascii="Calibri" w:hAnsi="Calibri"/>
          <w:sz w:val="20"/>
        </w:rPr>
        <w:t>Iniciar formalmente el proyecto.</w:t>
      </w:r>
    </w:p>
    <w:p w14:paraId="2601E3D7" w14:textId="46C4424A" w:rsidR="00966EF0" w:rsidRPr="006A315B" w:rsidRDefault="00966EF0" w:rsidP="009B2C70">
      <w:pPr>
        <w:spacing w:after="120"/>
        <w:jc w:val="both"/>
        <w:rPr>
          <w:rFonts w:ascii="Calibri" w:eastAsia="SimSun" w:hAnsi="Calibri"/>
          <w:i/>
          <w:sz w:val="20"/>
          <w:szCs w:val="20"/>
        </w:rPr>
      </w:pPr>
      <w:r>
        <w:rPr>
          <w:rFonts w:ascii="Calibri" w:hAnsi="Calibri"/>
          <w:sz w:val="20"/>
          <w:u w:val="single"/>
        </w:rPr>
        <w:t xml:space="preserve">Informe de </w:t>
      </w:r>
      <w:r w:rsidR="00400052">
        <w:rPr>
          <w:rFonts w:ascii="Calibri" w:hAnsi="Calibri"/>
          <w:sz w:val="20"/>
          <w:u w:val="single"/>
        </w:rPr>
        <w:t>E</w:t>
      </w:r>
      <w:r>
        <w:rPr>
          <w:rFonts w:ascii="Calibri" w:hAnsi="Calibri"/>
          <w:sz w:val="20"/>
          <w:u w:val="single"/>
        </w:rPr>
        <w:t xml:space="preserve">jecución del </w:t>
      </w:r>
      <w:r w:rsidR="00400052">
        <w:rPr>
          <w:rFonts w:ascii="Calibri" w:hAnsi="Calibri"/>
          <w:sz w:val="20"/>
          <w:u w:val="single"/>
        </w:rPr>
        <w:t>P</w:t>
      </w:r>
      <w:r>
        <w:rPr>
          <w:rFonts w:ascii="Calibri" w:hAnsi="Calibri"/>
          <w:sz w:val="20"/>
          <w:u w:val="single"/>
        </w:rPr>
        <w:t>royecto del FMAM (PIR</w:t>
      </w:r>
      <w:r>
        <w:rPr>
          <w:rFonts w:ascii="Calibri" w:hAnsi="Calibri"/>
          <w:sz w:val="20"/>
        </w:rPr>
        <w:t xml:space="preserve">): </w:t>
      </w:r>
    </w:p>
    <w:p w14:paraId="42C6ED7E" w14:textId="722FE0D4" w:rsidR="00966EF0" w:rsidRPr="009B2C70" w:rsidRDefault="00966EF0" w:rsidP="009B2C70">
      <w:pPr>
        <w:spacing w:after="120"/>
        <w:jc w:val="both"/>
        <w:rPr>
          <w:rFonts w:ascii="Calibri" w:eastAsia="SimSun" w:hAnsi="Calibri" w:cs="Calibri"/>
          <w:sz w:val="20"/>
          <w:szCs w:val="20"/>
        </w:rPr>
      </w:pPr>
      <w:r>
        <w:rPr>
          <w:rFonts w:ascii="Calibri" w:hAnsi="Calibri"/>
          <w:sz w:val="20"/>
        </w:rPr>
        <w:t xml:space="preserve">El PIR anual del FMAM que cubre el periodo de información de julio (año anterior) a junio (año en curso) se completará para cada año de ejecución del proyecto. El PNUD garantizará la calidad del PIR antes de su presentación al FMAM. El PIR presentado al FMAM se compartirá con la Dirección del Proyecto. El PNUD llevará a cabo una revisión de la calidad del PIR, y esta revisión de calidad y retroalimentación se utilizarán para informar la preparación del PIR anual subsiguiente.  </w:t>
      </w:r>
    </w:p>
    <w:p w14:paraId="6491DC54" w14:textId="2127B95F" w:rsidR="00966EF0" w:rsidRPr="007444C5" w:rsidRDefault="00966EF0" w:rsidP="009B2C70">
      <w:pPr>
        <w:spacing w:after="120"/>
        <w:jc w:val="both"/>
        <w:rPr>
          <w:rFonts w:ascii="Calibri" w:eastAsia="SimSun" w:hAnsi="Calibri"/>
          <w:i/>
          <w:sz w:val="20"/>
          <w:szCs w:val="20"/>
        </w:rPr>
      </w:pPr>
      <w:r>
        <w:rPr>
          <w:rFonts w:ascii="Calibri" w:hAnsi="Calibri"/>
          <w:sz w:val="20"/>
          <w:u w:val="single"/>
        </w:rPr>
        <w:t>Indicadores básicos del FMAM</w:t>
      </w:r>
      <w:r>
        <w:rPr>
          <w:rFonts w:ascii="Calibri" w:hAnsi="Calibri"/>
          <w:sz w:val="20"/>
        </w:rPr>
        <w:t xml:space="preserve">: </w:t>
      </w:r>
      <w:r>
        <w:rPr>
          <w:rFonts w:ascii="Calibri" w:hAnsi="Calibri"/>
          <w:b/>
          <w:sz w:val="20"/>
        </w:rPr>
        <w:t xml:space="preserve"> </w:t>
      </w:r>
    </w:p>
    <w:p w14:paraId="06C3FFE3" w14:textId="6FA4BE30" w:rsidR="00966EF0" w:rsidRPr="00966EF0" w:rsidRDefault="00966EF0" w:rsidP="009B2C70">
      <w:pPr>
        <w:spacing w:after="120"/>
        <w:jc w:val="both"/>
        <w:rPr>
          <w:rFonts w:ascii="Calibri" w:eastAsia="SimSun" w:hAnsi="Calibri" w:cs="Calibri"/>
          <w:sz w:val="20"/>
          <w:szCs w:val="20"/>
        </w:rPr>
      </w:pPr>
      <w:r>
        <w:rPr>
          <w:rFonts w:ascii="Calibri" w:hAnsi="Calibri"/>
          <w:sz w:val="20"/>
        </w:rPr>
        <w:t xml:space="preserve">Los indicadores básicos del FMAM incluidos como anexo se utilizarán para supervisar los </w:t>
      </w:r>
      <w:r w:rsidR="00E667C9">
        <w:rPr>
          <w:rFonts w:ascii="Calibri" w:hAnsi="Calibri"/>
          <w:sz w:val="20"/>
        </w:rPr>
        <w:t>B</w:t>
      </w:r>
      <w:r>
        <w:rPr>
          <w:rFonts w:ascii="Calibri" w:hAnsi="Calibri"/>
          <w:sz w:val="20"/>
        </w:rPr>
        <w:t xml:space="preserve">eneficios </w:t>
      </w:r>
      <w:r w:rsidR="00E667C9">
        <w:rPr>
          <w:rFonts w:ascii="Calibri" w:hAnsi="Calibri"/>
          <w:sz w:val="20"/>
        </w:rPr>
        <w:t>A</w:t>
      </w:r>
      <w:r>
        <w:rPr>
          <w:rFonts w:ascii="Calibri" w:hAnsi="Calibri"/>
          <w:sz w:val="20"/>
        </w:rPr>
        <w:t xml:space="preserve">mbientales </w:t>
      </w:r>
      <w:r w:rsidR="00E667C9">
        <w:rPr>
          <w:rFonts w:ascii="Calibri" w:hAnsi="Calibri"/>
          <w:sz w:val="20"/>
        </w:rPr>
        <w:t>G</w:t>
      </w:r>
      <w:r>
        <w:rPr>
          <w:rFonts w:ascii="Calibri" w:hAnsi="Calibri"/>
          <w:sz w:val="20"/>
        </w:rPr>
        <w:t xml:space="preserve">lobales y se actualizarán para informar al FMAM antes de la </w:t>
      </w:r>
      <w:r w:rsidR="00F15011">
        <w:rPr>
          <w:rFonts w:ascii="Calibri" w:hAnsi="Calibri"/>
          <w:sz w:val="20"/>
          <w:lang w:val="es-EC"/>
        </w:rPr>
        <w:t xml:space="preserve">MTR </w:t>
      </w:r>
      <w:r>
        <w:rPr>
          <w:rFonts w:ascii="Calibri" w:hAnsi="Calibri"/>
          <w:sz w:val="20"/>
        </w:rPr>
        <w:t xml:space="preserve">y la </w:t>
      </w:r>
      <w:r w:rsidR="00F15011">
        <w:rPr>
          <w:rFonts w:ascii="Calibri" w:hAnsi="Calibri"/>
          <w:sz w:val="20"/>
          <w:lang w:val="es-EC"/>
        </w:rPr>
        <w:t>TE</w:t>
      </w:r>
      <w:r>
        <w:rPr>
          <w:rFonts w:ascii="Calibri" w:hAnsi="Calibri"/>
          <w:sz w:val="20"/>
        </w:rPr>
        <w:t>. Tener en cuenta que el equipo del proyecto es responsable de actualizar el estado del indicador. Los datos de monitoreo actualizados deben compartirse con los consultores de MTR/</w:t>
      </w:r>
      <w:r w:rsidR="0019735C">
        <w:rPr>
          <w:rFonts w:ascii="Calibri" w:hAnsi="Calibri"/>
          <w:sz w:val="20"/>
          <w:lang w:val="es-EC"/>
        </w:rPr>
        <w:t>T</w:t>
      </w:r>
      <w:r>
        <w:rPr>
          <w:rFonts w:ascii="Calibri" w:hAnsi="Calibri"/>
          <w:sz w:val="20"/>
        </w:rPr>
        <w:t xml:space="preserve">E </w:t>
      </w:r>
      <w:r>
        <w:rPr>
          <w:rFonts w:ascii="Calibri" w:hAnsi="Calibri"/>
          <w:sz w:val="20"/>
          <w:u w:val="single"/>
        </w:rPr>
        <w:t>antes</w:t>
      </w:r>
      <w:r>
        <w:rPr>
          <w:rFonts w:ascii="Calibri" w:hAnsi="Calibri"/>
          <w:sz w:val="20"/>
        </w:rPr>
        <w:t xml:space="preserve"> de las misiones de evaluación requeridas, de modo que puedan utilizarse para la posterior verificación sobre el terreno. Las metodologías que se utilizarán en la recopilación de datos han sido definidas por el FMAM y están disponibles en el sitio web del FMAM </w:t>
      </w:r>
      <w:hyperlink r:id="rId23" w:history="1">
        <w:r>
          <w:rPr>
            <w:rFonts w:ascii="Calibri" w:hAnsi="Calibri"/>
            <w:color w:val="0000FF"/>
            <w:sz w:val="20"/>
            <w:u w:val="single"/>
          </w:rPr>
          <w:t>sitio web del FMAM</w:t>
        </w:r>
      </w:hyperlink>
      <w:r>
        <w:rPr>
          <w:rFonts w:ascii="Calibri" w:hAnsi="Calibri"/>
          <w:sz w:val="20"/>
        </w:rPr>
        <w:t xml:space="preserve">. </w:t>
      </w:r>
    </w:p>
    <w:p w14:paraId="2CC4B4E2" w14:textId="35E5BE89" w:rsidR="00966EF0" w:rsidRPr="00F45CD4" w:rsidRDefault="00966EF0" w:rsidP="00F45CD4">
      <w:pPr>
        <w:spacing w:after="120"/>
        <w:rPr>
          <w:rFonts w:ascii="Calibri" w:eastAsia="SimSun" w:hAnsi="Calibri" w:cs="Calibri"/>
          <w:i/>
          <w:sz w:val="20"/>
          <w:szCs w:val="20"/>
        </w:rPr>
      </w:pPr>
      <w:r>
        <w:rPr>
          <w:rFonts w:ascii="Calibri" w:hAnsi="Calibri"/>
          <w:i/>
          <w:sz w:val="20"/>
          <w:u w:val="single"/>
        </w:rPr>
        <w:t xml:space="preserve">Evaluación de </w:t>
      </w:r>
      <w:r w:rsidR="00400052">
        <w:rPr>
          <w:rFonts w:ascii="Calibri" w:hAnsi="Calibri"/>
          <w:i/>
          <w:sz w:val="20"/>
          <w:u w:val="single"/>
        </w:rPr>
        <w:t>M</w:t>
      </w:r>
      <w:r>
        <w:rPr>
          <w:rFonts w:ascii="Calibri" w:hAnsi="Calibri"/>
          <w:i/>
          <w:sz w:val="20"/>
          <w:u w:val="single"/>
        </w:rPr>
        <w:t xml:space="preserve">itad de </w:t>
      </w:r>
      <w:r w:rsidR="00400052">
        <w:rPr>
          <w:rFonts w:ascii="Calibri" w:hAnsi="Calibri"/>
          <w:i/>
          <w:sz w:val="20"/>
          <w:u w:val="single"/>
        </w:rPr>
        <w:t>P</w:t>
      </w:r>
      <w:r>
        <w:rPr>
          <w:rFonts w:ascii="Calibri" w:hAnsi="Calibri"/>
          <w:i/>
          <w:sz w:val="20"/>
          <w:u w:val="single"/>
        </w:rPr>
        <w:t xml:space="preserve">eríodo </w:t>
      </w:r>
      <w:r w:rsidR="00400052">
        <w:rPr>
          <w:rFonts w:ascii="Calibri" w:hAnsi="Calibri"/>
          <w:i/>
          <w:sz w:val="20"/>
          <w:u w:val="single"/>
        </w:rPr>
        <w:t>I</w:t>
      </w:r>
      <w:r>
        <w:rPr>
          <w:rFonts w:ascii="Calibri" w:hAnsi="Calibri"/>
          <w:i/>
          <w:sz w:val="20"/>
          <w:u w:val="single"/>
        </w:rPr>
        <w:t>ndependiente (MTR)</w:t>
      </w:r>
      <w:r>
        <w:rPr>
          <w:rFonts w:ascii="Calibri" w:hAnsi="Calibri"/>
          <w:i/>
          <w:sz w:val="20"/>
        </w:rPr>
        <w:t xml:space="preserve">: </w:t>
      </w:r>
    </w:p>
    <w:p w14:paraId="11BAAB7D" w14:textId="40972B9B" w:rsidR="00966EF0" w:rsidRPr="00F45CD4" w:rsidRDefault="00966EF0" w:rsidP="00F45CD4">
      <w:pPr>
        <w:spacing w:after="120"/>
        <w:jc w:val="both"/>
        <w:rPr>
          <w:rFonts w:ascii="Calibri" w:eastAsia="SimSun" w:hAnsi="Calibri" w:cs="Calibri"/>
          <w:sz w:val="20"/>
          <w:szCs w:val="20"/>
        </w:rPr>
      </w:pPr>
      <w:r>
        <w:rPr>
          <w:rFonts w:ascii="Calibri" w:hAnsi="Calibri"/>
          <w:sz w:val="20"/>
        </w:rPr>
        <w:t xml:space="preserve">Los </w:t>
      </w:r>
      <w:r w:rsidR="00527BCA">
        <w:rPr>
          <w:rFonts w:ascii="Calibri" w:hAnsi="Calibri"/>
          <w:sz w:val="20"/>
        </w:rPr>
        <w:t>T</w:t>
      </w:r>
      <w:r>
        <w:rPr>
          <w:rFonts w:ascii="Calibri" w:hAnsi="Calibri"/>
          <w:sz w:val="20"/>
        </w:rPr>
        <w:t xml:space="preserve">érminos de </w:t>
      </w:r>
      <w:r w:rsidR="00527BCA">
        <w:rPr>
          <w:rFonts w:ascii="Calibri" w:hAnsi="Calibri"/>
          <w:sz w:val="20"/>
        </w:rPr>
        <w:t>R</w:t>
      </w:r>
      <w:r>
        <w:rPr>
          <w:rFonts w:ascii="Calibri" w:hAnsi="Calibri"/>
          <w:sz w:val="20"/>
        </w:rPr>
        <w:t xml:space="preserve">eferencia, el </w:t>
      </w:r>
      <w:r w:rsidR="00527BCA">
        <w:rPr>
          <w:rFonts w:ascii="Calibri" w:hAnsi="Calibri"/>
          <w:sz w:val="20"/>
        </w:rPr>
        <w:t>P</w:t>
      </w:r>
      <w:r>
        <w:rPr>
          <w:rFonts w:ascii="Calibri" w:hAnsi="Calibri"/>
          <w:sz w:val="20"/>
        </w:rPr>
        <w:t xml:space="preserve">roceso de </w:t>
      </w:r>
      <w:r w:rsidR="00527BCA">
        <w:rPr>
          <w:rFonts w:ascii="Calibri" w:hAnsi="Calibri"/>
          <w:sz w:val="20"/>
        </w:rPr>
        <w:t>R</w:t>
      </w:r>
      <w:r>
        <w:rPr>
          <w:rFonts w:ascii="Calibri" w:hAnsi="Calibri"/>
          <w:sz w:val="20"/>
        </w:rPr>
        <w:t xml:space="preserve">evisión y el </w:t>
      </w:r>
      <w:r w:rsidR="00527BCA">
        <w:rPr>
          <w:rFonts w:ascii="Calibri" w:hAnsi="Calibri"/>
          <w:sz w:val="20"/>
        </w:rPr>
        <w:t>I</w:t>
      </w:r>
      <w:r>
        <w:rPr>
          <w:rFonts w:ascii="Calibri" w:hAnsi="Calibri"/>
          <w:sz w:val="20"/>
        </w:rPr>
        <w:t xml:space="preserve">nforme </w:t>
      </w:r>
      <w:r w:rsidR="00527BCA">
        <w:rPr>
          <w:rFonts w:ascii="Calibri" w:hAnsi="Calibri"/>
          <w:sz w:val="20"/>
        </w:rPr>
        <w:t>F</w:t>
      </w:r>
      <w:r>
        <w:rPr>
          <w:rFonts w:ascii="Calibri" w:hAnsi="Calibri"/>
          <w:sz w:val="20"/>
        </w:rPr>
        <w:t xml:space="preserve">inal de MTR seguirán las plantillas estándar del PNUD y la orientación del PNUD para los proyectos financiados por el FMAM disponible en el </w:t>
      </w:r>
      <w:hyperlink r:id="rId24" w:anchor="gef" w:history="1">
        <w:r>
          <w:rPr>
            <w:rFonts w:ascii="Calibri" w:hAnsi="Calibri"/>
            <w:color w:val="0000FF"/>
            <w:sz w:val="20"/>
            <w:u w:val="single"/>
          </w:rPr>
          <w:t>Centro de Recursos de Evaluación del PNUD</w:t>
        </w:r>
      </w:hyperlink>
      <w:r>
        <w:rPr>
          <w:rFonts w:ascii="Calibri" w:hAnsi="Calibri"/>
          <w:color w:val="0000FF"/>
          <w:sz w:val="20"/>
          <w:u w:val="single"/>
        </w:rPr>
        <w:t xml:space="preserve"> (CRE) DEL PNUD.</w:t>
      </w:r>
      <w:r>
        <w:rPr>
          <w:rFonts w:ascii="Calibri" w:hAnsi="Calibri"/>
          <w:sz w:val="20"/>
        </w:rPr>
        <w:t xml:space="preserve"> </w:t>
      </w:r>
    </w:p>
    <w:p w14:paraId="741B6856" w14:textId="0D954C2F" w:rsidR="00966EF0" w:rsidRPr="00F45CD4" w:rsidRDefault="00966EF0" w:rsidP="00F45CD4">
      <w:pPr>
        <w:spacing w:after="120"/>
        <w:jc w:val="both"/>
        <w:rPr>
          <w:rFonts w:ascii="Calibri" w:eastAsia="SimSun" w:hAnsi="Calibri"/>
          <w:sz w:val="20"/>
        </w:rPr>
      </w:pPr>
      <w:r>
        <w:rPr>
          <w:rFonts w:ascii="Calibri" w:hAnsi="Calibri"/>
          <w:sz w:val="20"/>
        </w:rPr>
        <w:t xml:space="preserve">La evaluación será "independiente, imparcial y rigurosa". Los evaluadores que el PNUD contratará para llevar a cabo la tarea serán independientes de las organizaciones que hayan participado en el diseño, ejecución o asesoramiento del proyecto a evaluarse. Del mismo modo, los evaluadores no deben encontrarse en una posición en la que pueda existir la posibilidad de futuros contratos en relación con el proyecto evaluado. </w:t>
      </w:r>
    </w:p>
    <w:p w14:paraId="472555F0" w14:textId="6D0CA469" w:rsidR="00966EF0" w:rsidRPr="002B119C" w:rsidRDefault="00966EF0" w:rsidP="00F45CD4">
      <w:pPr>
        <w:spacing w:after="120"/>
        <w:jc w:val="both"/>
        <w:rPr>
          <w:rFonts w:ascii="Calibri" w:eastAsia="SimSun" w:hAnsi="Calibri" w:cs="Calibri"/>
          <w:sz w:val="20"/>
          <w:szCs w:val="20"/>
        </w:rPr>
      </w:pPr>
      <w:r>
        <w:rPr>
          <w:rFonts w:ascii="Calibri" w:hAnsi="Calibri"/>
          <w:sz w:val="20"/>
        </w:rPr>
        <w:t>El Punto Focal Operativo del FMAM y otras partes interesadas participarán activamente y serán consultados durante el proceso de evaluación. La Dirección BPPS/NCE-VF ofrece apoyo adicional para garantizar la calidad.</w:t>
      </w:r>
    </w:p>
    <w:p w14:paraId="1375D5FC" w14:textId="55F6E941" w:rsidR="00966EF0" w:rsidRPr="00D319BD" w:rsidRDefault="00966EF0" w:rsidP="00D319BD">
      <w:pPr>
        <w:spacing w:after="120"/>
        <w:jc w:val="both"/>
        <w:rPr>
          <w:rFonts w:ascii="Calibri" w:eastAsia="SimSun" w:hAnsi="Calibri" w:cs="Calibri"/>
          <w:i/>
          <w:color w:val="FF0000"/>
          <w:sz w:val="20"/>
          <w:szCs w:val="20"/>
        </w:rPr>
      </w:pPr>
      <w:r>
        <w:rPr>
          <w:rFonts w:ascii="Calibri" w:hAnsi="Calibri"/>
          <w:sz w:val="20"/>
        </w:rPr>
        <w:t xml:space="preserve">El </w:t>
      </w:r>
      <w:r w:rsidR="00527BCA">
        <w:rPr>
          <w:rFonts w:ascii="Calibri" w:hAnsi="Calibri"/>
          <w:sz w:val="20"/>
        </w:rPr>
        <w:t>I</w:t>
      </w:r>
      <w:r>
        <w:rPr>
          <w:rFonts w:ascii="Calibri" w:hAnsi="Calibri"/>
          <w:sz w:val="20"/>
        </w:rPr>
        <w:t xml:space="preserve">nforme </w:t>
      </w:r>
      <w:r w:rsidR="00527BCA">
        <w:rPr>
          <w:rFonts w:ascii="Calibri" w:hAnsi="Calibri"/>
          <w:sz w:val="20"/>
        </w:rPr>
        <w:t>F</w:t>
      </w:r>
      <w:r>
        <w:rPr>
          <w:rFonts w:ascii="Calibri" w:hAnsi="Calibri"/>
          <w:sz w:val="20"/>
        </w:rPr>
        <w:t>inal de</w:t>
      </w:r>
      <w:r w:rsidR="00EE2D79">
        <w:rPr>
          <w:rFonts w:ascii="Calibri" w:hAnsi="Calibri"/>
          <w:sz w:val="20"/>
        </w:rPr>
        <w:t xml:space="preserve"> </w:t>
      </w:r>
      <w:r>
        <w:rPr>
          <w:rFonts w:ascii="Calibri" w:hAnsi="Calibri"/>
          <w:sz w:val="20"/>
        </w:rPr>
        <w:t>l</w:t>
      </w:r>
      <w:r w:rsidR="00EE2D79">
        <w:rPr>
          <w:rFonts w:ascii="Calibri" w:hAnsi="Calibri"/>
          <w:sz w:val="20"/>
        </w:rPr>
        <w:t>a</w:t>
      </w:r>
      <w:r>
        <w:rPr>
          <w:rFonts w:ascii="Calibri" w:hAnsi="Calibri"/>
          <w:sz w:val="20"/>
        </w:rPr>
        <w:t xml:space="preserve"> </w:t>
      </w:r>
      <w:r w:rsidR="00527BCA">
        <w:rPr>
          <w:rFonts w:ascii="Calibri" w:hAnsi="Calibri"/>
          <w:sz w:val="20"/>
        </w:rPr>
        <w:t>E</w:t>
      </w:r>
      <w:r>
        <w:rPr>
          <w:rFonts w:ascii="Calibri" w:hAnsi="Calibri"/>
          <w:sz w:val="20"/>
        </w:rPr>
        <w:t xml:space="preserve">valuación de </w:t>
      </w:r>
      <w:r w:rsidR="00527BCA">
        <w:rPr>
          <w:rFonts w:ascii="Calibri" w:hAnsi="Calibri"/>
          <w:sz w:val="20"/>
        </w:rPr>
        <w:t>M</w:t>
      </w:r>
      <w:r>
        <w:rPr>
          <w:rFonts w:ascii="Calibri" w:hAnsi="Calibri"/>
          <w:sz w:val="20"/>
        </w:rPr>
        <w:t xml:space="preserve">itad de </w:t>
      </w:r>
      <w:r w:rsidR="00527BCA">
        <w:rPr>
          <w:rFonts w:ascii="Calibri" w:hAnsi="Calibri"/>
          <w:sz w:val="20"/>
        </w:rPr>
        <w:t>P</w:t>
      </w:r>
      <w:r>
        <w:rPr>
          <w:rFonts w:ascii="Calibri" w:hAnsi="Calibri"/>
          <w:sz w:val="20"/>
        </w:rPr>
        <w:t xml:space="preserve">eríodo y los TdR de la </w:t>
      </w:r>
      <w:r w:rsidR="00527BCA">
        <w:rPr>
          <w:rFonts w:ascii="Calibri" w:hAnsi="Calibri"/>
          <w:sz w:val="20"/>
        </w:rPr>
        <w:t>E</w:t>
      </w:r>
      <w:r>
        <w:rPr>
          <w:rFonts w:ascii="Calibri" w:hAnsi="Calibri"/>
          <w:sz w:val="20"/>
        </w:rPr>
        <w:t xml:space="preserve">valuación de </w:t>
      </w:r>
      <w:r w:rsidR="00527BCA">
        <w:rPr>
          <w:rFonts w:ascii="Calibri" w:hAnsi="Calibri"/>
          <w:sz w:val="20"/>
        </w:rPr>
        <w:t>M</w:t>
      </w:r>
      <w:r>
        <w:rPr>
          <w:rFonts w:ascii="Calibri" w:hAnsi="Calibri"/>
          <w:sz w:val="20"/>
        </w:rPr>
        <w:t xml:space="preserve">itad de </w:t>
      </w:r>
      <w:r w:rsidR="00527BCA">
        <w:rPr>
          <w:rFonts w:ascii="Calibri" w:hAnsi="Calibri"/>
          <w:sz w:val="20"/>
        </w:rPr>
        <w:t>P</w:t>
      </w:r>
      <w:r>
        <w:rPr>
          <w:rFonts w:ascii="Calibri" w:hAnsi="Calibri"/>
          <w:sz w:val="20"/>
        </w:rPr>
        <w:t>eríodo</w:t>
      </w:r>
      <w:r w:rsidR="00343360">
        <w:rPr>
          <w:rFonts w:ascii="Calibri" w:hAnsi="Calibri"/>
          <w:sz w:val="20"/>
        </w:rPr>
        <w:t>, MTR,</w:t>
      </w:r>
      <w:r>
        <w:rPr>
          <w:rFonts w:ascii="Calibri" w:hAnsi="Calibri"/>
          <w:sz w:val="20"/>
        </w:rPr>
        <w:t xml:space="preserve"> estarán disponibles públicamente en inglés y se publicarán en el CRE del PNUD antes de </w:t>
      </w:r>
      <w:r>
        <w:rPr>
          <w:rFonts w:ascii="Calibri" w:hAnsi="Calibri"/>
          <w:i/>
          <w:color w:val="FF0000"/>
          <w:sz w:val="20"/>
        </w:rPr>
        <w:t>(añadir la fecha incluida en la portada de este documento de proyecto)</w:t>
      </w:r>
      <w:r>
        <w:rPr>
          <w:rFonts w:ascii="Calibri" w:hAnsi="Calibri"/>
          <w:color w:val="FF0000"/>
          <w:sz w:val="20"/>
        </w:rPr>
        <w:t xml:space="preserve">. </w:t>
      </w:r>
      <w:r>
        <w:rPr>
          <w:rFonts w:ascii="Calibri" w:hAnsi="Calibri"/>
          <w:sz w:val="20"/>
        </w:rPr>
        <w:t xml:space="preserve">La respuesta de la </w:t>
      </w:r>
      <w:r w:rsidR="009007DC">
        <w:rPr>
          <w:rFonts w:ascii="Calibri" w:hAnsi="Calibri"/>
          <w:sz w:val="20"/>
        </w:rPr>
        <w:t>D</w:t>
      </w:r>
      <w:r>
        <w:rPr>
          <w:rFonts w:ascii="Calibri" w:hAnsi="Calibri"/>
          <w:sz w:val="20"/>
        </w:rPr>
        <w:t xml:space="preserve">irección a las recomendaciones de la </w:t>
      </w:r>
      <w:r w:rsidR="00527BCA">
        <w:rPr>
          <w:rFonts w:ascii="Calibri" w:hAnsi="Calibri"/>
          <w:sz w:val="20"/>
        </w:rPr>
        <w:t>E</w:t>
      </w:r>
      <w:r>
        <w:rPr>
          <w:rFonts w:ascii="Calibri" w:hAnsi="Calibri"/>
          <w:sz w:val="20"/>
        </w:rPr>
        <w:t xml:space="preserve">valuación de </w:t>
      </w:r>
      <w:r w:rsidR="00527BCA">
        <w:rPr>
          <w:rFonts w:ascii="Calibri" w:hAnsi="Calibri"/>
          <w:sz w:val="20"/>
        </w:rPr>
        <w:t>M</w:t>
      </w:r>
      <w:r>
        <w:rPr>
          <w:rFonts w:ascii="Calibri" w:hAnsi="Calibri"/>
          <w:sz w:val="20"/>
        </w:rPr>
        <w:t xml:space="preserve">itad de </w:t>
      </w:r>
      <w:r w:rsidR="00527BCA">
        <w:rPr>
          <w:rFonts w:ascii="Calibri" w:hAnsi="Calibri"/>
          <w:sz w:val="20"/>
        </w:rPr>
        <w:t>P</w:t>
      </w:r>
      <w:r>
        <w:rPr>
          <w:rFonts w:ascii="Calibri" w:hAnsi="Calibri"/>
          <w:sz w:val="20"/>
        </w:rPr>
        <w:t>eríodo se publicará en el CRE en las seis semanas siguientes a la finalización del informe de</w:t>
      </w:r>
      <w:r w:rsidR="0019735C">
        <w:rPr>
          <w:rFonts w:ascii="Calibri" w:hAnsi="Calibri"/>
          <w:sz w:val="20"/>
          <w:lang w:val="es-EC"/>
        </w:rPr>
        <w:t xml:space="preserve"> </w:t>
      </w:r>
      <w:r>
        <w:rPr>
          <w:rFonts w:ascii="Calibri" w:hAnsi="Calibri"/>
          <w:sz w:val="20"/>
        </w:rPr>
        <w:t>l</w:t>
      </w:r>
      <w:r w:rsidR="0019735C">
        <w:rPr>
          <w:rFonts w:ascii="Calibri" w:hAnsi="Calibri"/>
          <w:sz w:val="20"/>
          <w:lang w:val="es-EC"/>
        </w:rPr>
        <w:t>a</w:t>
      </w:r>
      <w:r>
        <w:rPr>
          <w:rFonts w:ascii="Calibri" w:hAnsi="Calibri"/>
          <w:sz w:val="20"/>
        </w:rPr>
        <w:t xml:space="preserve"> MTR.</w:t>
      </w:r>
    </w:p>
    <w:p w14:paraId="2A9ED208" w14:textId="15359BC2" w:rsidR="00966EF0" w:rsidRPr="006A315B" w:rsidRDefault="00966EF0" w:rsidP="00F45CD4">
      <w:pPr>
        <w:spacing w:after="120"/>
        <w:rPr>
          <w:rFonts w:ascii="Calibri" w:eastAsia="SimSun" w:hAnsi="Calibri"/>
          <w:i/>
          <w:sz w:val="20"/>
          <w:szCs w:val="20"/>
        </w:rPr>
      </w:pPr>
      <w:r>
        <w:rPr>
          <w:rFonts w:ascii="Calibri" w:hAnsi="Calibri"/>
          <w:sz w:val="20"/>
          <w:u w:val="single"/>
        </w:rPr>
        <w:t>Evaluación Final (</w:t>
      </w:r>
      <w:r w:rsidR="0019735C">
        <w:rPr>
          <w:rFonts w:ascii="Calibri" w:hAnsi="Calibri"/>
          <w:sz w:val="20"/>
          <w:u w:val="single"/>
          <w:lang w:val="es-EC"/>
        </w:rPr>
        <w:t>TE</w:t>
      </w:r>
      <w:r>
        <w:rPr>
          <w:rFonts w:ascii="Calibri" w:hAnsi="Calibri"/>
          <w:sz w:val="20"/>
          <w:u w:val="single"/>
        </w:rPr>
        <w:t>)</w:t>
      </w:r>
      <w:r>
        <w:rPr>
          <w:rFonts w:ascii="Calibri" w:hAnsi="Calibri"/>
          <w:sz w:val="20"/>
        </w:rPr>
        <w:t xml:space="preserve">:  </w:t>
      </w:r>
    </w:p>
    <w:p w14:paraId="66818054" w14:textId="56C49688" w:rsidR="00966EF0" w:rsidRPr="00F45CD4" w:rsidRDefault="00966EF0" w:rsidP="00F45CD4">
      <w:pPr>
        <w:spacing w:after="120"/>
        <w:jc w:val="both"/>
        <w:rPr>
          <w:rFonts w:ascii="Calibri" w:eastAsia="SimSun" w:hAnsi="Calibri" w:cs="Calibri"/>
          <w:sz w:val="20"/>
        </w:rPr>
      </w:pPr>
      <w:r>
        <w:rPr>
          <w:rFonts w:ascii="Calibri" w:hAnsi="Calibri"/>
          <w:sz w:val="20"/>
        </w:rPr>
        <w:t xml:space="preserve">Se llevará a cabo una </w:t>
      </w:r>
      <w:r w:rsidR="00527BCA">
        <w:rPr>
          <w:rFonts w:ascii="Calibri" w:hAnsi="Calibri"/>
          <w:sz w:val="20"/>
        </w:rPr>
        <w:t>E</w:t>
      </w:r>
      <w:r>
        <w:rPr>
          <w:rFonts w:ascii="Calibri" w:hAnsi="Calibri"/>
          <w:sz w:val="20"/>
        </w:rPr>
        <w:t xml:space="preserve">valuación </w:t>
      </w:r>
      <w:r w:rsidR="00527BCA">
        <w:rPr>
          <w:rFonts w:ascii="Calibri" w:hAnsi="Calibri"/>
          <w:sz w:val="20"/>
        </w:rPr>
        <w:t>F</w:t>
      </w:r>
      <w:r>
        <w:rPr>
          <w:rFonts w:ascii="Calibri" w:hAnsi="Calibri"/>
          <w:sz w:val="20"/>
        </w:rPr>
        <w:t>inal (</w:t>
      </w:r>
      <w:r w:rsidR="0019735C">
        <w:rPr>
          <w:rFonts w:ascii="Calibri" w:hAnsi="Calibri"/>
          <w:sz w:val="20"/>
          <w:lang w:val="es-EC"/>
        </w:rPr>
        <w:t>TE</w:t>
      </w:r>
      <w:r>
        <w:rPr>
          <w:rFonts w:ascii="Calibri" w:hAnsi="Calibri"/>
          <w:sz w:val="20"/>
        </w:rPr>
        <w:t xml:space="preserve">) independiente una vez finalizados todos los principales resultados y actividades del proyecto. Los </w:t>
      </w:r>
      <w:r w:rsidR="00C02E09">
        <w:rPr>
          <w:rFonts w:ascii="Calibri" w:hAnsi="Calibri"/>
          <w:sz w:val="20"/>
        </w:rPr>
        <w:t>T</w:t>
      </w:r>
      <w:r>
        <w:rPr>
          <w:rFonts w:ascii="Calibri" w:hAnsi="Calibri"/>
          <w:sz w:val="20"/>
        </w:rPr>
        <w:t xml:space="preserve">érminos de </w:t>
      </w:r>
      <w:r w:rsidR="00C02E09">
        <w:rPr>
          <w:rFonts w:ascii="Calibri" w:hAnsi="Calibri"/>
          <w:sz w:val="20"/>
        </w:rPr>
        <w:t>R</w:t>
      </w:r>
      <w:r>
        <w:rPr>
          <w:rFonts w:ascii="Calibri" w:hAnsi="Calibri"/>
          <w:sz w:val="20"/>
        </w:rPr>
        <w:t xml:space="preserve">eferencia, el </w:t>
      </w:r>
      <w:r w:rsidR="00C02E09">
        <w:rPr>
          <w:rFonts w:ascii="Calibri" w:hAnsi="Calibri"/>
          <w:sz w:val="20"/>
        </w:rPr>
        <w:t>P</w:t>
      </w:r>
      <w:r>
        <w:rPr>
          <w:rFonts w:ascii="Calibri" w:hAnsi="Calibri"/>
          <w:sz w:val="20"/>
        </w:rPr>
        <w:t xml:space="preserve">roceso de </w:t>
      </w:r>
      <w:r w:rsidR="00C02E09">
        <w:rPr>
          <w:rFonts w:ascii="Calibri" w:hAnsi="Calibri"/>
          <w:sz w:val="20"/>
        </w:rPr>
        <w:t>E</w:t>
      </w:r>
      <w:r>
        <w:rPr>
          <w:rFonts w:ascii="Calibri" w:hAnsi="Calibri"/>
          <w:sz w:val="20"/>
        </w:rPr>
        <w:t xml:space="preserve">valuación y el </w:t>
      </w:r>
      <w:r w:rsidR="00C02E09">
        <w:rPr>
          <w:rFonts w:ascii="Calibri" w:hAnsi="Calibri"/>
          <w:sz w:val="20"/>
        </w:rPr>
        <w:t>I</w:t>
      </w:r>
      <w:r>
        <w:rPr>
          <w:rFonts w:ascii="Calibri" w:hAnsi="Calibri"/>
          <w:sz w:val="20"/>
        </w:rPr>
        <w:t xml:space="preserve">nforme </w:t>
      </w:r>
      <w:r w:rsidR="00C02E09">
        <w:rPr>
          <w:rFonts w:ascii="Calibri" w:hAnsi="Calibri"/>
          <w:sz w:val="20"/>
        </w:rPr>
        <w:t>F</w:t>
      </w:r>
      <w:r>
        <w:rPr>
          <w:rFonts w:ascii="Calibri" w:hAnsi="Calibri"/>
          <w:sz w:val="20"/>
        </w:rPr>
        <w:t xml:space="preserve">inal de </w:t>
      </w:r>
      <w:r w:rsidR="0019735C">
        <w:rPr>
          <w:rFonts w:ascii="Calibri" w:hAnsi="Calibri"/>
          <w:sz w:val="20"/>
          <w:lang w:val="es-EC"/>
        </w:rPr>
        <w:t>TE</w:t>
      </w:r>
      <w:r>
        <w:rPr>
          <w:rFonts w:ascii="Calibri" w:hAnsi="Calibri"/>
          <w:sz w:val="20"/>
        </w:rPr>
        <w:t xml:space="preserve"> seguirán las plantillas estándar y la orientación para los proyectos financiados por el FMAM disponibles en el </w:t>
      </w:r>
      <w:hyperlink r:id="rId25" w:anchor="gef">
        <w:r>
          <w:rPr>
            <w:rFonts w:ascii="Calibri" w:hAnsi="Calibri"/>
            <w:color w:val="0000FF"/>
            <w:sz w:val="20"/>
            <w:u w:val="single"/>
          </w:rPr>
          <w:t>Centro de Recursos de Evaluación del PNUD</w:t>
        </w:r>
      </w:hyperlink>
      <w:r>
        <w:rPr>
          <w:rFonts w:ascii="Calibri" w:hAnsi="Calibri"/>
          <w:color w:val="0000FF"/>
          <w:sz w:val="20"/>
          <w:u w:val="single"/>
        </w:rPr>
        <w:t>.</w:t>
      </w:r>
      <w:r>
        <w:rPr>
          <w:rFonts w:ascii="Calibri" w:hAnsi="Calibri"/>
          <w:sz w:val="20"/>
        </w:rPr>
        <w:t xml:space="preserve"> La </w:t>
      </w:r>
      <w:r w:rsidR="0019735C">
        <w:rPr>
          <w:rFonts w:ascii="Calibri" w:hAnsi="Calibri"/>
          <w:sz w:val="20"/>
          <w:lang w:val="es-EC"/>
        </w:rPr>
        <w:t>TE</w:t>
      </w:r>
      <w:r>
        <w:rPr>
          <w:rFonts w:ascii="Calibri" w:hAnsi="Calibri"/>
          <w:sz w:val="20"/>
        </w:rPr>
        <w:t xml:space="preserve"> deberá completarse 3 meses antes de la fecha estimada de cierre operativo, fijada a partir de la firma del ProDoc y en función de la duración del proyecto. Deben tomarse medidas para completar la </w:t>
      </w:r>
      <w:r w:rsidR="0019735C">
        <w:rPr>
          <w:rFonts w:ascii="Calibri" w:hAnsi="Calibri"/>
          <w:sz w:val="20"/>
        </w:rPr>
        <w:t>TE</w:t>
      </w:r>
      <w:r>
        <w:rPr>
          <w:rFonts w:ascii="Calibri" w:hAnsi="Calibri"/>
          <w:sz w:val="20"/>
        </w:rPr>
        <w:t xml:space="preserve"> a su debido tiempo para evitar retrasos en el cierre del proyecto. Por lo tanto, la </w:t>
      </w:r>
      <w:r w:rsidR="0019735C">
        <w:rPr>
          <w:rFonts w:ascii="Calibri" w:hAnsi="Calibri"/>
          <w:sz w:val="20"/>
        </w:rPr>
        <w:t>TE</w:t>
      </w:r>
      <w:r>
        <w:rPr>
          <w:rFonts w:ascii="Calibri" w:hAnsi="Calibri"/>
          <w:sz w:val="20"/>
        </w:rPr>
        <w:t xml:space="preserve"> deberá comenzar a más tardar 6 meses antes de la fecha prevista de finalización de la </w:t>
      </w:r>
      <w:r w:rsidR="0019735C">
        <w:rPr>
          <w:rFonts w:ascii="Calibri" w:hAnsi="Calibri"/>
          <w:sz w:val="20"/>
          <w:lang w:val="es-EC"/>
        </w:rPr>
        <w:t>TE</w:t>
      </w:r>
      <w:r>
        <w:rPr>
          <w:rFonts w:ascii="Calibri" w:hAnsi="Calibri"/>
          <w:sz w:val="20"/>
        </w:rPr>
        <w:t xml:space="preserve"> (o 9 meses antes de la fecha estimada de cierre operativo). </w:t>
      </w:r>
    </w:p>
    <w:p w14:paraId="5669C813" w14:textId="33985262" w:rsidR="00966EF0" w:rsidRPr="006A315B" w:rsidRDefault="00966EF0" w:rsidP="00F45CD4">
      <w:pPr>
        <w:spacing w:after="120"/>
        <w:jc w:val="both"/>
        <w:rPr>
          <w:rFonts w:ascii="Calibri" w:eastAsia="SimSun" w:hAnsi="Calibri"/>
          <w:sz w:val="20"/>
        </w:rPr>
      </w:pPr>
      <w:r>
        <w:rPr>
          <w:rFonts w:ascii="Calibri" w:hAnsi="Calibri"/>
          <w:sz w:val="20"/>
        </w:rPr>
        <w:t xml:space="preserve">La evaluación será "independiente, imparcial y rigurosa". Los evaluadores que el PNUD contratará para llevar a cabo la tarea serán independientes de las organizaciones que hayan participado en el diseño, ejecución o asesoramiento del proyecto a evaluarse. Del mismo modo, los evaluadores no deben encontrarse en una posición en la que pueda existir la posibilidad de futuros contratos en relación con el proyecto evaluado. </w:t>
      </w:r>
    </w:p>
    <w:p w14:paraId="717CF479" w14:textId="065110A8" w:rsidR="00966EF0" w:rsidRPr="006A315B" w:rsidRDefault="00966EF0" w:rsidP="00F45CD4">
      <w:pPr>
        <w:spacing w:after="120"/>
        <w:jc w:val="both"/>
        <w:rPr>
          <w:rFonts w:ascii="Calibri" w:eastAsia="SimSun" w:hAnsi="Calibri" w:cs="Calibri"/>
          <w:sz w:val="20"/>
          <w:szCs w:val="20"/>
        </w:rPr>
      </w:pPr>
      <w:r>
        <w:rPr>
          <w:rFonts w:ascii="Calibri" w:hAnsi="Calibri"/>
          <w:sz w:val="20"/>
        </w:rPr>
        <w:t xml:space="preserve">El Punto Focal Operativo del FMAM y otras partes interesadas participarán activamente y serán consultados durante el </w:t>
      </w:r>
      <w:r w:rsidR="00C02E09">
        <w:rPr>
          <w:rFonts w:ascii="Calibri" w:hAnsi="Calibri"/>
          <w:sz w:val="20"/>
        </w:rPr>
        <w:t>P</w:t>
      </w:r>
      <w:r>
        <w:rPr>
          <w:rFonts w:ascii="Calibri" w:hAnsi="Calibri"/>
          <w:sz w:val="20"/>
        </w:rPr>
        <w:t xml:space="preserve">roceso de </w:t>
      </w:r>
      <w:r w:rsidR="00C02E09">
        <w:rPr>
          <w:rFonts w:ascii="Calibri" w:hAnsi="Calibri"/>
          <w:sz w:val="20"/>
        </w:rPr>
        <w:t>E</w:t>
      </w:r>
      <w:r>
        <w:rPr>
          <w:rFonts w:ascii="Calibri" w:hAnsi="Calibri"/>
          <w:sz w:val="20"/>
        </w:rPr>
        <w:t xml:space="preserve">valuación </w:t>
      </w:r>
      <w:r w:rsidR="00C02E09">
        <w:rPr>
          <w:rFonts w:ascii="Calibri" w:hAnsi="Calibri"/>
          <w:sz w:val="20"/>
        </w:rPr>
        <w:t>F</w:t>
      </w:r>
      <w:r>
        <w:rPr>
          <w:rFonts w:ascii="Calibri" w:hAnsi="Calibri"/>
          <w:sz w:val="20"/>
        </w:rPr>
        <w:t xml:space="preserve">inal. La Dirección BPPS/NCE-VF ofrece apoyo adicional para garantizar la calidad. </w:t>
      </w:r>
    </w:p>
    <w:p w14:paraId="7943E05E" w14:textId="786BE580" w:rsidR="00966EF0" w:rsidRPr="0019735C" w:rsidRDefault="00966EF0" w:rsidP="00BD3CF5">
      <w:pPr>
        <w:spacing w:after="120"/>
        <w:jc w:val="both"/>
        <w:rPr>
          <w:rFonts w:ascii="Calibri" w:eastAsia="SimSun" w:hAnsi="Calibri" w:cs="Calibri"/>
          <w:sz w:val="20"/>
          <w:szCs w:val="20"/>
          <w:lang w:val="es-EC"/>
        </w:rPr>
      </w:pPr>
      <w:r>
        <w:rPr>
          <w:rFonts w:ascii="Calibri" w:hAnsi="Calibri"/>
          <w:sz w:val="20"/>
        </w:rPr>
        <w:t xml:space="preserve">El </w:t>
      </w:r>
      <w:r w:rsidR="00C02E09">
        <w:rPr>
          <w:rFonts w:ascii="Calibri" w:hAnsi="Calibri"/>
          <w:sz w:val="20"/>
        </w:rPr>
        <w:t>I</w:t>
      </w:r>
      <w:r>
        <w:rPr>
          <w:rFonts w:ascii="Calibri" w:hAnsi="Calibri"/>
          <w:sz w:val="20"/>
        </w:rPr>
        <w:t xml:space="preserve">nforme </w:t>
      </w:r>
      <w:r w:rsidR="00C02E09">
        <w:rPr>
          <w:rFonts w:ascii="Calibri" w:hAnsi="Calibri"/>
          <w:sz w:val="20"/>
        </w:rPr>
        <w:t>F</w:t>
      </w:r>
      <w:r>
        <w:rPr>
          <w:rFonts w:ascii="Calibri" w:hAnsi="Calibri"/>
          <w:sz w:val="20"/>
        </w:rPr>
        <w:t xml:space="preserve">inal de </w:t>
      </w:r>
      <w:r w:rsidR="0019735C">
        <w:rPr>
          <w:rFonts w:ascii="Calibri" w:hAnsi="Calibri"/>
          <w:sz w:val="20"/>
        </w:rPr>
        <w:t>TE</w:t>
      </w:r>
      <w:r>
        <w:rPr>
          <w:rFonts w:ascii="Calibri" w:hAnsi="Calibri"/>
          <w:sz w:val="20"/>
        </w:rPr>
        <w:t xml:space="preserve"> y los </w:t>
      </w:r>
      <w:r w:rsidR="00C02E09">
        <w:rPr>
          <w:rFonts w:ascii="Calibri" w:hAnsi="Calibri"/>
          <w:sz w:val="20"/>
        </w:rPr>
        <w:t>T</w:t>
      </w:r>
      <w:r>
        <w:rPr>
          <w:rFonts w:ascii="Calibri" w:hAnsi="Calibri"/>
          <w:sz w:val="20"/>
        </w:rPr>
        <w:t xml:space="preserve">érminos de </w:t>
      </w:r>
      <w:r w:rsidR="00C02E09">
        <w:rPr>
          <w:rFonts w:ascii="Calibri" w:hAnsi="Calibri"/>
          <w:sz w:val="20"/>
        </w:rPr>
        <w:t>R</w:t>
      </w:r>
      <w:r>
        <w:rPr>
          <w:rFonts w:ascii="Calibri" w:hAnsi="Calibri"/>
          <w:sz w:val="20"/>
        </w:rPr>
        <w:t xml:space="preserve">eferencia de </w:t>
      </w:r>
      <w:r w:rsidR="0019735C">
        <w:rPr>
          <w:rFonts w:ascii="Calibri" w:hAnsi="Calibri"/>
          <w:sz w:val="20"/>
        </w:rPr>
        <w:t>TE</w:t>
      </w:r>
      <w:r>
        <w:rPr>
          <w:rFonts w:ascii="Calibri" w:hAnsi="Calibri"/>
          <w:sz w:val="20"/>
        </w:rPr>
        <w:t xml:space="preserve"> estarán disponibles públicamente en inglés y se publicarán en el CRE del PNUD antes de </w:t>
      </w:r>
      <w:r>
        <w:rPr>
          <w:rFonts w:ascii="Calibri" w:hAnsi="Calibri"/>
          <w:i/>
          <w:color w:val="FF0000"/>
          <w:sz w:val="20"/>
        </w:rPr>
        <w:t>(añadir la fecha incluida en la portada de este documento de proyecto)</w:t>
      </w:r>
      <w:r>
        <w:rPr>
          <w:rFonts w:ascii="Calibri" w:hAnsi="Calibri"/>
          <w:color w:val="FF0000"/>
          <w:sz w:val="20"/>
        </w:rPr>
        <w:t xml:space="preserve">.  </w:t>
      </w:r>
      <w:r>
        <w:rPr>
          <w:rFonts w:ascii="Calibri" w:hAnsi="Calibri"/>
          <w:sz w:val="20"/>
        </w:rPr>
        <w:t>En un plazo de seis semanas a partir de la finalización del informe de</w:t>
      </w:r>
      <w:r w:rsidR="0019735C">
        <w:rPr>
          <w:rFonts w:ascii="Calibri" w:hAnsi="Calibri"/>
          <w:sz w:val="20"/>
          <w:lang w:val="es-EC"/>
        </w:rPr>
        <w:t xml:space="preserve"> </w:t>
      </w:r>
      <w:r>
        <w:rPr>
          <w:rFonts w:ascii="Calibri" w:hAnsi="Calibri"/>
          <w:sz w:val="20"/>
        </w:rPr>
        <w:t>l</w:t>
      </w:r>
      <w:r w:rsidR="0019735C">
        <w:rPr>
          <w:rFonts w:ascii="Calibri" w:hAnsi="Calibri"/>
          <w:sz w:val="20"/>
          <w:lang w:val="es-EC"/>
        </w:rPr>
        <w:t>a</w:t>
      </w:r>
      <w:r>
        <w:rPr>
          <w:rFonts w:ascii="Calibri" w:hAnsi="Calibri"/>
          <w:sz w:val="20"/>
        </w:rPr>
        <w:t xml:space="preserve"> </w:t>
      </w:r>
      <w:r w:rsidR="0019735C">
        <w:rPr>
          <w:rFonts w:ascii="Calibri" w:hAnsi="Calibri"/>
          <w:sz w:val="20"/>
        </w:rPr>
        <w:t>TE</w:t>
      </w:r>
      <w:r>
        <w:rPr>
          <w:rFonts w:ascii="Calibri" w:hAnsi="Calibri"/>
          <w:sz w:val="20"/>
        </w:rPr>
        <w:t xml:space="preserve">, se enviará al CRE una respuesta de la </w:t>
      </w:r>
      <w:r w:rsidR="009007DC">
        <w:rPr>
          <w:rFonts w:ascii="Calibri" w:hAnsi="Calibri"/>
          <w:sz w:val="20"/>
        </w:rPr>
        <w:t>D</w:t>
      </w:r>
      <w:r>
        <w:rPr>
          <w:rFonts w:ascii="Calibri" w:hAnsi="Calibri"/>
          <w:sz w:val="20"/>
        </w:rPr>
        <w:t xml:space="preserve">irección a las recomendaciones de la </w:t>
      </w:r>
      <w:r w:rsidR="0019735C">
        <w:rPr>
          <w:rFonts w:ascii="Calibri" w:hAnsi="Calibri"/>
          <w:sz w:val="20"/>
          <w:lang w:val="es-EC"/>
        </w:rPr>
        <w:t>TE.</w:t>
      </w:r>
    </w:p>
    <w:p w14:paraId="3C037993" w14:textId="5E5061A6" w:rsidR="00966EF0" w:rsidRPr="001F7748" w:rsidRDefault="00966EF0" w:rsidP="009B2C70">
      <w:pPr>
        <w:spacing w:after="120"/>
        <w:rPr>
          <w:rFonts w:ascii="Calibri" w:eastAsia="SimSun" w:hAnsi="Calibri"/>
          <w:i/>
          <w:sz w:val="20"/>
          <w:szCs w:val="20"/>
        </w:rPr>
      </w:pPr>
      <w:r>
        <w:rPr>
          <w:rFonts w:ascii="Calibri" w:hAnsi="Calibri"/>
          <w:sz w:val="20"/>
          <w:u w:val="single"/>
        </w:rPr>
        <w:t xml:space="preserve">Informe </w:t>
      </w:r>
      <w:r w:rsidR="009007DC">
        <w:rPr>
          <w:rFonts w:ascii="Calibri" w:hAnsi="Calibri"/>
          <w:sz w:val="20"/>
          <w:u w:val="single"/>
        </w:rPr>
        <w:t>F</w:t>
      </w:r>
      <w:r>
        <w:rPr>
          <w:rFonts w:ascii="Calibri" w:hAnsi="Calibri"/>
          <w:sz w:val="20"/>
          <w:u w:val="single"/>
        </w:rPr>
        <w:t>inal</w:t>
      </w:r>
      <w:r>
        <w:rPr>
          <w:rFonts w:ascii="Calibri" w:hAnsi="Calibri"/>
          <w:sz w:val="20"/>
        </w:rPr>
        <w:t xml:space="preserve">: </w:t>
      </w:r>
    </w:p>
    <w:p w14:paraId="17EC7495" w14:textId="08E05001" w:rsidR="00966EF0" w:rsidRPr="001F7748" w:rsidRDefault="00966EF0" w:rsidP="009B2C70">
      <w:pPr>
        <w:spacing w:after="120"/>
        <w:jc w:val="both"/>
        <w:rPr>
          <w:rFonts w:ascii="Calibri" w:eastAsia="SimSun" w:hAnsi="Calibri" w:cs="Calibri"/>
          <w:sz w:val="20"/>
          <w:szCs w:val="20"/>
        </w:rPr>
      </w:pPr>
      <w:r>
        <w:rPr>
          <w:rFonts w:ascii="Calibri" w:hAnsi="Calibri"/>
          <w:sz w:val="20"/>
        </w:rPr>
        <w:t xml:space="preserve">El </w:t>
      </w:r>
      <w:r w:rsidR="00C02E09">
        <w:rPr>
          <w:rFonts w:ascii="Calibri" w:hAnsi="Calibri"/>
          <w:sz w:val="20"/>
        </w:rPr>
        <w:t>I</w:t>
      </w:r>
      <w:r>
        <w:rPr>
          <w:rFonts w:ascii="Calibri" w:hAnsi="Calibri"/>
          <w:sz w:val="20"/>
        </w:rPr>
        <w:t xml:space="preserve">nforme </w:t>
      </w:r>
      <w:r w:rsidR="00C02E09">
        <w:rPr>
          <w:rFonts w:ascii="Calibri" w:hAnsi="Calibri"/>
          <w:sz w:val="20"/>
        </w:rPr>
        <w:t>F</w:t>
      </w:r>
      <w:r>
        <w:rPr>
          <w:rFonts w:ascii="Calibri" w:hAnsi="Calibri"/>
          <w:sz w:val="20"/>
        </w:rPr>
        <w:t xml:space="preserve">inal de </w:t>
      </w:r>
      <w:r w:rsidR="00C02E09">
        <w:rPr>
          <w:rFonts w:ascii="Calibri" w:hAnsi="Calibri"/>
          <w:sz w:val="20"/>
        </w:rPr>
        <w:t>E</w:t>
      </w:r>
      <w:r>
        <w:rPr>
          <w:rFonts w:ascii="Calibri" w:hAnsi="Calibri"/>
          <w:sz w:val="20"/>
        </w:rPr>
        <w:t xml:space="preserve">valuación del FMAM, junto con el </w:t>
      </w:r>
      <w:r w:rsidR="00C02E09">
        <w:rPr>
          <w:rFonts w:ascii="Calibri" w:hAnsi="Calibri"/>
          <w:sz w:val="20"/>
        </w:rPr>
        <w:t>I</w:t>
      </w:r>
      <w:r>
        <w:rPr>
          <w:rFonts w:ascii="Calibri" w:hAnsi="Calibri"/>
          <w:sz w:val="20"/>
        </w:rPr>
        <w:t xml:space="preserve">nforme de </w:t>
      </w:r>
      <w:r w:rsidR="00C02E09">
        <w:rPr>
          <w:rFonts w:ascii="Calibri" w:hAnsi="Calibri"/>
          <w:sz w:val="20"/>
        </w:rPr>
        <w:t>E</w:t>
      </w:r>
      <w:r>
        <w:rPr>
          <w:rFonts w:ascii="Calibri" w:hAnsi="Calibri"/>
          <w:sz w:val="20"/>
        </w:rPr>
        <w:t xml:space="preserve">valuación </w:t>
      </w:r>
      <w:r w:rsidR="00C02E09">
        <w:rPr>
          <w:rFonts w:ascii="Calibri" w:hAnsi="Calibri"/>
          <w:sz w:val="20"/>
        </w:rPr>
        <w:t>F</w:t>
      </w:r>
      <w:r>
        <w:rPr>
          <w:rFonts w:ascii="Calibri" w:hAnsi="Calibri"/>
          <w:sz w:val="20"/>
        </w:rPr>
        <w:t xml:space="preserve">inal y la correspondiente respuesta de la </w:t>
      </w:r>
      <w:r w:rsidR="00C02E09">
        <w:rPr>
          <w:rFonts w:ascii="Calibri" w:hAnsi="Calibri"/>
          <w:sz w:val="20"/>
        </w:rPr>
        <w:t>D</w:t>
      </w:r>
      <w:r>
        <w:rPr>
          <w:rFonts w:ascii="Calibri" w:hAnsi="Calibri"/>
          <w:sz w:val="20"/>
        </w:rPr>
        <w:t xml:space="preserve">irección, constituirán el </w:t>
      </w:r>
      <w:r w:rsidR="00C02E09">
        <w:rPr>
          <w:rFonts w:ascii="Calibri" w:hAnsi="Calibri"/>
          <w:sz w:val="20"/>
        </w:rPr>
        <w:t>I</w:t>
      </w:r>
      <w:r>
        <w:rPr>
          <w:rFonts w:ascii="Calibri" w:hAnsi="Calibri"/>
          <w:sz w:val="20"/>
        </w:rPr>
        <w:t xml:space="preserve">nforme </w:t>
      </w:r>
      <w:r w:rsidR="00C02E09">
        <w:rPr>
          <w:rFonts w:ascii="Calibri" w:hAnsi="Calibri"/>
          <w:sz w:val="20"/>
        </w:rPr>
        <w:t>F</w:t>
      </w:r>
      <w:r>
        <w:rPr>
          <w:rFonts w:ascii="Calibri" w:hAnsi="Calibri"/>
          <w:sz w:val="20"/>
        </w:rPr>
        <w:t xml:space="preserve">inal del </w:t>
      </w:r>
      <w:r w:rsidR="00C02E09">
        <w:rPr>
          <w:rFonts w:ascii="Calibri" w:hAnsi="Calibri"/>
          <w:sz w:val="20"/>
        </w:rPr>
        <w:t>P</w:t>
      </w:r>
      <w:r>
        <w:rPr>
          <w:rFonts w:ascii="Calibri" w:hAnsi="Calibri"/>
          <w:sz w:val="20"/>
        </w:rPr>
        <w:t xml:space="preserve">royecto. El paquete del </w:t>
      </w:r>
      <w:r w:rsidR="00C02E09">
        <w:rPr>
          <w:rFonts w:ascii="Calibri" w:hAnsi="Calibri"/>
          <w:sz w:val="20"/>
        </w:rPr>
        <w:t>I</w:t>
      </w:r>
      <w:r>
        <w:rPr>
          <w:rFonts w:ascii="Calibri" w:hAnsi="Calibri"/>
          <w:sz w:val="20"/>
        </w:rPr>
        <w:t xml:space="preserve">nforme </w:t>
      </w:r>
      <w:r w:rsidR="00C02E09">
        <w:rPr>
          <w:rFonts w:ascii="Calibri" w:hAnsi="Calibri"/>
          <w:sz w:val="20"/>
        </w:rPr>
        <w:t>F</w:t>
      </w:r>
      <w:r>
        <w:rPr>
          <w:rFonts w:ascii="Calibri" w:hAnsi="Calibri"/>
          <w:sz w:val="20"/>
        </w:rPr>
        <w:t xml:space="preserve">inal del </w:t>
      </w:r>
      <w:r w:rsidR="00C02E09">
        <w:rPr>
          <w:rFonts w:ascii="Calibri" w:hAnsi="Calibri"/>
          <w:sz w:val="20"/>
        </w:rPr>
        <w:t>P</w:t>
      </w:r>
      <w:r>
        <w:rPr>
          <w:rFonts w:ascii="Calibri" w:hAnsi="Calibri"/>
          <w:sz w:val="20"/>
        </w:rPr>
        <w:t xml:space="preserve">royecto se debatirá con la Dirección del Proyecto durante una reunión de revisión de fin de proyecto para discutir las lecciones aprendidas y las oportunidades de ampliación.    </w:t>
      </w:r>
    </w:p>
    <w:p w14:paraId="55A25DD2" w14:textId="2958EBCB" w:rsidR="00966EF0" w:rsidRPr="00F45CD4" w:rsidRDefault="00966EF0" w:rsidP="009B2C70">
      <w:pPr>
        <w:spacing w:after="120"/>
        <w:jc w:val="both"/>
        <w:rPr>
          <w:rFonts w:ascii="Calibri" w:eastAsia="SimSun" w:hAnsi="Calibri" w:cs="Segoe UI"/>
          <w:color w:val="000000"/>
          <w:sz w:val="20"/>
          <w:szCs w:val="20"/>
        </w:rPr>
      </w:pPr>
      <w:r>
        <w:rPr>
          <w:rFonts w:ascii="Calibri" w:hAnsi="Calibri"/>
          <w:sz w:val="20"/>
          <w:u w:val="single"/>
        </w:rPr>
        <w:t>Acuerdo sobre derechos de propiedad intelectual y uso del logotipo en los resultados del proyecto y la divulgación de información</w:t>
      </w:r>
      <w:r>
        <w:rPr>
          <w:rFonts w:ascii="Calibri" w:hAnsi="Calibri"/>
          <w:b/>
          <w:sz w:val="20"/>
        </w:rPr>
        <w:t xml:space="preserve">:  </w:t>
      </w:r>
      <w:r w:rsidR="009007DC">
        <w:rPr>
          <w:rFonts w:ascii="Calibri" w:hAnsi="Calibri"/>
          <w:sz w:val="20"/>
        </w:rPr>
        <w:t>p</w:t>
      </w:r>
      <w:r>
        <w:rPr>
          <w:rFonts w:ascii="Calibri" w:hAnsi="Calibri"/>
          <w:sz w:val="20"/>
        </w:rPr>
        <w:t xml:space="preserve">ara reconocer debidamente al FMAM por la subvención concedida, el logotipo del FMAM aparecerá junto con el logotipo del PNUD en todos los materiales de promoción, otros materiales escritos como las publicaciones elaboradas por el proyecto y el hardware del proyecto. Cualquier cita en publicaciones relativas a proyectos financiados por el FMAM también dará el debido reconocimiento al FMAM. La información se divulgará de conformidad con las políticas pertinentes, en particular la </w:t>
      </w:r>
      <w:r w:rsidR="00B51555">
        <w:rPr>
          <w:rFonts w:ascii="Calibri" w:hAnsi="Calibri"/>
          <w:sz w:val="20"/>
        </w:rPr>
        <w:t>P</w:t>
      </w:r>
      <w:r>
        <w:rPr>
          <w:rFonts w:ascii="Calibri" w:hAnsi="Calibri"/>
          <w:sz w:val="20"/>
        </w:rPr>
        <w:t xml:space="preserve">olítica de </w:t>
      </w:r>
      <w:r w:rsidR="00B51555">
        <w:rPr>
          <w:rFonts w:ascii="Calibri" w:hAnsi="Calibri"/>
          <w:sz w:val="20"/>
        </w:rPr>
        <w:t>D</w:t>
      </w:r>
      <w:r>
        <w:rPr>
          <w:rFonts w:ascii="Calibri" w:hAnsi="Calibri"/>
          <w:sz w:val="20"/>
        </w:rPr>
        <w:t>ivulgación del PNUD</w:t>
      </w:r>
      <w:r w:rsidRPr="00966EF0">
        <w:rPr>
          <w:rFonts w:ascii="Arial" w:eastAsia="SimSun" w:hAnsi="Arial"/>
          <w:sz w:val="18"/>
          <w:szCs w:val="20"/>
          <w:vertAlign w:val="superscript"/>
        </w:rPr>
        <w:footnoteReference w:id="35"/>
      </w:r>
      <w:r>
        <w:rPr>
          <w:rFonts w:ascii="Calibri" w:hAnsi="Calibri"/>
          <w:sz w:val="20"/>
        </w:rPr>
        <w:t xml:space="preserve"> y</w:t>
      </w:r>
      <w:r>
        <w:rPr>
          <w:rFonts w:ascii="Calibri" w:hAnsi="Calibri"/>
          <w:color w:val="000000"/>
          <w:sz w:val="20"/>
        </w:rPr>
        <w:t xml:space="preserve"> la </w:t>
      </w:r>
      <w:r w:rsidR="00B51555">
        <w:rPr>
          <w:rFonts w:ascii="Calibri" w:hAnsi="Calibri"/>
          <w:color w:val="000000"/>
          <w:sz w:val="20"/>
        </w:rPr>
        <w:t>P</w:t>
      </w:r>
      <w:r>
        <w:rPr>
          <w:rFonts w:ascii="Calibri" w:hAnsi="Calibri"/>
          <w:color w:val="000000"/>
          <w:sz w:val="20"/>
        </w:rPr>
        <w:t xml:space="preserve">olítica del FMAM sobre </w:t>
      </w:r>
      <w:r w:rsidR="00B51555">
        <w:rPr>
          <w:rFonts w:ascii="Calibri" w:hAnsi="Calibri"/>
          <w:color w:val="000000"/>
          <w:sz w:val="20"/>
        </w:rPr>
        <w:t>P</w:t>
      </w:r>
      <w:r>
        <w:rPr>
          <w:rFonts w:ascii="Calibri" w:hAnsi="Calibri"/>
          <w:color w:val="000000"/>
          <w:sz w:val="20"/>
        </w:rPr>
        <w:t xml:space="preserve">articipación </w:t>
      </w:r>
      <w:r w:rsidR="00B51555">
        <w:rPr>
          <w:rFonts w:ascii="Calibri" w:hAnsi="Calibri"/>
          <w:color w:val="000000"/>
          <w:sz w:val="20"/>
        </w:rPr>
        <w:t>P</w:t>
      </w:r>
      <w:r>
        <w:rPr>
          <w:rFonts w:ascii="Calibri" w:hAnsi="Calibri"/>
          <w:color w:val="000000"/>
          <w:sz w:val="20"/>
        </w:rPr>
        <w:t>ública</w:t>
      </w:r>
      <w:r w:rsidRPr="00966EF0">
        <w:rPr>
          <w:rFonts w:ascii="Arial" w:eastAsia="SimSun" w:hAnsi="Arial"/>
          <w:color w:val="000000"/>
          <w:sz w:val="18"/>
          <w:szCs w:val="20"/>
          <w:vertAlign w:val="superscript"/>
        </w:rPr>
        <w:footnoteReference w:id="36"/>
      </w:r>
      <w:r>
        <w:rPr>
          <w:rFonts w:ascii="Calibri" w:hAnsi="Calibri"/>
          <w:color w:val="000000"/>
          <w:sz w:val="20"/>
        </w:rPr>
        <w:t xml:space="preserve">. </w:t>
      </w:r>
    </w:p>
    <w:p w14:paraId="61E49BFD" w14:textId="7AA4566A" w:rsidR="00966EF0" w:rsidRPr="00966EF0" w:rsidRDefault="00966EF0" w:rsidP="00966EF0">
      <w:pPr>
        <w:spacing w:after="60"/>
        <w:jc w:val="both"/>
        <w:rPr>
          <w:rFonts w:ascii="Calibri" w:eastAsia="SimSun" w:hAnsi="Calibri"/>
          <w:sz w:val="20"/>
        </w:rPr>
        <w:sectPr w:rsidR="00966EF0" w:rsidRPr="00966EF0" w:rsidSect="00BA3DD6">
          <w:headerReference w:type="default" r:id="rId26"/>
          <w:footerReference w:type="default" r:id="rId27"/>
          <w:pgSz w:w="12240" w:h="15840" w:code="1"/>
          <w:pgMar w:top="1440" w:right="1440" w:bottom="1440" w:left="1440" w:header="720" w:footer="432" w:gutter="0"/>
          <w:cols w:space="708"/>
          <w:titlePg/>
          <w:docGrid w:linePitch="360"/>
        </w:sectPr>
      </w:pPr>
      <w:r>
        <w:rPr>
          <w:rFonts w:ascii="Calibri" w:hAnsi="Calibri"/>
          <w:sz w:val="20"/>
        </w:rPr>
        <w:br/>
      </w:r>
    </w:p>
    <w:p w14:paraId="629C701C" w14:textId="6F801345" w:rsidR="009B2C70" w:rsidRPr="006A315B" w:rsidRDefault="00966EF0" w:rsidP="009B2C70">
      <w:pPr>
        <w:spacing w:after="120"/>
        <w:jc w:val="both"/>
        <w:rPr>
          <w:rFonts w:ascii="Calibri" w:eastAsia="SimSun" w:hAnsi="Calibri" w:cs="Calibri"/>
          <w:sz w:val="20"/>
          <w:szCs w:val="20"/>
        </w:rPr>
      </w:pPr>
      <w:bookmarkStart w:id="42" w:name="_Toc10449648"/>
      <w:r>
        <w:rPr>
          <w:rFonts w:ascii="Calibri" w:hAnsi="Calibri"/>
          <w:b/>
          <w:sz w:val="20"/>
        </w:rPr>
        <w:t xml:space="preserve">Plan de </w:t>
      </w:r>
      <w:r w:rsidR="00D93116">
        <w:rPr>
          <w:rFonts w:ascii="Calibri" w:hAnsi="Calibri"/>
          <w:b/>
          <w:sz w:val="20"/>
        </w:rPr>
        <w:t>M</w:t>
      </w:r>
      <w:r>
        <w:rPr>
          <w:rFonts w:ascii="Calibri" w:hAnsi="Calibri"/>
          <w:b/>
          <w:sz w:val="20"/>
        </w:rPr>
        <w:t>onitoreo:</w:t>
      </w:r>
      <w:bookmarkEnd w:id="42"/>
      <w:r>
        <w:rPr>
          <w:rFonts w:ascii="Calibri" w:hAnsi="Calibri"/>
          <w:b/>
          <w:sz w:val="20"/>
        </w:rPr>
        <w:t xml:space="preserve">  </w:t>
      </w:r>
      <w:r>
        <w:rPr>
          <w:rFonts w:ascii="Calibri" w:hAnsi="Calibri"/>
          <w:sz w:val="20"/>
        </w:rPr>
        <w:t xml:space="preserve"> </w:t>
      </w:r>
      <w:r w:rsidR="002B559B">
        <w:rPr>
          <w:rFonts w:ascii="Calibri" w:hAnsi="Calibri"/>
          <w:sz w:val="20"/>
        </w:rPr>
        <w:t>l</w:t>
      </w:r>
      <w:r>
        <w:rPr>
          <w:rFonts w:ascii="Calibri" w:hAnsi="Calibri"/>
          <w:sz w:val="20"/>
        </w:rPr>
        <w:t xml:space="preserve">os resultados del proyecto, indicadores correspondientes y objetivos a mediano plazo y al final del proyecto en el </w:t>
      </w:r>
      <w:r w:rsidR="00D93116">
        <w:rPr>
          <w:rFonts w:ascii="Calibri" w:hAnsi="Calibri"/>
          <w:sz w:val="20"/>
        </w:rPr>
        <w:t>M</w:t>
      </w:r>
      <w:r>
        <w:rPr>
          <w:rFonts w:ascii="Calibri" w:hAnsi="Calibri"/>
          <w:sz w:val="20"/>
        </w:rPr>
        <w:t xml:space="preserve">arco de </w:t>
      </w:r>
      <w:r w:rsidR="00D93116">
        <w:rPr>
          <w:rFonts w:ascii="Calibri" w:hAnsi="Calibri"/>
          <w:sz w:val="20"/>
        </w:rPr>
        <w:t>R</w:t>
      </w:r>
      <w:r>
        <w:rPr>
          <w:rFonts w:ascii="Calibri" w:hAnsi="Calibri"/>
          <w:sz w:val="20"/>
        </w:rPr>
        <w:t xml:space="preserve">esultados del </w:t>
      </w:r>
      <w:r w:rsidR="00D93116">
        <w:rPr>
          <w:rFonts w:ascii="Calibri" w:hAnsi="Calibri"/>
          <w:sz w:val="20"/>
        </w:rPr>
        <w:t>P</w:t>
      </w:r>
      <w:r>
        <w:rPr>
          <w:rFonts w:ascii="Calibri" w:hAnsi="Calibri"/>
          <w:sz w:val="20"/>
        </w:rPr>
        <w:t>royecto serán supervisados anualmente por la Unidad de Gestión del Proyecto, y se informará sobre ellos en el PIR</w:t>
      </w:r>
      <w:r w:rsidR="00F15011">
        <w:rPr>
          <w:rFonts w:ascii="Calibri" w:hAnsi="Calibri"/>
          <w:sz w:val="20"/>
          <w:lang w:val="es-EC"/>
        </w:rPr>
        <w:t xml:space="preserve"> </w:t>
      </w:r>
      <w:r>
        <w:rPr>
          <w:rFonts w:ascii="Calibri" w:hAnsi="Calibri"/>
          <w:sz w:val="20"/>
        </w:rPr>
        <w:t xml:space="preserve">del FMAM cada año, y se evaluarán periódicamente durante la ejecución del proyecto. Si aún no se dispone de datos de referencia para algunos de los indicadores de resultados, se recopilarán durante el primer año de ejecución del proyecto. Los riesgos del proyecto, recogidos en el </w:t>
      </w:r>
      <w:r w:rsidR="00D93116">
        <w:rPr>
          <w:rFonts w:ascii="Calibri" w:hAnsi="Calibri"/>
          <w:sz w:val="20"/>
        </w:rPr>
        <w:t>R</w:t>
      </w:r>
      <w:r>
        <w:rPr>
          <w:rFonts w:ascii="Calibri" w:hAnsi="Calibri"/>
          <w:sz w:val="20"/>
        </w:rPr>
        <w:t xml:space="preserve">egistro de </w:t>
      </w:r>
      <w:r w:rsidR="00D93116">
        <w:rPr>
          <w:rFonts w:ascii="Calibri" w:hAnsi="Calibri"/>
          <w:sz w:val="20"/>
        </w:rPr>
        <w:t>R</w:t>
      </w:r>
      <w:r>
        <w:rPr>
          <w:rFonts w:ascii="Calibri" w:hAnsi="Calibri"/>
          <w:sz w:val="20"/>
        </w:rPr>
        <w:t>iesgos, se supervisarán trimestralmente.</w:t>
      </w:r>
    </w:p>
    <w:p w14:paraId="524D29D0" w14:textId="2C2962DE" w:rsidR="00966EF0" w:rsidRPr="00DA3263" w:rsidRDefault="00DA3263" w:rsidP="00DA3263">
      <w:pPr>
        <w:pStyle w:val="Descripcin"/>
        <w:keepNext/>
        <w:rPr>
          <w:rFonts w:asciiTheme="minorHAnsi" w:hAnsiTheme="minorHAnsi" w:cstheme="minorHAnsi"/>
          <w:sz w:val="18"/>
          <w:szCs w:val="18"/>
        </w:rPr>
      </w:pPr>
      <w:bookmarkStart w:id="43" w:name="_Toc114650464"/>
      <w:r>
        <w:rPr>
          <w:rFonts w:asciiTheme="minorHAnsi" w:hAnsiTheme="minorHAnsi"/>
          <w:sz w:val="18"/>
        </w:rPr>
        <w:t xml:space="preserve">Tabla </w:t>
      </w:r>
      <w:r w:rsidRPr="00DA3263">
        <w:rPr>
          <w:rFonts w:asciiTheme="minorHAnsi" w:hAnsiTheme="minorHAnsi" w:cstheme="minorHAnsi"/>
          <w:sz w:val="18"/>
        </w:rPr>
        <w:fldChar w:fldCharType="begin"/>
      </w:r>
      <w:r w:rsidRPr="00DA3263">
        <w:rPr>
          <w:rFonts w:asciiTheme="minorHAnsi" w:hAnsiTheme="minorHAnsi" w:cstheme="minorHAnsi"/>
          <w:sz w:val="18"/>
        </w:rPr>
        <w:instrText xml:space="preserve"> SEQ Table \* ARABIC </w:instrText>
      </w:r>
      <w:r w:rsidRPr="00DA3263">
        <w:rPr>
          <w:rFonts w:asciiTheme="minorHAnsi" w:hAnsiTheme="minorHAnsi" w:cstheme="minorHAnsi"/>
          <w:sz w:val="18"/>
        </w:rPr>
        <w:fldChar w:fldCharType="separate"/>
      </w:r>
      <w:r w:rsidR="004D0AC8">
        <w:rPr>
          <w:rFonts w:asciiTheme="minorHAnsi" w:hAnsiTheme="minorHAnsi" w:cstheme="minorHAnsi"/>
          <w:noProof/>
          <w:sz w:val="18"/>
        </w:rPr>
        <w:t>14</w:t>
      </w:r>
      <w:r w:rsidRPr="00DA3263">
        <w:rPr>
          <w:rFonts w:asciiTheme="minorHAnsi" w:hAnsiTheme="minorHAnsi" w:cstheme="minorHAnsi"/>
          <w:sz w:val="18"/>
        </w:rPr>
        <w:fldChar w:fldCharType="end"/>
      </w:r>
      <w:r>
        <w:rPr>
          <w:rFonts w:asciiTheme="minorHAnsi" w:hAnsiTheme="minorHAnsi"/>
          <w:sz w:val="18"/>
        </w:rPr>
        <w:t>: Plan de Monitoreo</w:t>
      </w:r>
      <w:bookmarkEnd w:id="4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152"/>
        <w:gridCol w:w="1197"/>
        <w:gridCol w:w="1820"/>
        <w:gridCol w:w="1829"/>
        <w:gridCol w:w="1804"/>
        <w:gridCol w:w="1031"/>
        <w:gridCol w:w="1141"/>
        <w:gridCol w:w="1026"/>
        <w:gridCol w:w="1955"/>
      </w:tblGrid>
      <w:tr w:rsidR="00A67531" w:rsidRPr="00A52F23" w14:paraId="39D7C6BD" w14:textId="77777777" w:rsidTr="00CF524B">
        <w:trPr>
          <w:trHeight w:val="980"/>
          <w:tblHeader/>
        </w:trPr>
        <w:tc>
          <w:tcPr>
            <w:tcW w:w="1335" w:type="dxa"/>
            <w:shd w:val="clear" w:color="auto" w:fill="D9D9D9"/>
            <w:vAlign w:val="center"/>
          </w:tcPr>
          <w:p w14:paraId="7549E29B"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Monitoreo de los resultados</w:t>
            </w:r>
          </w:p>
        </w:tc>
        <w:tc>
          <w:tcPr>
            <w:tcW w:w="1764" w:type="dxa"/>
            <w:shd w:val="clear" w:color="auto" w:fill="D9D9D9"/>
            <w:vAlign w:val="center"/>
          </w:tcPr>
          <w:p w14:paraId="2E87508B"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Indicadores</w:t>
            </w:r>
          </w:p>
        </w:tc>
        <w:tc>
          <w:tcPr>
            <w:tcW w:w="1029" w:type="dxa"/>
            <w:shd w:val="clear" w:color="auto" w:fill="D9D9D9"/>
            <w:vAlign w:val="center"/>
          </w:tcPr>
          <w:p w14:paraId="18299E45" w14:textId="77777777" w:rsidR="00966EF0" w:rsidRPr="00A52F23" w:rsidRDefault="00966EF0" w:rsidP="00966EF0">
            <w:pPr>
              <w:spacing w:after="60"/>
              <w:jc w:val="center"/>
              <w:rPr>
                <w:rFonts w:ascii="Calibri" w:eastAsia="SimSun" w:hAnsi="Calibri" w:cs="Calibri"/>
                <w:b/>
                <w:sz w:val="16"/>
                <w:szCs w:val="16"/>
              </w:rPr>
            </w:pPr>
          </w:p>
          <w:p w14:paraId="0FA97245"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Objetivos</w:t>
            </w:r>
          </w:p>
        </w:tc>
        <w:tc>
          <w:tcPr>
            <w:tcW w:w="1211" w:type="dxa"/>
            <w:shd w:val="clear" w:color="auto" w:fill="D9D9D9"/>
            <w:vAlign w:val="center"/>
          </w:tcPr>
          <w:p w14:paraId="72917331" w14:textId="77777777" w:rsidR="00966EF0" w:rsidRPr="00A52F23" w:rsidRDefault="00966EF0" w:rsidP="00966EF0">
            <w:pPr>
              <w:spacing w:after="60"/>
              <w:jc w:val="center"/>
              <w:rPr>
                <w:rFonts w:ascii="Calibri" w:eastAsia="SimSun" w:hAnsi="Calibri" w:cs="Calibri"/>
                <w:b/>
                <w:sz w:val="16"/>
                <w:szCs w:val="16"/>
              </w:rPr>
            </w:pPr>
          </w:p>
          <w:p w14:paraId="50FD0C7F"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Descripción de indicadores y objetivos</w:t>
            </w:r>
          </w:p>
          <w:p w14:paraId="16D53AFB" w14:textId="77777777" w:rsidR="00966EF0" w:rsidRPr="00A52F23" w:rsidRDefault="00966EF0" w:rsidP="00966EF0">
            <w:pPr>
              <w:spacing w:after="60"/>
              <w:jc w:val="center"/>
              <w:rPr>
                <w:rFonts w:ascii="Calibri" w:eastAsia="SimSun" w:hAnsi="Calibri" w:cs="Calibri"/>
                <w:b/>
                <w:sz w:val="16"/>
                <w:szCs w:val="16"/>
              </w:rPr>
            </w:pPr>
          </w:p>
        </w:tc>
        <w:tc>
          <w:tcPr>
            <w:tcW w:w="1861" w:type="dxa"/>
            <w:shd w:val="clear" w:color="auto" w:fill="D9D9D9"/>
            <w:vAlign w:val="center"/>
          </w:tcPr>
          <w:p w14:paraId="0D4476AB" w14:textId="77777777" w:rsidR="00966EF0" w:rsidRPr="00A52F23" w:rsidRDefault="00966EF0" w:rsidP="00966EF0">
            <w:pPr>
              <w:spacing w:after="60"/>
              <w:jc w:val="center"/>
              <w:rPr>
                <w:rFonts w:ascii="Calibri" w:eastAsia="SimSun" w:hAnsi="Calibri" w:cs="Calibri"/>
                <w:b/>
                <w:bCs/>
                <w:sz w:val="16"/>
                <w:szCs w:val="16"/>
              </w:rPr>
            </w:pPr>
            <w:r>
              <w:rPr>
                <w:rFonts w:ascii="Calibri" w:hAnsi="Calibri"/>
                <w:b/>
                <w:sz w:val="16"/>
              </w:rPr>
              <w:t>Fuente de datos/Métodos de recolección</w:t>
            </w:r>
            <w:r w:rsidRPr="00A52F23">
              <w:rPr>
                <w:rFonts w:ascii="Calibri" w:eastAsia="SimSun" w:hAnsi="Calibri" w:cs="Calibri"/>
                <w:b/>
                <w:bCs/>
                <w:sz w:val="16"/>
                <w:szCs w:val="16"/>
                <w:vertAlign w:val="superscript"/>
              </w:rPr>
              <w:footnoteReference w:id="37"/>
            </w:r>
          </w:p>
          <w:p w14:paraId="16893C8A" w14:textId="77777777" w:rsidR="00966EF0" w:rsidRPr="00A52F23" w:rsidRDefault="00966EF0" w:rsidP="00966EF0">
            <w:pPr>
              <w:spacing w:after="60"/>
              <w:jc w:val="center"/>
              <w:rPr>
                <w:rFonts w:ascii="Calibri" w:eastAsia="SimSun" w:hAnsi="Calibri" w:cs="Calibri"/>
                <w:b/>
                <w:sz w:val="16"/>
                <w:szCs w:val="16"/>
              </w:rPr>
            </w:pPr>
          </w:p>
        </w:tc>
        <w:tc>
          <w:tcPr>
            <w:tcW w:w="1081" w:type="dxa"/>
            <w:shd w:val="clear" w:color="auto" w:fill="D9D9D9"/>
            <w:vAlign w:val="center"/>
          </w:tcPr>
          <w:p w14:paraId="29E43960"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Frecuencia</w:t>
            </w:r>
          </w:p>
          <w:p w14:paraId="3379D70A" w14:textId="77777777" w:rsidR="00966EF0" w:rsidRPr="00A52F23" w:rsidRDefault="00966EF0" w:rsidP="00966EF0">
            <w:pPr>
              <w:spacing w:after="60"/>
              <w:jc w:val="center"/>
              <w:rPr>
                <w:rFonts w:ascii="Calibri" w:eastAsia="SimSun" w:hAnsi="Calibri" w:cs="Calibri"/>
                <w:b/>
                <w:sz w:val="16"/>
                <w:szCs w:val="16"/>
              </w:rPr>
            </w:pPr>
          </w:p>
        </w:tc>
        <w:tc>
          <w:tcPr>
            <w:tcW w:w="1401" w:type="dxa"/>
            <w:shd w:val="clear" w:color="auto" w:fill="D9D9D9"/>
            <w:vAlign w:val="center"/>
          </w:tcPr>
          <w:p w14:paraId="643B7931"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Responsable de la recolección de datos</w:t>
            </w:r>
          </w:p>
        </w:tc>
        <w:tc>
          <w:tcPr>
            <w:tcW w:w="1160" w:type="dxa"/>
            <w:shd w:val="clear" w:color="auto" w:fill="D9D9D9"/>
            <w:vAlign w:val="center"/>
          </w:tcPr>
          <w:p w14:paraId="58A52F7B" w14:textId="77777777" w:rsidR="00966EF0" w:rsidRPr="00A52F23" w:rsidRDefault="00966EF0" w:rsidP="00966EF0">
            <w:pPr>
              <w:spacing w:after="60"/>
              <w:jc w:val="center"/>
              <w:rPr>
                <w:rFonts w:ascii="Calibri" w:eastAsia="SimSun" w:hAnsi="Calibri" w:cs="Calibri"/>
                <w:b/>
                <w:sz w:val="16"/>
                <w:szCs w:val="16"/>
              </w:rPr>
            </w:pPr>
            <w:r>
              <w:rPr>
                <w:rFonts w:ascii="Calibri" w:hAnsi="Calibri"/>
                <w:b/>
                <w:sz w:val="16"/>
              </w:rPr>
              <w:t>Medios de verificación</w:t>
            </w:r>
          </w:p>
        </w:tc>
        <w:tc>
          <w:tcPr>
            <w:tcW w:w="2113" w:type="dxa"/>
            <w:shd w:val="clear" w:color="auto" w:fill="D9D9D9"/>
            <w:vAlign w:val="center"/>
          </w:tcPr>
          <w:p w14:paraId="541B63FD" w14:textId="77777777" w:rsidR="00966EF0" w:rsidRPr="00A52F23" w:rsidRDefault="00966EF0" w:rsidP="00966EF0">
            <w:pPr>
              <w:spacing w:after="60"/>
              <w:jc w:val="center"/>
              <w:rPr>
                <w:rFonts w:ascii="Calibri" w:eastAsia="SimSun" w:hAnsi="Calibri" w:cs="Calibri"/>
                <w:b/>
                <w:bCs/>
                <w:sz w:val="16"/>
                <w:szCs w:val="16"/>
              </w:rPr>
            </w:pPr>
            <w:r>
              <w:rPr>
                <w:rFonts w:ascii="Calibri" w:hAnsi="Calibri"/>
                <w:b/>
                <w:sz w:val="16"/>
              </w:rPr>
              <w:t>Riesgos/Supuestos</w:t>
            </w:r>
          </w:p>
        </w:tc>
      </w:tr>
      <w:tr w:rsidR="00A67531" w:rsidRPr="001B17BF" w14:paraId="3476D9ED" w14:textId="77777777" w:rsidTr="00CF524B">
        <w:trPr>
          <w:trHeight w:val="1358"/>
        </w:trPr>
        <w:tc>
          <w:tcPr>
            <w:tcW w:w="1335" w:type="dxa"/>
            <w:vMerge w:val="restart"/>
            <w:shd w:val="clear" w:color="auto" w:fill="auto"/>
          </w:tcPr>
          <w:p w14:paraId="179CB3F5" w14:textId="30148E9C" w:rsidR="00966EF0" w:rsidRPr="00A52F23" w:rsidRDefault="00966EF0" w:rsidP="00966EF0">
            <w:pPr>
              <w:spacing w:after="60"/>
              <w:jc w:val="both"/>
              <w:rPr>
                <w:rFonts w:ascii="Calibri" w:eastAsia="SimSun" w:hAnsi="Calibri" w:cs="Arial"/>
                <w:b/>
                <w:bCs/>
                <w:sz w:val="16"/>
                <w:szCs w:val="16"/>
              </w:rPr>
            </w:pPr>
            <w:r>
              <w:rPr>
                <w:rFonts w:ascii="Calibri" w:hAnsi="Calibri"/>
                <w:b/>
                <w:sz w:val="16"/>
              </w:rPr>
              <w:t xml:space="preserve">Objetivo del proyecto a partir del </w:t>
            </w:r>
            <w:r w:rsidR="00D93116">
              <w:rPr>
                <w:rFonts w:ascii="Calibri" w:hAnsi="Calibri"/>
                <w:b/>
                <w:sz w:val="16"/>
              </w:rPr>
              <w:t>M</w:t>
            </w:r>
            <w:r>
              <w:rPr>
                <w:rFonts w:ascii="Calibri" w:hAnsi="Calibri"/>
                <w:b/>
                <w:sz w:val="16"/>
              </w:rPr>
              <w:t xml:space="preserve">arco de </w:t>
            </w:r>
            <w:r w:rsidR="00D93116">
              <w:rPr>
                <w:rFonts w:ascii="Calibri" w:hAnsi="Calibri"/>
                <w:b/>
                <w:sz w:val="16"/>
              </w:rPr>
              <w:t>R</w:t>
            </w:r>
            <w:r>
              <w:rPr>
                <w:rFonts w:ascii="Calibri" w:hAnsi="Calibri"/>
                <w:b/>
                <w:sz w:val="16"/>
              </w:rPr>
              <w:t>esultados</w:t>
            </w:r>
          </w:p>
          <w:p w14:paraId="25F014BB" w14:textId="71B070F4" w:rsidR="006F72E1" w:rsidRPr="00A52F23" w:rsidRDefault="006F72E1" w:rsidP="00966EF0">
            <w:pPr>
              <w:spacing w:after="60"/>
              <w:jc w:val="both"/>
              <w:rPr>
                <w:rFonts w:ascii="Calibri" w:eastAsia="SimSun" w:hAnsi="Calibri" w:cs="Arial"/>
                <w:b/>
                <w:bCs/>
                <w:sz w:val="16"/>
                <w:szCs w:val="16"/>
              </w:rPr>
            </w:pPr>
            <w:r>
              <w:rPr>
                <w:rFonts w:ascii="Calibri" w:hAnsi="Calibri"/>
                <w:sz w:val="16"/>
              </w:rPr>
              <w:t>Reducir el uso global de productos agroquímicos nocivos ayudando a los agricultores a acceder a financiación, a prácticas de producción innovadoras y sostenibles y a un acceso competitivo a los mercados de consumo en Ecuador.</w:t>
            </w:r>
          </w:p>
        </w:tc>
        <w:tc>
          <w:tcPr>
            <w:tcW w:w="1764" w:type="dxa"/>
            <w:shd w:val="clear" w:color="auto" w:fill="auto"/>
          </w:tcPr>
          <w:p w14:paraId="06581C22" w14:textId="77777777" w:rsidR="00966EF0" w:rsidRPr="00A52F23" w:rsidRDefault="00966EF0" w:rsidP="00966EF0">
            <w:pPr>
              <w:spacing w:after="60"/>
              <w:jc w:val="both"/>
              <w:rPr>
                <w:rFonts w:ascii="Calibri" w:eastAsia="SimSun" w:hAnsi="Calibri" w:cs="Calibri"/>
                <w:b/>
                <w:i/>
                <w:sz w:val="16"/>
                <w:szCs w:val="16"/>
              </w:rPr>
            </w:pPr>
            <w:r>
              <w:rPr>
                <w:rFonts w:ascii="Calibri" w:hAnsi="Calibri"/>
                <w:b/>
                <w:i/>
                <w:sz w:val="16"/>
              </w:rPr>
              <w:t xml:space="preserve">Indicador 1 </w:t>
            </w:r>
          </w:p>
          <w:p w14:paraId="612E6ABE" w14:textId="362FAB27" w:rsidR="006F72E1" w:rsidRPr="00A52F23" w:rsidRDefault="006F72E1" w:rsidP="006F72E1">
            <w:pPr>
              <w:spacing w:after="60"/>
              <w:rPr>
                <w:rFonts w:ascii="Calibri" w:eastAsia="SimSun" w:hAnsi="Calibri" w:cs="Calibri"/>
                <w:i/>
                <w:iCs/>
                <w:sz w:val="16"/>
                <w:szCs w:val="16"/>
                <w:u w:val="single"/>
              </w:rPr>
            </w:pPr>
            <w:r>
              <w:rPr>
                <w:rFonts w:ascii="Calibri" w:hAnsi="Calibri"/>
                <w:i/>
                <w:sz w:val="16"/>
                <w:u w:val="single"/>
              </w:rPr>
              <w:t xml:space="preserve">Indicadores </w:t>
            </w:r>
            <w:r w:rsidR="00D93116">
              <w:rPr>
                <w:rFonts w:ascii="Calibri" w:hAnsi="Calibri"/>
                <w:i/>
                <w:sz w:val="16"/>
                <w:u w:val="single"/>
              </w:rPr>
              <w:t>B</w:t>
            </w:r>
            <w:r>
              <w:rPr>
                <w:rFonts w:ascii="Calibri" w:hAnsi="Calibri"/>
                <w:i/>
                <w:sz w:val="16"/>
                <w:u w:val="single"/>
              </w:rPr>
              <w:t xml:space="preserve">ásicos </w:t>
            </w:r>
            <w:r w:rsidR="00D93116">
              <w:rPr>
                <w:rFonts w:ascii="Calibri" w:hAnsi="Calibri"/>
                <w:i/>
                <w:sz w:val="16"/>
                <w:u w:val="single"/>
              </w:rPr>
              <w:t>O</w:t>
            </w:r>
            <w:r>
              <w:rPr>
                <w:rFonts w:ascii="Calibri" w:hAnsi="Calibri"/>
                <w:i/>
                <w:sz w:val="16"/>
                <w:u w:val="single"/>
              </w:rPr>
              <w:t>bligatorios del FMAM 11:</w:t>
            </w:r>
          </w:p>
          <w:p w14:paraId="021DA07E" w14:textId="4303347B" w:rsidR="00966EF0" w:rsidRPr="002152FE" w:rsidRDefault="00966EF0" w:rsidP="006F72E1">
            <w:pPr>
              <w:spacing w:after="60"/>
              <w:jc w:val="both"/>
              <w:rPr>
                <w:rFonts w:ascii="Calibri" w:eastAsia="SimSun" w:hAnsi="Calibri" w:cs="Calibri"/>
                <w:i/>
                <w:sz w:val="16"/>
                <w:szCs w:val="16"/>
                <w:lang w:val="es-EC"/>
              </w:rPr>
            </w:pPr>
          </w:p>
        </w:tc>
        <w:tc>
          <w:tcPr>
            <w:tcW w:w="1029" w:type="dxa"/>
          </w:tcPr>
          <w:p w14:paraId="3AF4A60B" w14:textId="1367B04A" w:rsidR="00875762" w:rsidRPr="00A52F23" w:rsidRDefault="00875762" w:rsidP="008C75F3">
            <w:pPr>
              <w:spacing w:after="60"/>
              <w:rPr>
                <w:rFonts w:ascii="Calibri" w:eastAsia="SimSun" w:hAnsi="Calibri" w:cs="Calibri"/>
                <w:iCs/>
                <w:sz w:val="16"/>
                <w:szCs w:val="16"/>
              </w:rPr>
            </w:pPr>
            <w:r>
              <w:rPr>
                <w:rFonts w:ascii="Calibri" w:hAnsi="Calibri"/>
                <w:sz w:val="16"/>
              </w:rPr>
              <w:t>Total: 7.800</w:t>
            </w:r>
          </w:p>
          <w:p w14:paraId="31D85EE1" w14:textId="6A1E5565" w:rsidR="00966EF0" w:rsidRPr="00A52F23" w:rsidRDefault="00875762" w:rsidP="008C75F3">
            <w:pPr>
              <w:spacing w:after="60"/>
              <w:rPr>
                <w:rFonts w:ascii="Calibri" w:eastAsia="SimSun" w:hAnsi="Calibri" w:cs="Calibri"/>
                <w:iCs/>
                <w:sz w:val="16"/>
                <w:szCs w:val="16"/>
              </w:rPr>
            </w:pPr>
            <w:r>
              <w:rPr>
                <w:rFonts w:ascii="Calibri" w:hAnsi="Calibri"/>
                <w:sz w:val="16"/>
              </w:rPr>
              <w:t>Mujeres: 2.721</w:t>
            </w:r>
          </w:p>
          <w:p w14:paraId="126C4FF6" w14:textId="45EA1D07" w:rsidR="00875762" w:rsidRPr="00A52F23" w:rsidRDefault="00875762" w:rsidP="008C75F3">
            <w:pPr>
              <w:spacing w:after="60"/>
              <w:rPr>
                <w:rFonts w:ascii="Calibri" w:eastAsia="SimSun" w:hAnsi="Calibri" w:cs="Calibri"/>
                <w:iCs/>
                <w:sz w:val="16"/>
                <w:szCs w:val="16"/>
              </w:rPr>
            </w:pPr>
            <w:r>
              <w:rPr>
                <w:rFonts w:ascii="Calibri" w:hAnsi="Calibri"/>
                <w:sz w:val="16"/>
              </w:rPr>
              <w:t>Hombres: 5.079</w:t>
            </w:r>
          </w:p>
          <w:p w14:paraId="45A2A9DC" w14:textId="41687E25" w:rsidR="00B63589" w:rsidRPr="00A52F23" w:rsidRDefault="00B63589" w:rsidP="00B63589">
            <w:pPr>
              <w:spacing w:after="60"/>
              <w:rPr>
                <w:rFonts w:ascii="Calibri" w:eastAsia="SimSun" w:hAnsi="Calibri" w:cs="Calibri"/>
                <w:i/>
                <w:sz w:val="16"/>
                <w:szCs w:val="16"/>
                <w:highlight w:val="yellow"/>
                <w:lang w:val="en-US"/>
              </w:rPr>
            </w:pPr>
          </w:p>
        </w:tc>
        <w:tc>
          <w:tcPr>
            <w:tcW w:w="1211" w:type="dxa"/>
          </w:tcPr>
          <w:p w14:paraId="0C5B3D96" w14:textId="188463D0" w:rsidR="00966EF0" w:rsidRPr="00A52F23" w:rsidRDefault="00022E6A" w:rsidP="00966EF0">
            <w:pPr>
              <w:spacing w:after="60"/>
              <w:rPr>
                <w:rFonts w:ascii="Calibri" w:eastAsia="SimSun" w:hAnsi="Calibri" w:cs="Calibri"/>
                <w:i/>
                <w:sz w:val="16"/>
                <w:szCs w:val="16"/>
                <w:highlight w:val="yellow"/>
              </w:rPr>
            </w:pPr>
            <w:r>
              <w:rPr>
                <w:rFonts w:ascii="Calibri" w:hAnsi="Calibri"/>
                <w:sz w:val="16"/>
              </w:rPr>
              <w:t>Número de beneficiarios directos del proyecto desglosados por género (individuos)</w:t>
            </w:r>
          </w:p>
        </w:tc>
        <w:tc>
          <w:tcPr>
            <w:tcW w:w="1861" w:type="dxa"/>
            <w:shd w:val="clear" w:color="auto" w:fill="auto"/>
          </w:tcPr>
          <w:p w14:paraId="7640AE73" w14:textId="77777777" w:rsidR="009D4037" w:rsidRPr="00A52F23" w:rsidRDefault="009D4037" w:rsidP="009D4037">
            <w:pPr>
              <w:rPr>
                <w:rFonts w:asciiTheme="minorHAnsi" w:hAnsiTheme="minorHAnsi" w:cstheme="minorHAnsi"/>
                <w:bCs/>
                <w:sz w:val="16"/>
                <w:szCs w:val="16"/>
              </w:rPr>
            </w:pPr>
            <w:r>
              <w:rPr>
                <w:rFonts w:asciiTheme="minorHAnsi" w:hAnsiTheme="minorHAnsi"/>
                <w:sz w:val="16"/>
              </w:rPr>
              <w:t xml:space="preserve">Informe anual sobre el número de personas formadas y asistentes a los talleres de sensibilización, recopilado por la UGP e informado por ésta.  </w:t>
            </w:r>
          </w:p>
          <w:p w14:paraId="235653C0" w14:textId="2A715BA7" w:rsidR="00966EF0" w:rsidRPr="00A52F23" w:rsidRDefault="009D4037" w:rsidP="009D4037">
            <w:pPr>
              <w:spacing w:after="60"/>
              <w:rPr>
                <w:rFonts w:ascii="Calibri" w:eastAsia="SimSun" w:hAnsi="Calibri" w:cs="Calibri"/>
                <w:i/>
                <w:sz w:val="16"/>
                <w:szCs w:val="16"/>
                <w:highlight w:val="yellow"/>
              </w:rPr>
            </w:pPr>
            <w:r>
              <w:rPr>
                <w:rFonts w:asciiTheme="minorHAnsi" w:hAnsiTheme="minorHAnsi"/>
                <w:sz w:val="16"/>
              </w:rPr>
              <w:t>Esta información se desglosaría por género y se registraría en una base de datos de beneficiarios del proyecto.</w:t>
            </w:r>
          </w:p>
        </w:tc>
        <w:tc>
          <w:tcPr>
            <w:tcW w:w="1081" w:type="dxa"/>
            <w:shd w:val="clear" w:color="auto" w:fill="auto"/>
          </w:tcPr>
          <w:p w14:paraId="2D7231FB" w14:textId="77777777" w:rsidR="00834551" w:rsidRPr="00A52F23" w:rsidRDefault="00834551" w:rsidP="00834551">
            <w:pPr>
              <w:rPr>
                <w:rFonts w:asciiTheme="minorHAnsi" w:hAnsiTheme="minorHAnsi" w:cstheme="minorHAnsi"/>
                <w:sz w:val="16"/>
                <w:szCs w:val="16"/>
              </w:rPr>
            </w:pPr>
            <w:r>
              <w:rPr>
                <w:rFonts w:asciiTheme="minorHAnsi" w:hAnsiTheme="minorHAnsi"/>
                <w:sz w:val="16"/>
              </w:rPr>
              <w:t xml:space="preserve">Anualmente </w:t>
            </w:r>
          </w:p>
          <w:p w14:paraId="10F44141" w14:textId="77777777" w:rsidR="00834551" w:rsidRPr="002152FE" w:rsidRDefault="00834551" w:rsidP="00834551">
            <w:pPr>
              <w:rPr>
                <w:rFonts w:asciiTheme="minorHAnsi" w:hAnsiTheme="minorHAnsi" w:cstheme="minorHAnsi"/>
                <w:sz w:val="16"/>
                <w:szCs w:val="16"/>
                <w:lang w:val="es-EC"/>
              </w:rPr>
            </w:pPr>
          </w:p>
          <w:p w14:paraId="3B6535BA" w14:textId="148B6C12" w:rsidR="00966EF0" w:rsidRPr="00A52F23" w:rsidRDefault="00834551" w:rsidP="00834551">
            <w:pPr>
              <w:spacing w:after="60"/>
              <w:rPr>
                <w:rFonts w:ascii="Calibri" w:eastAsia="SimSun" w:hAnsi="Calibri" w:cs="Calibri"/>
                <w:sz w:val="16"/>
                <w:szCs w:val="16"/>
                <w:highlight w:val="yellow"/>
              </w:rPr>
            </w:pPr>
            <w:r>
              <w:rPr>
                <w:rFonts w:asciiTheme="minorHAnsi" w:hAnsiTheme="minorHAnsi"/>
                <w:sz w:val="16"/>
              </w:rPr>
              <w:t>Informado en la pestaña DO del PIR del FMAM</w:t>
            </w:r>
          </w:p>
        </w:tc>
        <w:tc>
          <w:tcPr>
            <w:tcW w:w="1401" w:type="dxa"/>
            <w:shd w:val="clear" w:color="auto" w:fill="auto"/>
          </w:tcPr>
          <w:p w14:paraId="678B5B9F" w14:textId="00B66737" w:rsidR="00966EF0" w:rsidRPr="00A52F23" w:rsidRDefault="0052200B" w:rsidP="00B36BEC">
            <w:pPr>
              <w:spacing w:after="60"/>
              <w:rPr>
                <w:rFonts w:ascii="Calibri" w:eastAsia="SimSun" w:hAnsi="Calibri" w:cs="Calibri"/>
                <w:iCs/>
                <w:sz w:val="16"/>
                <w:szCs w:val="16"/>
              </w:rPr>
            </w:pPr>
            <w:r>
              <w:rPr>
                <w:rFonts w:ascii="Calibri" w:hAnsi="Calibri"/>
                <w:sz w:val="16"/>
              </w:rPr>
              <w:t>Unidad de Gestión de Proyectos (UGP)</w:t>
            </w:r>
          </w:p>
          <w:p w14:paraId="6846BFD2" w14:textId="77777777" w:rsidR="00966EF0" w:rsidRPr="00A52F23" w:rsidRDefault="00966EF0" w:rsidP="00966EF0">
            <w:pPr>
              <w:spacing w:after="60"/>
              <w:rPr>
                <w:rFonts w:ascii="Calibri" w:eastAsia="SimSun" w:hAnsi="Calibri" w:cs="Calibri"/>
                <w:i/>
                <w:sz w:val="16"/>
                <w:szCs w:val="16"/>
                <w:highlight w:val="yellow"/>
              </w:rPr>
            </w:pPr>
          </w:p>
        </w:tc>
        <w:tc>
          <w:tcPr>
            <w:tcW w:w="1160" w:type="dxa"/>
            <w:shd w:val="clear" w:color="auto" w:fill="auto"/>
          </w:tcPr>
          <w:p w14:paraId="253A6B4B" w14:textId="5DC5BF66" w:rsidR="00966EF0" w:rsidRPr="00A52F23" w:rsidRDefault="005B3E98" w:rsidP="00966EF0">
            <w:pPr>
              <w:spacing w:after="60"/>
              <w:rPr>
                <w:rFonts w:ascii="Calibri" w:eastAsia="SimSun" w:hAnsi="Calibri" w:cs="Calibri"/>
                <w:i/>
                <w:sz w:val="16"/>
                <w:szCs w:val="16"/>
                <w:highlight w:val="yellow"/>
              </w:rPr>
            </w:pPr>
            <w:r>
              <w:rPr>
                <w:rFonts w:asciiTheme="minorHAnsi" w:hAnsiTheme="minorHAnsi"/>
                <w:sz w:val="16"/>
              </w:rPr>
              <w:t>Registros de formación, actas de los talleres e informes de la UGP</w:t>
            </w:r>
          </w:p>
        </w:tc>
        <w:tc>
          <w:tcPr>
            <w:tcW w:w="2113" w:type="dxa"/>
            <w:shd w:val="clear" w:color="auto" w:fill="auto"/>
          </w:tcPr>
          <w:p w14:paraId="56213E77" w14:textId="77777777" w:rsidR="00966EF0" w:rsidRPr="00B43BBC" w:rsidRDefault="00DA4CE6" w:rsidP="00B43BBC">
            <w:pPr>
              <w:spacing w:after="60"/>
              <w:jc w:val="both"/>
              <w:rPr>
                <w:rFonts w:ascii="Calibri" w:eastAsia="SimSun" w:hAnsi="Calibri" w:cs="Arial"/>
                <w:sz w:val="16"/>
                <w:szCs w:val="16"/>
                <w:u w:val="single"/>
              </w:rPr>
            </w:pPr>
            <w:r>
              <w:rPr>
                <w:rFonts w:ascii="Calibri" w:hAnsi="Calibri"/>
                <w:sz w:val="16"/>
                <w:u w:val="single"/>
              </w:rPr>
              <w:t xml:space="preserve">Riesgos: </w:t>
            </w:r>
          </w:p>
          <w:p w14:paraId="2AB926C5" w14:textId="414EED23" w:rsidR="00237165" w:rsidRPr="00584D5E" w:rsidRDefault="00237165" w:rsidP="00B43BBC">
            <w:pPr>
              <w:spacing w:after="60"/>
              <w:jc w:val="both"/>
              <w:rPr>
                <w:rFonts w:ascii="Calibri" w:hAnsi="Calibri" w:cs="Calibri"/>
                <w:bCs/>
                <w:sz w:val="16"/>
                <w:szCs w:val="16"/>
              </w:rPr>
            </w:pPr>
            <w:r>
              <w:rPr>
                <w:rFonts w:ascii="Calibri" w:hAnsi="Calibri"/>
                <w:sz w:val="16"/>
              </w:rPr>
              <w:t xml:space="preserve">Discriminación de género reproducida a través de la limitación a las mujeres de beneficiarse del proyecto (Relacionado con el </w:t>
            </w:r>
            <w:r w:rsidR="00D93116">
              <w:rPr>
                <w:rFonts w:ascii="Calibri" w:hAnsi="Calibri"/>
                <w:sz w:val="16"/>
              </w:rPr>
              <w:t>R</w:t>
            </w:r>
            <w:r>
              <w:rPr>
                <w:rFonts w:ascii="Calibri" w:hAnsi="Calibri"/>
                <w:sz w:val="16"/>
              </w:rPr>
              <w:t>iesgo 4)</w:t>
            </w:r>
          </w:p>
          <w:p w14:paraId="6FECE159" w14:textId="77777777" w:rsidR="00DA4CE6" w:rsidRPr="00B43BBC" w:rsidRDefault="00DA4CE6" w:rsidP="00B43BBC">
            <w:pPr>
              <w:spacing w:after="60"/>
              <w:jc w:val="both"/>
              <w:rPr>
                <w:rFonts w:ascii="Calibri" w:eastAsia="SimSun" w:hAnsi="Calibri" w:cs="Arial"/>
                <w:sz w:val="16"/>
                <w:szCs w:val="16"/>
                <w:u w:val="single"/>
              </w:rPr>
            </w:pPr>
            <w:r>
              <w:rPr>
                <w:rFonts w:ascii="Calibri" w:hAnsi="Calibri"/>
                <w:sz w:val="16"/>
                <w:u w:val="single"/>
              </w:rPr>
              <w:t>Supuestos:</w:t>
            </w:r>
          </w:p>
          <w:p w14:paraId="4D32E48D" w14:textId="0E7880D9" w:rsidR="00C30A20" w:rsidRPr="00C30A20" w:rsidRDefault="00C30A20" w:rsidP="00D93116">
            <w:pPr>
              <w:spacing w:after="60"/>
              <w:jc w:val="both"/>
              <w:rPr>
                <w:rFonts w:ascii="Calibri" w:eastAsia="SimSun" w:hAnsi="Calibri" w:cs="Arial"/>
                <w:sz w:val="16"/>
                <w:szCs w:val="16"/>
                <w:highlight w:val="yellow"/>
              </w:rPr>
            </w:pPr>
            <w:r>
              <w:rPr>
                <w:rFonts w:ascii="Calibri" w:hAnsi="Calibri"/>
                <w:sz w:val="16"/>
              </w:rPr>
              <w:t xml:space="preserve">La aplicación del </w:t>
            </w:r>
            <w:r w:rsidR="00D93116">
              <w:rPr>
                <w:rFonts w:ascii="Calibri" w:hAnsi="Calibri"/>
                <w:sz w:val="16"/>
              </w:rPr>
              <w:t>P</w:t>
            </w:r>
            <w:r>
              <w:rPr>
                <w:rFonts w:ascii="Calibri" w:hAnsi="Calibri"/>
                <w:sz w:val="16"/>
              </w:rPr>
              <w:t xml:space="preserve">lan de </w:t>
            </w:r>
            <w:r w:rsidR="00D93116">
              <w:rPr>
                <w:rFonts w:ascii="Calibri" w:hAnsi="Calibri"/>
                <w:sz w:val="16"/>
              </w:rPr>
              <w:t>A</w:t>
            </w:r>
            <w:r>
              <w:rPr>
                <w:rFonts w:ascii="Calibri" w:hAnsi="Calibri"/>
                <w:sz w:val="16"/>
              </w:rPr>
              <w:t xml:space="preserve">cción de </w:t>
            </w:r>
            <w:r w:rsidR="00D93116">
              <w:rPr>
                <w:rFonts w:ascii="Calibri" w:hAnsi="Calibri"/>
                <w:sz w:val="16"/>
              </w:rPr>
              <w:t>G</w:t>
            </w:r>
            <w:r>
              <w:rPr>
                <w:rFonts w:ascii="Calibri" w:hAnsi="Calibri"/>
                <w:sz w:val="16"/>
              </w:rPr>
              <w:t xml:space="preserve">énero promoverá </w:t>
            </w:r>
            <w:r>
              <w:rPr>
                <w:rFonts w:asciiTheme="minorHAnsi" w:hAnsiTheme="minorHAnsi"/>
                <w:sz w:val="16"/>
              </w:rPr>
              <w:t>la participación equitativa y justa de mujeres y hombres en el diseño de alternativas innovadoras, beneficios y oportunidades en cada uno de sus componentes.</w:t>
            </w:r>
          </w:p>
        </w:tc>
      </w:tr>
      <w:tr w:rsidR="00A67531" w:rsidRPr="001B17BF" w14:paraId="54F13974" w14:textId="77777777" w:rsidTr="00CF524B">
        <w:trPr>
          <w:trHeight w:val="278"/>
        </w:trPr>
        <w:tc>
          <w:tcPr>
            <w:tcW w:w="1335" w:type="dxa"/>
            <w:vMerge/>
          </w:tcPr>
          <w:p w14:paraId="4E9337BB" w14:textId="77777777" w:rsidR="00966EF0" w:rsidRPr="002152FE" w:rsidRDefault="00966EF0" w:rsidP="00966EF0">
            <w:pPr>
              <w:spacing w:after="60"/>
              <w:jc w:val="both"/>
              <w:rPr>
                <w:rFonts w:ascii="Calibri" w:eastAsia="SimSun" w:hAnsi="Calibri" w:cs="Calibri"/>
                <w:b/>
                <w:sz w:val="16"/>
                <w:szCs w:val="16"/>
                <w:lang w:val="es-EC"/>
              </w:rPr>
            </w:pPr>
          </w:p>
        </w:tc>
        <w:tc>
          <w:tcPr>
            <w:tcW w:w="1764" w:type="dxa"/>
            <w:shd w:val="clear" w:color="auto" w:fill="auto"/>
          </w:tcPr>
          <w:p w14:paraId="2066445A" w14:textId="1DB8EF0C" w:rsidR="006F72E1" w:rsidRPr="00A52F23" w:rsidRDefault="006F72E1" w:rsidP="006F72E1">
            <w:pPr>
              <w:spacing w:after="60"/>
              <w:jc w:val="both"/>
              <w:rPr>
                <w:rFonts w:ascii="Calibri" w:eastAsia="SimSun" w:hAnsi="Calibri" w:cs="Calibri"/>
                <w:b/>
                <w:i/>
                <w:sz w:val="16"/>
                <w:szCs w:val="16"/>
              </w:rPr>
            </w:pPr>
            <w:r>
              <w:rPr>
                <w:rFonts w:ascii="Calibri" w:hAnsi="Calibri"/>
                <w:b/>
                <w:i/>
                <w:sz w:val="16"/>
              </w:rPr>
              <w:t>Indicador 2</w:t>
            </w:r>
          </w:p>
          <w:p w14:paraId="5F7012CF" w14:textId="02463F25" w:rsidR="006F72E1" w:rsidRPr="00A52F23" w:rsidRDefault="006F72E1" w:rsidP="006F72E1">
            <w:pPr>
              <w:spacing w:after="60"/>
              <w:rPr>
                <w:rFonts w:ascii="Calibri" w:eastAsia="SimSun" w:hAnsi="Calibri" w:cs="Calibri"/>
                <w:i/>
                <w:iCs/>
                <w:sz w:val="16"/>
                <w:szCs w:val="16"/>
                <w:u w:val="single"/>
              </w:rPr>
            </w:pPr>
            <w:r>
              <w:rPr>
                <w:rFonts w:ascii="Calibri" w:hAnsi="Calibri"/>
                <w:i/>
                <w:sz w:val="16"/>
                <w:u w:val="single"/>
              </w:rPr>
              <w:t xml:space="preserve">Indicadores </w:t>
            </w:r>
            <w:r w:rsidR="00D93116">
              <w:rPr>
                <w:rFonts w:ascii="Calibri" w:hAnsi="Calibri"/>
                <w:i/>
                <w:sz w:val="16"/>
                <w:u w:val="single"/>
              </w:rPr>
              <w:t>B</w:t>
            </w:r>
            <w:r>
              <w:rPr>
                <w:rFonts w:ascii="Calibri" w:hAnsi="Calibri"/>
                <w:i/>
                <w:sz w:val="16"/>
                <w:u w:val="single"/>
              </w:rPr>
              <w:t xml:space="preserve">ásicos </w:t>
            </w:r>
            <w:r w:rsidR="00D93116">
              <w:rPr>
                <w:rFonts w:ascii="Calibri" w:hAnsi="Calibri"/>
                <w:i/>
                <w:sz w:val="16"/>
                <w:u w:val="single"/>
              </w:rPr>
              <w:t>O</w:t>
            </w:r>
            <w:r>
              <w:rPr>
                <w:rFonts w:ascii="Calibri" w:hAnsi="Calibri"/>
                <w:i/>
                <w:sz w:val="16"/>
                <w:u w:val="single"/>
              </w:rPr>
              <w:t xml:space="preserve">bligatorios del FMAM 6: </w:t>
            </w:r>
          </w:p>
          <w:p w14:paraId="00CDEA96" w14:textId="7399B4C2" w:rsidR="00966EF0" w:rsidRPr="002152FE" w:rsidRDefault="00966EF0" w:rsidP="006F72E1">
            <w:pPr>
              <w:spacing w:after="60"/>
              <w:jc w:val="both"/>
              <w:rPr>
                <w:rFonts w:ascii="Calibri" w:eastAsia="SimSun" w:hAnsi="Calibri" w:cs="Calibri"/>
                <w:b/>
                <w:i/>
                <w:sz w:val="16"/>
                <w:szCs w:val="16"/>
                <w:lang w:val="es-EC"/>
              </w:rPr>
            </w:pPr>
          </w:p>
        </w:tc>
        <w:tc>
          <w:tcPr>
            <w:tcW w:w="1029" w:type="dxa"/>
          </w:tcPr>
          <w:p w14:paraId="76AD3450" w14:textId="5BF13060" w:rsidR="00966EF0" w:rsidRPr="00A52F23" w:rsidRDefault="000A57AD" w:rsidP="00647B28">
            <w:pPr>
              <w:spacing w:after="60"/>
              <w:rPr>
                <w:rFonts w:ascii="Calibri" w:eastAsia="SimSun" w:hAnsi="Calibri" w:cs="Calibri"/>
                <w:bCs/>
                <w:iCs/>
                <w:sz w:val="16"/>
                <w:szCs w:val="16"/>
              </w:rPr>
            </w:pPr>
            <w:r>
              <w:rPr>
                <w:rFonts w:ascii="Calibri" w:hAnsi="Calibri"/>
                <w:sz w:val="16"/>
              </w:rPr>
              <w:t>322 Tm de GEI mitigadas</w:t>
            </w:r>
          </w:p>
        </w:tc>
        <w:tc>
          <w:tcPr>
            <w:tcW w:w="1211" w:type="dxa"/>
          </w:tcPr>
          <w:p w14:paraId="6DBCC743" w14:textId="2D69E734" w:rsidR="00966EF0" w:rsidRPr="00A52F23" w:rsidRDefault="00022E6A" w:rsidP="00D93116">
            <w:pPr>
              <w:spacing w:after="60"/>
              <w:rPr>
                <w:rFonts w:ascii="Calibri" w:eastAsia="SimSun" w:hAnsi="Calibri" w:cs="Calibri"/>
                <w:iCs/>
                <w:sz w:val="16"/>
                <w:szCs w:val="16"/>
              </w:rPr>
            </w:pPr>
            <w:r>
              <w:rPr>
                <w:rFonts w:ascii="Calibri" w:hAnsi="Calibri"/>
                <w:sz w:val="16"/>
              </w:rPr>
              <w:t xml:space="preserve">Emisiones de </w:t>
            </w:r>
            <w:r w:rsidR="00D93116">
              <w:rPr>
                <w:rFonts w:ascii="Calibri" w:hAnsi="Calibri"/>
                <w:sz w:val="16"/>
              </w:rPr>
              <w:t>G</w:t>
            </w:r>
            <w:r>
              <w:rPr>
                <w:rFonts w:ascii="Calibri" w:hAnsi="Calibri"/>
                <w:sz w:val="16"/>
              </w:rPr>
              <w:t xml:space="preserve">ases de </w:t>
            </w:r>
            <w:r w:rsidR="00D93116">
              <w:rPr>
                <w:rFonts w:ascii="Calibri" w:hAnsi="Calibri"/>
                <w:sz w:val="16"/>
              </w:rPr>
              <w:t>E</w:t>
            </w:r>
            <w:r>
              <w:rPr>
                <w:rFonts w:ascii="Calibri" w:hAnsi="Calibri"/>
                <w:sz w:val="16"/>
              </w:rPr>
              <w:t xml:space="preserve">fecto </w:t>
            </w:r>
            <w:r w:rsidR="00D93116">
              <w:rPr>
                <w:rFonts w:ascii="Calibri" w:hAnsi="Calibri"/>
                <w:sz w:val="16"/>
              </w:rPr>
              <w:t>I</w:t>
            </w:r>
            <w:r>
              <w:rPr>
                <w:rFonts w:ascii="Calibri" w:hAnsi="Calibri"/>
                <w:sz w:val="16"/>
              </w:rPr>
              <w:t>nvernadero mitigadas (toneladas métricas de CO2e)</w:t>
            </w:r>
          </w:p>
        </w:tc>
        <w:tc>
          <w:tcPr>
            <w:tcW w:w="1861" w:type="dxa"/>
            <w:shd w:val="clear" w:color="auto" w:fill="auto"/>
          </w:tcPr>
          <w:p w14:paraId="170727A5" w14:textId="77777777" w:rsidR="00966EF0" w:rsidRPr="00A52F23" w:rsidRDefault="00B27108" w:rsidP="00966EF0">
            <w:pPr>
              <w:spacing w:after="60"/>
              <w:rPr>
                <w:rFonts w:asciiTheme="minorHAnsi" w:hAnsiTheme="minorHAnsi" w:cstheme="minorHAnsi"/>
                <w:bCs/>
                <w:sz w:val="16"/>
                <w:szCs w:val="16"/>
              </w:rPr>
            </w:pPr>
            <w:r>
              <w:rPr>
                <w:rFonts w:asciiTheme="minorHAnsi" w:hAnsiTheme="minorHAnsi"/>
                <w:sz w:val="16"/>
              </w:rPr>
              <w:t>Registros oficiales del MAATE</w:t>
            </w:r>
          </w:p>
          <w:p w14:paraId="7E3557C9" w14:textId="52D78ED4" w:rsidR="00CA3010" w:rsidRPr="00A52F23" w:rsidRDefault="00CA3010" w:rsidP="00966EF0">
            <w:pPr>
              <w:spacing w:after="60"/>
              <w:rPr>
                <w:rFonts w:ascii="Calibri" w:eastAsia="SimSun" w:hAnsi="Calibri" w:cs="Calibri"/>
                <w:iCs/>
                <w:sz w:val="16"/>
                <w:szCs w:val="16"/>
              </w:rPr>
            </w:pPr>
            <w:r>
              <w:rPr>
                <w:rFonts w:ascii="Calibri" w:hAnsi="Calibri"/>
                <w:sz w:val="16"/>
              </w:rPr>
              <w:t>Metodología acordada con el Programa Global FARM</w:t>
            </w:r>
          </w:p>
        </w:tc>
        <w:tc>
          <w:tcPr>
            <w:tcW w:w="1081" w:type="dxa"/>
            <w:shd w:val="clear" w:color="auto" w:fill="auto"/>
          </w:tcPr>
          <w:p w14:paraId="213F45A8" w14:textId="77777777" w:rsidR="00834551" w:rsidRPr="00A52F23" w:rsidRDefault="00834551" w:rsidP="00834551">
            <w:pPr>
              <w:rPr>
                <w:rFonts w:asciiTheme="minorHAnsi" w:hAnsiTheme="minorHAnsi" w:cstheme="minorHAnsi"/>
                <w:sz w:val="16"/>
                <w:szCs w:val="16"/>
              </w:rPr>
            </w:pPr>
            <w:r>
              <w:rPr>
                <w:rFonts w:asciiTheme="minorHAnsi" w:hAnsiTheme="minorHAnsi"/>
                <w:sz w:val="16"/>
              </w:rPr>
              <w:t xml:space="preserve">Anualmente </w:t>
            </w:r>
          </w:p>
          <w:p w14:paraId="136007EA" w14:textId="77777777" w:rsidR="00834551" w:rsidRPr="002152FE" w:rsidRDefault="00834551" w:rsidP="00834551">
            <w:pPr>
              <w:rPr>
                <w:rFonts w:asciiTheme="minorHAnsi" w:hAnsiTheme="minorHAnsi" w:cstheme="minorHAnsi"/>
                <w:sz w:val="16"/>
                <w:szCs w:val="16"/>
                <w:lang w:val="es-EC"/>
              </w:rPr>
            </w:pPr>
          </w:p>
          <w:p w14:paraId="5F75C35D" w14:textId="0F2DED6C" w:rsidR="00966EF0" w:rsidRPr="00A52F23" w:rsidRDefault="00834551" w:rsidP="00834551">
            <w:pPr>
              <w:spacing w:after="60"/>
              <w:rPr>
                <w:rFonts w:ascii="Calibri" w:eastAsia="SimSun" w:hAnsi="Calibri" w:cs="Calibri"/>
                <w:sz w:val="16"/>
                <w:szCs w:val="16"/>
              </w:rPr>
            </w:pPr>
            <w:r>
              <w:rPr>
                <w:rFonts w:asciiTheme="minorHAnsi" w:hAnsiTheme="minorHAnsi"/>
                <w:sz w:val="16"/>
              </w:rPr>
              <w:t>Informado en la pestaña DO del PIR del FMAM</w:t>
            </w:r>
          </w:p>
        </w:tc>
        <w:tc>
          <w:tcPr>
            <w:tcW w:w="1401" w:type="dxa"/>
            <w:shd w:val="clear" w:color="auto" w:fill="auto"/>
          </w:tcPr>
          <w:p w14:paraId="3AB3F0B7" w14:textId="77777777" w:rsidR="00966EF0" w:rsidRPr="00A52F23" w:rsidRDefault="005E777E" w:rsidP="00966EF0">
            <w:pPr>
              <w:spacing w:after="60"/>
              <w:rPr>
                <w:rFonts w:asciiTheme="minorHAnsi" w:hAnsiTheme="minorHAnsi" w:cstheme="minorHAnsi"/>
                <w:bCs/>
                <w:sz w:val="16"/>
                <w:szCs w:val="16"/>
              </w:rPr>
            </w:pPr>
            <w:r>
              <w:rPr>
                <w:rFonts w:asciiTheme="minorHAnsi" w:hAnsiTheme="minorHAnsi"/>
                <w:sz w:val="16"/>
              </w:rPr>
              <w:t>Ministerio de Medio Ambiente, Agua y Transición Ecológica. (MAATE)</w:t>
            </w:r>
          </w:p>
          <w:p w14:paraId="43D49EAD" w14:textId="45B48FE8" w:rsidR="005E777E" w:rsidRPr="00A52F23" w:rsidRDefault="005E777E" w:rsidP="005E777E">
            <w:pPr>
              <w:spacing w:after="60"/>
              <w:rPr>
                <w:rFonts w:ascii="Calibri" w:eastAsia="SimSun" w:hAnsi="Calibri" w:cs="Calibri"/>
                <w:iCs/>
                <w:sz w:val="16"/>
                <w:szCs w:val="16"/>
              </w:rPr>
            </w:pPr>
            <w:r>
              <w:rPr>
                <w:rFonts w:ascii="Calibri" w:hAnsi="Calibri"/>
                <w:sz w:val="16"/>
              </w:rPr>
              <w:t>UGP</w:t>
            </w:r>
          </w:p>
        </w:tc>
        <w:tc>
          <w:tcPr>
            <w:tcW w:w="1160" w:type="dxa"/>
            <w:shd w:val="clear" w:color="auto" w:fill="auto"/>
          </w:tcPr>
          <w:p w14:paraId="4ED82F29" w14:textId="328F4C29" w:rsidR="00966EF0" w:rsidRPr="00A52F23" w:rsidRDefault="00D63AF3" w:rsidP="00022E6A">
            <w:pPr>
              <w:spacing w:after="60"/>
              <w:rPr>
                <w:rFonts w:ascii="Calibri" w:eastAsia="SimSun" w:hAnsi="Calibri" w:cs="Calibri"/>
                <w:iCs/>
                <w:sz w:val="16"/>
                <w:szCs w:val="16"/>
              </w:rPr>
            </w:pPr>
            <w:r>
              <w:rPr>
                <w:rFonts w:ascii="Calibri" w:hAnsi="Calibri"/>
                <w:sz w:val="16"/>
              </w:rPr>
              <w:t>Registros oficiales del MAATE</w:t>
            </w:r>
          </w:p>
        </w:tc>
        <w:tc>
          <w:tcPr>
            <w:tcW w:w="2113" w:type="dxa"/>
            <w:shd w:val="clear" w:color="auto" w:fill="auto"/>
          </w:tcPr>
          <w:p w14:paraId="25C148CA" w14:textId="77777777" w:rsidR="00A2026D" w:rsidRPr="00B43BBC" w:rsidRDefault="00A2026D" w:rsidP="00B43BBC">
            <w:pPr>
              <w:spacing w:after="60"/>
              <w:jc w:val="both"/>
              <w:rPr>
                <w:rFonts w:ascii="Calibri" w:eastAsia="SimSun" w:hAnsi="Calibri" w:cs="Arial"/>
                <w:sz w:val="16"/>
                <w:szCs w:val="16"/>
                <w:u w:val="single"/>
              </w:rPr>
            </w:pPr>
            <w:r>
              <w:rPr>
                <w:rFonts w:ascii="Calibri" w:hAnsi="Calibri"/>
                <w:sz w:val="16"/>
                <w:u w:val="single"/>
              </w:rPr>
              <w:t xml:space="preserve">Riesgos: </w:t>
            </w:r>
          </w:p>
          <w:p w14:paraId="6EA9BD54" w14:textId="3E697F03" w:rsidR="006C5962" w:rsidRPr="00B43BBC" w:rsidRDefault="00A63222" w:rsidP="00B43BBC">
            <w:pPr>
              <w:spacing w:after="60"/>
              <w:jc w:val="both"/>
              <w:rPr>
                <w:rFonts w:ascii="Calibri" w:eastAsia="SimSun" w:hAnsi="Calibri" w:cs="Arial"/>
                <w:sz w:val="16"/>
                <w:szCs w:val="16"/>
              </w:rPr>
            </w:pPr>
            <w:r>
              <w:rPr>
                <w:rFonts w:ascii="Calibri" w:hAnsi="Calibri"/>
                <w:sz w:val="16"/>
              </w:rPr>
              <w:t xml:space="preserve">El desarrollo de capacidades en la gestión de residuos agroplásticos no se lleva a cabo de forma eficaz. (Relacionado con el </w:t>
            </w:r>
            <w:r w:rsidR="00591DCB">
              <w:rPr>
                <w:rFonts w:ascii="Calibri" w:hAnsi="Calibri"/>
                <w:sz w:val="16"/>
              </w:rPr>
              <w:t>R</w:t>
            </w:r>
            <w:r>
              <w:rPr>
                <w:rFonts w:ascii="Calibri" w:hAnsi="Calibri"/>
                <w:sz w:val="16"/>
              </w:rPr>
              <w:t xml:space="preserve">iesgo 12) </w:t>
            </w:r>
          </w:p>
          <w:p w14:paraId="27E94146" w14:textId="525DAC59" w:rsidR="00966EF0" w:rsidRPr="00B43BBC" w:rsidRDefault="00A2026D" w:rsidP="00B43BBC">
            <w:pPr>
              <w:spacing w:after="60"/>
              <w:jc w:val="both"/>
              <w:rPr>
                <w:rFonts w:ascii="Calibri" w:eastAsia="SimSun" w:hAnsi="Calibri" w:cs="Arial"/>
                <w:sz w:val="16"/>
                <w:szCs w:val="16"/>
                <w:u w:val="single"/>
              </w:rPr>
            </w:pPr>
            <w:r>
              <w:rPr>
                <w:rFonts w:ascii="Calibri" w:hAnsi="Calibri"/>
                <w:sz w:val="16"/>
                <w:u w:val="single"/>
              </w:rPr>
              <w:t>Supuestos:</w:t>
            </w:r>
          </w:p>
          <w:p w14:paraId="56960957" w14:textId="58B604C1" w:rsidR="00A63222" w:rsidRPr="00B43BBC" w:rsidRDefault="00B401A1" w:rsidP="00B43BBC">
            <w:pPr>
              <w:snapToGrid w:val="0"/>
              <w:spacing w:after="120"/>
              <w:jc w:val="both"/>
              <w:rPr>
                <w:rFonts w:asciiTheme="minorHAnsi" w:hAnsiTheme="minorHAnsi" w:cstheme="minorHAnsi"/>
                <w:color w:val="000000" w:themeColor="text1"/>
                <w:sz w:val="16"/>
                <w:szCs w:val="16"/>
              </w:rPr>
            </w:pPr>
            <w:r>
              <w:rPr>
                <w:rFonts w:asciiTheme="minorHAnsi" w:hAnsiTheme="minorHAnsi"/>
                <w:color w:val="000000" w:themeColor="text1"/>
                <w:sz w:val="16"/>
              </w:rPr>
              <w:t>Las principales partes interesadas están dispuestas a participar y recibir formación y capacitación en la reducción de productos agroquímicos nocivos y en la adopción de prácticas de producción sostenibles en el sector agrícola, incluida la gestión de residuos plásticos.</w:t>
            </w:r>
          </w:p>
        </w:tc>
      </w:tr>
      <w:tr w:rsidR="00A67531" w:rsidRPr="001B17BF" w14:paraId="5749BB72" w14:textId="77777777" w:rsidTr="00CF524B">
        <w:trPr>
          <w:trHeight w:val="260"/>
        </w:trPr>
        <w:tc>
          <w:tcPr>
            <w:tcW w:w="1335" w:type="dxa"/>
            <w:vMerge/>
          </w:tcPr>
          <w:p w14:paraId="4535F1BB" w14:textId="77777777" w:rsidR="00966EF0" w:rsidRPr="002152FE" w:rsidRDefault="00966EF0" w:rsidP="00966EF0">
            <w:pPr>
              <w:spacing w:after="60"/>
              <w:jc w:val="both"/>
              <w:rPr>
                <w:rFonts w:ascii="Calibri" w:eastAsia="SimSun" w:hAnsi="Calibri" w:cs="Calibri"/>
                <w:b/>
                <w:sz w:val="16"/>
                <w:szCs w:val="16"/>
                <w:lang w:val="es-EC"/>
              </w:rPr>
            </w:pPr>
          </w:p>
        </w:tc>
        <w:tc>
          <w:tcPr>
            <w:tcW w:w="1764" w:type="dxa"/>
            <w:shd w:val="clear" w:color="auto" w:fill="auto"/>
          </w:tcPr>
          <w:p w14:paraId="2D5256C8" w14:textId="77777777" w:rsidR="00966EF0" w:rsidRPr="0044265A" w:rsidRDefault="00966EF0" w:rsidP="00966EF0">
            <w:pPr>
              <w:spacing w:after="60"/>
              <w:jc w:val="both"/>
              <w:rPr>
                <w:rFonts w:ascii="Calibri" w:eastAsia="SimSun" w:hAnsi="Calibri" w:cs="Calibri"/>
                <w:b/>
                <w:i/>
                <w:sz w:val="16"/>
                <w:szCs w:val="16"/>
              </w:rPr>
            </w:pPr>
            <w:r>
              <w:rPr>
                <w:rFonts w:ascii="Calibri" w:hAnsi="Calibri"/>
                <w:b/>
                <w:i/>
                <w:sz w:val="16"/>
              </w:rPr>
              <w:t>Indicador 3</w:t>
            </w:r>
          </w:p>
          <w:p w14:paraId="4AD807CE" w14:textId="0A7ACAF1" w:rsidR="006F72E1" w:rsidRPr="0044265A" w:rsidRDefault="006F72E1" w:rsidP="006F72E1">
            <w:pPr>
              <w:spacing w:after="60"/>
              <w:rPr>
                <w:rFonts w:ascii="Calibri" w:eastAsia="SimSun" w:hAnsi="Calibri" w:cs="Calibri"/>
                <w:i/>
                <w:iCs/>
                <w:sz w:val="16"/>
                <w:szCs w:val="16"/>
                <w:u w:val="single"/>
              </w:rPr>
            </w:pPr>
            <w:r>
              <w:rPr>
                <w:rFonts w:ascii="Calibri" w:hAnsi="Calibri"/>
                <w:i/>
                <w:sz w:val="16"/>
                <w:u w:val="single"/>
              </w:rPr>
              <w:t xml:space="preserve">Indicadores </w:t>
            </w:r>
            <w:r w:rsidR="00D93116">
              <w:rPr>
                <w:rFonts w:ascii="Calibri" w:hAnsi="Calibri"/>
                <w:i/>
                <w:sz w:val="16"/>
                <w:u w:val="single"/>
              </w:rPr>
              <w:t>B</w:t>
            </w:r>
            <w:r>
              <w:rPr>
                <w:rFonts w:ascii="Calibri" w:hAnsi="Calibri"/>
                <w:i/>
                <w:sz w:val="16"/>
                <w:u w:val="single"/>
              </w:rPr>
              <w:t xml:space="preserve">ásicos </w:t>
            </w:r>
            <w:r w:rsidR="00D93116">
              <w:rPr>
                <w:rFonts w:ascii="Calibri" w:hAnsi="Calibri"/>
                <w:i/>
                <w:sz w:val="16"/>
                <w:u w:val="single"/>
              </w:rPr>
              <w:t>O</w:t>
            </w:r>
            <w:r>
              <w:rPr>
                <w:rFonts w:ascii="Calibri" w:hAnsi="Calibri"/>
                <w:i/>
                <w:sz w:val="16"/>
                <w:u w:val="single"/>
              </w:rPr>
              <w:t xml:space="preserve">bligatorios del FMAM 9: </w:t>
            </w:r>
          </w:p>
          <w:p w14:paraId="41875D90" w14:textId="7BB98A0A" w:rsidR="006F72E1" w:rsidRPr="002152FE" w:rsidRDefault="006F72E1" w:rsidP="006F72E1">
            <w:pPr>
              <w:spacing w:after="60"/>
              <w:rPr>
                <w:rFonts w:asciiTheme="minorHAnsi" w:eastAsia="SimSun" w:hAnsiTheme="minorHAnsi" w:cstheme="minorHAnsi"/>
                <w:bCs/>
                <w:sz w:val="16"/>
                <w:szCs w:val="16"/>
                <w:u w:val="single"/>
                <w:lang w:val="es-EC"/>
              </w:rPr>
            </w:pPr>
          </w:p>
        </w:tc>
        <w:tc>
          <w:tcPr>
            <w:tcW w:w="1029" w:type="dxa"/>
          </w:tcPr>
          <w:p w14:paraId="4F0F1F45" w14:textId="77777777" w:rsidR="00D54605" w:rsidRPr="0044265A" w:rsidRDefault="00D54605" w:rsidP="00D54605">
            <w:pPr>
              <w:spacing w:after="60"/>
              <w:rPr>
                <w:rFonts w:ascii="Calibri" w:eastAsia="SimSun" w:hAnsi="Calibri" w:cs="Calibri"/>
                <w:bCs/>
                <w:iCs/>
                <w:sz w:val="16"/>
                <w:szCs w:val="16"/>
              </w:rPr>
            </w:pPr>
            <w:r>
              <w:rPr>
                <w:rFonts w:ascii="Calibri" w:hAnsi="Calibri"/>
                <w:sz w:val="16"/>
              </w:rPr>
              <w:t xml:space="preserve">1.000 Tm de pesticidas evitados </w:t>
            </w:r>
          </w:p>
          <w:p w14:paraId="122F799A" w14:textId="77777777" w:rsidR="00D54605" w:rsidRPr="0044265A" w:rsidRDefault="00D54605" w:rsidP="00D54605">
            <w:pPr>
              <w:spacing w:after="60"/>
              <w:rPr>
                <w:rFonts w:ascii="Calibri" w:eastAsia="SimSun" w:hAnsi="Calibri" w:cs="Calibri"/>
                <w:bCs/>
                <w:iCs/>
                <w:sz w:val="16"/>
                <w:szCs w:val="16"/>
              </w:rPr>
            </w:pPr>
            <w:r>
              <w:rPr>
                <w:rFonts w:ascii="Calibri" w:hAnsi="Calibri"/>
                <w:sz w:val="16"/>
              </w:rPr>
              <w:t>(58 Tm de COPs: DDT;</w:t>
            </w:r>
          </w:p>
          <w:p w14:paraId="4258D320" w14:textId="23C83653" w:rsidR="00D54605" w:rsidRPr="0044265A" w:rsidRDefault="00D54605" w:rsidP="00D54605">
            <w:pPr>
              <w:spacing w:after="60"/>
              <w:rPr>
                <w:rFonts w:ascii="Calibri" w:eastAsia="SimSun" w:hAnsi="Calibri" w:cs="Calibri"/>
                <w:bCs/>
                <w:iCs/>
                <w:sz w:val="16"/>
                <w:szCs w:val="16"/>
              </w:rPr>
            </w:pPr>
            <w:r>
              <w:rPr>
                <w:rFonts w:ascii="Calibri" w:hAnsi="Calibri"/>
                <w:sz w:val="16"/>
              </w:rPr>
              <w:t>232 Tm de candidatos a contaminantes orgánicos persistentes: Clorpirifos</w:t>
            </w:r>
          </w:p>
          <w:p w14:paraId="011D33DC" w14:textId="1B9F1F58" w:rsidR="00D54605" w:rsidRPr="0044265A" w:rsidRDefault="00D54605" w:rsidP="00D54605">
            <w:pPr>
              <w:spacing w:after="60"/>
              <w:rPr>
                <w:rFonts w:ascii="Calibri" w:eastAsia="SimSun" w:hAnsi="Calibri" w:cs="Calibri"/>
                <w:i/>
                <w:sz w:val="16"/>
                <w:szCs w:val="16"/>
              </w:rPr>
            </w:pPr>
            <w:r>
              <w:rPr>
                <w:rFonts w:ascii="Calibri" w:hAnsi="Calibri"/>
                <w:sz w:val="16"/>
              </w:rPr>
              <w:t>y 710 Tm de PAPs)</w:t>
            </w:r>
          </w:p>
        </w:tc>
        <w:tc>
          <w:tcPr>
            <w:tcW w:w="1211" w:type="dxa"/>
          </w:tcPr>
          <w:p w14:paraId="585B2A87" w14:textId="1E8C1DC7" w:rsidR="00966EF0" w:rsidRPr="00A52F23" w:rsidRDefault="00022E6A" w:rsidP="00966EF0">
            <w:pPr>
              <w:spacing w:after="60"/>
              <w:rPr>
                <w:rFonts w:ascii="Calibri" w:eastAsia="SimSun" w:hAnsi="Calibri" w:cs="Calibri"/>
                <w:iCs/>
                <w:sz w:val="16"/>
                <w:szCs w:val="16"/>
              </w:rPr>
            </w:pPr>
            <w:r>
              <w:rPr>
                <w:rFonts w:asciiTheme="minorHAnsi" w:hAnsiTheme="minorHAnsi"/>
                <w:sz w:val="16"/>
              </w:rPr>
              <w:t xml:space="preserve">Reducción, eliminación/destrucción, retirada progresiva, eliminación y </w:t>
            </w:r>
            <w:r w:rsidR="00626B84" w:rsidRPr="00626B84">
              <w:rPr>
                <w:rFonts w:asciiTheme="minorHAnsi" w:hAnsiTheme="minorHAnsi"/>
                <w:sz w:val="16"/>
              </w:rPr>
              <w:t xml:space="preserve">prevención </w:t>
            </w:r>
            <w:r w:rsidR="00626B84">
              <w:rPr>
                <w:rFonts w:asciiTheme="minorHAnsi" w:hAnsiTheme="minorHAnsi"/>
                <w:sz w:val="16"/>
              </w:rPr>
              <w:t xml:space="preserve">de uso </w:t>
            </w:r>
            <w:r>
              <w:rPr>
                <w:rFonts w:asciiTheme="minorHAnsi" w:hAnsiTheme="minorHAnsi"/>
                <w:sz w:val="16"/>
              </w:rPr>
              <w:t>de sustancias químicas preocupantes a nivel mundial y sus residuos en el ambiente y en procesos, materiales y productos (toneladas métricas de sustancias químicas tóxicas reducidas)</w:t>
            </w:r>
          </w:p>
        </w:tc>
        <w:tc>
          <w:tcPr>
            <w:tcW w:w="1861" w:type="dxa"/>
            <w:shd w:val="clear" w:color="auto" w:fill="auto"/>
          </w:tcPr>
          <w:p w14:paraId="110CEE81" w14:textId="64D67BA8" w:rsidR="00966EF0" w:rsidRPr="00A52F23" w:rsidRDefault="00A93A34" w:rsidP="00966EF0">
            <w:pPr>
              <w:spacing w:after="60"/>
              <w:rPr>
                <w:rFonts w:asciiTheme="minorHAnsi" w:hAnsiTheme="minorHAnsi" w:cstheme="minorHAnsi"/>
                <w:sz w:val="16"/>
                <w:szCs w:val="16"/>
              </w:rPr>
            </w:pPr>
            <w:r>
              <w:rPr>
                <w:rFonts w:asciiTheme="minorHAnsi" w:hAnsiTheme="minorHAnsi"/>
                <w:sz w:val="16"/>
              </w:rPr>
              <w:t>Registros oficiales del MAATE; certificados</w:t>
            </w:r>
            <w:r w:rsidR="006A3BAD">
              <w:rPr>
                <w:rFonts w:asciiTheme="minorHAnsi" w:hAnsiTheme="minorHAnsi"/>
                <w:sz w:val="16"/>
              </w:rPr>
              <w:t xml:space="preserve"> </w:t>
            </w:r>
            <w:r>
              <w:rPr>
                <w:rFonts w:asciiTheme="minorHAnsi" w:hAnsiTheme="minorHAnsi"/>
                <w:sz w:val="16"/>
              </w:rPr>
              <w:t>oficiales de eliminación de las instalaciones de tratamiento/disposición final</w:t>
            </w:r>
          </w:p>
          <w:p w14:paraId="3C7B724F" w14:textId="1352CCA7" w:rsidR="00DC598E" w:rsidRPr="00A52F23" w:rsidRDefault="00DC598E" w:rsidP="00966EF0">
            <w:pPr>
              <w:spacing w:after="60"/>
              <w:rPr>
                <w:rFonts w:asciiTheme="minorHAnsi" w:eastAsia="SimSun" w:hAnsiTheme="minorHAnsi" w:cstheme="minorHAnsi"/>
                <w:i/>
                <w:sz w:val="16"/>
                <w:szCs w:val="16"/>
              </w:rPr>
            </w:pPr>
            <w:r>
              <w:rPr>
                <w:rFonts w:ascii="Calibri" w:hAnsi="Calibri"/>
                <w:sz w:val="16"/>
              </w:rPr>
              <w:t>Metodología acordada con el Programa Global FARM</w:t>
            </w:r>
          </w:p>
        </w:tc>
        <w:tc>
          <w:tcPr>
            <w:tcW w:w="1081" w:type="dxa"/>
            <w:shd w:val="clear" w:color="auto" w:fill="auto"/>
          </w:tcPr>
          <w:p w14:paraId="69694C52" w14:textId="77777777" w:rsidR="00834551" w:rsidRPr="00A52F23" w:rsidRDefault="00834551" w:rsidP="00834551">
            <w:pPr>
              <w:rPr>
                <w:rFonts w:asciiTheme="minorHAnsi" w:hAnsiTheme="minorHAnsi" w:cstheme="minorHAnsi"/>
                <w:sz w:val="16"/>
                <w:szCs w:val="16"/>
              </w:rPr>
            </w:pPr>
            <w:r>
              <w:rPr>
                <w:rFonts w:asciiTheme="minorHAnsi" w:hAnsiTheme="minorHAnsi"/>
                <w:sz w:val="16"/>
              </w:rPr>
              <w:t xml:space="preserve">Anualmente </w:t>
            </w:r>
          </w:p>
          <w:p w14:paraId="07A1D2D0" w14:textId="77777777" w:rsidR="00834551" w:rsidRPr="002152FE" w:rsidRDefault="00834551" w:rsidP="00834551">
            <w:pPr>
              <w:rPr>
                <w:rFonts w:asciiTheme="minorHAnsi" w:hAnsiTheme="minorHAnsi" w:cstheme="minorHAnsi"/>
                <w:sz w:val="16"/>
                <w:szCs w:val="16"/>
                <w:lang w:val="es-EC"/>
              </w:rPr>
            </w:pPr>
          </w:p>
          <w:p w14:paraId="66DD09E7" w14:textId="67E91C5E" w:rsidR="00966EF0" w:rsidRPr="00A52F23" w:rsidRDefault="00834551" w:rsidP="00834551">
            <w:pPr>
              <w:spacing w:after="60"/>
              <w:rPr>
                <w:rFonts w:ascii="Calibri" w:eastAsia="SimSun" w:hAnsi="Calibri" w:cs="Calibri"/>
                <w:sz w:val="16"/>
                <w:szCs w:val="16"/>
              </w:rPr>
            </w:pPr>
            <w:r>
              <w:rPr>
                <w:rFonts w:asciiTheme="minorHAnsi" w:hAnsiTheme="minorHAnsi"/>
                <w:sz w:val="16"/>
              </w:rPr>
              <w:t xml:space="preserve">Informado en la pestaña </w:t>
            </w:r>
            <w:r w:rsidR="00F016C2">
              <w:rPr>
                <w:rFonts w:asciiTheme="minorHAnsi" w:hAnsiTheme="minorHAnsi"/>
                <w:sz w:val="16"/>
              </w:rPr>
              <w:t>DO</w:t>
            </w:r>
            <w:r>
              <w:rPr>
                <w:rFonts w:asciiTheme="minorHAnsi" w:hAnsiTheme="minorHAnsi"/>
                <w:sz w:val="16"/>
              </w:rPr>
              <w:t xml:space="preserve"> del PIR del FMAM</w:t>
            </w:r>
          </w:p>
        </w:tc>
        <w:tc>
          <w:tcPr>
            <w:tcW w:w="1401" w:type="dxa"/>
            <w:shd w:val="clear" w:color="auto" w:fill="auto"/>
          </w:tcPr>
          <w:p w14:paraId="370783CE" w14:textId="77777777" w:rsidR="00966EF0" w:rsidRPr="00A52F23" w:rsidRDefault="005E777E" w:rsidP="00966EF0">
            <w:pPr>
              <w:spacing w:after="60"/>
              <w:rPr>
                <w:rFonts w:ascii="Calibri" w:eastAsia="SimSun" w:hAnsi="Calibri" w:cs="Calibri"/>
                <w:iCs/>
                <w:sz w:val="16"/>
                <w:szCs w:val="16"/>
              </w:rPr>
            </w:pPr>
            <w:r>
              <w:rPr>
                <w:rFonts w:ascii="Calibri" w:hAnsi="Calibri"/>
                <w:sz w:val="16"/>
              </w:rPr>
              <w:t>UGP</w:t>
            </w:r>
          </w:p>
          <w:p w14:paraId="48D1CE84" w14:textId="6A5957E4" w:rsidR="005E777E" w:rsidRPr="00A52F23" w:rsidRDefault="005E777E" w:rsidP="00966EF0">
            <w:pPr>
              <w:spacing w:after="60"/>
              <w:rPr>
                <w:rFonts w:ascii="Calibri" w:eastAsia="SimSun" w:hAnsi="Calibri" w:cs="Calibri"/>
                <w:i/>
                <w:sz w:val="16"/>
                <w:szCs w:val="16"/>
              </w:rPr>
            </w:pPr>
            <w:r>
              <w:rPr>
                <w:rFonts w:ascii="Calibri" w:hAnsi="Calibri"/>
                <w:sz w:val="16"/>
              </w:rPr>
              <w:t>MAATE</w:t>
            </w:r>
          </w:p>
        </w:tc>
        <w:tc>
          <w:tcPr>
            <w:tcW w:w="1160" w:type="dxa"/>
            <w:shd w:val="clear" w:color="auto" w:fill="auto"/>
          </w:tcPr>
          <w:p w14:paraId="33EC7180" w14:textId="6A81D65E" w:rsidR="00966EF0" w:rsidRPr="00A52F23" w:rsidRDefault="00D63AF3" w:rsidP="00966EF0">
            <w:pPr>
              <w:spacing w:after="60"/>
              <w:rPr>
                <w:rFonts w:ascii="Calibri" w:eastAsia="SimSun" w:hAnsi="Calibri" w:cs="Calibri"/>
                <w:i/>
                <w:sz w:val="16"/>
                <w:szCs w:val="16"/>
              </w:rPr>
            </w:pPr>
            <w:r>
              <w:rPr>
                <w:rFonts w:ascii="Calibri" w:hAnsi="Calibri"/>
                <w:sz w:val="16"/>
              </w:rPr>
              <w:t>Registros oficiales del MAATE</w:t>
            </w:r>
          </w:p>
        </w:tc>
        <w:tc>
          <w:tcPr>
            <w:tcW w:w="2113" w:type="dxa"/>
            <w:shd w:val="clear" w:color="auto" w:fill="auto"/>
          </w:tcPr>
          <w:p w14:paraId="02F22183" w14:textId="77777777" w:rsidR="00A2026D" w:rsidRPr="00B43BBC" w:rsidRDefault="00A2026D" w:rsidP="00B43BBC">
            <w:pPr>
              <w:spacing w:after="60"/>
              <w:jc w:val="both"/>
              <w:rPr>
                <w:rFonts w:ascii="Calibri" w:eastAsia="SimSun" w:hAnsi="Calibri" w:cs="Arial"/>
                <w:sz w:val="16"/>
                <w:szCs w:val="16"/>
                <w:u w:val="single"/>
              </w:rPr>
            </w:pPr>
            <w:r>
              <w:rPr>
                <w:rFonts w:ascii="Calibri" w:hAnsi="Calibri"/>
                <w:sz w:val="16"/>
                <w:u w:val="single"/>
              </w:rPr>
              <w:t xml:space="preserve">Riesgos: </w:t>
            </w:r>
          </w:p>
          <w:p w14:paraId="1DFC4122" w14:textId="1A4D3E99" w:rsidR="00A2026D" w:rsidRPr="006C5962" w:rsidRDefault="009B3488" w:rsidP="00B43BBC">
            <w:pPr>
              <w:spacing w:after="60"/>
              <w:jc w:val="both"/>
              <w:rPr>
                <w:rFonts w:ascii="Calibri" w:eastAsia="SimSun" w:hAnsi="Calibri" w:cs="Arial"/>
                <w:sz w:val="16"/>
                <w:szCs w:val="16"/>
              </w:rPr>
            </w:pPr>
            <w:r>
              <w:rPr>
                <w:rFonts w:ascii="Calibri" w:hAnsi="Calibri"/>
                <w:sz w:val="16"/>
              </w:rPr>
              <w:t>Capacidad limitada en el MAATE, las autoridades gubernamentales y las partes interesadas clave para permitir un entorno favorable para la reducción de COPs y PAPs</w:t>
            </w:r>
            <w:r w:rsidR="00E8356F">
              <w:rPr>
                <w:rFonts w:ascii="Calibri" w:hAnsi="Calibri"/>
                <w:sz w:val="16"/>
              </w:rPr>
              <w:t>.</w:t>
            </w:r>
            <w:r>
              <w:rPr>
                <w:rFonts w:ascii="Calibri" w:hAnsi="Calibri"/>
                <w:sz w:val="16"/>
              </w:rPr>
              <w:t xml:space="preserve"> (Relacionado con el </w:t>
            </w:r>
            <w:r w:rsidR="00E8356F">
              <w:rPr>
                <w:rFonts w:ascii="Calibri" w:hAnsi="Calibri"/>
                <w:sz w:val="16"/>
              </w:rPr>
              <w:t>R</w:t>
            </w:r>
            <w:r>
              <w:rPr>
                <w:rFonts w:ascii="Calibri" w:hAnsi="Calibri"/>
                <w:sz w:val="16"/>
              </w:rPr>
              <w:t>iesgo 2, 10, 12 y 16)</w:t>
            </w:r>
          </w:p>
          <w:p w14:paraId="45B1BBED" w14:textId="5E5A9049" w:rsidR="00966EF0" w:rsidRPr="00B43BBC" w:rsidRDefault="00A2026D" w:rsidP="00A2026D">
            <w:pPr>
              <w:spacing w:after="60"/>
              <w:rPr>
                <w:rFonts w:ascii="Calibri" w:eastAsia="SimSun" w:hAnsi="Calibri" w:cs="Arial"/>
                <w:sz w:val="16"/>
                <w:szCs w:val="16"/>
                <w:u w:val="single"/>
              </w:rPr>
            </w:pPr>
            <w:r>
              <w:rPr>
                <w:rFonts w:ascii="Calibri" w:hAnsi="Calibri"/>
                <w:sz w:val="16"/>
                <w:u w:val="single"/>
              </w:rPr>
              <w:t>Supuestos:</w:t>
            </w:r>
          </w:p>
          <w:p w14:paraId="535E2FDD" w14:textId="1A52B644" w:rsidR="00682608" w:rsidRPr="001C5829" w:rsidRDefault="00682608" w:rsidP="00682608">
            <w:pPr>
              <w:snapToGrid w:val="0"/>
              <w:spacing w:after="120"/>
              <w:jc w:val="both"/>
              <w:rPr>
                <w:rFonts w:asciiTheme="minorHAnsi" w:hAnsiTheme="minorHAnsi" w:cstheme="minorHAnsi"/>
                <w:color w:val="000000" w:themeColor="text1"/>
                <w:sz w:val="16"/>
                <w:szCs w:val="16"/>
              </w:rPr>
            </w:pPr>
            <w:r>
              <w:rPr>
                <w:rFonts w:asciiTheme="minorHAnsi" w:hAnsiTheme="minorHAnsi"/>
                <w:sz w:val="16"/>
              </w:rPr>
              <w:t>El GdE se compromete a fomentar la coordinación entre las autoridades competentes en la gestión adecuada de los productos agroquímicos y a poner a disposición los recursos humanos adecuados durante la duración del proyecto y más a futuro.</w:t>
            </w:r>
          </w:p>
          <w:p w14:paraId="4E8351A8" w14:textId="0EE51EB4" w:rsidR="007C784C" w:rsidRPr="007C784C" w:rsidRDefault="007C784C" w:rsidP="007C784C">
            <w:pPr>
              <w:pStyle w:val="GEFFieldtoFillout"/>
              <w:shd w:val="clear" w:color="auto" w:fill="FFFFFF"/>
              <w:tabs>
                <w:tab w:val="left" w:pos="709"/>
              </w:tabs>
              <w:spacing w:after="120"/>
              <w:ind w:left="0"/>
              <w:jc w:val="both"/>
              <w:rPr>
                <w:rFonts w:asciiTheme="minorHAnsi" w:hAnsiTheme="minorHAnsi" w:cstheme="minorHAnsi"/>
                <w:sz w:val="16"/>
                <w:szCs w:val="16"/>
              </w:rPr>
            </w:pPr>
            <w:r>
              <w:rPr>
                <w:rFonts w:asciiTheme="minorHAnsi" w:hAnsiTheme="minorHAnsi"/>
                <w:sz w:val="16"/>
              </w:rPr>
              <w:t xml:space="preserve">Un enfoque de colaboración para la elaboración de políticas que se mantenga y mejore continuamente, integrando las cuestiones relacionadas con el género en toda la ejecución de las actividades propuestas.   </w:t>
            </w:r>
          </w:p>
          <w:p w14:paraId="10CB0349" w14:textId="3161ECD7" w:rsidR="007C784C" w:rsidRPr="001C5829" w:rsidRDefault="007C784C" w:rsidP="00B43BBC">
            <w:pPr>
              <w:snapToGrid w:val="0"/>
              <w:spacing w:after="120"/>
              <w:jc w:val="both"/>
              <w:rPr>
                <w:rFonts w:asciiTheme="minorHAnsi" w:hAnsiTheme="minorHAnsi" w:cstheme="minorHAnsi"/>
                <w:color w:val="000000" w:themeColor="text1"/>
                <w:sz w:val="16"/>
                <w:szCs w:val="16"/>
              </w:rPr>
            </w:pPr>
            <w:r>
              <w:rPr>
                <w:rFonts w:asciiTheme="minorHAnsi" w:hAnsiTheme="minorHAnsi"/>
                <w:color w:val="000000" w:themeColor="text1"/>
                <w:sz w:val="16"/>
              </w:rPr>
              <w:t>Las principales partes interesadas están dispuestas a participar y recibir formación y capacitación en la reducción de productos agroquímicos perjudiciales y en la adopción de prácticas de producción sostenibles en el sector agrícola.</w:t>
            </w:r>
          </w:p>
        </w:tc>
      </w:tr>
      <w:tr w:rsidR="00A67531" w:rsidRPr="001B17BF" w14:paraId="61FD2076" w14:textId="77777777" w:rsidTr="00CF524B">
        <w:trPr>
          <w:trHeight w:val="260"/>
        </w:trPr>
        <w:tc>
          <w:tcPr>
            <w:tcW w:w="1335" w:type="dxa"/>
            <w:vMerge/>
          </w:tcPr>
          <w:p w14:paraId="42A8D988" w14:textId="77777777" w:rsidR="00966EF0" w:rsidRPr="002152FE" w:rsidRDefault="00966EF0" w:rsidP="00966EF0">
            <w:pPr>
              <w:spacing w:after="60"/>
              <w:jc w:val="both"/>
              <w:rPr>
                <w:rFonts w:ascii="Calibri" w:eastAsia="SimSun" w:hAnsi="Calibri" w:cs="Calibri"/>
                <w:b/>
                <w:sz w:val="16"/>
                <w:szCs w:val="16"/>
                <w:lang w:val="es-EC"/>
              </w:rPr>
            </w:pPr>
          </w:p>
        </w:tc>
        <w:tc>
          <w:tcPr>
            <w:tcW w:w="1764" w:type="dxa"/>
            <w:shd w:val="clear" w:color="auto" w:fill="auto"/>
          </w:tcPr>
          <w:p w14:paraId="1DCA554D" w14:textId="77777777" w:rsidR="00966EF0" w:rsidRPr="00A52F23" w:rsidRDefault="00966EF0" w:rsidP="00966EF0">
            <w:pPr>
              <w:spacing w:after="60"/>
              <w:jc w:val="both"/>
              <w:rPr>
                <w:rFonts w:ascii="Calibri" w:eastAsia="SimSun" w:hAnsi="Calibri" w:cs="Calibri"/>
                <w:b/>
                <w:i/>
                <w:sz w:val="16"/>
                <w:szCs w:val="16"/>
              </w:rPr>
            </w:pPr>
            <w:r>
              <w:rPr>
                <w:rFonts w:ascii="Calibri" w:hAnsi="Calibri"/>
                <w:b/>
                <w:i/>
                <w:sz w:val="16"/>
              </w:rPr>
              <w:t>Indicador 4</w:t>
            </w:r>
          </w:p>
          <w:p w14:paraId="76373992" w14:textId="347F8C03" w:rsidR="006F72E1" w:rsidRPr="00A52F23" w:rsidRDefault="006F72E1" w:rsidP="006F72E1">
            <w:pPr>
              <w:spacing w:after="60"/>
              <w:rPr>
                <w:rFonts w:ascii="Calibri" w:eastAsia="SimSun" w:hAnsi="Calibri" w:cs="Calibri"/>
                <w:i/>
                <w:iCs/>
                <w:sz w:val="16"/>
                <w:szCs w:val="16"/>
                <w:u w:val="single"/>
              </w:rPr>
            </w:pPr>
            <w:r>
              <w:rPr>
                <w:rFonts w:ascii="Calibri" w:hAnsi="Calibri"/>
                <w:i/>
                <w:sz w:val="16"/>
                <w:u w:val="single"/>
              </w:rPr>
              <w:t xml:space="preserve">Indicadores </w:t>
            </w:r>
            <w:r w:rsidR="00591DCB">
              <w:rPr>
                <w:rFonts w:ascii="Calibri" w:hAnsi="Calibri"/>
                <w:i/>
                <w:sz w:val="16"/>
                <w:u w:val="single"/>
              </w:rPr>
              <w:t>B</w:t>
            </w:r>
            <w:r>
              <w:rPr>
                <w:rFonts w:ascii="Calibri" w:hAnsi="Calibri"/>
                <w:i/>
                <w:sz w:val="16"/>
                <w:u w:val="single"/>
              </w:rPr>
              <w:t xml:space="preserve">ásicos </w:t>
            </w:r>
            <w:r w:rsidR="00591DCB">
              <w:rPr>
                <w:rFonts w:ascii="Calibri" w:hAnsi="Calibri"/>
                <w:i/>
                <w:sz w:val="16"/>
                <w:u w:val="single"/>
              </w:rPr>
              <w:t>O</w:t>
            </w:r>
            <w:r>
              <w:rPr>
                <w:rFonts w:ascii="Calibri" w:hAnsi="Calibri"/>
                <w:i/>
                <w:sz w:val="16"/>
                <w:u w:val="single"/>
              </w:rPr>
              <w:t xml:space="preserve">bligatorios del FMAM 10: </w:t>
            </w:r>
          </w:p>
          <w:p w14:paraId="62AE1D6E" w14:textId="7A1DD473" w:rsidR="006F72E1" w:rsidRPr="002152FE" w:rsidRDefault="006F72E1" w:rsidP="006F72E1">
            <w:pPr>
              <w:spacing w:after="60"/>
              <w:jc w:val="both"/>
              <w:rPr>
                <w:rFonts w:ascii="Calibri" w:eastAsia="SimSun" w:hAnsi="Calibri" w:cs="Calibri"/>
                <w:b/>
                <w:i/>
                <w:sz w:val="16"/>
                <w:szCs w:val="16"/>
                <w:lang w:val="es-EC"/>
              </w:rPr>
            </w:pPr>
          </w:p>
        </w:tc>
        <w:tc>
          <w:tcPr>
            <w:tcW w:w="1029" w:type="dxa"/>
          </w:tcPr>
          <w:p w14:paraId="4CABFBCC" w14:textId="1C2B29FB" w:rsidR="00966EF0" w:rsidRPr="00A52F23" w:rsidRDefault="00A21A38" w:rsidP="00966EF0">
            <w:pPr>
              <w:spacing w:after="60"/>
              <w:rPr>
                <w:rFonts w:ascii="Calibri" w:eastAsia="SimSun" w:hAnsi="Calibri" w:cs="Calibri"/>
                <w:i/>
                <w:sz w:val="16"/>
                <w:szCs w:val="16"/>
              </w:rPr>
            </w:pPr>
            <w:r>
              <w:rPr>
                <w:rFonts w:asciiTheme="minorHAnsi" w:hAnsiTheme="minorHAnsi"/>
                <w:sz w:val="16"/>
              </w:rPr>
              <w:t>4.6 gTeq de emisiones evitadas</w:t>
            </w:r>
          </w:p>
        </w:tc>
        <w:tc>
          <w:tcPr>
            <w:tcW w:w="1211" w:type="dxa"/>
          </w:tcPr>
          <w:p w14:paraId="7CE79E18" w14:textId="6D0D5C10" w:rsidR="00966EF0" w:rsidRPr="00A52F23" w:rsidRDefault="00022E6A" w:rsidP="00966EF0">
            <w:pPr>
              <w:spacing w:after="60"/>
              <w:rPr>
                <w:rFonts w:ascii="Calibri" w:eastAsia="SimSun" w:hAnsi="Calibri" w:cs="Calibri"/>
                <w:iCs/>
                <w:sz w:val="16"/>
                <w:szCs w:val="16"/>
              </w:rPr>
            </w:pPr>
            <w:r>
              <w:rPr>
                <w:rFonts w:asciiTheme="minorHAnsi" w:hAnsiTheme="minorHAnsi"/>
                <w:sz w:val="16"/>
              </w:rPr>
              <w:t xml:space="preserve">Reducción, </w:t>
            </w:r>
            <w:r w:rsidR="00626B84" w:rsidRPr="00626B84">
              <w:rPr>
                <w:rFonts w:asciiTheme="minorHAnsi" w:hAnsiTheme="minorHAnsi"/>
                <w:sz w:val="16"/>
              </w:rPr>
              <w:t xml:space="preserve">prevención </w:t>
            </w:r>
            <w:r>
              <w:rPr>
                <w:rFonts w:asciiTheme="minorHAnsi" w:hAnsiTheme="minorHAnsi"/>
                <w:sz w:val="16"/>
              </w:rPr>
              <w:t>de emisiones de COP a la atmósfera procedentes de fuentes puntuales y difusas (gramos de equivalente tóxico gTEQ)</w:t>
            </w:r>
          </w:p>
        </w:tc>
        <w:tc>
          <w:tcPr>
            <w:tcW w:w="1861" w:type="dxa"/>
            <w:shd w:val="clear" w:color="auto" w:fill="auto"/>
          </w:tcPr>
          <w:p w14:paraId="42A67B55" w14:textId="3EF64253" w:rsidR="00966EF0" w:rsidRPr="00A52F23" w:rsidRDefault="00B27108" w:rsidP="00966EF0">
            <w:pPr>
              <w:spacing w:after="60"/>
              <w:rPr>
                <w:rFonts w:asciiTheme="minorHAnsi" w:hAnsiTheme="minorHAnsi" w:cstheme="minorHAnsi"/>
                <w:bCs/>
                <w:sz w:val="16"/>
                <w:szCs w:val="16"/>
              </w:rPr>
            </w:pPr>
            <w:r>
              <w:rPr>
                <w:rFonts w:asciiTheme="minorHAnsi" w:hAnsiTheme="minorHAnsi"/>
                <w:sz w:val="16"/>
              </w:rPr>
              <w:t>Registros oficiales del MAATE</w:t>
            </w:r>
          </w:p>
          <w:p w14:paraId="5CA8E884" w14:textId="085B3037" w:rsidR="00DC598E" w:rsidRPr="00A52F23" w:rsidRDefault="00DC598E" w:rsidP="00966EF0">
            <w:pPr>
              <w:spacing w:after="60"/>
              <w:rPr>
                <w:rFonts w:ascii="Calibri" w:eastAsia="SimSun" w:hAnsi="Calibri" w:cs="Calibri"/>
                <w:i/>
                <w:sz w:val="16"/>
                <w:szCs w:val="16"/>
              </w:rPr>
            </w:pPr>
            <w:r>
              <w:rPr>
                <w:rFonts w:ascii="Calibri" w:hAnsi="Calibri"/>
                <w:sz w:val="16"/>
              </w:rPr>
              <w:t>Metodología acordada con el Programa Global FARM</w:t>
            </w:r>
          </w:p>
        </w:tc>
        <w:tc>
          <w:tcPr>
            <w:tcW w:w="1081" w:type="dxa"/>
            <w:shd w:val="clear" w:color="auto" w:fill="auto"/>
          </w:tcPr>
          <w:p w14:paraId="3F1018D7" w14:textId="77777777" w:rsidR="00834551" w:rsidRPr="00A52F23" w:rsidRDefault="00834551" w:rsidP="00834551">
            <w:pPr>
              <w:rPr>
                <w:rFonts w:asciiTheme="minorHAnsi" w:hAnsiTheme="minorHAnsi" w:cstheme="minorHAnsi"/>
                <w:sz w:val="16"/>
                <w:szCs w:val="16"/>
              </w:rPr>
            </w:pPr>
            <w:r>
              <w:rPr>
                <w:rFonts w:asciiTheme="minorHAnsi" w:hAnsiTheme="minorHAnsi"/>
                <w:sz w:val="16"/>
              </w:rPr>
              <w:t xml:space="preserve">Anualmente </w:t>
            </w:r>
          </w:p>
          <w:p w14:paraId="6795D003" w14:textId="77777777" w:rsidR="00834551" w:rsidRPr="002152FE" w:rsidRDefault="00834551" w:rsidP="00834551">
            <w:pPr>
              <w:rPr>
                <w:rFonts w:asciiTheme="minorHAnsi" w:hAnsiTheme="minorHAnsi" w:cstheme="minorHAnsi"/>
                <w:sz w:val="16"/>
                <w:szCs w:val="16"/>
                <w:lang w:val="es-EC"/>
              </w:rPr>
            </w:pPr>
          </w:p>
          <w:p w14:paraId="56ECFC13" w14:textId="0B83D868" w:rsidR="00966EF0" w:rsidRPr="00A52F23" w:rsidRDefault="00834551" w:rsidP="00834551">
            <w:pPr>
              <w:spacing w:after="60"/>
              <w:rPr>
                <w:rFonts w:ascii="Calibri" w:eastAsia="SimSun" w:hAnsi="Calibri" w:cs="Calibri"/>
                <w:i/>
                <w:sz w:val="16"/>
                <w:szCs w:val="16"/>
              </w:rPr>
            </w:pPr>
            <w:r>
              <w:rPr>
                <w:rFonts w:asciiTheme="minorHAnsi" w:hAnsiTheme="minorHAnsi"/>
                <w:sz w:val="16"/>
              </w:rPr>
              <w:t xml:space="preserve">Informado en la pestaña </w:t>
            </w:r>
            <w:r w:rsidR="00F016C2">
              <w:rPr>
                <w:rFonts w:asciiTheme="minorHAnsi" w:hAnsiTheme="minorHAnsi"/>
                <w:sz w:val="16"/>
              </w:rPr>
              <w:t>DO</w:t>
            </w:r>
            <w:r>
              <w:rPr>
                <w:rFonts w:asciiTheme="minorHAnsi" w:hAnsiTheme="minorHAnsi"/>
                <w:sz w:val="16"/>
              </w:rPr>
              <w:t xml:space="preserve"> del PIR del FMAM</w:t>
            </w:r>
          </w:p>
        </w:tc>
        <w:tc>
          <w:tcPr>
            <w:tcW w:w="1401" w:type="dxa"/>
            <w:shd w:val="clear" w:color="auto" w:fill="auto"/>
          </w:tcPr>
          <w:p w14:paraId="67C06921" w14:textId="77777777" w:rsidR="00966EF0" w:rsidRPr="00A52F23" w:rsidRDefault="005E777E" w:rsidP="005E777E">
            <w:pPr>
              <w:spacing w:after="60"/>
              <w:rPr>
                <w:rFonts w:ascii="Calibri" w:eastAsia="SimSun" w:hAnsi="Calibri" w:cs="Calibri"/>
                <w:iCs/>
                <w:sz w:val="16"/>
                <w:szCs w:val="16"/>
              </w:rPr>
            </w:pPr>
            <w:r>
              <w:rPr>
                <w:rFonts w:ascii="Calibri" w:hAnsi="Calibri"/>
                <w:sz w:val="16"/>
              </w:rPr>
              <w:t>UGP</w:t>
            </w:r>
          </w:p>
          <w:p w14:paraId="5C8F42DC" w14:textId="67447AD6" w:rsidR="005E777E" w:rsidRPr="00A52F23" w:rsidRDefault="005E777E" w:rsidP="005E777E">
            <w:pPr>
              <w:spacing w:after="60"/>
              <w:rPr>
                <w:rFonts w:ascii="Calibri" w:eastAsia="SimSun" w:hAnsi="Calibri" w:cs="Calibri"/>
                <w:i/>
                <w:sz w:val="16"/>
                <w:szCs w:val="16"/>
              </w:rPr>
            </w:pPr>
            <w:r>
              <w:rPr>
                <w:rFonts w:ascii="Calibri" w:hAnsi="Calibri"/>
                <w:sz w:val="16"/>
              </w:rPr>
              <w:t>MAATE</w:t>
            </w:r>
          </w:p>
        </w:tc>
        <w:tc>
          <w:tcPr>
            <w:tcW w:w="1160" w:type="dxa"/>
            <w:shd w:val="clear" w:color="auto" w:fill="auto"/>
          </w:tcPr>
          <w:p w14:paraId="7F04E994" w14:textId="2D555B17" w:rsidR="00966EF0" w:rsidRPr="00A52F23" w:rsidRDefault="00D63AF3" w:rsidP="00966EF0">
            <w:pPr>
              <w:spacing w:after="60"/>
              <w:rPr>
                <w:rFonts w:ascii="Calibri" w:eastAsia="SimSun" w:hAnsi="Calibri" w:cs="Calibri"/>
                <w:i/>
                <w:sz w:val="16"/>
                <w:szCs w:val="16"/>
              </w:rPr>
            </w:pPr>
            <w:r>
              <w:rPr>
                <w:rFonts w:ascii="Calibri" w:hAnsi="Calibri"/>
                <w:sz w:val="16"/>
              </w:rPr>
              <w:t>Registros oficiales del MAATE</w:t>
            </w:r>
          </w:p>
        </w:tc>
        <w:tc>
          <w:tcPr>
            <w:tcW w:w="2113" w:type="dxa"/>
            <w:shd w:val="clear" w:color="auto" w:fill="auto"/>
          </w:tcPr>
          <w:p w14:paraId="5F0D24EF" w14:textId="282D7F36" w:rsidR="00A2026D" w:rsidRPr="00897E55" w:rsidRDefault="00A2026D" w:rsidP="00F22E9C">
            <w:pPr>
              <w:spacing w:after="60"/>
              <w:jc w:val="both"/>
              <w:rPr>
                <w:rFonts w:ascii="Calibri" w:eastAsia="SimSun" w:hAnsi="Calibri" w:cs="Arial"/>
                <w:sz w:val="16"/>
                <w:szCs w:val="16"/>
                <w:u w:val="single"/>
              </w:rPr>
            </w:pPr>
            <w:r>
              <w:rPr>
                <w:rFonts w:ascii="Calibri" w:hAnsi="Calibri"/>
                <w:sz w:val="16"/>
                <w:u w:val="single"/>
              </w:rPr>
              <w:t xml:space="preserve">Riesgos: </w:t>
            </w:r>
          </w:p>
          <w:p w14:paraId="30D04DE8" w14:textId="58BB4A08" w:rsidR="00883339" w:rsidRPr="00883339" w:rsidRDefault="00883339" w:rsidP="00F22E9C">
            <w:pPr>
              <w:spacing w:after="60"/>
              <w:jc w:val="both"/>
              <w:rPr>
                <w:rFonts w:ascii="Calibri" w:hAnsi="Calibri" w:cs="Calibri"/>
                <w:color w:val="000000" w:themeColor="text1"/>
                <w:sz w:val="16"/>
                <w:szCs w:val="16"/>
              </w:rPr>
            </w:pPr>
            <w:r>
              <w:rPr>
                <w:rFonts w:ascii="Calibri" w:hAnsi="Calibri"/>
                <w:color w:val="000000" w:themeColor="text1"/>
                <w:sz w:val="16"/>
              </w:rPr>
              <w:t xml:space="preserve">Capacidad limitada de las partes interesadas nacionales para adoptar prácticas agrícolas sostenibles, así como una gestión adecuada de los residuos relacionados (Relacionado con el </w:t>
            </w:r>
            <w:r w:rsidR="00E8356F">
              <w:rPr>
                <w:rFonts w:ascii="Calibri" w:hAnsi="Calibri"/>
                <w:color w:val="000000" w:themeColor="text1"/>
                <w:sz w:val="16"/>
              </w:rPr>
              <w:t>R</w:t>
            </w:r>
            <w:r>
              <w:rPr>
                <w:rFonts w:ascii="Calibri" w:hAnsi="Calibri"/>
                <w:color w:val="000000" w:themeColor="text1"/>
                <w:sz w:val="16"/>
              </w:rPr>
              <w:t>iesgo 12)</w:t>
            </w:r>
          </w:p>
          <w:p w14:paraId="610EC1A5" w14:textId="77777777" w:rsidR="00966EF0" w:rsidRPr="00897E55" w:rsidRDefault="00A2026D" w:rsidP="00F22E9C">
            <w:pPr>
              <w:spacing w:after="60"/>
              <w:jc w:val="both"/>
              <w:rPr>
                <w:rFonts w:ascii="Calibri" w:eastAsia="SimSun" w:hAnsi="Calibri" w:cs="Arial"/>
                <w:sz w:val="16"/>
                <w:szCs w:val="16"/>
                <w:u w:val="single"/>
              </w:rPr>
            </w:pPr>
            <w:r>
              <w:rPr>
                <w:rFonts w:ascii="Calibri" w:hAnsi="Calibri"/>
                <w:sz w:val="16"/>
                <w:u w:val="single"/>
              </w:rPr>
              <w:t>Supuestos:</w:t>
            </w:r>
          </w:p>
          <w:p w14:paraId="7A81D609" w14:textId="0E27C2FE" w:rsidR="009261EC" w:rsidRPr="009261EC" w:rsidRDefault="009261EC" w:rsidP="00F22E9C">
            <w:pPr>
              <w:spacing w:after="60"/>
              <w:jc w:val="both"/>
              <w:rPr>
                <w:rFonts w:ascii="Calibri" w:eastAsia="SimSun" w:hAnsi="Calibri" w:cs="Calibri"/>
                <w:i/>
                <w:sz w:val="16"/>
                <w:szCs w:val="16"/>
              </w:rPr>
            </w:pPr>
            <w:r>
              <w:rPr>
                <w:rFonts w:asciiTheme="minorHAnsi" w:hAnsiTheme="minorHAnsi"/>
                <w:color w:val="000000" w:themeColor="text1"/>
                <w:sz w:val="16"/>
              </w:rPr>
              <w:t>Las principales partes interesadas están dispuestas a participar y recibir formación y capacitación en la reducción de productos agroquímicos perjudiciales y en la adopción de prácticas de producción sostenibles en el sector agrícola.</w:t>
            </w:r>
          </w:p>
        </w:tc>
      </w:tr>
      <w:tr w:rsidR="00A67531" w:rsidRPr="001B17BF" w14:paraId="5AD36A1E" w14:textId="77777777" w:rsidTr="00CF524B">
        <w:trPr>
          <w:trHeight w:val="424"/>
        </w:trPr>
        <w:tc>
          <w:tcPr>
            <w:tcW w:w="1335" w:type="dxa"/>
            <w:vMerge w:val="restart"/>
            <w:shd w:val="clear" w:color="auto" w:fill="auto"/>
          </w:tcPr>
          <w:p w14:paraId="46D33F2F" w14:textId="3C70C3F9" w:rsidR="00966EF0" w:rsidRPr="00A52F23" w:rsidRDefault="00966EF0" w:rsidP="00591DCB">
            <w:pPr>
              <w:spacing w:after="60"/>
              <w:jc w:val="both"/>
              <w:rPr>
                <w:rFonts w:ascii="Calibri" w:eastAsia="SimSun" w:hAnsi="Calibri" w:cs="Calibri"/>
                <w:b/>
                <w:sz w:val="16"/>
                <w:szCs w:val="16"/>
              </w:rPr>
            </w:pPr>
            <w:r>
              <w:rPr>
                <w:rFonts w:ascii="Calibri" w:hAnsi="Calibri"/>
                <w:b/>
                <w:sz w:val="16"/>
              </w:rPr>
              <w:t>Resultado del proyecto 1</w:t>
            </w:r>
          </w:p>
        </w:tc>
        <w:tc>
          <w:tcPr>
            <w:tcW w:w="1764" w:type="dxa"/>
            <w:shd w:val="clear" w:color="auto" w:fill="auto"/>
          </w:tcPr>
          <w:p w14:paraId="312BD2A1" w14:textId="78044813" w:rsidR="00966EF0" w:rsidRPr="00A52F23" w:rsidRDefault="00966EF0" w:rsidP="00966EF0">
            <w:pPr>
              <w:spacing w:after="60"/>
              <w:jc w:val="both"/>
              <w:rPr>
                <w:rFonts w:ascii="Calibri" w:eastAsia="SimSun" w:hAnsi="Calibri" w:cs="Calibri"/>
                <w:b/>
                <w:i/>
                <w:sz w:val="16"/>
                <w:szCs w:val="16"/>
              </w:rPr>
            </w:pPr>
            <w:r>
              <w:rPr>
                <w:rFonts w:ascii="Calibri" w:hAnsi="Calibri"/>
                <w:b/>
                <w:i/>
                <w:sz w:val="16"/>
              </w:rPr>
              <w:t>Indicador 5</w:t>
            </w:r>
          </w:p>
          <w:p w14:paraId="793C3B2F" w14:textId="0B2572EC" w:rsidR="00966EF0" w:rsidRPr="00A52F23" w:rsidRDefault="00966EF0" w:rsidP="00022E6A">
            <w:pPr>
              <w:spacing w:after="60"/>
              <w:jc w:val="both"/>
              <w:rPr>
                <w:rFonts w:asciiTheme="minorHAnsi" w:eastAsia="SimSun" w:hAnsiTheme="minorHAnsi" w:cstheme="minorHAnsi"/>
                <w:bCs/>
                <w:iCs/>
                <w:sz w:val="16"/>
                <w:szCs w:val="16"/>
              </w:rPr>
            </w:pPr>
          </w:p>
        </w:tc>
        <w:tc>
          <w:tcPr>
            <w:tcW w:w="1029" w:type="dxa"/>
          </w:tcPr>
          <w:p w14:paraId="064E9D4F" w14:textId="2413E9A7" w:rsidR="00652ACD" w:rsidRPr="00A52F23" w:rsidRDefault="00652ACD">
            <w:pPr>
              <w:pStyle w:val="Prrafodelista"/>
              <w:numPr>
                <w:ilvl w:val="0"/>
                <w:numId w:val="39"/>
              </w:numPr>
              <w:spacing w:after="60"/>
              <w:ind w:left="360"/>
              <w:jc w:val="both"/>
              <w:rPr>
                <w:rFonts w:asciiTheme="minorHAnsi" w:hAnsiTheme="minorHAnsi" w:cstheme="minorHAnsi"/>
                <w:bCs/>
                <w:iCs/>
                <w:sz w:val="16"/>
                <w:szCs w:val="16"/>
              </w:rPr>
            </w:pPr>
            <w:r>
              <w:rPr>
                <w:rFonts w:asciiTheme="minorHAnsi" w:hAnsiTheme="minorHAnsi"/>
                <w:sz w:val="16"/>
              </w:rPr>
              <w:t>50 funcionarios de Aduanas y Control de Aduanas formados en prevención del comercio ilegal</w:t>
            </w:r>
          </w:p>
          <w:p w14:paraId="10F58158" w14:textId="70CC7A43" w:rsidR="00652ACD" w:rsidRPr="00A52F23" w:rsidRDefault="00652ACD">
            <w:pPr>
              <w:pStyle w:val="Prrafodelista"/>
              <w:numPr>
                <w:ilvl w:val="0"/>
                <w:numId w:val="39"/>
              </w:numPr>
              <w:spacing w:after="60"/>
              <w:ind w:left="360"/>
              <w:jc w:val="both"/>
              <w:rPr>
                <w:rFonts w:asciiTheme="minorHAnsi" w:hAnsiTheme="minorHAnsi" w:cstheme="minorHAnsi"/>
                <w:bCs/>
                <w:iCs/>
                <w:sz w:val="16"/>
                <w:szCs w:val="16"/>
              </w:rPr>
            </w:pPr>
            <w:r>
              <w:rPr>
                <w:rFonts w:asciiTheme="minorHAnsi" w:hAnsiTheme="minorHAnsi"/>
                <w:sz w:val="16"/>
              </w:rPr>
              <w:t xml:space="preserve">Formación de 30 funcionarios públicos sobre el </w:t>
            </w:r>
            <w:r w:rsidR="00500A15">
              <w:rPr>
                <w:rFonts w:asciiTheme="minorHAnsi" w:hAnsiTheme="minorHAnsi"/>
                <w:sz w:val="16"/>
              </w:rPr>
              <w:t>K</w:t>
            </w:r>
            <w:r>
              <w:rPr>
                <w:rFonts w:asciiTheme="minorHAnsi" w:hAnsiTheme="minorHAnsi"/>
                <w:sz w:val="16"/>
              </w:rPr>
              <w:t xml:space="preserve">it de </w:t>
            </w:r>
            <w:r w:rsidR="00500A15">
              <w:rPr>
                <w:rFonts w:asciiTheme="minorHAnsi" w:hAnsiTheme="minorHAnsi"/>
                <w:sz w:val="16"/>
              </w:rPr>
              <w:t>H</w:t>
            </w:r>
            <w:r>
              <w:rPr>
                <w:rFonts w:asciiTheme="minorHAnsi" w:hAnsiTheme="minorHAnsi"/>
                <w:sz w:val="16"/>
              </w:rPr>
              <w:t xml:space="preserve">erramientas de la FAO para el </w:t>
            </w:r>
            <w:r w:rsidR="00591DCB">
              <w:rPr>
                <w:rFonts w:asciiTheme="minorHAnsi" w:hAnsiTheme="minorHAnsi"/>
                <w:sz w:val="16"/>
              </w:rPr>
              <w:t>R</w:t>
            </w:r>
            <w:r>
              <w:rPr>
                <w:rFonts w:asciiTheme="minorHAnsi" w:hAnsiTheme="minorHAnsi"/>
                <w:sz w:val="16"/>
              </w:rPr>
              <w:t xml:space="preserve">egistro de </w:t>
            </w:r>
            <w:r w:rsidR="00591DCB">
              <w:rPr>
                <w:rFonts w:asciiTheme="minorHAnsi" w:hAnsiTheme="minorHAnsi"/>
                <w:sz w:val="16"/>
              </w:rPr>
              <w:t>P</w:t>
            </w:r>
            <w:r>
              <w:rPr>
                <w:rFonts w:asciiTheme="minorHAnsi" w:hAnsiTheme="minorHAnsi"/>
                <w:sz w:val="16"/>
              </w:rPr>
              <w:t>laguicidas</w:t>
            </w:r>
          </w:p>
          <w:p w14:paraId="08E49332" w14:textId="6F7B5E56" w:rsidR="00652ACD" w:rsidRPr="00A52F23" w:rsidRDefault="00652ACD">
            <w:pPr>
              <w:pStyle w:val="Prrafodelista"/>
              <w:numPr>
                <w:ilvl w:val="0"/>
                <w:numId w:val="39"/>
              </w:numPr>
              <w:spacing w:after="60"/>
              <w:ind w:left="360"/>
              <w:jc w:val="both"/>
              <w:rPr>
                <w:rFonts w:asciiTheme="minorHAnsi" w:hAnsiTheme="minorHAnsi" w:cstheme="minorHAnsi"/>
                <w:bCs/>
                <w:iCs/>
                <w:sz w:val="16"/>
                <w:szCs w:val="16"/>
              </w:rPr>
            </w:pPr>
            <w:r>
              <w:rPr>
                <w:rFonts w:asciiTheme="minorHAnsi" w:hAnsiTheme="minorHAnsi"/>
                <w:sz w:val="16"/>
              </w:rPr>
              <w:t>Elaboración de un Plan de Acción Nacional para la aplicación del Código Internacional de Conducta</w:t>
            </w:r>
          </w:p>
          <w:p w14:paraId="16B76BF8" w14:textId="6ADF0F23" w:rsidR="00966EF0" w:rsidRPr="00A52F23" w:rsidRDefault="00652ACD">
            <w:pPr>
              <w:pStyle w:val="Prrafodelista"/>
              <w:numPr>
                <w:ilvl w:val="0"/>
                <w:numId w:val="39"/>
              </w:numPr>
              <w:spacing w:after="60"/>
              <w:ind w:left="360"/>
              <w:jc w:val="both"/>
              <w:rPr>
                <w:rFonts w:asciiTheme="minorHAnsi" w:hAnsiTheme="minorHAnsi" w:cstheme="minorHAnsi"/>
                <w:bCs/>
                <w:iCs/>
                <w:sz w:val="16"/>
                <w:szCs w:val="16"/>
              </w:rPr>
            </w:pPr>
            <w:r>
              <w:rPr>
                <w:rFonts w:asciiTheme="minorHAnsi" w:hAnsiTheme="minorHAnsi"/>
                <w:sz w:val="16"/>
              </w:rPr>
              <w:t xml:space="preserve">Diseño de una plataforma oficial de intercambio de información y formación de 1000 personas para la </w:t>
            </w:r>
            <w:r>
              <w:rPr>
                <w:rFonts w:ascii="Calibri" w:hAnsi="Calibri"/>
                <w:sz w:val="16"/>
              </w:rPr>
              <w:t>identificación, control y eliminación final de plaguicidas y residuos (</w:t>
            </w:r>
            <w:r>
              <w:rPr>
                <w:rFonts w:asciiTheme="minorHAnsi" w:hAnsiTheme="minorHAnsi"/>
                <w:sz w:val="16"/>
              </w:rPr>
              <w:t>300 inspectores; 500 sectores privados; 200 de gobiernos locales/nacionales)</w:t>
            </w:r>
          </w:p>
        </w:tc>
        <w:tc>
          <w:tcPr>
            <w:tcW w:w="1211" w:type="dxa"/>
          </w:tcPr>
          <w:p w14:paraId="36B67016" w14:textId="77777777" w:rsidR="00022E6A" w:rsidRPr="00A52F23" w:rsidRDefault="00022E6A" w:rsidP="00022E6A">
            <w:pPr>
              <w:spacing w:after="60"/>
              <w:jc w:val="both"/>
              <w:rPr>
                <w:rFonts w:ascii="Calibri" w:eastAsia="SimSun" w:hAnsi="Calibri" w:cs="Calibri"/>
                <w:bCs/>
                <w:iCs/>
                <w:sz w:val="16"/>
                <w:szCs w:val="16"/>
              </w:rPr>
            </w:pPr>
            <w:r>
              <w:rPr>
                <w:rFonts w:ascii="Calibri" w:hAnsi="Calibri"/>
                <w:sz w:val="16"/>
              </w:rPr>
              <w:t>Capacidad creada en las instituciones gubernamentales medida por:</w:t>
            </w:r>
          </w:p>
          <w:p w14:paraId="0FF6BB7F" w14:textId="1DCA8D0F" w:rsidR="00022E6A" w:rsidRPr="00A52F23" w:rsidRDefault="00022E6A">
            <w:pPr>
              <w:pStyle w:val="Prrafodelista"/>
              <w:numPr>
                <w:ilvl w:val="0"/>
                <w:numId w:val="36"/>
              </w:numPr>
              <w:spacing w:after="60"/>
              <w:ind w:left="360"/>
              <w:jc w:val="both"/>
              <w:rPr>
                <w:rFonts w:asciiTheme="minorHAnsi" w:hAnsiTheme="minorHAnsi" w:cstheme="minorHAnsi"/>
                <w:bCs/>
                <w:iCs/>
                <w:sz w:val="16"/>
                <w:szCs w:val="16"/>
              </w:rPr>
            </w:pPr>
            <w:r>
              <w:rPr>
                <w:rFonts w:asciiTheme="minorHAnsi" w:hAnsiTheme="minorHAnsi"/>
                <w:sz w:val="16"/>
              </w:rPr>
              <w:t xml:space="preserve">Número de funcionarios de </w:t>
            </w:r>
            <w:r w:rsidR="00591DCB">
              <w:rPr>
                <w:rFonts w:asciiTheme="minorHAnsi" w:hAnsiTheme="minorHAnsi"/>
                <w:sz w:val="16"/>
              </w:rPr>
              <w:t>A</w:t>
            </w:r>
            <w:r>
              <w:rPr>
                <w:rFonts w:asciiTheme="minorHAnsi" w:hAnsiTheme="minorHAnsi"/>
                <w:sz w:val="16"/>
              </w:rPr>
              <w:t xml:space="preserve">duanas y de las </w:t>
            </w:r>
            <w:r w:rsidR="00591DCB">
              <w:rPr>
                <w:rFonts w:asciiTheme="minorHAnsi" w:hAnsiTheme="minorHAnsi"/>
                <w:sz w:val="16"/>
              </w:rPr>
              <w:t>F</w:t>
            </w:r>
            <w:r>
              <w:rPr>
                <w:rFonts w:asciiTheme="minorHAnsi" w:hAnsiTheme="minorHAnsi"/>
                <w:sz w:val="16"/>
              </w:rPr>
              <w:t xml:space="preserve">uerzas de </w:t>
            </w:r>
            <w:r w:rsidR="00591DCB">
              <w:rPr>
                <w:rFonts w:asciiTheme="minorHAnsi" w:hAnsiTheme="minorHAnsi"/>
                <w:sz w:val="16"/>
              </w:rPr>
              <w:t>S</w:t>
            </w:r>
            <w:r>
              <w:rPr>
                <w:rFonts w:asciiTheme="minorHAnsi" w:hAnsiTheme="minorHAnsi"/>
                <w:sz w:val="16"/>
              </w:rPr>
              <w:t>eguridad formados en prevención del comercio ilegal</w:t>
            </w:r>
          </w:p>
          <w:p w14:paraId="0783BB7A" w14:textId="79E71970" w:rsidR="00022E6A" w:rsidRPr="00A52F23" w:rsidRDefault="00022E6A">
            <w:pPr>
              <w:pStyle w:val="Prrafodelista"/>
              <w:numPr>
                <w:ilvl w:val="0"/>
                <w:numId w:val="36"/>
              </w:numPr>
              <w:spacing w:after="60"/>
              <w:ind w:left="360"/>
              <w:jc w:val="both"/>
              <w:rPr>
                <w:rFonts w:asciiTheme="minorHAnsi" w:hAnsiTheme="minorHAnsi" w:cstheme="minorHAnsi"/>
                <w:bCs/>
                <w:iCs/>
                <w:sz w:val="16"/>
                <w:szCs w:val="16"/>
              </w:rPr>
            </w:pPr>
            <w:r>
              <w:rPr>
                <w:rFonts w:asciiTheme="minorHAnsi" w:hAnsiTheme="minorHAnsi"/>
                <w:sz w:val="16"/>
              </w:rPr>
              <w:t xml:space="preserve">Número de funcionarios públicos formados en el </w:t>
            </w:r>
            <w:r w:rsidR="00500A15">
              <w:rPr>
                <w:rFonts w:asciiTheme="minorHAnsi" w:hAnsiTheme="minorHAnsi"/>
                <w:sz w:val="16"/>
              </w:rPr>
              <w:t>K</w:t>
            </w:r>
            <w:r>
              <w:rPr>
                <w:rFonts w:asciiTheme="minorHAnsi" w:hAnsiTheme="minorHAnsi"/>
                <w:sz w:val="16"/>
              </w:rPr>
              <w:t xml:space="preserve">it de </w:t>
            </w:r>
            <w:r w:rsidR="00500A15">
              <w:rPr>
                <w:rFonts w:asciiTheme="minorHAnsi" w:hAnsiTheme="minorHAnsi"/>
                <w:sz w:val="16"/>
              </w:rPr>
              <w:t>H</w:t>
            </w:r>
            <w:r>
              <w:rPr>
                <w:rFonts w:asciiTheme="minorHAnsi" w:hAnsiTheme="minorHAnsi"/>
                <w:sz w:val="16"/>
              </w:rPr>
              <w:t xml:space="preserve">erramientas de la FAO para el </w:t>
            </w:r>
            <w:r w:rsidR="00591DCB">
              <w:rPr>
                <w:rFonts w:asciiTheme="minorHAnsi" w:hAnsiTheme="minorHAnsi"/>
                <w:sz w:val="16"/>
              </w:rPr>
              <w:t>R</w:t>
            </w:r>
            <w:r>
              <w:rPr>
                <w:rFonts w:asciiTheme="minorHAnsi" w:hAnsiTheme="minorHAnsi"/>
                <w:sz w:val="16"/>
              </w:rPr>
              <w:t xml:space="preserve">egistro de </w:t>
            </w:r>
            <w:r w:rsidR="00591DCB">
              <w:rPr>
                <w:rFonts w:asciiTheme="minorHAnsi" w:hAnsiTheme="minorHAnsi"/>
                <w:sz w:val="16"/>
              </w:rPr>
              <w:t>P</w:t>
            </w:r>
            <w:r>
              <w:rPr>
                <w:rFonts w:asciiTheme="minorHAnsi" w:hAnsiTheme="minorHAnsi"/>
                <w:sz w:val="16"/>
              </w:rPr>
              <w:t>laguicidas</w:t>
            </w:r>
          </w:p>
          <w:p w14:paraId="0B9558FF" w14:textId="35FF2A10" w:rsidR="00022E6A" w:rsidRPr="00A52F23" w:rsidRDefault="00022E6A">
            <w:pPr>
              <w:pStyle w:val="Prrafodelista"/>
              <w:numPr>
                <w:ilvl w:val="0"/>
                <w:numId w:val="36"/>
              </w:numPr>
              <w:spacing w:after="60"/>
              <w:ind w:left="360"/>
              <w:jc w:val="both"/>
              <w:rPr>
                <w:rFonts w:asciiTheme="minorHAnsi" w:hAnsiTheme="minorHAnsi" w:cstheme="minorHAnsi"/>
                <w:bCs/>
                <w:iCs/>
                <w:sz w:val="16"/>
                <w:szCs w:val="16"/>
              </w:rPr>
            </w:pPr>
            <w:r>
              <w:rPr>
                <w:rFonts w:asciiTheme="minorHAnsi" w:hAnsiTheme="minorHAnsi"/>
                <w:sz w:val="16"/>
              </w:rPr>
              <w:t>Elaboración de un Plan de Acción Nacional para la aplicación del Código Internacional de Conducta</w:t>
            </w:r>
          </w:p>
          <w:p w14:paraId="15B5C02B" w14:textId="18FD736B" w:rsidR="00966EF0" w:rsidRPr="00A52F23" w:rsidRDefault="00022E6A">
            <w:pPr>
              <w:pStyle w:val="Prrafodelista"/>
              <w:numPr>
                <w:ilvl w:val="0"/>
                <w:numId w:val="36"/>
              </w:numPr>
              <w:spacing w:after="60"/>
              <w:ind w:left="360"/>
              <w:jc w:val="both"/>
              <w:rPr>
                <w:rFonts w:asciiTheme="minorHAnsi" w:hAnsiTheme="minorHAnsi" w:cstheme="minorHAnsi"/>
                <w:bCs/>
                <w:iCs/>
                <w:sz w:val="16"/>
                <w:szCs w:val="16"/>
              </w:rPr>
            </w:pPr>
            <w:r>
              <w:rPr>
                <w:rFonts w:asciiTheme="minorHAnsi" w:hAnsiTheme="minorHAnsi"/>
                <w:sz w:val="16"/>
              </w:rPr>
              <w:t xml:space="preserve">Plataforma oficial de intercambio de información diseñada, y número de personas formadas para la </w:t>
            </w:r>
            <w:r>
              <w:rPr>
                <w:rFonts w:ascii="Calibri" w:hAnsi="Calibri"/>
                <w:sz w:val="16"/>
              </w:rPr>
              <w:t>identificación, control y eliminación final de plaguicidas y residuos</w:t>
            </w:r>
          </w:p>
        </w:tc>
        <w:tc>
          <w:tcPr>
            <w:tcW w:w="1861" w:type="dxa"/>
            <w:shd w:val="clear" w:color="auto" w:fill="auto"/>
          </w:tcPr>
          <w:p w14:paraId="7899F880" w14:textId="30FA156A" w:rsidR="00966EF0" w:rsidRPr="00A52F23" w:rsidRDefault="00F13B91" w:rsidP="00966EF0">
            <w:pPr>
              <w:spacing w:after="60"/>
              <w:jc w:val="both"/>
              <w:rPr>
                <w:rFonts w:ascii="Calibri" w:eastAsia="SimSun" w:hAnsi="Calibri" w:cs="Calibri"/>
                <w:sz w:val="16"/>
                <w:szCs w:val="16"/>
              </w:rPr>
            </w:pPr>
            <w:r>
              <w:rPr>
                <w:rFonts w:asciiTheme="minorHAnsi" w:hAnsiTheme="minorHAnsi"/>
                <w:sz w:val="16"/>
              </w:rPr>
              <w:t>Registros oficiales del MAATE</w:t>
            </w:r>
          </w:p>
        </w:tc>
        <w:tc>
          <w:tcPr>
            <w:tcW w:w="1081" w:type="dxa"/>
            <w:shd w:val="clear" w:color="auto" w:fill="auto"/>
          </w:tcPr>
          <w:p w14:paraId="45DF4042" w14:textId="573A9880" w:rsidR="00966EF0" w:rsidRPr="00A52F23" w:rsidRDefault="00834551" w:rsidP="00966EF0">
            <w:pPr>
              <w:spacing w:after="60"/>
              <w:jc w:val="both"/>
              <w:rPr>
                <w:rFonts w:ascii="Calibri" w:eastAsia="SimSun" w:hAnsi="Calibri" w:cs="Calibri"/>
                <w:sz w:val="16"/>
                <w:szCs w:val="16"/>
              </w:rPr>
            </w:pPr>
            <w:r>
              <w:rPr>
                <w:rFonts w:asciiTheme="minorHAnsi" w:hAnsiTheme="minorHAnsi"/>
                <w:sz w:val="16"/>
              </w:rPr>
              <w:t>PIR, MTR y TE</w:t>
            </w:r>
          </w:p>
        </w:tc>
        <w:tc>
          <w:tcPr>
            <w:tcW w:w="1401" w:type="dxa"/>
            <w:shd w:val="clear" w:color="auto" w:fill="auto"/>
          </w:tcPr>
          <w:p w14:paraId="09F79AC1" w14:textId="77777777" w:rsidR="00966EF0" w:rsidRPr="00A52F23" w:rsidRDefault="00DC672A" w:rsidP="00966EF0">
            <w:pPr>
              <w:spacing w:after="60"/>
              <w:jc w:val="both"/>
              <w:rPr>
                <w:rFonts w:ascii="Calibri" w:eastAsia="SimSun" w:hAnsi="Calibri" w:cs="Calibri"/>
                <w:sz w:val="16"/>
                <w:szCs w:val="16"/>
              </w:rPr>
            </w:pPr>
            <w:r>
              <w:rPr>
                <w:rFonts w:ascii="Calibri" w:hAnsi="Calibri"/>
                <w:sz w:val="16"/>
              </w:rPr>
              <w:t>UGP</w:t>
            </w:r>
          </w:p>
          <w:p w14:paraId="20B10443" w14:textId="6B49CC82" w:rsidR="00DC672A" w:rsidRPr="00A52F23" w:rsidRDefault="00DC672A" w:rsidP="00966EF0">
            <w:pPr>
              <w:spacing w:after="60"/>
              <w:jc w:val="both"/>
              <w:rPr>
                <w:rFonts w:ascii="Calibri" w:eastAsia="SimSun" w:hAnsi="Calibri" w:cs="Calibri"/>
                <w:sz w:val="16"/>
                <w:szCs w:val="16"/>
              </w:rPr>
            </w:pPr>
            <w:r>
              <w:rPr>
                <w:rFonts w:ascii="Calibri" w:hAnsi="Calibri"/>
                <w:sz w:val="16"/>
              </w:rPr>
              <w:t>MAATE</w:t>
            </w:r>
          </w:p>
        </w:tc>
        <w:tc>
          <w:tcPr>
            <w:tcW w:w="1160" w:type="dxa"/>
            <w:shd w:val="clear" w:color="auto" w:fill="auto"/>
          </w:tcPr>
          <w:p w14:paraId="41FD417A" w14:textId="4E418DE9" w:rsidR="00966EF0" w:rsidRPr="00A52F23" w:rsidRDefault="00911D80" w:rsidP="00966EF0">
            <w:pPr>
              <w:spacing w:after="60"/>
              <w:jc w:val="both"/>
              <w:rPr>
                <w:rFonts w:ascii="Calibri" w:eastAsia="SimSun" w:hAnsi="Calibri" w:cs="Calibri"/>
                <w:sz w:val="16"/>
                <w:szCs w:val="16"/>
              </w:rPr>
            </w:pPr>
            <w:r>
              <w:rPr>
                <w:rFonts w:ascii="Calibri" w:hAnsi="Calibri"/>
                <w:sz w:val="16"/>
              </w:rPr>
              <w:t>Registros oficiales de MAATE y UGP</w:t>
            </w:r>
          </w:p>
        </w:tc>
        <w:tc>
          <w:tcPr>
            <w:tcW w:w="2113" w:type="dxa"/>
            <w:shd w:val="clear" w:color="auto" w:fill="auto"/>
          </w:tcPr>
          <w:p w14:paraId="1C231FB0" w14:textId="49226999" w:rsidR="00A2026D" w:rsidRPr="0053518C" w:rsidRDefault="00A2026D" w:rsidP="00A2026D">
            <w:pPr>
              <w:spacing w:after="60"/>
              <w:rPr>
                <w:rFonts w:ascii="Calibri" w:eastAsia="SimSun" w:hAnsi="Calibri" w:cs="Arial"/>
                <w:sz w:val="16"/>
                <w:szCs w:val="16"/>
                <w:u w:val="single"/>
              </w:rPr>
            </w:pPr>
            <w:r>
              <w:rPr>
                <w:rFonts w:ascii="Calibri" w:hAnsi="Calibri"/>
                <w:sz w:val="16"/>
                <w:u w:val="single"/>
              </w:rPr>
              <w:t xml:space="preserve">Riesgos: </w:t>
            </w:r>
          </w:p>
          <w:p w14:paraId="7FE7D9E0" w14:textId="2FF50380" w:rsidR="00EA1EAE" w:rsidRPr="0053518C" w:rsidRDefault="00875D3C" w:rsidP="00EA1EAE">
            <w:pPr>
              <w:spacing w:after="60"/>
              <w:jc w:val="both"/>
              <w:rPr>
                <w:rFonts w:ascii="Calibri" w:hAnsi="Calibri" w:cs="Calibri"/>
                <w:bCs/>
                <w:sz w:val="16"/>
                <w:szCs w:val="16"/>
              </w:rPr>
            </w:pPr>
            <w:r>
              <w:rPr>
                <w:rFonts w:ascii="Calibri" w:hAnsi="Calibri"/>
                <w:sz w:val="16"/>
              </w:rPr>
              <w:t xml:space="preserve">Los titulares de obligaciones, como los funcionarios de aduanas u otros funcionarios públicos, pueden no tener capacidad para cumplir sus obligaciones en el </w:t>
            </w:r>
            <w:r w:rsidR="00591DCB">
              <w:rPr>
                <w:rFonts w:ascii="Calibri" w:hAnsi="Calibri"/>
                <w:sz w:val="16"/>
              </w:rPr>
              <w:t>p</w:t>
            </w:r>
            <w:r>
              <w:rPr>
                <w:rFonts w:ascii="Calibri" w:hAnsi="Calibri"/>
                <w:sz w:val="16"/>
              </w:rPr>
              <w:t>royecto (</w:t>
            </w:r>
            <w:r w:rsidR="00525AB8">
              <w:rPr>
                <w:rFonts w:ascii="Calibri" w:hAnsi="Calibri"/>
                <w:sz w:val="16"/>
              </w:rPr>
              <w:t>r</w:t>
            </w:r>
            <w:r>
              <w:rPr>
                <w:rFonts w:ascii="Calibri" w:hAnsi="Calibri"/>
                <w:sz w:val="16"/>
              </w:rPr>
              <w:t xml:space="preserve">elacionado con el </w:t>
            </w:r>
            <w:r w:rsidR="00E8356F">
              <w:rPr>
                <w:rFonts w:ascii="Calibri" w:hAnsi="Calibri"/>
                <w:sz w:val="16"/>
              </w:rPr>
              <w:t>R</w:t>
            </w:r>
            <w:r>
              <w:rPr>
                <w:rFonts w:ascii="Calibri" w:hAnsi="Calibri"/>
                <w:sz w:val="16"/>
              </w:rPr>
              <w:t>iesgo 1)</w:t>
            </w:r>
            <w:r w:rsidR="00525AB8">
              <w:rPr>
                <w:rFonts w:ascii="Calibri" w:hAnsi="Calibri"/>
                <w:sz w:val="16"/>
              </w:rPr>
              <w:t>.</w:t>
            </w:r>
          </w:p>
          <w:p w14:paraId="6C5033E1" w14:textId="762E7BB6" w:rsidR="00237165" w:rsidRPr="00617742" w:rsidRDefault="00237165" w:rsidP="00617742">
            <w:pPr>
              <w:spacing w:after="60"/>
              <w:jc w:val="both"/>
              <w:rPr>
                <w:rFonts w:ascii="Calibri" w:eastAsia="SimSun" w:hAnsi="Calibri" w:cs="Arial"/>
                <w:sz w:val="16"/>
                <w:szCs w:val="16"/>
              </w:rPr>
            </w:pPr>
            <w:r>
              <w:rPr>
                <w:rFonts w:ascii="Calibri" w:hAnsi="Calibri"/>
                <w:sz w:val="16"/>
              </w:rPr>
              <w:t>Discriminación de género reproducida a través de la limitación de la capacidad de las mujeres para contribuir a la toma de decisiones y beneficiarse del proyecto</w:t>
            </w:r>
            <w:r w:rsidR="00525AB8">
              <w:rPr>
                <w:rFonts w:ascii="Calibri" w:hAnsi="Calibri"/>
                <w:sz w:val="16"/>
              </w:rPr>
              <w:t xml:space="preserve"> </w:t>
            </w:r>
            <w:r>
              <w:rPr>
                <w:rFonts w:ascii="Calibri" w:hAnsi="Calibri"/>
                <w:sz w:val="16"/>
              </w:rPr>
              <w:t>(</w:t>
            </w:r>
            <w:r w:rsidR="00525AB8">
              <w:rPr>
                <w:rFonts w:ascii="Calibri" w:hAnsi="Calibri"/>
                <w:sz w:val="16"/>
              </w:rPr>
              <w:t>r</w:t>
            </w:r>
            <w:r>
              <w:rPr>
                <w:rFonts w:ascii="Calibri" w:hAnsi="Calibri"/>
                <w:sz w:val="16"/>
              </w:rPr>
              <w:t>elacionado con el riesgo 4)</w:t>
            </w:r>
            <w:r w:rsidR="00525AB8">
              <w:rPr>
                <w:rFonts w:ascii="Calibri" w:hAnsi="Calibri"/>
                <w:sz w:val="16"/>
              </w:rPr>
              <w:t>.</w:t>
            </w:r>
          </w:p>
          <w:p w14:paraId="39AD1F97" w14:textId="1E16E006" w:rsidR="00966EF0" w:rsidRPr="0053518C"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6E9D196C" w14:textId="3E2BF199" w:rsidR="00EA1EAE" w:rsidRDefault="00EA1EAE" w:rsidP="00A2026D">
            <w:pPr>
              <w:spacing w:after="60"/>
              <w:jc w:val="both"/>
              <w:rPr>
                <w:rFonts w:ascii="Calibri" w:eastAsia="SimSun" w:hAnsi="Calibri" w:cs="Arial"/>
                <w:sz w:val="16"/>
                <w:szCs w:val="16"/>
              </w:rPr>
            </w:pPr>
            <w:r>
              <w:rPr>
                <w:rFonts w:asciiTheme="minorHAnsi" w:hAnsiTheme="minorHAnsi"/>
                <w:color w:val="000000" w:themeColor="text1"/>
                <w:sz w:val="16"/>
              </w:rPr>
              <w:t>Las principales partes interesadas están dispuestas a participar y recibir formación y capacitación en la reducción de productos agroquímicos perjudiciales y en la adopción de prácticas de producción sostenibles en el sector agrícola.</w:t>
            </w:r>
          </w:p>
          <w:p w14:paraId="2BC5B592" w14:textId="0F4211E4" w:rsidR="001A4213" w:rsidRPr="00A52F23" w:rsidRDefault="001A4213" w:rsidP="00E8356F">
            <w:pPr>
              <w:spacing w:after="60"/>
              <w:jc w:val="both"/>
              <w:rPr>
                <w:rFonts w:ascii="Calibri" w:eastAsia="SimSun" w:hAnsi="Calibri" w:cs="Calibri"/>
                <w:sz w:val="16"/>
                <w:szCs w:val="16"/>
              </w:rPr>
            </w:pPr>
            <w:r>
              <w:rPr>
                <w:rFonts w:ascii="Calibri" w:hAnsi="Calibri"/>
                <w:sz w:val="16"/>
              </w:rPr>
              <w:t xml:space="preserve">La aplicación del </w:t>
            </w:r>
            <w:r w:rsidR="00E8356F">
              <w:rPr>
                <w:rFonts w:ascii="Calibri" w:hAnsi="Calibri"/>
                <w:sz w:val="16"/>
              </w:rPr>
              <w:t>P</w:t>
            </w:r>
            <w:r>
              <w:rPr>
                <w:rFonts w:ascii="Calibri" w:hAnsi="Calibri"/>
                <w:sz w:val="16"/>
              </w:rPr>
              <w:t xml:space="preserve">lan de </w:t>
            </w:r>
            <w:r w:rsidR="00E8356F">
              <w:rPr>
                <w:rFonts w:ascii="Calibri" w:hAnsi="Calibri"/>
                <w:sz w:val="16"/>
              </w:rPr>
              <w:t>A</w:t>
            </w:r>
            <w:r>
              <w:rPr>
                <w:rFonts w:ascii="Calibri" w:hAnsi="Calibri"/>
                <w:sz w:val="16"/>
              </w:rPr>
              <w:t xml:space="preserve">cción de </w:t>
            </w:r>
            <w:r w:rsidR="00E8356F">
              <w:rPr>
                <w:rFonts w:ascii="Calibri" w:hAnsi="Calibri"/>
                <w:sz w:val="16"/>
              </w:rPr>
              <w:t>G</w:t>
            </w:r>
            <w:r>
              <w:rPr>
                <w:rFonts w:ascii="Calibri" w:hAnsi="Calibri"/>
                <w:sz w:val="16"/>
              </w:rPr>
              <w:t xml:space="preserve">énero promoverá </w:t>
            </w:r>
            <w:r>
              <w:rPr>
                <w:rFonts w:asciiTheme="minorHAnsi" w:hAnsiTheme="minorHAnsi"/>
                <w:sz w:val="16"/>
              </w:rPr>
              <w:t>la participación equitativa y justa de mujeres y hombres en el diseño de alternativas innovadoras, beneficios y oportunidades en cada uno de sus componentes.</w:t>
            </w:r>
          </w:p>
        </w:tc>
      </w:tr>
      <w:tr w:rsidR="00A67531" w:rsidRPr="001B17BF" w14:paraId="110EC5DA" w14:textId="77777777" w:rsidTr="00CF524B">
        <w:trPr>
          <w:trHeight w:val="424"/>
        </w:trPr>
        <w:tc>
          <w:tcPr>
            <w:tcW w:w="1335" w:type="dxa"/>
            <w:vMerge/>
          </w:tcPr>
          <w:p w14:paraId="7B9AF70F" w14:textId="77777777" w:rsidR="00966EF0" w:rsidRPr="002152FE" w:rsidRDefault="00966EF0" w:rsidP="00966EF0">
            <w:pPr>
              <w:spacing w:after="60"/>
              <w:jc w:val="both"/>
              <w:rPr>
                <w:rFonts w:ascii="Calibri" w:eastAsia="SimSun" w:hAnsi="Calibri" w:cs="Calibri"/>
                <w:b/>
                <w:sz w:val="16"/>
                <w:szCs w:val="16"/>
                <w:lang w:val="es-EC"/>
              </w:rPr>
            </w:pPr>
          </w:p>
        </w:tc>
        <w:tc>
          <w:tcPr>
            <w:tcW w:w="1764" w:type="dxa"/>
            <w:shd w:val="clear" w:color="auto" w:fill="auto"/>
          </w:tcPr>
          <w:p w14:paraId="3A6CA03E" w14:textId="77777777" w:rsidR="00966EF0" w:rsidRPr="00A52F23" w:rsidRDefault="00966EF0" w:rsidP="00966EF0">
            <w:pPr>
              <w:spacing w:after="60"/>
              <w:rPr>
                <w:rFonts w:ascii="Calibri" w:eastAsia="SimSun" w:hAnsi="Calibri" w:cs="Calibri"/>
                <w:b/>
                <w:i/>
                <w:sz w:val="16"/>
                <w:szCs w:val="16"/>
              </w:rPr>
            </w:pPr>
            <w:r>
              <w:rPr>
                <w:rFonts w:ascii="Calibri" w:hAnsi="Calibri"/>
                <w:b/>
                <w:i/>
                <w:sz w:val="16"/>
              </w:rPr>
              <w:t>Indicador 6</w:t>
            </w:r>
          </w:p>
          <w:p w14:paraId="0304E573" w14:textId="38CAB069" w:rsidR="006F72E1" w:rsidRPr="00A52F23" w:rsidRDefault="006F72E1" w:rsidP="006F72E1">
            <w:pPr>
              <w:spacing w:after="60"/>
              <w:rPr>
                <w:rFonts w:ascii="Calibri" w:eastAsia="SimSun" w:hAnsi="Calibri" w:cs="Calibri"/>
                <w:sz w:val="16"/>
                <w:szCs w:val="16"/>
                <w:lang w:val="en-US"/>
              </w:rPr>
            </w:pPr>
          </w:p>
        </w:tc>
        <w:tc>
          <w:tcPr>
            <w:tcW w:w="1029" w:type="dxa"/>
          </w:tcPr>
          <w:p w14:paraId="2F24A6CC" w14:textId="0D86E816" w:rsidR="00A73E78" w:rsidRPr="00A52F23" w:rsidRDefault="00A73E78" w:rsidP="00A73E78">
            <w:pPr>
              <w:spacing w:after="60"/>
              <w:rPr>
                <w:rFonts w:ascii="Calibri" w:eastAsia="SimSun" w:hAnsi="Calibri" w:cs="Calibri"/>
                <w:bCs/>
                <w:iCs/>
                <w:sz w:val="16"/>
                <w:szCs w:val="16"/>
              </w:rPr>
            </w:pPr>
            <w:r>
              <w:rPr>
                <w:rFonts w:ascii="Calibri" w:hAnsi="Calibri"/>
                <w:sz w:val="16"/>
              </w:rPr>
              <w:t xml:space="preserve">Elaboración de una </w:t>
            </w:r>
            <w:r w:rsidR="00E8356F">
              <w:rPr>
                <w:rFonts w:ascii="Calibri" w:hAnsi="Calibri"/>
                <w:sz w:val="16"/>
              </w:rPr>
              <w:t>H</w:t>
            </w:r>
            <w:r>
              <w:rPr>
                <w:rFonts w:ascii="Calibri" w:hAnsi="Calibri"/>
                <w:sz w:val="16"/>
              </w:rPr>
              <w:t xml:space="preserve">oja de </w:t>
            </w:r>
            <w:r w:rsidR="00E8356F">
              <w:rPr>
                <w:rFonts w:ascii="Calibri" w:hAnsi="Calibri"/>
                <w:sz w:val="16"/>
              </w:rPr>
              <w:t>R</w:t>
            </w:r>
            <w:r>
              <w:rPr>
                <w:rFonts w:ascii="Calibri" w:hAnsi="Calibri"/>
                <w:sz w:val="16"/>
              </w:rPr>
              <w:t xml:space="preserve">uta para el </w:t>
            </w:r>
            <w:r w:rsidR="00E8356F">
              <w:rPr>
                <w:rFonts w:ascii="Calibri" w:hAnsi="Calibri"/>
                <w:sz w:val="16"/>
              </w:rPr>
              <w:t>M</w:t>
            </w:r>
            <w:r>
              <w:rPr>
                <w:rFonts w:ascii="Calibri" w:hAnsi="Calibri"/>
                <w:sz w:val="16"/>
              </w:rPr>
              <w:t xml:space="preserve">arco </w:t>
            </w:r>
            <w:r w:rsidR="00E8356F">
              <w:rPr>
                <w:rFonts w:ascii="Calibri" w:hAnsi="Calibri"/>
                <w:sz w:val="16"/>
              </w:rPr>
              <w:t>J</w:t>
            </w:r>
            <w:r>
              <w:rPr>
                <w:rFonts w:ascii="Calibri" w:hAnsi="Calibri"/>
                <w:sz w:val="16"/>
              </w:rPr>
              <w:t>urídico</w:t>
            </w:r>
          </w:p>
          <w:p w14:paraId="6DE32EF0" w14:textId="0B824CCB" w:rsidR="00966EF0" w:rsidRPr="00A52F23" w:rsidRDefault="00A73E78" w:rsidP="00A73E78">
            <w:pPr>
              <w:spacing w:after="60"/>
              <w:rPr>
                <w:rFonts w:ascii="Calibri" w:eastAsia="SimSun" w:hAnsi="Calibri" w:cs="Calibri"/>
                <w:i/>
                <w:sz w:val="16"/>
                <w:szCs w:val="16"/>
              </w:rPr>
            </w:pPr>
            <w:r>
              <w:rPr>
                <w:rFonts w:asciiTheme="minorHAnsi" w:hAnsiTheme="minorHAnsi"/>
                <w:sz w:val="16"/>
              </w:rPr>
              <w:t>Desarrollo de un (1) Plan Nacional de Reducción de Agroquímicos Nocivos</w:t>
            </w:r>
          </w:p>
        </w:tc>
        <w:tc>
          <w:tcPr>
            <w:tcW w:w="1211" w:type="dxa"/>
          </w:tcPr>
          <w:p w14:paraId="3F8C95F1" w14:textId="20C8AF16" w:rsidR="00966EF0" w:rsidRPr="00A52F23" w:rsidRDefault="00CB7F78" w:rsidP="00966EF0">
            <w:pPr>
              <w:spacing w:after="60"/>
              <w:jc w:val="both"/>
              <w:rPr>
                <w:rFonts w:ascii="Calibri" w:eastAsia="SimSun" w:hAnsi="Calibri" w:cs="Calibri"/>
                <w:i/>
                <w:sz w:val="16"/>
                <w:szCs w:val="16"/>
              </w:rPr>
            </w:pPr>
            <w:r>
              <w:rPr>
                <w:rFonts w:asciiTheme="minorHAnsi" w:hAnsiTheme="minorHAnsi"/>
                <w:sz w:val="16"/>
              </w:rPr>
              <w:t>Desarrollo del Plan Nacional de Reducción de Agroquímicos Perjudiciales y Hoja de Ruta del Marco Legal</w:t>
            </w:r>
          </w:p>
        </w:tc>
        <w:tc>
          <w:tcPr>
            <w:tcW w:w="1861" w:type="dxa"/>
            <w:shd w:val="clear" w:color="auto" w:fill="auto"/>
          </w:tcPr>
          <w:p w14:paraId="0F61068F" w14:textId="60FFEBF5" w:rsidR="00966EF0" w:rsidRPr="00A52F23" w:rsidRDefault="00F13B91" w:rsidP="00966EF0">
            <w:pPr>
              <w:spacing w:after="60"/>
              <w:jc w:val="both"/>
              <w:rPr>
                <w:rFonts w:ascii="Calibri" w:eastAsia="SimSun" w:hAnsi="Calibri" w:cs="Calibri"/>
                <w:i/>
                <w:sz w:val="16"/>
                <w:szCs w:val="16"/>
              </w:rPr>
            </w:pPr>
            <w:r>
              <w:rPr>
                <w:rFonts w:asciiTheme="minorHAnsi" w:hAnsiTheme="minorHAnsi"/>
                <w:sz w:val="16"/>
              </w:rPr>
              <w:t>Registros oficiales del MAATE</w:t>
            </w:r>
          </w:p>
        </w:tc>
        <w:tc>
          <w:tcPr>
            <w:tcW w:w="1081" w:type="dxa"/>
            <w:shd w:val="clear" w:color="auto" w:fill="auto"/>
          </w:tcPr>
          <w:p w14:paraId="184564C8" w14:textId="3D494838" w:rsidR="00966EF0" w:rsidRPr="00A52F23" w:rsidRDefault="00834551" w:rsidP="00966EF0">
            <w:pPr>
              <w:spacing w:after="60"/>
              <w:rPr>
                <w:rFonts w:ascii="Calibri" w:eastAsia="SimSun" w:hAnsi="Calibri" w:cs="Calibri"/>
                <w:sz w:val="16"/>
                <w:szCs w:val="16"/>
              </w:rPr>
            </w:pPr>
            <w:r>
              <w:rPr>
                <w:rFonts w:asciiTheme="minorHAnsi" w:hAnsiTheme="minorHAnsi"/>
                <w:sz w:val="16"/>
              </w:rPr>
              <w:t>PIR, MTR y TE</w:t>
            </w:r>
          </w:p>
        </w:tc>
        <w:tc>
          <w:tcPr>
            <w:tcW w:w="1401" w:type="dxa"/>
            <w:shd w:val="clear" w:color="auto" w:fill="auto"/>
          </w:tcPr>
          <w:p w14:paraId="63BE7DC9" w14:textId="77777777" w:rsidR="00966EF0" w:rsidRPr="00A52F23" w:rsidRDefault="00DC672A" w:rsidP="00966EF0">
            <w:pPr>
              <w:spacing w:after="60"/>
              <w:jc w:val="both"/>
              <w:rPr>
                <w:rFonts w:ascii="Calibri" w:eastAsia="SimSun" w:hAnsi="Calibri" w:cs="Calibri"/>
                <w:sz w:val="16"/>
                <w:szCs w:val="16"/>
              </w:rPr>
            </w:pPr>
            <w:r>
              <w:rPr>
                <w:rFonts w:ascii="Calibri" w:hAnsi="Calibri"/>
                <w:sz w:val="16"/>
              </w:rPr>
              <w:t>UGP</w:t>
            </w:r>
          </w:p>
          <w:p w14:paraId="3938156A" w14:textId="57A1E1AA" w:rsidR="00DC672A" w:rsidRPr="00A52F23" w:rsidRDefault="00DC672A" w:rsidP="00966EF0">
            <w:pPr>
              <w:spacing w:after="60"/>
              <w:jc w:val="both"/>
              <w:rPr>
                <w:rFonts w:ascii="Calibri" w:eastAsia="SimSun" w:hAnsi="Calibri" w:cs="Calibri"/>
                <w:sz w:val="16"/>
                <w:szCs w:val="16"/>
              </w:rPr>
            </w:pPr>
            <w:r>
              <w:rPr>
                <w:rFonts w:ascii="Calibri" w:hAnsi="Calibri"/>
                <w:sz w:val="16"/>
              </w:rPr>
              <w:t>MAATE</w:t>
            </w:r>
          </w:p>
        </w:tc>
        <w:tc>
          <w:tcPr>
            <w:tcW w:w="1160" w:type="dxa"/>
            <w:shd w:val="clear" w:color="auto" w:fill="auto"/>
          </w:tcPr>
          <w:p w14:paraId="379A454C" w14:textId="12618C2B" w:rsidR="00966EF0" w:rsidRPr="00A52F23" w:rsidRDefault="00911D80" w:rsidP="00966EF0">
            <w:pPr>
              <w:spacing w:after="60"/>
              <w:jc w:val="both"/>
              <w:rPr>
                <w:rFonts w:ascii="Calibri" w:eastAsia="SimSun" w:hAnsi="Calibri" w:cs="Calibri"/>
                <w:sz w:val="16"/>
                <w:szCs w:val="16"/>
              </w:rPr>
            </w:pPr>
            <w:r>
              <w:rPr>
                <w:rFonts w:ascii="Calibri" w:hAnsi="Calibri"/>
                <w:sz w:val="16"/>
              </w:rPr>
              <w:t>Publicación oficial del MAATE</w:t>
            </w:r>
          </w:p>
        </w:tc>
        <w:tc>
          <w:tcPr>
            <w:tcW w:w="2113" w:type="dxa"/>
            <w:shd w:val="clear" w:color="auto" w:fill="auto"/>
          </w:tcPr>
          <w:p w14:paraId="6E8DD009" w14:textId="7A56DB8B" w:rsidR="00A2026D" w:rsidRPr="00897E55" w:rsidRDefault="00A2026D" w:rsidP="00A2026D">
            <w:pPr>
              <w:spacing w:after="60"/>
              <w:rPr>
                <w:rFonts w:ascii="Calibri" w:eastAsia="SimSun" w:hAnsi="Calibri" w:cs="Arial"/>
                <w:sz w:val="16"/>
                <w:szCs w:val="16"/>
                <w:u w:val="single"/>
              </w:rPr>
            </w:pPr>
            <w:r>
              <w:rPr>
                <w:rFonts w:ascii="Calibri" w:hAnsi="Calibri"/>
                <w:sz w:val="16"/>
                <w:u w:val="single"/>
              </w:rPr>
              <w:t xml:space="preserve">Riesgos: </w:t>
            </w:r>
          </w:p>
          <w:p w14:paraId="40B550DC" w14:textId="4DF1A054" w:rsidR="0053518C" w:rsidRPr="0053518C" w:rsidRDefault="0053518C" w:rsidP="0053518C">
            <w:pPr>
              <w:spacing w:after="60"/>
              <w:jc w:val="both"/>
              <w:rPr>
                <w:rFonts w:ascii="Calibri" w:eastAsia="SimSun" w:hAnsi="Calibri" w:cs="Arial"/>
                <w:sz w:val="16"/>
                <w:szCs w:val="16"/>
              </w:rPr>
            </w:pPr>
            <w:r>
              <w:rPr>
                <w:rFonts w:ascii="Calibri" w:hAnsi="Calibri"/>
                <w:sz w:val="16"/>
              </w:rPr>
              <w:t xml:space="preserve">Capacidad limitada en el MAATE, las autoridades gubernamentales y las partes interesadas clave para permitir un entorno favorable para la reducción de COPs y PAPs (Relacionado con el </w:t>
            </w:r>
            <w:r w:rsidR="00E8356F">
              <w:rPr>
                <w:rFonts w:ascii="Calibri" w:hAnsi="Calibri"/>
                <w:sz w:val="16"/>
              </w:rPr>
              <w:t>R</w:t>
            </w:r>
            <w:r>
              <w:rPr>
                <w:rFonts w:ascii="Calibri" w:hAnsi="Calibri"/>
                <w:sz w:val="16"/>
              </w:rPr>
              <w:t>iesgo 2, 10, 12 y 16)</w:t>
            </w:r>
          </w:p>
          <w:p w14:paraId="7153D632" w14:textId="77777777" w:rsidR="00966EF0" w:rsidRPr="00897E55"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67F25500" w14:textId="2F6DC2A5" w:rsidR="003438A7" w:rsidRPr="003438A7" w:rsidRDefault="003438A7" w:rsidP="003438A7">
            <w:pPr>
              <w:jc w:val="both"/>
              <w:rPr>
                <w:rFonts w:asciiTheme="minorHAnsi" w:hAnsiTheme="minorHAnsi" w:cstheme="minorHAnsi"/>
                <w:color w:val="000000"/>
                <w:sz w:val="16"/>
                <w:szCs w:val="16"/>
              </w:rPr>
            </w:pPr>
            <w:r>
              <w:rPr>
                <w:rFonts w:asciiTheme="minorHAnsi" w:hAnsiTheme="minorHAnsi"/>
                <w:color w:val="000000"/>
                <w:sz w:val="16"/>
              </w:rPr>
              <w:t>La creación de sinergias eficaces y la comunicación entre las autoridades gubernamentales y las principales partes interesadas de la cadena de valor de los productos agroquímicos permitirán crear un entorno favorable.</w:t>
            </w:r>
          </w:p>
          <w:p w14:paraId="34613A85" w14:textId="2C09A3D8" w:rsidR="003438A7" w:rsidRPr="00A52F23" w:rsidRDefault="003438A7" w:rsidP="00A2026D">
            <w:pPr>
              <w:spacing w:after="60"/>
              <w:jc w:val="both"/>
              <w:rPr>
                <w:rFonts w:ascii="Calibri" w:eastAsia="SimSun" w:hAnsi="Calibri" w:cs="Calibri"/>
                <w:i/>
                <w:sz w:val="16"/>
                <w:szCs w:val="16"/>
              </w:rPr>
            </w:pPr>
            <w:r>
              <w:rPr>
                <w:rFonts w:asciiTheme="minorHAnsi" w:hAnsiTheme="minorHAnsi"/>
                <w:color w:val="000000"/>
                <w:sz w:val="16"/>
              </w:rPr>
              <w:t xml:space="preserve">Alta eficacia de los responsables políticos nacionales, principalmente el MAATE, comprometidos en la realización de diferentes actividades de colaboración para abordar las barreras identificadas para la reducción de COPs y PAPs. </w:t>
            </w:r>
          </w:p>
        </w:tc>
      </w:tr>
      <w:tr w:rsidR="00A67531" w:rsidRPr="001B17BF" w14:paraId="435595B1" w14:textId="77777777" w:rsidTr="00CF524B">
        <w:trPr>
          <w:trHeight w:val="424"/>
        </w:trPr>
        <w:tc>
          <w:tcPr>
            <w:tcW w:w="1335" w:type="dxa"/>
            <w:vMerge w:val="restart"/>
            <w:shd w:val="clear" w:color="auto" w:fill="auto"/>
          </w:tcPr>
          <w:p w14:paraId="11AFE8F8" w14:textId="7DA2D8A0" w:rsidR="00D42AEC" w:rsidRPr="00A52F23" w:rsidRDefault="00D42AEC" w:rsidP="00966EF0">
            <w:pPr>
              <w:spacing w:after="60"/>
              <w:jc w:val="both"/>
              <w:rPr>
                <w:rFonts w:ascii="Calibri" w:eastAsia="SimSun" w:hAnsi="Calibri" w:cs="Calibri"/>
                <w:b/>
                <w:sz w:val="16"/>
                <w:szCs w:val="16"/>
              </w:rPr>
            </w:pPr>
            <w:r>
              <w:rPr>
                <w:rFonts w:ascii="Calibri" w:hAnsi="Calibri"/>
                <w:b/>
                <w:sz w:val="16"/>
              </w:rPr>
              <w:t>Resultado del proyecto 2</w:t>
            </w:r>
          </w:p>
          <w:p w14:paraId="24891B88" w14:textId="77777777" w:rsidR="00D42AEC" w:rsidRPr="00A52F23" w:rsidRDefault="00D42AEC" w:rsidP="00966EF0">
            <w:pPr>
              <w:spacing w:after="60"/>
              <w:jc w:val="both"/>
              <w:rPr>
                <w:rFonts w:ascii="Calibri" w:eastAsia="SimSun" w:hAnsi="Calibri" w:cs="Calibri"/>
                <w:b/>
                <w:sz w:val="16"/>
                <w:szCs w:val="16"/>
                <w:lang w:val="en-US"/>
              </w:rPr>
            </w:pPr>
          </w:p>
          <w:p w14:paraId="00DB45EA" w14:textId="77777777" w:rsidR="00D42AEC" w:rsidRPr="00A52F23" w:rsidRDefault="00D42AEC" w:rsidP="00966EF0">
            <w:pPr>
              <w:spacing w:after="60"/>
              <w:jc w:val="both"/>
              <w:rPr>
                <w:rFonts w:ascii="Calibri" w:eastAsia="SimSun" w:hAnsi="Calibri" w:cs="Calibri"/>
                <w:b/>
                <w:sz w:val="16"/>
                <w:szCs w:val="16"/>
              </w:rPr>
            </w:pPr>
          </w:p>
        </w:tc>
        <w:tc>
          <w:tcPr>
            <w:tcW w:w="1764" w:type="dxa"/>
            <w:shd w:val="clear" w:color="auto" w:fill="auto"/>
          </w:tcPr>
          <w:p w14:paraId="3B8BADB4" w14:textId="77777777" w:rsidR="00D42AEC" w:rsidRPr="00A52F23" w:rsidRDefault="00D42AEC" w:rsidP="00966EF0">
            <w:pPr>
              <w:spacing w:after="60"/>
              <w:jc w:val="both"/>
              <w:rPr>
                <w:rFonts w:ascii="Calibri" w:eastAsia="SimSun" w:hAnsi="Calibri" w:cs="Calibri"/>
                <w:b/>
                <w:i/>
                <w:sz w:val="16"/>
                <w:szCs w:val="16"/>
              </w:rPr>
            </w:pPr>
            <w:r>
              <w:rPr>
                <w:rFonts w:ascii="Calibri" w:hAnsi="Calibri"/>
                <w:b/>
                <w:i/>
                <w:sz w:val="16"/>
              </w:rPr>
              <w:t>Indicador 7</w:t>
            </w:r>
          </w:p>
          <w:p w14:paraId="1BFC441A" w14:textId="057951C9" w:rsidR="00D42AEC" w:rsidRPr="00A52F23" w:rsidRDefault="00D42AEC" w:rsidP="00966EF0">
            <w:pPr>
              <w:spacing w:after="60"/>
              <w:jc w:val="both"/>
              <w:rPr>
                <w:rFonts w:ascii="Calibri" w:eastAsia="SimSun" w:hAnsi="Calibri" w:cs="Calibri"/>
                <w:b/>
                <w:i/>
                <w:sz w:val="16"/>
                <w:szCs w:val="16"/>
                <w:lang w:val="en-US"/>
              </w:rPr>
            </w:pPr>
          </w:p>
        </w:tc>
        <w:tc>
          <w:tcPr>
            <w:tcW w:w="1029" w:type="dxa"/>
          </w:tcPr>
          <w:p w14:paraId="4169E713" w14:textId="49A09F57" w:rsidR="00D42AEC" w:rsidRPr="00A52F23" w:rsidRDefault="00A73E78" w:rsidP="00A73E78">
            <w:pPr>
              <w:spacing w:after="60"/>
              <w:rPr>
                <w:rFonts w:ascii="Calibri" w:eastAsia="SimSun" w:hAnsi="Calibri" w:cs="Calibri"/>
                <w:bCs/>
                <w:iCs/>
                <w:sz w:val="16"/>
                <w:szCs w:val="16"/>
              </w:rPr>
            </w:pPr>
            <w:r>
              <w:rPr>
                <w:rFonts w:ascii="Calibri" w:hAnsi="Calibri"/>
                <w:sz w:val="16"/>
              </w:rPr>
              <w:t>Un (1) Informe de Estudios de Valoración Económica</w:t>
            </w:r>
          </w:p>
          <w:p w14:paraId="37CD57B6" w14:textId="5160CD74" w:rsidR="00A73E78" w:rsidRPr="00A52F23" w:rsidRDefault="00A73E78" w:rsidP="00E8356F">
            <w:pPr>
              <w:spacing w:after="60"/>
              <w:rPr>
                <w:rFonts w:ascii="Calibri" w:eastAsia="SimSun" w:hAnsi="Calibri" w:cs="Calibri"/>
                <w:bCs/>
                <w:iCs/>
                <w:sz w:val="16"/>
                <w:szCs w:val="16"/>
              </w:rPr>
            </w:pPr>
            <w:r>
              <w:rPr>
                <w:rFonts w:ascii="Calibri" w:hAnsi="Calibri"/>
                <w:sz w:val="16"/>
              </w:rPr>
              <w:t xml:space="preserve">Cinco (5) Incentivos </w:t>
            </w:r>
            <w:r w:rsidR="00E8356F">
              <w:rPr>
                <w:rFonts w:ascii="Calibri" w:hAnsi="Calibri"/>
                <w:sz w:val="16"/>
              </w:rPr>
              <w:t>F</w:t>
            </w:r>
            <w:r>
              <w:rPr>
                <w:rFonts w:ascii="Calibri" w:hAnsi="Calibri"/>
                <w:sz w:val="16"/>
              </w:rPr>
              <w:t>iscales viables recomendados</w:t>
            </w:r>
          </w:p>
        </w:tc>
        <w:tc>
          <w:tcPr>
            <w:tcW w:w="1211" w:type="dxa"/>
          </w:tcPr>
          <w:p w14:paraId="5BAAB8C8" w14:textId="450707CA" w:rsidR="00D42AEC" w:rsidRPr="00A52F23" w:rsidRDefault="00CB7F78" w:rsidP="00E8356F">
            <w:pPr>
              <w:spacing w:after="60"/>
              <w:jc w:val="both"/>
              <w:rPr>
                <w:rFonts w:ascii="Calibri" w:eastAsia="SimSun" w:hAnsi="Calibri" w:cs="Calibri"/>
                <w:i/>
                <w:sz w:val="16"/>
                <w:szCs w:val="16"/>
              </w:rPr>
            </w:pPr>
            <w:r>
              <w:rPr>
                <w:rFonts w:ascii="Calibri" w:hAnsi="Calibri"/>
                <w:color w:val="000000" w:themeColor="text1"/>
                <w:sz w:val="16"/>
              </w:rPr>
              <w:t xml:space="preserve">Estudios económicos desarrollados y número de Incentivos Fiscales </w:t>
            </w:r>
            <w:r w:rsidR="00E8356F">
              <w:rPr>
                <w:rFonts w:ascii="Calibri" w:hAnsi="Calibri"/>
                <w:color w:val="000000" w:themeColor="text1"/>
                <w:sz w:val="16"/>
              </w:rPr>
              <w:t>e</w:t>
            </w:r>
            <w:r>
              <w:rPr>
                <w:rFonts w:ascii="Calibri" w:hAnsi="Calibri"/>
                <w:color w:val="000000" w:themeColor="text1"/>
                <w:sz w:val="16"/>
              </w:rPr>
              <w:t>xplorados</w:t>
            </w:r>
          </w:p>
        </w:tc>
        <w:tc>
          <w:tcPr>
            <w:tcW w:w="1861" w:type="dxa"/>
            <w:shd w:val="clear" w:color="auto" w:fill="auto"/>
          </w:tcPr>
          <w:p w14:paraId="3F7FBE6D" w14:textId="44710123" w:rsidR="00D42AEC" w:rsidRPr="00A52F23" w:rsidRDefault="00F13B91" w:rsidP="00966EF0">
            <w:pPr>
              <w:spacing w:after="60"/>
              <w:jc w:val="both"/>
              <w:rPr>
                <w:rFonts w:ascii="Calibri" w:eastAsia="SimSun" w:hAnsi="Calibri" w:cs="Calibri"/>
                <w:sz w:val="16"/>
                <w:szCs w:val="16"/>
              </w:rPr>
            </w:pPr>
            <w:r>
              <w:rPr>
                <w:rFonts w:asciiTheme="minorHAnsi" w:hAnsiTheme="minorHAnsi"/>
                <w:sz w:val="16"/>
              </w:rPr>
              <w:t>Registros oficiales del MAATE</w:t>
            </w:r>
          </w:p>
        </w:tc>
        <w:tc>
          <w:tcPr>
            <w:tcW w:w="1081" w:type="dxa"/>
            <w:shd w:val="clear" w:color="auto" w:fill="auto"/>
          </w:tcPr>
          <w:p w14:paraId="22B93969" w14:textId="08A876A6" w:rsidR="00D42AEC" w:rsidRPr="00A52F23" w:rsidRDefault="00834551" w:rsidP="00966EF0">
            <w:pPr>
              <w:spacing w:after="60"/>
              <w:jc w:val="both"/>
              <w:rPr>
                <w:rFonts w:ascii="Calibri" w:eastAsia="SimSun" w:hAnsi="Calibri" w:cs="Calibri"/>
                <w:sz w:val="16"/>
                <w:szCs w:val="16"/>
              </w:rPr>
            </w:pPr>
            <w:r>
              <w:rPr>
                <w:rFonts w:asciiTheme="minorHAnsi" w:hAnsiTheme="minorHAnsi"/>
                <w:sz w:val="16"/>
              </w:rPr>
              <w:t>PIR, MTR y TE</w:t>
            </w:r>
          </w:p>
        </w:tc>
        <w:tc>
          <w:tcPr>
            <w:tcW w:w="1401" w:type="dxa"/>
            <w:shd w:val="clear" w:color="auto" w:fill="auto"/>
          </w:tcPr>
          <w:p w14:paraId="4A26982B" w14:textId="77777777" w:rsidR="00D42AEC" w:rsidRPr="00A52F23" w:rsidRDefault="00DC672A" w:rsidP="00966EF0">
            <w:pPr>
              <w:spacing w:after="60"/>
              <w:jc w:val="both"/>
              <w:rPr>
                <w:rFonts w:ascii="Calibri" w:eastAsia="SimSun" w:hAnsi="Calibri" w:cs="Calibri"/>
                <w:sz w:val="16"/>
                <w:szCs w:val="16"/>
              </w:rPr>
            </w:pPr>
            <w:r>
              <w:rPr>
                <w:rFonts w:ascii="Calibri" w:hAnsi="Calibri"/>
                <w:sz w:val="16"/>
              </w:rPr>
              <w:t>UGP</w:t>
            </w:r>
          </w:p>
          <w:p w14:paraId="36DC3482" w14:textId="4F56F3E5" w:rsidR="00DC672A" w:rsidRPr="00A52F23" w:rsidRDefault="00DC672A" w:rsidP="00966EF0">
            <w:pPr>
              <w:spacing w:after="60"/>
              <w:jc w:val="both"/>
              <w:rPr>
                <w:rFonts w:ascii="Calibri" w:eastAsia="SimSun" w:hAnsi="Calibri" w:cs="Calibri"/>
                <w:sz w:val="16"/>
                <w:szCs w:val="16"/>
              </w:rPr>
            </w:pPr>
            <w:r>
              <w:rPr>
                <w:rFonts w:ascii="Calibri" w:hAnsi="Calibri"/>
                <w:sz w:val="16"/>
              </w:rPr>
              <w:t>MAATE</w:t>
            </w:r>
          </w:p>
        </w:tc>
        <w:tc>
          <w:tcPr>
            <w:tcW w:w="1160" w:type="dxa"/>
            <w:shd w:val="clear" w:color="auto" w:fill="auto"/>
          </w:tcPr>
          <w:p w14:paraId="38D71E04" w14:textId="1A595689" w:rsidR="00D42AEC" w:rsidRPr="00A52F23" w:rsidRDefault="00CB7F78" w:rsidP="00966EF0">
            <w:pPr>
              <w:spacing w:after="60"/>
              <w:jc w:val="both"/>
              <w:rPr>
                <w:rFonts w:ascii="Calibri" w:eastAsia="SimSun" w:hAnsi="Calibri" w:cs="Calibri"/>
                <w:sz w:val="16"/>
                <w:szCs w:val="16"/>
              </w:rPr>
            </w:pPr>
            <w:r>
              <w:rPr>
                <w:rFonts w:ascii="Calibri" w:hAnsi="Calibri"/>
                <w:sz w:val="16"/>
              </w:rPr>
              <w:t>Publicación oficial del MAATE</w:t>
            </w:r>
          </w:p>
        </w:tc>
        <w:tc>
          <w:tcPr>
            <w:tcW w:w="2113" w:type="dxa"/>
            <w:shd w:val="clear" w:color="auto" w:fill="auto"/>
          </w:tcPr>
          <w:p w14:paraId="0D41E78F" w14:textId="4BA05D7F" w:rsidR="00897E55" w:rsidRPr="00F64F7D" w:rsidRDefault="00A2026D" w:rsidP="00A2026D">
            <w:pPr>
              <w:spacing w:after="60"/>
              <w:rPr>
                <w:rFonts w:ascii="Calibri" w:eastAsia="SimSun" w:hAnsi="Calibri" w:cs="Arial"/>
                <w:sz w:val="16"/>
                <w:szCs w:val="16"/>
                <w:u w:val="single"/>
              </w:rPr>
            </w:pPr>
            <w:r>
              <w:rPr>
                <w:rFonts w:ascii="Calibri" w:hAnsi="Calibri"/>
                <w:sz w:val="16"/>
                <w:u w:val="single"/>
              </w:rPr>
              <w:t>Riesgos:</w:t>
            </w:r>
          </w:p>
          <w:p w14:paraId="622FC1C1" w14:textId="39C2B28A" w:rsidR="002A59BB" w:rsidRPr="002A59BB" w:rsidRDefault="002A59BB" w:rsidP="00DF28FD">
            <w:pPr>
              <w:spacing w:after="60"/>
              <w:jc w:val="both"/>
              <w:rPr>
                <w:rFonts w:ascii="Calibri" w:eastAsia="SimSun" w:hAnsi="Calibri" w:cs="Arial"/>
                <w:sz w:val="16"/>
                <w:szCs w:val="16"/>
              </w:rPr>
            </w:pPr>
            <w:r>
              <w:rPr>
                <w:rFonts w:ascii="Calibri" w:hAnsi="Calibri"/>
                <w:sz w:val="16"/>
              </w:rPr>
              <w:t>Incentivos perversos que favorecen el uso de productos agroquímicos perjudiciales</w:t>
            </w:r>
          </w:p>
          <w:p w14:paraId="4A303654" w14:textId="5567327E" w:rsidR="00A2026D" w:rsidRPr="00F64F7D" w:rsidRDefault="00897E55" w:rsidP="00DF28FD">
            <w:pPr>
              <w:spacing w:after="60"/>
              <w:jc w:val="both"/>
              <w:rPr>
                <w:rFonts w:ascii="Calibri" w:eastAsia="SimSun" w:hAnsi="Calibri" w:cs="Arial"/>
                <w:sz w:val="16"/>
                <w:szCs w:val="16"/>
              </w:rPr>
            </w:pPr>
            <w:r>
              <w:rPr>
                <w:rFonts w:ascii="Calibri" w:hAnsi="Calibri"/>
                <w:sz w:val="16"/>
              </w:rPr>
              <w:t xml:space="preserve">Capacidad/conocimientos limitados en el MAATE, las autoridades gubernamentales y las principales partes interesadas para crear un entorno favorable a la adopción de prácticas agrícolas sostenibles (Relacionado con el </w:t>
            </w:r>
            <w:r w:rsidR="00E8356F">
              <w:rPr>
                <w:rFonts w:ascii="Calibri" w:hAnsi="Calibri"/>
                <w:sz w:val="16"/>
              </w:rPr>
              <w:t>R</w:t>
            </w:r>
            <w:r>
              <w:rPr>
                <w:rFonts w:ascii="Calibri" w:hAnsi="Calibri"/>
                <w:sz w:val="16"/>
              </w:rPr>
              <w:t>iesgo 12)</w:t>
            </w:r>
          </w:p>
          <w:p w14:paraId="22493AFA" w14:textId="76582180" w:rsidR="00D42AEC"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2E0A331F" w14:textId="5BAA6A8A" w:rsidR="002B0867" w:rsidRPr="002B0867" w:rsidRDefault="002B0867" w:rsidP="00A2026D">
            <w:pPr>
              <w:spacing w:after="60"/>
              <w:jc w:val="both"/>
              <w:rPr>
                <w:rFonts w:ascii="Calibri" w:eastAsia="SimSun" w:hAnsi="Calibri" w:cs="Arial"/>
                <w:sz w:val="16"/>
                <w:szCs w:val="16"/>
              </w:rPr>
            </w:pPr>
            <w:r>
              <w:rPr>
                <w:rFonts w:ascii="Calibri" w:hAnsi="Calibri"/>
                <w:sz w:val="16"/>
              </w:rPr>
              <w:t>El proyecto evidenciará el elevado cost</w:t>
            </w:r>
            <w:r w:rsidR="00E8356F">
              <w:rPr>
                <w:rFonts w:ascii="Calibri" w:hAnsi="Calibri"/>
                <w:sz w:val="16"/>
              </w:rPr>
              <w:t>o</w:t>
            </w:r>
            <w:r>
              <w:rPr>
                <w:rFonts w:ascii="Calibri" w:hAnsi="Calibri"/>
                <w:sz w:val="16"/>
              </w:rPr>
              <w:t xml:space="preserve"> que supone para el </w:t>
            </w:r>
            <w:r w:rsidR="00E8356F">
              <w:rPr>
                <w:rFonts w:ascii="Calibri" w:hAnsi="Calibri"/>
                <w:sz w:val="16"/>
              </w:rPr>
              <w:t>G</w:t>
            </w:r>
            <w:r>
              <w:rPr>
                <w:rFonts w:ascii="Calibri" w:hAnsi="Calibri"/>
                <w:sz w:val="16"/>
              </w:rPr>
              <w:t xml:space="preserve">obierno </w:t>
            </w:r>
            <w:r w:rsidR="00E8356F">
              <w:rPr>
                <w:rFonts w:ascii="Calibri" w:hAnsi="Calibri"/>
                <w:sz w:val="16"/>
              </w:rPr>
              <w:t>N</w:t>
            </w:r>
            <w:r>
              <w:rPr>
                <w:rFonts w:ascii="Calibri" w:hAnsi="Calibri"/>
                <w:sz w:val="16"/>
              </w:rPr>
              <w:t>acional el uso de productos agroquímicos nocivos.</w:t>
            </w:r>
          </w:p>
          <w:p w14:paraId="2FA76189" w14:textId="420EAF7A" w:rsidR="002A59BB" w:rsidRPr="00A52F23" w:rsidRDefault="00F64F7D" w:rsidP="00A2026D">
            <w:pPr>
              <w:spacing w:after="60"/>
              <w:jc w:val="both"/>
              <w:rPr>
                <w:rFonts w:ascii="Calibri" w:eastAsia="SimSun" w:hAnsi="Calibri" w:cs="Calibri"/>
                <w:sz w:val="16"/>
                <w:szCs w:val="16"/>
              </w:rPr>
            </w:pPr>
            <w:r>
              <w:rPr>
                <w:rFonts w:ascii="Calibri" w:hAnsi="Calibri"/>
                <w:sz w:val="16"/>
              </w:rPr>
              <w:t xml:space="preserve">Responsables políticos comprometidos en la realización de actividades de colaboración para abordar las repercusiones económicas identificadas del uso de productos agroquímicos nocivos y los incentivos perversos.  </w:t>
            </w:r>
          </w:p>
        </w:tc>
      </w:tr>
      <w:tr w:rsidR="00A67531" w:rsidRPr="001B17BF" w14:paraId="38110D17" w14:textId="77777777" w:rsidTr="00CF524B">
        <w:trPr>
          <w:trHeight w:val="424"/>
        </w:trPr>
        <w:tc>
          <w:tcPr>
            <w:tcW w:w="1335" w:type="dxa"/>
            <w:vMerge/>
          </w:tcPr>
          <w:p w14:paraId="455C87BC" w14:textId="77777777" w:rsidR="00D42AEC" w:rsidRPr="002152FE" w:rsidRDefault="00D42AEC" w:rsidP="00966EF0">
            <w:pPr>
              <w:spacing w:after="60"/>
              <w:jc w:val="both"/>
              <w:rPr>
                <w:rFonts w:ascii="Calibri" w:eastAsia="SimSun" w:hAnsi="Calibri" w:cs="Calibri"/>
                <w:b/>
                <w:sz w:val="16"/>
                <w:szCs w:val="16"/>
                <w:lang w:val="es-EC"/>
              </w:rPr>
            </w:pPr>
          </w:p>
        </w:tc>
        <w:tc>
          <w:tcPr>
            <w:tcW w:w="1764" w:type="dxa"/>
            <w:shd w:val="clear" w:color="auto" w:fill="auto"/>
          </w:tcPr>
          <w:p w14:paraId="5278DAFF" w14:textId="77777777" w:rsidR="00D42AEC" w:rsidRPr="00A52F23" w:rsidRDefault="00D42AEC" w:rsidP="00966EF0">
            <w:pPr>
              <w:spacing w:after="60"/>
              <w:jc w:val="both"/>
              <w:rPr>
                <w:rFonts w:ascii="Calibri" w:eastAsia="SimSun" w:hAnsi="Calibri" w:cs="Calibri"/>
                <w:bCs/>
                <w:iCs/>
                <w:color w:val="000000" w:themeColor="text1"/>
                <w:sz w:val="16"/>
                <w:szCs w:val="16"/>
              </w:rPr>
            </w:pPr>
            <w:r>
              <w:rPr>
                <w:rFonts w:ascii="Calibri" w:hAnsi="Calibri"/>
                <w:b/>
                <w:i/>
                <w:sz w:val="16"/>
              </w:rPr>
              <w:t>Indicador 8</w:t>
            </w:r>
            <w:r>
              <w:rPr>
                <w:rFonts w:ascii="Calibri" w:hAnsi="Calibri"/>
                <w:color w:val="000000" w:themeColor="text1"/>
                <w:sz w:val="16"/>
              </w:rPr>
              <w:t xml:space="preserve"> </w:t>
            </w:r>
          </w:p>
          <w:p w14:paraId="09D0085F" w14:textId="33898A27" w:rsidR="00D42AEC" w:rsidRPr="00A52F23" w:rsidRDefault="00D42AEC" w:rsidP="00966EF0">
            <w:pPr>
              <w:spacing w:after="60"/>
              <w:jc w:val="both"/>
              <w:rPr>
                <w:rFonts w:ascii="Calibri" w:eastAsia="SimSun" w:hAnsi="Calibri" w:cs="Calibri"/>
                <w:b/>
                <w:i/>
                <w:sz w:val="16"/>
                <w:szCs w:val="16"/>
                <w:lang w:val="en-US"/>
              </w:rPr>
            </w:pPr>
          </w:p>
        </w:tc>
        <w:tc>
          <w:tcPr>
            <w:tcW w:w="1029" w:type="dxa"/>
          </w:tcPr>
          <w:p w14:paraId="4A5BF2C0" w14:textId="4F488954" w:rsidR="00A73E78" w:rsidRPr="00A52F23" w:rsidRDefault="00A73E78" w:rsidP="00A73E78">
            <w:pPr>
              <w:spacing w:after="60"/>
              <w:rPr>
                <w:rFonts w:asciiTheme="minorHAnsi" w:hAnsiTheme="minorHAnsi" w:cstheme="minorBidi"/>
                <w:color w:val="000000" w:themeColor="text1"/>
                <w:sz w:val="16"/>
                <w:szCs w:val="16"/>
              </w:rPr>
            </w:pPr>
            <w:r>
              <w:rPr>
                <w:rFonts w:asciiTheme="minorHAnsi" w:hAnsiTheme="minorHAnsi"/>
                <w:color w:val="000000" w:themeColor="text1"/>
                <w:sz w:val="16"/>
              </w:rPr>
              <w:t xml:space="preserve">Creación de un (1) </w:t>
            </w:r>
            <w:r w:rsidR="00E8356F">
              <w:rPr>
                <w:rFonts w:asciiTheme="minorHAnsi" w:hAnsiTheme="minorHAnsi"/>
                <w:color w:val="000000" w:themeColor="text1"/>
                <w:sz w:val="16"/>
              </w:rPr>
              <w:t>P</w:t>
            </w:r>
            <w:r>
              <w:rPr>
                <w:rFonts w:asciiTheme="minorHAnsi" w:hAnsiTheme="minorHAnsi"/>
                <w:color w:val="000000" w:themeColor="text1"/>
                <w:sz w:val="16"/>
              </w:rPr>
              <w:t>rograma de Finanzas</w:t>
            </w:r>
          </w:p>
          <w:p w14:paraId="0CDDEC85" w14:textId="35F754B6" w:rsidR="00D42AEC" w:rsidRPr="00A52F23" w:rsidRDefault="00A73E78" w:rsidP="00E8356F">
            <w:pPr>
              <w:spacing w:after="60"/>
              <w:rPr>
                <w:rFonts w:ascii="Calibri" w:eastAsia="SimSun" w:hAnsi="Calibri" w:cs="Calibri"/>
                <w:i/>
                <w:sz w:val="16"/>
                <w:szCs w:val="16"/>
              </w:rPr>
            </w:pPr>
            <w:r>
              <w:rPr>
                <w:rFonts w:asciiTheme="minorHAnsi" w:hAnsiTheme="minorHAnsi"/>
                <w:color w:val="000000" w:themeColor="text1"/>
                <w:sz w:val="16"/>
              </w:rPr>
              <w:t xml:space="preserve">Cinco (5) agricultores recibieron ayuda para solicitar el </w:t>
            </w:r>
            <w:r w:rsidR="00E8356F">
              <w:rPr>
                <w:rFonts w:asciiTheme="minorHAnsi" w:hAnsiTheme="minorHAnsi"/>
                <w:color w:val="000000" w:themeColor="text1"/>
                <w:sz w:val="16"/>
              </w:rPr>
              <w:t>M</w:t>
            </w:r>
            <w:r>
              <w:rPr>
                <w:rFonts w:asciiTheme="minorHAnsi" w:hAnsiTheme="minorHAnsi"/>
                <w:color w:val="000000" w:themeColor="text1"/>
                <w:sz w:val="16"/>
              </w:rPr>
              <w:t xml:space="preserve">ecanismo </w:t>
            </w:r>
            <w:r w:rsidR="00E8356F">
              <w:rPr>
                <w:rFonts w:asciiTheme="minorHAnsi" w:hAnsiTheme="minorHAnsi"/>
                <w:color w:val="000000" w:themeColor="text1"/>
                <w:sz w:val="16"/>
              </w:rPr>
              <w:t>F</w:t>
            </w:r>
            <w:r>
              <w:rPr>
                <w:rFonts w:asciiTheme="minorHAnsi" w:hAnsiTheme="minorHAnsi"/>
                <w:color w:val="000000" w:themeColor="text1"/>
                <w:sz w:val="16"/>
              </w:rPr>
              <w:t>inanciero</w:t>
            </w:r>
          </w:p>
        </w:tc>
        <w:tc>
          <w:tcPr>
            <w:tcW w:w="1211" w:type="dxa"/>
          </w:tcPr>
          <w:p w14:paraId="38C77326" w14:textId="17B85A24" w:rsidR="00D42AEC" w:rsidRPr="00A52F23" w:rsidRDefault="00CB7F78" w:rsidP="00E8356F">
            <w:pPr>
              <w:spacing w:after="60"/>
              <w:jc w:val="both"/>
              <w:rPr>
                <w:rFonts w:ascii="Calibri" w:eastAsia="SimSun" w:hAnsi="Calibri" w:cs="Calibri"/>
                <w:i/>
                <w:sz w:val="16"/>
                <w:szCs w:val="16"/>
              </w:rPr>
            </w:pPr>
            <w:r>
              <w:rPr>
                <w:rFonts w:asciiTheme="minorHAnsi" w:hAnsiTheme="minorHAnsi"/>
                <w:color w:val="000000" w:themeColor="text1"/>
                <w:sz w:val="16"/>
              </w:rPr>
              <w:t xml:space="preserve">Creación de un </w:t>
            </w:r>
            <w:r w:rsidR="00E8356F">
              <w:rPr>
                <w:rFonts w:asciiTheme="minorHAnsi" w:hAnsiTheme="minorHAnsi"/>
                <w:color w:val="000000" w:themeColor="text1"/>
                <w:sz w:val="16"/>
              </w:rPr>
              <w:t>P</w:t>
            </w:r>
            <w:r>
              <w:rPr>
                <w:rFonts w:asciiTheme="minorHAnsi" w:hAnsiTheme="minorHAnsi"/>
                <w:color w:val="000000" w:themeColor="text1"/>
                <w:sz w:val="16"/>
              </w:rPr>
              <w:t xml:space="preserve">rograma de </w:t>
            </w:r>
            <w:r w:rsidR="00E8356F">
              <w:rPr>
                <w:rFonts w:asciiTheme="minorHAnsi" w:hAnsiTheme="minorHAnsi"/>
                <w:color w:val="000000" w:themeColor="text1"/>
                <w:sz w:val="16"/>
              </w:rPr>
              <w:t>F</w:t>
            </w:r>
            <w:r>
              <w:rPr>
                <w:rFonts w:asciiTheme="minorHAnsi" w:hAnsiTheme="minorHAnsi"/>
                <w:color w:val="000000" w:themeColor="text1"/>
                <w:sz w:val="16"/>
              </w:rPr>
              <w:t>inanciación adaptado a los agricultores para que adopten prácticas agrícolas sostenibles</w:t>
            </w:r>
          </w:p>
        </w:tc>
        <w:tc>
          <w:tcPr>
            <w:tcW w:w="1861" w:type="dxa"/>
            <w:shd w:val="clear" w:color="auto" w:fill="auto"/>
          </w:tcPr>
          <w:p w14:paraId="5699418F" w14:textId="406C8C35" w:rsidR="00D42AEC" w:rsidRPr="00A52F23" w:rsidRDefault="00F13B91" w:rsidP="00966EF0">
            <w:pPr>
              <w:spacing w:after="60"/>
              <w:jc w:val="both"/>
              <w:rPr>
                <w:rFonts w:ascii="Calibri" w:eastAsia="SimSun" w:hAnsi="Calibri" w:cs="Calibri"/>
                <w:i/>
                <w:sz w:val="16"/>
                <w:szCs w:val="16"/>
              </w:rPr>
            </w:pPr>
            <w:r>
              <w:rPr>
                <w:rFonts w:asciiTheme="minorHAnsi" w:hAnsiTheme="minorHAnsi"/>
                <w:sz w:val="16"/>
              </w:rPr>
              <w:t>Registros oficiales del MAATE</w:t>
            </w:r>
          </w:p>
        </w:tc>
        <w:tc>
          <w:tcPr>
            <w:tcW w:w="1081" w:type="dxa"/>
            <w:shd w:val="clear" w:color="auto" w:fill="auto"/>
          </w:tcPr>
          <w:p w14:paraId="5074F319" w14:textId="3D43ABB2" w:rsidR="00D42AEC" w:rsidRPr="00A52F23" w:rsidRDefault="00834551" w:rsidP="00966EF0">
            <w:pPr>
              <w:spacing w:after="60"/>
              <w:jc w:val="both"/>
              <w:rPr>
                <w:rFonts w:ascii="Calibri" w:eastAsia="SimSun" w:hAnsi="Calibri" w:cs="Calibri"/>
                <w:i/>
                <w:sz w:val="16"/>
                <w:szCs w:val="16"/>
              </w:rPr>
            </w:pPr>
            <w:r>
              <w:rPr>
                <w:rFonts w:asciiTheme="minorHAnsi" w:hAnsiTheme="minorHAnsi"/>
                <w:sz w:val="16"/>
              </w:rPr>
              <w:t>PIR, MTR y TE</w:t>
            </w:r>
          </w:p>
        </w:tc>
        <w:tc>
          <w:tcPr>
            <w:tcW w:w="1401" w:type="dxa"/>
            <w:shd w:val="clear" w:color="auto" w:fill="auto"/>
          </w:tcPr>
          <w:p w14:paraId="0E1105D3" w14:textId="77777777" w:rsidR="00D42AEC" w:rsidRPr="00A52F23" w:rsidRDefault="00DC672A" w:rsidP="00966EF0">
            <w:pPr>
              <w:spacing w:after="60"/>
              <w:jc w:val="both"/>
              <w:rPr>
                <w:rFonts w:ascii="Calibri" w:eastAsia="SimSun" w:hAnsi="Calibri" w:cs="Calibri"/>
                <w:iCs/>
                <w:sz w:val="16"/>
                <w:szCs w:val="16"/>
              </w:rPr>
            </w:pPr>
            <w:r>
              <w:rPr>
                <w:rFonts w:ascii="Calibri" w:hAnsi="Calibri"/>
                <w:sz w:val="16"/>
              </w:rPr>
              <w:t>UGP</w:t>
            </w:r>
          </w:p>
          <w:p w14:paraId="319EF25B" w14:textId="2FD8E684" w:rsidR="00DC672A" w:rsidRPr="00A52F23" w:rsidRDefault="00DC672A" w:rsidP="00966EF0">
            <w:pPr>
              <w:spacing w:after="60"/>
              <w:jc w:val="both"/>
              <w:rPr>
                <w:rFonts w:ascii="Calibri" w:eastAsia="SimSun" w:hAnsi="Calibri" w:cs="Calibri"/>
                <w:i/>
                <w:sz w:val="16"/>
                <w:szCs w:val="16"/>
              </w:rPr>
            </w:pPr>
            <w:r>
              <w:rPr>
                <w:rFonts w:ascii="Calibri" w:hAnsi="Calibri"/>
                <w:sz w:val="16"/>
              </w:rPr>
              <w:t>MAATE</w:t>
            </w:r>
          </w:p>
        </w:tc>
        <w:tc>
          <w:tcPr>
            <w:tcW w:w="1160" w:type="dxa"/>
            <w:shd w:val="clear" w:color="auto" w:fill="auto"/>
          </w:tcPr>
          <w:p w14:paraId="39C45298" w14:textId="7D4D9996" w:rsidR="00D42AEC" w:rsidRPr="00A52F23" w:rsidRDefault="00911D80" w:rsidP="00966EF0">
            <w:pPr>
              <w:spacing w:after="60"/>
              <w:jc w:val="both"/>
              <w:rPr>
                <w:rFonts w:ascii="Calibri" w:eastAsia="SimSun" w:hAnsi="Calibri" w:cs="Calibri"/>
                <w:i/>
                <w:sz w:val="16"/>
                <w:szCs w:val="16"/>
              </w:rPr>
            </w:pPr>
            <w:r>
              <w:rPr>
                <w:rFonts w:ascii="Calibri" w:hAnsi="Calibri"/>
                <w:sz w:val="16"/>
              </w:rPr>
              <w:t>Registro oficial de MAATE</w:t>
            </w:r>
          </w:p>
        </w:tc>
        <w:tc>
          <w:tcPr>
            <w:tcW w:w="2113" w:type="dxa"/>
            <w:shd w:val="clear" w:color="auto" w:fill="auto"/>
          </w:tcPr>
          <w:p w14:paraId="5C2C252B" w14:textId="267E6AAA" w:rsidR="00A2026D" w:rsidRPr="00452FA4" w:rsidRDefault="00A2026D" w:rsidP="00A2026D">
            <w:pPr>
              <w:spacing w:after="60"/>
              <w:rPr>
                <w:rFonts w:ascii="Calibri" w:eastAsia="SimSun" w:hAnsi="Calibri" w:cs="Arial"/>
                <w:sz w:val="16"/>
                <w:szCs w:val="16"/>
                <w:u w:val="single"/>
              </w:rPr>
            </w:pPr>
            <w:r>
              <w:rPr>
                <w:rFonts w:ascii="Calibri" w:hAnsi="Calibri"/>
                <w:sz w:val="16"/>
                <w:u w:val="single"/>
              </w:rPr>
              <w:t xml:space="preserve">Riesgos: </w:t>
            </w:r>
          </w:p>
          <w:p w14:paraId="249ACAA0" w14:textId="1666DF76" w:rsidR="00A2026D" w:rsidRPr="00785C97" w:rsidRDefault="009B54A4" w:rsidP="00A2026D">
            <w:pPr>
              <w:spacing w:after="60"/>
              <w:rPr>
                <w:rFonts w:ascii="Calibri" w:hAnsi="Calibri" w:cs="Calibri"/>
                <w:bCs/>
                <w:sz w:val="16"/>
                <w:szCs w:val="16"/>
              </w:rPr>
            </w:pPr>
            <w:r>
              <w:rPr>
                <w:rFonts w:ascii="Calibri" w:hAnsi="Calibri"/>
                <w:sz w:val="16"/>
              </w:rPr>
              <w:t xml:space="preserve">Las </w:t>
            </w:r>
            <w:r>
              <w:rPr>
                <w:rFonts w:ascii="Calibri" w:hAnsi="Calibri"/>
                <w:color w:val="000000" w:themeColor="text1"/>
                <w:sz w:val="16"/>
              </w:rPr>
              <w:t xml:space="preserve">entidades financieras están reacias a desempeñar un </w:t>
            </w:r>
            <w:r>
              <w:rPr>
                <w:rFonts w:ascii="Calibri" w:hAnsi="Calibri"/>
                <w:sz w:val="16"/>
              </w:rPr>
              <w:t>papel</w:t>
            </w:r>
            <w:r>
              <w:rPr>
                <w:rFonts w:ascii="Calibri" w:hAnsi="Calibri"/>
                <w:color w:val="000000" w:themeColor="text1"/>
                <w:sz w:val="16"/>
              </w:rPr>
              <w:t xml:space="preserve"> activo </w:t>
            </w:r>
            <w:r>
              <w:rPr>
                <w:rFonts w:ascii="Calibri" w:hAnsi="Calibri"/>
                <w:sz w:val="16"/>
              </w:rPr>
              <w:t xml:space="preserve">durante la ejecución del proyecto debido al riesgo empresarial asociado. (Relacionado con el </w:t>
            </w:r>
            <w:r w:rsidR="00E8356F">
              <w:rPr>
                <w:rFonts w:ascii="Calibri" w:hAnsi="Calibri"/>
                <w:sz w:val="16"/>
              </w:rPr>
              <w:t>R</w:t>
            </w:r>
            <w:r>
              <w:rPr>
                <w:rFonts w:ascii="Calibri" w:hAnsi="Calibri"/>
                <w:sz w:val="16"/>
              </w:rPr>
              <w:t>iesgo 10)</w:t>
            </w:r>
          </w:p>
          <w:p w14:paraId="31D58408" w14:textId="0397772E" w:rsidR="009B54A4" w:rsidRPr="00452FA4" w:rsidRDefault="009B54A4" w:rsidP="00A2026D">
            <w:pPr>
              <w:spacing w:after="60"/>
              <w:rPr>
                <w:rFonts w:ascii="Calibri" w:eastAsia="SimSun" w:hAnsi="Calibri" w:cs="Arial"/>
                <w:sz w:val="16"/>
                <w:szCs w:val="16"/>
              </w:rPr>
            </w:pPr>
            <w:r>
              <w:rPr>
                <w:rFonts w:ascii="Calibri" w:hAnsi="Calibri"/>
                <w:sz w:val="16"/>
              </w:rPr>
              <w:t xml:space="preserve">Los agricultores tienen un acceso y una capacidad limitados para adoptar productos financieros. (En relación con los </w:t>
            </w:r>
            <w:r w:rsidR="00694A4E">
              <w:rPr>
                <w:rFonts w:ascii="Calibri" w:hAnsi="Calibri"/>
                <w:sz w:val="16"/>
              </w:rPr>
              <w:t>R</w:t>
            </w:r>
            <w:r>
              <w:rPr>
                <w:rFonts w:ascii="Calibri" w:hAnsi="Calibri"/>
                <w:sz w:val="16"/>
              </w:rPr>
              <w:t>iesgos 3 y 12)</w:t>
            </w:r>
          </w:p>
          <w:p w14:paraId="3054CFD3" w14:textId="68A7C65D" w:rsidR="00D42AEC" w:rsidRPr="009B4058"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0771C7E3" w14:textId="1403F598" w:rsidR="00785C97" w:rsidRDefault="00785C97" w:rsidP="00A2026D">
            <w:pPr>
              <w:spacing w:after="60"/>
              <w:jc w:val="both"/>
              <w:rPr>
                <w:rFonts w:ascii="Calibri" w:eastAsia="SimSun" w:hAnsi="Calibri" w:cs="Arial"/>
                <w:sz w:val="16"/>
                <w:szCs w:val="16"/>
              </w:rPr>
            </w:pPr>
            <w:r>
              <w:rPr>
                <w:rFonts w:ascii="Calibri" w:hAnsi="Calibri"/>
                <w:sz w:val="16"/>
              </w:rPr>
              <w:t>El proyecto ayudará a las entidades financieras a evaluar adecuadamente los riesgos de los productos de financiación agrícola.</w:t>
            </w:r>
          </w:p>
          <w:p w14:paraId="76F1977D" w14:textId="74A8E6DE" w:rsidR="008F27B9" w:rsidRDefault="008F27B9" w:rsidP="00A2026D">
            <w:pPr>
              <w:spacing w:after="60"/>
              <w:jc w:val="both"/>
              <w:rPr>
                <w:rFonts w:ascii="Calibri" w:eastAsia="SimSun" w:hAnsi="Calibri" w:cs="Arial"/>
                <w:sz w:val="16"/>
                <w:szCs w:val="16"/>
              </w:rPr>
            </w:pPr>
            <w:r>
              <w:rPr>
                <w:rFonts w:ascii="Calibri" w:hAnsi="Calibri"/>
                <w:sz w:val="16"/>
              </w:rPr>
              <w:t xml:space="preserve">El proyecto demostrará los resultados sostenibles y rentables de la aplicación de préstamos para la producción agrícola sostenible. </w:t>
            </w:r>
          </w:p>
          <w:p w14:paraId="3BA15A46" w14:textId="40B5A9FE" w:rsidR="00452FA4" w:rsidRPr="00A52F23" w:rsidRDefault="00452FA4" w:rsidP="00A2026D">
            <w:pPr>
              <w:spacing w:after="60"/>
              <w:jc w:val="both"/>
              <w:rPr>
                <w:rFonts w:ascii="Calibri" w:eastAsia="SimSun" w:hAnsi="Calibri" w:cs="Calibri"/>
                <w:i/>
                <w:sz w:val="16"/>
                <w:szCs w:val="16"/>
              </w:rPr>
            </w:pPr>
            <w:r>
              <w:rPr>
                <w:rFonts w:asciiTheme="minorHAnsi" w:hAnsiTheme="minorHAnsi"/>
                <w:color w:val="000000" w:themeColor="text1"/>
                <w:sz w:val="16"/>
              </w:rPr>
              <w:t>Las principales partes interesadas están dispuestas a participar y recibir formación y capacitación en la reducción de productos agroquímicos perjudiciales y en la adopción de prácticas de producción sostenibles en el sector agrícola.</w:t>
            </w:r>
          </w:p>
        </w:tc>
      </w:tr>
      <w:tr w:rsidR="00A67531" w:rsidRPr="001B17BF" w14:paraId="76306DF0" w14:textId="77777777" w:rsidTr="00CF524B">
        <w:trPr>
          <w:trHeight w:val="424"/>
        </w:trPr>
        <w:tc>
          <w:tcPr>
            <w:tcW w:w="1335" w:type="dxa"/>
            <w:vMerge/>
            <w:shd w:val="clear" w:color="auto" w:fill="auto"/>
          </w:tcPr>
          <w:p w14:paraId="2A8EDD7A" w14:textId="101F0C57" w:rsidR="00D42AEC" w:rsidRPr="002152FE" w:rsidRDefault="00D42AEC" w:rsidP="00966EF0">
            <w:pPr>
              <w:spacing w:after="60"/>
              <w:jc w:val="both"/>
              <w:rPr>
                <w:rFonts w:ascii="Calibri" w:eastAsia="SimSun" w:hAnsi="Calibri" w:cs="Calibri"/>
                <w:b/>
                <w:sz w:val="16"/>
                <w:szCs w:val="16"/>
                <w:lang w:val="es-EC"/>
              </w:rPr>
            </w:pPr>
          </w:p>
        </w:tc>
        <w:tc>
          <w:tcPr>
            <w:tcW w:w="1764" w:type="dxa"/>
            <w:shd w:val="clear" w:color="auto" w:fill="auto"/>
          </w:tcPr>
          <w:p w14:paraId="3CAF0896" w14:textId="77777777" w:rsidR="00D42AEC" w:rsidRPr="00A52F23" w:rsidRDefault="00D42AEC" w:rsidP="00966EF0">
            <w:pPr>
              <w:spacing w:after="60"/>
              <w:jc w:val="both"/>
              <w:rPr>
                <w:rFonts w:ascii="Calibri" w:eastAsia="SimSun" w:hAnsi="Calibri" w:cs="Calibri"/>
                <w:b/>
                <w:i/>
                <w:sz w:val="16"/>
                <w:szCs w:val="16"/>
              </w:rPr>
            </w:pPr>
            <w:r>
              <w:rPr>
                <w:rFonts w:ascii="Calibri" w:hAnsi="Calibri"/>
                <w:b/>
                <w:i/>
                <w:sz w:val="16"/>
              </w:rPr>
              <w:t>Indicador 9</w:t>
            </w:r>
          </w:p>
          <w:p w14:paraId="56229659" w14:textId="0CCAE297" w:rsidR="00D42AEC" w:rsidRPr="00A52F23" w:rsidRDefault="00D42AEC" w:rsidP="00966EF0">
            <w:pPr>
              <w:spacing w:after="60"/>
              <w:jc w:val="both"/>
              <w:rPr>
                <w:rFonts w:ascii="Calibri" w:eastAsia="SimSun" w:hAnsi="Calibri" w:cs="Calibri"/>
                <w:b/>
                <w:i/>
                <w:sz w:val="16"/>
                <w:szCs w:val="16"/>
                <w:lang w:val="en-US"/>
              </w:rPr>
            </w:pPr>
          </w:p>
        </w:tc>
        <w:tc>
          <w:tcPr>
            <w:tcW w:w="1029" w:type="dxa"/>
          </w:tcPr>
          <w:p w14:paraId="07EEC63A" w14:textId="64C3D3DC" w:rsidR="00D42AEC" w:rsidRPr="00A52F23" w:rsidRDefault="00D26133" w:rsidP="00966EF0">
            <w:pPr>
              <w:spacing w:after="60"/>
              <w:jc w:val="both"/>
              <w:rPr>
                <w:rFonts w:ascii="Calibri" w:eastAsia="SimSun" w:hAnsi="Calibri" w:cs="Calibri"/>
                <w:i/>
                <w:sz w:val="16"/>
                <w:szCs w:val="16"/>
              </w:rPr>
            </w:pPr>
            <w:r>
              <w:rPr>
                <w:rFonts w:asciiTheme="minorHAnsi" w:hAnsiTheme="minorHAnsi"/>
                <w:color w:val="000000" w:themeColor="text1"/>
                <w:sz w:val="16"/>
              </w:rPr>
              <w:t>Ejecución de dos (2) proyectos piloto</w:t>
            </w:r>
          </w:p>
        </w:tc>
        <w:tc>
          <w:tcPr>
            <w:tcW w:w="1211" w:type="dxa"/>
          </w:tcPr>
          <w:p w14:paraId="6E375624" w14:textId="47A388F2" w:rsidR="00D42AEC" w:rsidRPr="00A52F23" w:rsidRDefault="00CB7F78" w:rsidP="00966EF0">
            <w:pPr>
              <w:spacing w:after="60"/>
              <w:jc w:val="both"/>
              <w:rPr>
                <w:rFonts w:ascii="Calibri" w:eastAsia="SimSun" w:hAnsi="Calibri" w:cs="Calibri"/>
                <w:sz w:val="16"/>
                <w:szCs w:val="16"/>
              </w:rPr>
            </w:pPr>
            <w:r>
              <w:rPr>
                <w:rFonts w:ascii="Calibri" w:hAnsi="Calibri"/>
                <w:color w:val="000000" w:themeColor="text1"/>
                <w:sz w:val="16"/>
              </w:rPr>
              <w:t xml:space="preserve">Número de </w:t>
            </w:r>
            <w:r>
              <w:rPr>
                <w:rFonts w:asciiTheme="minorHAnsi" w:hAnsiTheme="minorHAnsi"/>
                <w:color w:val="000000" w:themeColor="text1"/>
                <w:sz w:val="16"/>
              </w:rPr>
              <w:t>proyectos piloto implementados para el desarrollo de capacidades en la gestión de plásticos para uso agrícola en zonas rurales</w:t>
            </w:r>
          </w:p>
        </w:tc>
        <w:tc>
          <w:tcPr>
            <w:tcW w:w="1861" w:type="dxa"/>
            <w:shd w:val="clear" w:color="auto" w:fill="auto"/>
          </w:tcPr>
          <w:p w14:paraId="5BF09052" w14:textId="0A8908F4" w:rsidR="00D42AEC" w:rsidRPr="00A52F23" w:rsidRDefault="00F13B91" w:rsidP="00966EF0">
            <w:pPr>
              <w:spacing w:after="60"/>
              <w:jc w:val="both"/>
              <w:rPr>
                <w:rFonts w:ascii="Calibri" w:eastAsia="SimSun" w:hAnsi="Calibri" w:cs="Calibri"/>
                <w:sz w:val="16"/>
                <w:szCs w:val="16"/>
              </w:rPr>
            </w:pPr>
            <w:r>
              <w:rPr>
                <w:rFonts w:asciiTheme="minorHAnsi" w:hAnsiTheme="minorHAnsi"/>
                <w:sz w:val="16"/>
              </w:rPr>
              <w:t>Registros oficiales del MAATE</w:t>
            </w:r>
          </w:p>
        </w:tc>
        <w:tc>
          <w:tcPr>
            <w:tcW w:w="1081" w:type="dxa"/>
            <w:shd w:val="clear" w:color="auto" w:fill="auto"/>
          </w:tcPr>
          <w:p w14:paraId="36DD93B3" w14:textId="7C35C6B8" w:rsidR="00D42AEC" w:rsidRPr="00A52F23" w:rsidRDefault="00834551" w:rsidP="00966EF0">
            <w:pPr>
              <w:spacing w:after="60"/>
              <w:jc w:val="both"/>
              <w:rPr>
                <w:rFonts w:ascii="Calibri" w:eastAsia="SimSun" w:hAnsi="Calibri" w:cs="Calibri"/>
                <w:sz w:val="16"/>
                <w:szCs w:val="16"/>
              </w:rPr>
            </w:pPr>
            <w:r>
              <w:rPr>
                <w:rFonts w:asciiTheme="minorHAnsi" w:hAnsiTheme="minorHAnsi"/>
                <w:sz w:val="16"/>
              </w:rPr>
              <w:t>PIR, MTR y TE</w:t>
            </w:r>
          </w:p>
        </w:tc>
        <w:tc>
          <w:tcPr>
            <w:tcW w:w="1401" w:type="dxa"/>
            <w:shd w:val="clear" w:color="auto" w:fill="auto"/>
          </w:tcPr>
          <w:p w14:paraId="4FC5FA79" w14:textId="77777777" w:rsidR="00DC672A" w:rsidRPr="00A52F23" w:rsidRDefault="00DC672A" w:rsidP="00DC672A">
            <w:pPr>
              <w:spacing w:after="60"/>
              <w:jc w:val="both"/>
              <w:rPr>
                <w:rFonts w:ascii="Calibri" w:eastAsia="SimSun" w:hAnsi="Calibri" w:cs="Calibri"/>
                <w:iCs/>
                <w:sz w:val="16"/>
                <w:szCs w:val="16"/>
              </w:rPr>
            </w:pPr>
            <w:r>
              <w:rPr>
                <w:rFonts w:ascii="Calibri" w:hAnsi="Calibri"/>
                <w:sz w:val="16"/>
              </w:rPr>
              <w:t>UGP</w:t>
            </w:r>
          </w:p>
          <w:p w14:paraId="6D7801CE" w14:textId="7926CFD1" w:rsidR="00D42AEC" w:rsidRPr="00A52F23" w:rsidRDefault="00DC672A" w:rsidP="00DC672A">
            <w:pPr>
              <w:spacing w:after="60"/>
              <w:jc w:val="both"/>
              <w:rPr>
                <w:rFonts w:ascii="Calibri" w:eastAsia="SimSun" w:hAnsi="Calibri" w:cs="Calibri"/>
                <w:sz w:val="16"/>
                <w:szCs w:val="16"/>
              </w:rPr>
            </w:pPr>
            <w:r>
              <w:rPr>
                <w:rFonts w:ascii="Calibri" w:hAnsi="Calibri"/>
                <w:sz w:val="16"/>
              </w:rPr>
              <w:t>MAATE</w:t>
            </w:r>
          </w:p>
        </w:tc>
        <w:tc>
          <w:tcPr>
            <w:tcW w:w="1160" w:type="dxa"/>
            <w:shd w:val="clear" w:color="auto" w:fill="auto"/>
          </w:tcPr>
          <w:p w14:paraId="2FEA3C7D" w14:textId="49FDF33F" w:rsidR="00D42AEC" w:rsidRPr="00A52F23" w:rsidRDefault="00CB7F78" w:rsidP="00966EF0">
            <w:pPr>
              <w:spacing w:after="60"/>
              <w:jc w:val="both"/>
              <w:rPr>
                <w:rFonts w:ascii="Calibri" w:eastAsia="SimSun" w:hAnsi="Calibri" w:cs="Calibri"/>
                <w:sz w:val="16"/>
                <w:szCs w:val="16"/>
              </w:rPr>
            </w:pPr>
            <w:r>
              <w:rPr>
                <w:rFonts w:ascii="Calibri" w:hAnsi="Calibri"/>
                <w:sz w:val="16"/>
              </w:rPr>
              <w:t>Registros oficiales del MAATE</w:t>
            </w:r>
          </w:p>
        </w:tc>
        <w:tc>
          <w:tcPr>
            <w:tcW w:w="2113" w:type="dxa"/>
            <w:shd w:val="clear" w:color="auto" w:fill="auto"/>
          </w:tcPr>
          <w:p w14:paraId="247BD0DC" w14:textId="77777777" w:rsidR="00A2026D" w:rsidRPr="00A67531" w:rsidRDefault="00A2026D" w:rsidP="00A2026D">
            <w:pPr>
              <w:spacing w:after="60"/>
              <w:rPr>
                <w:rFonts w:ascii="Calibri" w:eastAsia="SimSun" w:hAnsi="Calibri" w:cs="Calibri"/>
                <w:sz w:val="16"/>
                <w:szCs w:val="16"/>
                <w:u w:val="single"/>
              </w:rPr>
            </w:pPr>
            <w:r>
              <w:rPr>
                <w:rFonts w:ascii="Calibri" w:hAnsi="Calibri"/>
                <w:sz w:val="16"/>
                <w:u w:val="single"/>
              </w:rPr>
              <w:t xml:space="preserve">Riesgos: </w:t>
            </w:r>
          </w:p>
          <w:p w14:paraId="5DC01907" w14:textId="67C98693" w:rsidR="00BD5034" w:rsidRPr="00A67531" w:rsidRDefault="00BD5034" w:rsidP="00BD5034">
            <w:pPr>
              <w:spacing w:before="40" w:after="40"/>
              <w:rPr>
                <w:rFonts w:ascii="Calibri" w:hAnsi="Calibri" w:cs="Calibri"/>
                <w:spacing w:val="-4"/>
                <w:sz w:val="16"/>
                <w:szCs w:val="16"/>
              </w:rPr>
            </w:pPr>
            <w:r>
              <w:rPr>
                <w:rFonts w:ascii="Calibri" w:hAnsi="Calibri"/>
                <w:sz w:val="16"/>
              </w:rPr>
              <w:t>Participación limitada de las OSC y las principales partes interesadas (sector privado) en la aplicación efectiva del modelo empresarial</w:t>
            </w:r>
          </w:p>
          <w:p w14:paraId="6B816C80" w14:textId="393CAD5D" w:rsidR="00875D3C" w:rsidRPr="00A67531" w:rsidRDefault="00875D3C" w:rsidP="00A2026D">
            <w:pPr>
              <w:spacing w:after="60"/>
              <w:rPr>
                <w:rFonts w:ascii="Calibri" w:hAnsi="Calibri" w:cs="Calibri"/>
                <w:bCs/>
                <w:sz w:val="16"/>
                <w:szCs w:val="16"/>
              </w:rPr>
            </w:pPr>
            <w:r>
              <w:rPr>
                <w:rFonts w:ascii="Calibri" w:hAnsi="Calibri"/>
                <w:sz w:val="16"/>
              </w:rPr>
              <w:t xml:space="preserve">(Relacionado con el </w:t>
            </w:r>
            <w:r w:rsidR="008752DF">
              <w:rPr>
                <w:rFonts w:ascii="Calibri" w:hAnsi="Calibri"/>
                <w:sz w:val="16"/>
              </w:rPr>
              <w:t>R</w:t>
            </w:r>
            <w:r>
              <w:rPr>
                <w:rFonts w:ascii="Calibri" w:hAnsi="Calibri"/>
                <w:sz w:val="16"/>
              </w:rPr>
              <w:t>iesgo 10)</w:t>
            </w:r>
          </w:p>
          <w:p w14:paraId="596AE222" w14:textId="67D39B34" w:rsidR="00BD5034" w:rsidRPr="00A67531" w:rsidRDefault="00BD5034" w:rsidP="00BD5034">
            <w:pPr>
              <w:spacing w:before="40" w:after="40"/>
              <w:rPr>
                <w:rFonts w:ascii="Calibri" w:hAnsi="Calibri" w:cs="Calibri"/>
                <w:spacing w:val="-4"/>
                <w:sz w:val="16"/>
                <w:szCs w:val="16"/>
              </w:rPr>
            </w:pPr>
            <w:r>
              <w:rPr>
                <w:rFonts w:ascii="Calibri" w:hAnsi="Calibri"/>
                <w:sz w:val="16"/>
              </w:rPr>
              <w:t>Falta de interés y participación de los cultivadores</w:t>
            </w:r>
          </w:p>
          <w:p w14:paraId="022F65E0" w14:textId="3BF6129A" w:rsidR="00437A07" w:rsidRPr="00A67531" w:rsidRDefault="00BD5034" w:rsidP="00A2026D">
            <w:pPr>
              <w:spacing w:after="60"/>
              <w:rPr>
                <w:rFonts w:ascii="Calibri" w:eastAsia="SimSun" w:hAnsi="Calibri" w:cs="Calibri"/>
                <w:sz w:val="16"/>
                <w:szCs w:val="16"/>
              </w:rPr>
            </w:pPr>
            <w:r>
              <w:rPr>
                <w:rFonts w:ascii="Calibri" w:hAnsi="Calibri"/>
                <w:sz w:val="16"/>
              </w:rPr>
              <w:t xml:space="preserve">(Relacionado con el </w:t>
            </w:r>
            <w:r w:rsidR="008752DF">
              <w:rPr>
                <w:rFonts w:ascii="Calibri" w:hAnsi="Calibri"/>
                <w:sz w:val="16"/>
              </w:rPr>
              <w:t>R</w:t>
            </w:r>
            <w:r>
              <w:rPr>
                <w:rFonts w:ascii="Calibri" w:hAnsi="Calibri"/>
                <w:sz w:val="16"/>
              </w:rPr>
              <w:t>iesgo 14)</w:t>
            </w:r>
          </w:p>
          <w:p w14:paraId="5A95AFE5" w14:textId="05AA970E" w:rsidR="00D42AEC" w:rsidRPr="00A67531" w:rsidRDefault="00A2026D" w:rsidP="00A2026D">
            <w:pPr>
              <w:spacing w:after="60"/>
              <w:jc w:val="both"/>
              <w:rPr>
                <w:rFonts w:ascii="Calibri" w:eastAsia="SimSun" w:hAnsi="Calibri" w:cs="Calibri"/>
                <w:sz w:val="16"/>
                <w:szCs w:val="16"/>
                <w:u w:val="single"/>
              </w:rPr>
            </w:pPr>
            <w:r>
              <w:rPr>
                <w:rFonts w:ascii="Calibri" w:hAnsi="Calibri"/>
                <w:sz w:val="16"/>
                <w:u w:val="single"/>
              </w:rPr>
              <w:t>Supuestos:</w:t>
            </w:r>
          </w:p>
          <w:p w14:paraId="2FF03C9A" w14:textId="77777777" w:rsidR="00BD5034" w:rsidRPr="00A67531" w:rsidRDefault="00BD5034" w:rsidP="00BD5034">
            <w:pPr>
              <w:spacing w:after="60"/>
              <w:jc w:val="both"/>
              <w:rPr>
                <w:rFonts w:ascii="Calibri" w:hAnsi="Calibri" w:cs="Calibri"/>
                <w:sz w:val="16"/>
                <w:szCs w:val="16"/>
              </w:rPr>
            </w:pPr>
            <w:r>
              <w:rPr>
                <w:rFonts w:ascii="Calibri" w:hAnsi="Calibri"/>
                <w:sz w:val="16"/>
              </w:rPr>
              <w:t>Se llevarán a cabo actividades para apoyar el desarrollo y la formación de la OCS seleccionada.</w:t>
            </w:r>
          </w:p>
          <w:p w14:paraId="6C880B78" w14:textId="79C041EB" w:rsidR="00BD5034" w:rsidRPr="00A67531" w:rsidRDefault="00BD5034" w:rsidP="00452FA4">
            <w:pPr>
              <w:snapToGrid w:val="0"/>
              <w:spacing w:after="120"/>
              <w:jc w:val="both"/>
              <w:rPr>
                <w:rFonts w:ascii="Calibri" w:hAnsi="Calibri" w:cs="Calibri"/>
                <w:color w:val="000000" w:themeColor="text1"/>
                <w:sz w:val="16"/>
                <w:szCs w:val="16"/>
              </w:rPr>
            </w:pPr>
            <w:r>
              <w:rPr>
                <w:rFonts w:ascii="Calibri" w:hAnsi="Calibri"/>
                <w:color w:val="000000" w:themeColor="text1"/>
                <w:sz w:val="16"/>
              </w:rPr>
              <w:t>La estrategia de comunicación aplicada por el proyecto difundirá claramente los beneficios e implicará adecuadamente a los agricultores, así como a otras partes interesadas clave.</w:t>
            </w:r>
          </w:p>
          <w:p w14:paraId="481F5C9A" w14:textId="7016B9C4" w:rsidR="00452FA4" w:rsidRPr="00A67531" w:rsidRDefault="00A67531" w:rsidP="00A67531">
            <w:pPr>
              <w:contextualSpacing/>
              <w:jc w:val="both"/>
              <w:rPr>
                <w:rFonts w:asciiTheme="minorHAnsi" w:hAnsiTheme="minorHAnsi"/>
                <w:sz w:val="16"/>
                <w:szCs w:val="16"/>
              </w:rPr>
            </w:pPr>
            <w:r>
              <w:rPr>
                <w:rFonts w:asciiTheme="minorHAnsi" w:hAnsiTheme="minorHAnsi"/>
                <w:sz w:val="16"/>
              </w:rPr>
              <w:t>Se llevará a cabo una participación efectiva de las principales partes interesadas dentro de la cadena de valor de los productos agroquímicos.</w:t>
            </w:r>
          </w:p>
        </w:tc>
      </w:tr>
      <w:tr w:rsidR="00A67531" w:rsidRPr="001B17BF" w14:paraId="06A7A5EF" w14:textId="77777777" w:rsidTr="00CF524B">
        <w:trPr>
          <w:trHeight w:val="424"/>
        </w:trPr>
        <w:tc>
          <w:tcPr>
            <w:tcW w:w="1335" w:type="dxa"/>
            <w:vMerge/>
          </w:tcPr>
          <w:p w14:paraId="3AF682E7" w14:textId="77777777" w:rsidR="00D42AEC" w:rsidRPr="002152FE" w:rsidRDefault="00D42AEC" w:rsidP="00966EF0">
            <w:pPr>
              <w:spacing w:after="60"/>
              <w:jc w:val="both"/>
              <w:rPr>
                <w:rFonts w:ascii="Calibri" w:eastAsia="SimSun" w:hAnsi="Calibri" w:cs="Calibri"/>
                <w:b/>
                <w:sz w:val="16"/>
                <w:szCs w:val="16"/>
                <w:lang w:val="es-EC"/>
              </w:rPr>
            </w:pPr>
          </w:p>
        </w:tc>
        <w:tc>
          <w:tcPr>
            <w:tcW w:w="1764" w:type="dxa"/>
            <w:shd w:val="clear" w:color="auto" w:fill="auto"/>
          </w:tcPr>
          <w:p w14:paraId="1E08B55B" w14:textId="2F1280CB" w:rsidR="00D42AEC" w:rsidRPr="00A52F23" w:rsidRDefault="00D42AEC" w:rsidP="002A1CD8">
            <w:pPr>
              <w:spacing w:after="60"/>
              <w:rPr>
                <w:rFonts w:ascii="Calibri" w:eastAsia="SimSun" w:hAnsi="Calibri" w:cs="Calibri"/>
                <w:b/>
                <w:i/>
                <w:sz w:val="16"/>
                <w:szCs w:val="16"/>
              </w:rPr>
            </w:pPr>
            <w:r>
              <w:rPr>
                <w:rFonts w:ascii="Calibri" w:hAnsi="Calibri"/>
                <w:b/>
                <w:i/>
                <w:sz w:val="16"/>
              </w:rPr>
              <w:t>Indicador 10</w:t>
            </w:r>
            <w:r>
              <w:rPr>
                <w:rFonts w:ascii="Calibri" w:hAnsi="Calibri"/>
                <w:color w:val="000000" w:themeColor="text1"/>
                <w:sz w:val="16"/>
              </w:rPr>
              <w:t xml:space="preserve"> </w:t>
            </w:r>
          </w:p>
        </w:tc>
        <w:tc>
          <w:tcPr>
            <w:tcW w:w="1029" w:type="dxa"/>
          </w:tcPr>
          <w:p w14:paraId="60CCC6AF" w14:textId="1E5729CB" w:rsidR="00D26133" w:rsidRPr="00A52F23" w:rsidRDefault="00D26133" w:rsidP="00D26133">
            <w:pPr>
              <w:rPr>
                <w:rFonts w:ascii="Calibri" w:eastAsia="SimSun" w:hAnsi="Calibri" w:cs="Calibri"/>
                <w:bCs/>
                <w:iCs/>
                <w:sz w:val="16"/>
                <w:szCs w:val="16"/>
              </w:rPr>
            </w:pPr>
            <w:r>
              <w:rPr>
                <w:rFonts w:ascii="Calibri" w:hAnsi="Calibri"/>
                <w:sz w:val="16"/>
              </w:rPr>
              <w:t xml:space="preserve">Un (1) Mecanismo de </w:t>
            </w:r>
            <w:r w:rsidR="008752DF">
              <w:rPr>
                <w:rFonts w:ascii="Calibri" w:hAnsi="Calibri"/>
                <w:sz w:val="16"/>
              </w:rPr>
              <w:t>F</w:t>
            </w:r>
            <w:r>
              <w:rPr>
                <w:rFonts w:ascii="Calibri" w:hAnsi="Calibri"/>
                <w:sz w:val="16"/>
              </w:rPr>
              <w:t xml:space="preserve">ondo </w:t>
            </w:r>
            <w:r w:rsidR="008752DF">
              <w:rPr>
                <w:rFonts w:ascii="Calibri" w:hAnsi="Calibri"/>
                <w:sz w:val="16"/>
              </w:rPr>
              <w:t>C</w:t>
            </w:r>
            <w:r>
              <w:rPr>
                <w:rFonts w:ascii="Calibri" w:hAnsi="Calibri"/>
                <w:sz w:val="16"/>
              </w:rPr>
              <w:t>oncursable desarrollado</w:t>
            </w:r>
          </w:p>
          <w:p w14:paraId="4F222AF1" w14:textId="10EB2365" w:rsidR="00D42AEC" w:rsidRPr="00A52F23" w:rsidRDefault="00D26133" w:rsidP="00D26133">
            <w:pPr>
              <w:spacing w:after="60"/>
              <w:rPr>
                <w:rFonts w:ascii="Calibri" w:eastAsia="SimSun" w:hAnsi="Calibri" w:cs="Calibri"/>
                <w:i/>
                <w:sz w:val="16"/>
                <w:szCs w:val="16"/>
              </w:rPr>
            </w:pPr>
            <w:r>
              <w:rPr>
                <w:rFonts w:ascii="Calibri" w:hAnsi="Calibri"/>
                <w:sz w:val="16"/>
              </w:rPr>
              <w:t>Tres (3) iniciativas seleccionadas y aplicadas para reducir el uso de PAPs</w:t>
            </w:r>
          </w:p>
        </w:tc>
        <w:tc>
          <w:tcPr>
            <w:tcW w:w="1211" w:type="dxa"/>
          </w:tcPr>
          <w:p w14:paraId="6CD632F2" w14:textId="490E2D10" w:rsidR="00D42AEC" w:rsidRPr="00A52F23" w:rsidRDefault="00CB7F78" w:rsidP="008752DF">
            <w:pPr>
              <w:spacing w:after="60"/>
              <w:jc w:val="both"/>
              <w:rPr>
                <w:rFonts w:ascii="Calibri" w:eastAsia="SimSun" w:hAnsi="Calibri" w:cs="Calibri"/>
                <w:i/>
                <w:sz w:val="16"/>
                <w:szCs w:val="16"/>
              </w:rPr>
            </w:pPr>
            <w:r>
              <w:rPr>
                <w:rFonts w:ascii="Calibri" w:hAnsi="Calibri"/>
                <w:color w:val="000000" w:themeColor="text1"/>
                <w:sz w:val="16"/>
              </w:rPr>
              <w:t xml:space="preserve">Mecanismo de </w:t>
            </w:r>
            <w:r w:rsidR="008752DF">
              <w:rPr>
                <w:rFonts w:ascii="Calibri" w:hAnsi="Calibri"/>
                <w:color w:val="000000" w:themeColor="text1"/>
                <w:sz w:val="16"/>
              </w:rPr>
              <w:t>F</w:t>
            </w:r>
            <w:r>
              <w:rPr>
                <w:rFonts w:ascii="Calibri" w:hAnsi="Calibri"/>
                <w:color w:val="000000" w:themeColor="text1"/>
                <w:sz w:val="16"/>
              </w:rPr>
              <w:t xml:space="preserve">ondo </w:t>
            </w:r>
            <w:r w:rsidR="008752DF">
              <w:rPr>
                <w:rFonts w:ascii="Calibri" w:hAnsi="Calibri"/>
                <w:color w:val="000000" w:themeColor="text1"/>
                <w:sz w:val="16"/>
              </w:rPr>
              <w:t>C</w:t>
            </w:r>
            <w:r>
              <w:rPr>
                <w:rFonts w:ascii="Calibri" w:hAnsi="Calibri"/>
                <w:color w:val="000000" w:themeColor="text1"/>
                <w:sz w:val="16"/>
              </w:rPr>
              <w:t>oncursable desarrollado para la reducción del uso de PAPs</w:t>
            </w:r>
          </w:p>
        </w:tc>
        <w:tc>
          <w:tcPr>
            <w:tcW w:w="1861" w:type="dxa"/>
            <w:shd w:val="clear" w:color="auto" w:fill="auto"/>
          </w:tcPr>
          <w:p w14:paraId="706D4E1F" w14:textId="5A44FDA4" w:rsidR="00D42AEC" w:rsidRPr="00A52F23" w:rsidRDefault="00F13B91" w:rsidP="00966EF0">
            <w:pPr>
              <w:spacing w:after="60"/>
              <w:jc w:val="both"/>
              <w:rPr>
                <w:rFonts w:ascii="Calibri" w:eastAsia="SimSun" w:hAnsi="Calibri" w:cs="Calibri"/>
                <w:i/>
                <w:sz w:val="16"/>
                <w:szCs w:val="16"/>
              </w:rPr>
            </w:pPr>
            <w:r>
              <w:rPr>
                <w:rFonts w:asciiTheme="minorHAnsi" w:hAnsiTheme="minorHAnsi"/>
                <w:sz w:val="16"/>
              </w:rPr>
              <w:t>Registros oficiales del MAATE</w:t>
            </w:r>
          </w:p>
        </w:tc>
        <w:tc>
          <w:tcPr>
            <w:tcW w:w="1081" w:type="dxa"/>
            <w:shd w:val="clear" w:color="auto" w:fill="auto"/>
          </w:tcPr>
          <w:p w14:paraId="2C5ADDCB" w14:textId="7226F98D" w:rsidR="00D42AEC" w:rsidRPr="00A52F23" w:rsidRDefault="00834551" w:rsidP="00966EF0">
            <w:pPr>
              <w:spacing w:after="60"/>
              <w:jc w:val="both"/>
              <w:rPr>
                <w:rFonts w:ascii="Calibri" w:eastAsia="SimSun" w:hAnsi="Calibri" w:cs="Calibri"/>
                <w:i/>
                <w:sz w:val="16"/>
                <w:szCs w:val="16"/>
              </w:rPr>
            </w:pPr>
            <w:r>
              <w:rPr>
                <w:rFonts w:asciiTheme="minorHAnsi" w:hAnsiTheme="minorHAnsi"/>
                <w:sz w:val="16"/>
              </w:rPr>
              <w:t>PIR, MTR y TE</w:t>
            </w:r>
          </w:p>
        </w:tc>
        <w:tc>
          <w:tcPr>
            <w:tcW w:w="1401" w:type="dxa"/>
            <w:shd w:val="clear" w:color="auto" w:fill="auto"/>
          </w:tcPr>
          <w:p w14:paraId="60FF794A" w14:textId="77777777" w:rsidR="00DC672A" w:rsidRPr="00A52F23" w:rsidRDefault="00DC672A" w:rsidP="00DC672A">
            <w:pPr>
              <w:spacing w:after="60"/>
              <w:jc w:val="both"/>
              <w:rPr>
                <w:rFonts w:ascii="Calibri" w:eastAsia="SimSun" w:hAnsi="Calibri" w:cs="Calibri"/>
                <w:iCs/>
                <w:sz w:val="16"/>
                <w:szCs w:val="16"/>
              </w:rPr>
            </w:pPr>
            <w:r>
              <w:rPr>
                <w:rFonts w:ascii="Calibri" w:hAnsi="Calibri"/>
                <w:sz w:val="16"/>
              </w:rPr>
              <w:t>UGP</w:t>
            </w:r>
          </w:p>
          <w:p w14:paraId="34FB8931" w14:textId="43DCE92B" w:rsidR="00D42AEC" w:rsidRPr="00A52F23" w:rsidRDefault="00DC672A" w:rsidP="00DC672A">
            <w:pPr>
              <w:spacing w:after="60"/>
              <w:jc w:val="both"/>
              <w:rPr>
                <w:rFonts w:ascii="Calibri" w:eastAsia="SimSun" w:hAnsi="Calibri" w:cs="Calibri"/>
                <w:i/>
                <w:sz w:val="16"/>
                <w:szCs w:val="16"/>
              </w:rPr>
            </w:pPr>
            <w:r>
              <w:rPr>
                <w:rFonts w:ascii="Calibri" w:hAnsi="Calibri"/>
                <w:sz w:val="16"/>
              </w:rPr>
              <w:t>MAATE</w:t>
            </w:r>
          </w:p>
        </w:tc>
        <w:tc>
          <w:tcPr>
            <w:tcW w:w="1160" w:type="dxa"/>
            <w:shd w:val="clear" w:color="auto" w:fill="auto"/>
          </w:tcPr>
          <w:p w14:paraId="30CAEB7A" w14:textId="3F59BFD6" w:rsidR="00D42AEC" w:rsidRPr="00A52F23" w:rsidRDefault="00CB7F78" w:rsidP="00966EF0">
            <w:pPr>
              <w:spacing w:after="60"/>
              <w:jc w:val="both"/>
              <w:rPr>
                <w:rFonts w:ascii="Calibri" w:eastAsia="SimSun" w:hAnsi="Calibri" w:cs="Calibri"/>
                <w:i/>
                <w:sz w:val="16"/>
                <w:szCs w:val="16"/>
              </w:rPr>
            </w:pPr>
            <w:r>
              <w:rPr>
                <w:rFonts w:ascii="Calibri" w:hAnsi="Calibri"/>
                <w:sz w:val="16"/>
              </w:rPr>
              <w:t>Publicación oficial del MAATE</w:t>
            </w:r>
          </w:p>
        </w:tc>
        <w:tc>
          <w:tcPr>
            <w:tcW w:w="2113" w:type="dxa"/>
            <w:shd w:val="clear" w:color="auto" w:fill="auto"/>
          </w:tcPr>
          <w:p w14:paraId="589C26F6" w14:textId="01C80179" w:rsidR="00686372" w:rsidRPr="00E10912" w:rsidRDefault="00A2026D" w:rsidP="00A2026D">
            <w:pPr>
              <w:spacing w:after="60"/>
              <w:rPr>
                <w:rFonts w:ascii="Calibri" w:eastAsia="SimSun" w:hAnsi="Calibri" w:cs="Arial"/>
                <w:sz w:val="16"/>
                <w:szCs w:val="16"/>
                <w:u w:val="single"/>
              </w:rPr>
            </w:pPr>
            <w:r>
              <w:rPr>
                <w:rFonts w:ascii="Calibri" w:hAnsi="Calibri"/>
                <w:sz w:val="16"/>
                <w:u w:val="single"/>
              </w:rPr>
              <w:t xml:space="preserve">Riesgos: </w:t>
            </w:r>
          </w:p>
          <w:p w14:paraId="47AF2CF7" w14:textId="3FE3A9BC" w:rsidR="00A2026D" w:rsidRPr="00E10912" w:rsidRDefault="00686372" w:rsidP="00A2026D">
            <w:pPr>
              <w:spacing w:after="60"/>
              <w:rPr>
                <w:rFonts w:ascii="Calibri" w:hAnsi="Calibri" w:cs="Calibri"/>
                <w:iCs/>
                <w:sz w:val="16"/>
                <w:szCs w:val="16"/>
              </w:rPr>
            </w:pPr>
            <w:r>
              <w:rPr>
                <w:rFonts w:ascii="Calibri" w:hAnsi="Calibri"/>
                <w:sz w:val="16"/>
              </w:rPr>
              <w:t>Participación limitada en el MFC y escasa presentación de propuestas innovadoras</w:t>
            </w:r>
          </w:p>
          <w:p w14:paraId="6BC2A79C" w14:textId="1BF372DB" w:rsidR="00E11651" w:rsidRPr="00E10912" w:rsidRDefault="00686372" w:rsidP="00A2026D">
            <w:pPr>
              <w:spacing w:after="60"/>
              <w:rPr>
                <w:rFonts w:ascii="Calibri" w:eastAsia="SimSun" w:hAnsi="Calibri" w:cs="Arial"/>
                <w:sz w:val="16"/>
                <w:szCs w:val="16"/>
              </w:rPr>
            </w:pPr>
            <w:r>
              <w:rPr>
                <w:rFonts w:ascii="Calibri" w:hAnsi="Calibri"/>
                <w:sz w:val="16"/>
              </w:rPr>
              <w:t xml:space="preserve">(En relación con los </w:t>
            </w:r>
            <w:r w:rsidR="008752DF">
              <w:rPr>
                <w:rFonts w:ascii="Calibri" w:hAnsi="Calibri"/>
                <w:sz w:val="16"/>
              </w:rPr>
              <w:t>R</w:t>
            </w:r>
            <w:r>
              <w:rPr>
                <w:rFonts w:ascii="Calibri" w:hAnsi="Calibri"/>
                <w:sz w:val="16"/>
              </w:rPr>
              <w:t>iesgos 3 y 14)</w:t>
            </w:r>
          </w:p>
          <w:p w14:paraId="583B9894" w14:textId="7DFE1D51" w:rsidR="00D42AEC"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73B87684" w14:textId="1B0A25AD" w:rsidR="00686372" w:rsidRPr="005A26D5" w:rsidRDefault="00E26FEF" w:rsidP="005A26D5">
            <w:pPr>
              <w:snapToGrid w:val="0"/>
              <w:spacing w:after="120"/>
              <w:jc w:val="both"/>
              <w:rPr>
                <w:rFonts w:asciiTheme="minorHAnsi" w:hAnsiTheme="minorHAnsi" w:cstheme="minorHAnsi"/>
                <w:color w:val="000000" w:themeColor="text1"/>
                <w:sz w:val="16"/>
                <w:szCs w:val="16"/>
              </w:rPr>
            </w:pPr>
            <w:r>
              <w:rPr>
                <w:rFonts w:ascii="Calibri" w:hAnsi="Calibri"/>
                <w:sz w:val="16"/>
              </w:rPr>
              <w:t xml:space="preserve">El proyecto </w:t>
            </w:r>
            <w:r>
              <w:rPr>
                <w:rFonts w:asciiTheme="minorHAnsi" w:hAnsiTheme="minorHAnsi"/>
                <w:color w:val="000000" w:themeColor="text1"/>
                <w:sz w:val="16"/>
              </w:rPr>
              <w:t>divulgará y compartirá información sobre las oportunidades de financiación del MFC a escala nacional con los socios del proyecto y las partes interesadas, incluida la publicación de convocatoria de candidaturas.</w:t>
            </w:r>
          </w:p>
        </w:tc>
      </w:tr>
      <w:tr w:rsidR="00A67531" w:rsidRPr="001B17BF" w14:paraId="165111D3" w14:textId="77777777" w:rsidTr="00CF524B">
        <w:trPr>
          <w:trHeight w:val="424"/>
        </w:trPr>
        <w:tc>
          <w:tcPr>
            <w:tcW w:w="1335" w:type="dxa"/>
            <w:vMerge w:val="restart"/>
            <w:shd w:val="clear" w:color="auto" w:fill="auto"/>
          </w:tcPr>
          <w:p w14:paraId="68957E97" w14:textId="77777777" w:rsidR="00966EF0" w:rsidRPr="002152FE" w:rsidRDefault="00966EF0" w:rsidP="00966EF0">
            <w:pPr>
              <w:spacing w:after="60"/>
              <w:jc w:val="both"/>
              <w:rPr>
                <w:rFonts w:ascii="Calibri" w:eastAsia="SimSun" w:hAnsi="Calibri" w:cs="Calibri"/>
                <w:b/>
                <w:sz w:val="16"/>
                <w:szCs w:val="16"/>
                <w:lang w:val="es-EC"/>
              </w:rPr>
            </w:pPr>
          </w:p>
          <w:p w14:paraId="4A264C9C" w14:textId="73327239" w:rsidR="00966EF0" w:rsidRPr="00A52F23" w:rsidRDefault="00966EF0" w:rsidP="008752DF">
            <w:pPr>
              <w:spacing w:after="60"/>
              <w:jc w:val="both"/>
              <w:rPr>
                <w:rFonts w:ascii="Calibri" w:eastAsia="SimSun" w:hAnsi="Calibri" w:cs="Calibri"/>
                <w:b/>
                <w:sz w:val="16"/>
                <w:szCs w:val="16"/>
              </w:rPr>
            </w:pPr>
            <w:r>
              <w:rPr>
                <w:rFonts w:ascii="Calibri" w:hAnsi="Calibri"/>
                <w:b/>
                <w:sz w:val="16"/>
              </w:rPr>
              <w:t>Resultado del proyecto 3</w:t>
            </w:r>
          </w:p>
        </w:tc>
        <w:tc>
          <w:tcPr>
            <w:tcW w:w="1764" w:type="dxa"/>
            <w:shd w:val="clear" w:color="auto" w:fill="auto"/>
          </w:tcPr>
          <w:p w14:paraId="3A55C9C6" w14:textId="77777777" w:rsidR="00966EF0" w:rsidRPr="00A52F23" w:rsidRDefault="00966EF0" w:rsidP="00966EF0">
            <w:pPr>
              <w:spacing w:after="60"/>
              <w:jc w:val="both"/>
              <w:rPr>
                <w:rFonts w:ascii="Calibri" w:eastAsia="SimSun" w:hAnsi="Calibri" w:cs="Calibri"/>
                <w:b/>
                <w:i/>
                <w:sz w:val="16"/>
                <w:szCs w:val="16"/>
              </w:rPr>
            </w:pPr>
            <w:r>
              <w:rPr>
                <w:rFonts w:ascii="Calibri" w:hAnsi="Calibri"/>
                <w:b/>
                <w:i/>
                <w:sz w:val="16"/>
              </w:rPr>
              <w:t xml:space="preserve">Indicador 11 </w:t>
            </w:r>
          </w:p>
          <w:p w14:paraId="082A8740" w14:textId="76D488D1" w:rsidR="00966EF0" w:rsidRPr="00A52F23" w:rsidRDefault="00966EF0" w:rsidP="00966EF0">
            <w:pPr>
              <w:spacing w:after="60"/>
              <w:jc w:val="both"/>
              <w:rPr>
                <w:rFonts w:ascii="Calibri" w:eastAsia="SimSun" w:hAnsi="Calibri" w:cs="Calibri"/>
                <w:sz w:val="16"/>
                <w:szCs w:val="16"/>
                <w:lang w:val="en-US"/>
              </w:rPr>
            </w:pPr>
          </w:p>
        </w:tc>
        <w:tc>
          <w:tcPr>
            <w:tcW w:w="1029" w:type="dxa"/>
          </w:tcPr>
          <w:p w14:paraId="62935F51" w14:textId="658A0210" w:rsidR="00966EF0" w:rsidRPr="00A52F23" w:rsidRDefault="00D26133" w:rsidP="00966EF0">
            <w:pPr>
              <w:spacing w:after="60"/>
              <w:jc w:val="both"/>
              <w:rPr>
                <w:rFonts w:ascii="Calibri" w:eastAsia="SimSun" w:hAnsi="Calibri" w:cs="Calibri"/>
                <w:i/>
                <w:sz w:val="16"/>
                <w:szCs w:val="16"/>
              </w:rPr>
            </w:pPr>
            <w:r>
              <w:rPr>
                <w:rFonts w:asciiTheme="minorHAnsi" w:hAnsiTheme="minorHAnsi"/>
                <w:color w:val="000000" w:themeColor="text1"/>
                <w:sz w:val="16"/>
              </w:rPr>
              <w:t>Ejecución de dos (2) proyectos piloto</w:t>
            </w:r>
          </w:p>
        </w:tc>
        <w:tc>
          <w:tcPr>
            <w:tcW w:w="1211" w:type="dxa"/>
          </w:tcPr>
          <w:p w14:paraId="4ABC81B0" w14:textId="532EF02B" w:rsidR="00966EF0" w:rsidRPr="00A52F23" w:rsidRDefault="00CB7F78" w:rsidP="008752DF">
            <w:pPr>
              <w:spacing w:after="60"/>
              <w:jc w:val="both"/>
              <w:rPr>
                <w:rFonts w:ascii="Calibri" w:eastAsia="SimSun" w:hAnsi="Calibri" w:cs="Calibri"/>
                <w:sz w:val="16"/>
                <w:szCs w:val="16"/>
              </w:rPr>
            </w:pPr>
            <w:r>
              <w:rPr>
                <w:rFonts w:ascii="Calibri" w:hAnsi="Calibri"/>
                <w:sz w:val="16"/>
              </w:rPr>
              <w:t xml:space="preserve">Número de </w:t>
            </w:r>
            <w:r w:rsidR="008752DF">
              <w:rPr>
                <w:rFonts w:ascii="Calibri" w:hAnsi="Calibri"/>
                <w:sz w:val="16"/>
              </w:rPr>
              <w:t xml:space="preserve">proyectos </w:t>
            </w:r>
            <w:r>
              <w:rPr>
                <w:rFonts w:ascii="Calibri" w:hAnsi="Calibri"/>
                <w:sz w:val="16"/>
              </w:rPr>
              <w:t>piloto implementados en investigación y acción participativa en agroecología</w:t>
            </w:r>
          </w:p>
        </w:tc>
        <w:tc>
          <w:tcPr>
            <w:tcW w:w="1861" w:type="dxa"/>
            <w:shd w:val="clear" w:color="auto" w:fill="auto"/>
          </w:tcPr>
          <w:p w14:paraId="3CC81FEB" w14:textId="1EC9577F" w:rsidR="00966EF0" w:rsidRPr="00A52F23" w:rsidRDefault="00F13B91" w:rsidP="00966EF0">
            <w:pPr>
              <w:spacing w:after="60"/>
              <w:jc w:val="both"/>
              <w:rPr>
                <w:rFonts w:ascii="Calibri" w:eastAsia="SimSun" w:hAnsi="Calibri" w:cs="Calibri"/>
                <w:sz w:val="16"/>
                <w:szCs w:val="16"/>
              </w:rPr>
            </w:pPr>
            <w:r>
              <w:rPr>
                <w:rFonts w:asciiTheme="minorHAnsi" w:hAnsiTheme="minorHAnsi"/>
                <w:sz w:val="16"/>
              </w:rPr>
              <w:t>Registros oficiales del MAATE</w:t>
            </w:r>
          </w:p>
        </w:tc>
        <w:tc>
          <w:tcPr>
            <w:tcW w:w="1081" w:type="dxa"/>
            <w:shd w:val="clear" w:color="auto" w:fill="auto"/>
          </w:tcPr>
          <w:p w14:paraId="647D522F" w14:textId="34284D4F" w:rsidR="00966EF0" w:rsidRPr="00A52F23" w:rsidRDefault="00834551" w:rsidP="00966EF0">
            <w:pPr>
              <w:spacing w:after="60"/>
              <w:jc w:val="both"/>
              <w:rPr>
                <w:rFonts w:ascii="Calibri" w:eastAsia="SimSun" w:hAnsi="Calibri" w:cs="Calibri"/>
                <w:sz w:val="16"/>
                <w:szCs w:val="16"/>
              </w:rPr>
            </w:pPr>
            <w:r>
              <w:rPr>
                <w:rFonts w:asciiTheme="minorHAnsi" w:hAnsiTheme="minorHAnsi"/>
                <w:sz w:val="16"/>
              </w:rPr>
              <w:t>PIR, MTR y TE</w:t>
            </w:r>
          </w:p>
        </w:tc>
        <w:tc>
          <w:tcPr>
            <w:tcW w:w="1401" w:type="dxa"/>
            <w:shd w:val="clear" w:color="auto" w:fill="auto"/>
          </w:tcPr>
          <w:p w14:paraId="0CE9F5EF" w14:textId="77777777" w:rsidR="00DC672A" w:rsidRPr="00A52F23" w:rsidRDefault="00DC672A" w:rsidP="00DC672A">
            <w:pPr>
              <w:spacing w:after="60"/>
              <w:jc w:val="both"/>
              <w:rPr>
                <w:rFonts w:ascii="Calibri" w:eastAsia="SimSun" w:hAnsi="Calibri" w:cs="Calibri"/>
                <w:iCs/>
                <w:sz w:val="16"/>
                <w:szCs w:val="16"/>
              </w:rPr>
            </w:pPr>
            <w:r>
              <w:rPr>
                <w:rFonts w:ascii="Calibri" w:hAnsi="Calibri"/>
                <w:sz w:val="16"/>
              </w:rPr>
              <w:t>UGP</w:t>
            </w:r>
          </w:p>
          <w:p w14:paraId="36C6D0C8" w14:textId="068C871A" w:rsidR="00966EF0" w:rsidRPr="00A52F23" w:rsidRDefault="00DC672A" w:rsidP="00DC672A">
            <w:pPr>
              <w:spacing w:after="60"/>
              <w:jc w:val="both"/>
              <w:rPr>
                <w:rFonts w:ascii="Calibri" w:eastAsia="SimSun" w:hAnsi="Calibri" w:cs="Calibri"/>
                <w:sz w:val="16"/>
                <w:szCs w:val="16"/>
              </w:rPr>
            </w:pPr>
            <w:r>
              <w:rPr>
                <w:rFonts w:ascii="Calibri" w:hAnsi="Calibri"/>
                <w:sz w:val="16"/>
              </w:rPr>
              <w:t>MAATE</w:t>
            </w:r>
          </w:p>
        </w:tc>
        <w:tc>
          <w:tcPr>
            <w:tcW w:w="1160" w:type="dxa"/>
            <w:shd w:val="clear" w:color="auto" w:fill="auto"/>
          </w:tcPr>
          <w:p w14:paraId="04445E3A" w14:textId="28DB137A" w:rsidR="00966EF0" w:rsidRPr="00A52F23" w:rsidRDefault="00CB7F78" w:rsidP="00966EF0">
            <w:pPr>
              <w:spacing w:after="60"/>
              <w:jc w:val="both"/>
              <w:rPr>
                <w:rFonts w:ascii="Calibri" w:eastAsia="SimSun" w:hAnsi="Calibri" w:cs="Calibri"/>
                <w:sz w:val="16"/>
                <w:szCs w:val="16"/>
              </w:rPr>
            </w:pPr>
            <w:r>
              <w:rPr>
                <w:rFonts w:ascii="Calibri" w:hAnsi="Calibri"/>
                <w:sz w:val="16"/>
              </w:rPr>
              <w:t>Registros oficiales del MAATE</w:t>
            </w:r>
          </w:p>
        </w:tc>
        <w:tc>
          <w:tcPr>
            <w:tcW w:w="2113" w:type="dxa"/>
            <w:shd w:val="clear" w:color="auto" w:fill="auto"/>
          </w:tcPr>
          <w:p w14:paraId="2679F3E5" w14:textId="4C002426" w:rsidR="00875D3C" w:rsidRPr="007E6B26" w:rsidRDefault="00A2026D" w:rsidP="00A2026D">
            <w:pPr>
              <w:spacing w:after="60"/>
              <w:rPr>
                <w:rFonts w:ascii="Calibri" w:eastAsia="SimSun" w:hAnsi="Calibri" w:cs="Arial"/>
                <w:sz w:val="16"/>
                <w:szCs w:val="16"/>
                <w:u w:val="single"/>
              </w:rPr>
            </w:pPr>
            <w:r>
              <w:rPr>
                <w:rFonts w:ascii="Calibri" w:hAnsi="Calibri"/>
                <w:sz w:val="16"/>
                <w:u w:val="single"/>
              </w:rPr>
              <w:t xml:space="preserve">Riesgos: </w:t>
            </w:r>
          </w:p>
          <w:p w14:paraId="555F412A" w14:textId="4AC0825A" w:rsidR="007E6B26" w:rsidRPr="007E6B26" w:rsidRDefault="007E6B26" w:rsidP="007E6B26">
            <w:pPr>
              <w:spacing w:before="40" w:after="40"/>
              <w:rPr>
                <w:rFonts w:ascii="Calibri" w:hAnsi="Calibri" w:cs="Calibri"/>
                <w:spacing w:val="-4"/>
                <w:sz w:val="16"/>
                <w:szCs w:val="16"/>
              </w:rPr>
            </w:pPr>
            <w:r>
              <w:rPr>
                <w:rFonts w:ascii="Calibri" w:hAnsi="Calibri"/>
                <w:sz w:val="16"/>
              </w:rPr>
              <w:t>Falta de interés y participación de los cultivadores</w:t>
            </w:r>
          </w:p>
          <w:p w14:paraId="5CDB5C94" w14:textId="5655A3A4" w:rsidR="00A2026D" w:rsidRPr="00A52F23" w:rsidRDefault="00875D3C" w:rsidP="00A2026D">
            <w:pPr>
              <w:spacing w:after="60"/>
              <w:rPr>
                <w:rFonts w:ascii="Calibri" w:eastAsia="SimSun" w:hAnsi="Calibri" w:cs="Arial"/>
                <w:sz w:val="16"/>
                <w:szCs w:val="16"/>
                <w:highlight w:val="yellow"/>
              </w:rPr>
            </w:pPr>
            <w:r>
              <w:rPr>
                <w:rFonts w:ascii="Calibri" w:hAnsi="Calibri"/>
                <w:color w:val="000000" w:themeColor="text1"/>
                <w:sz w:val="16"/>
              </w:rPr>
              <w:t xml:space="preserve">(Relacionado con el </w:t>
            </w:r>
            <w:r w:rsidR="008752DF">
              <w:rPr>
                <w:rFonts w:ascii="Calibri" w:hAnsi="Calibri"/>
                <w:color w:val="000000" w:themeColor="text1"/>
                <w:sz w:val="16"/>
              </w:rPr>
              <w:t>R</w:t>
            </w:r>
            <w:r>
              <w:rPr>
                <w:rFonts w:ascii="Calibri" w:hAnsi="Calibri"/>
                <w:color w:val="000000" w:themeColor="text1"/>
                <w:sz w:val="16"/>
              </w:rPr>
              <w:t>iesgo 14)</w:t>
            </w:r>
          </w:p>
          <w:p w14:paraId="5FE0A48B" w14:textId="77777777" w:rsidR="00966EF0" w:rsidRPr="007E6B26"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4DDF9B2E" w14:textId="02091B08" w:rsidR="00872761" w:rsidRPr="007E6B26" w:rsidRDefault="007E6B26" w:rsidP="007E6B26">
            <w:pPr>
              <w:snapToGrid w:val="0"/>
              <w:spacing w:after="120"/>
              <w:jc w:val="both"/>
              <w:rPr>
                <w:rFonts w:ascii="Calibri" w:hAnsi="Calibri" w:cs="Calibri"/>
                <w:color w:val="000000" w:themeColor="text1"/>
                <w:sz w:val="16"/>
                <w:szCs w:val="16"/>
              </w:rPr>
            </w:pPr>
            <w:r>
              <w:rPr>
                <w:rFonts w:ascii="Calibri" w:hAnsi="Calibri"/>
                <w:color w:val="000000" w:themeColor="text1"/>
                <w:sz w:val="16"/>
              </w:rPr>
              <w:t>La estrategia de comunicación aplicada por el proyecto difundirá claramente los beneficios e implicará adecuadamente a los agricultores, así como a otras partes interesadas clave.</w:t>
            </w:r>
          </w:p>
        </w:tc>
      </w:tr>
      <w:tr w:rsidR="00A67531" w:rsidRPr="001B17BF" w14:paraId="0857FA52" w14:textId="77777777" w:rsidTr="00CF524B">
        <w:trPr>
          <w:trHeight w:val="424"/>
        </w:trPr>
        <w:tc>
          <w:tcPr>
            <w:tcW w:w="1335" w:type="dxa"/>
            <w:vMerge/>
          </w:tcPr>
          <w:p w14:paraId="3F258486" w14:textId="77777777" w:rsidR="00966EF0" w:rsidRPr="002152FE" w:rsidRDefault="00966EF0" w:rsidP="00966EF0">
            <w:pPr>
              <w:spacing w:after="60"/>
              <w:jc w:val="both"/>
              <w:rPr>
                <w:rFonts w:ascii="Calibri" w:eastAsia="SimSun" w:hAnsi="Calibri" w:cs="Calibri"/>
                <w:b/>
                <w:sz w:val="16"/>
                <w:szCs w:val="16"/>
                <w:lang w:val="es-EC"/>
              </w:rPr>
            </w:pPr>
          </w:p>
        </w:tc>
        <w:tc>
          <w:tcPr>
            <w:tcW w:w="1764" w:type="dxa"/>
            <w:shd w:val="clear" w:color="auto" w:fill="auto"/>
          </w:tcPr>
          <w:p w14:paraId="4ECB97AB" w14:textId="77777777" w:rsidR="00966EF0" w:rsidRPr="00A52F23" w:rsidRDefault="00966EF0" w:rsidP="00966EF0">
            <w:pPr>
              <w:spacing w:after="60"/>
              <w:jc w:val="both"/>
              <w:rPr>
                <w:rFonts w:ascii="Calibri" w:eastAsia="SimSun" w:hAnsi="Calibri" w:cs="Calibri"/>
                <w:b/>
                <w:i/>
                <w:sz w:val="16"/>
                <w:szCs w:val="16"/>
              </w:rPr>
            </w:pPr>
            <w:r>
              <w:rPr>
                <w:rFonts w:ascii="Calibri" w:hAnsi="Calibri"/>
                <w:b/>
                <w:i/>
                <w:sz w:val="16"/>
              </w:rPr>
              <w:t>Indicador 12</w:t>
            </w:r>
          </w:p>
          <w:p w14:paraId="1D59DD5A" w14:textId="1834DC2C" w:rsidR="006F72E1" w:rsidRPr="00A52F23" w:rsidRDefault="006F72E1" w:rsidP="00966EF0">
            <w:pPr>
              <w:spacing w:after="60"/>
              <w:jc w:val="both"/>
              <w:rPr>
                <w:rFonts w:ascii="Calibri" w:eastAsia="SimSun" w:hAnsi="Calibri" w:cs="Calibri"/>
                <w:b/>
                <w:i/>
                <w:sz w:val="16"/>
                <w:szCs w:val="16"/>
                <w:lang w:val="en-US"/>
              </w:rPr>
            </w:pPr>
          </w:p>
        </w:tc>
        <w:tc>
          <w:tcPr>
            <w:tcW w:w="1029" w:type="dxa"/>
          </w:tcPr>
          <w:p w14:paraId="1B8D82EA" w14:textId="2E73A877" w:rsidR="00966EF0" w:rsidRPr="00A52F23" w:rsidRDefault="00D26133" w:rsidP="00D26133">
            <w:pPr>
              <w:spacing w:after="60"/>
              <w:rPr>
                <w:rFonts w:ascii="Calibri" w:eastAsia="SimSun" w:hAnsi="Calibri" w:cs="Calibri"/>
                <w:iCs/>
                <w:sz w:val="16"/>
                <w:szCs w:val="16"/>
              </w:rPr>
            </w:pPr>
            <w:r>
              <w:rPr>
                <w:rFonts w:ascii="Calibri" w:hAnsi="Calibri"/>
                <w:sz w:val="16"/>
              </w:rPr>
              <w:t>1.400 agricultores (420 mujeres y 980 hombres) formados y 2.000 personas (1.000 mujeres y 1.000 hombres) concienciadas sobre la producción agrícola sostenible</w:t>
            </w:r>
          </w:p>
        </w:tc>
        <w:tc>
          <w:tcPr>
            <w:tcW w:w="1211" w:type="dxa"/>
          </w:tcPr>
          <w:p w14:paraId="1EE40DD9" w14:textId="2612A790" w:rsidR="00966EF0" w:rsidRPr="00A52F23" w:rsidRDefault="00CB7F78" w:rsidP="00966EF0">
            <w:pPr>
              <w:spacing w:after="60"/>
              <w:jc w:val="both"/>
              <w:rPr>
                <w:rFonts w:ascii="Calibri" w:eastAsia="SimSun" w:hAnsi="Calibri" w:cs="Calibri"/>
                <w:i/>
                <w:sz w:val="16"/>
                <w:szCs w:val="16"/>
              </w:rPr>
            </w:pPr>
            <w:r>
              <w:rPr>
                <w:rFonts w:asciiTheme="minorHAnsi" w:hAnsiTheme="minorHAnsi"/>
                <w:sz w:val="16"/>
              </w:rPr>
              <w:t>Número de personas que han recibido formación y han participado en actividades de sensibilización para reforzar el sector rural en la producción agrícola sostenible</w:t>
            </w:r>
          </w:p>
        </w:tc>
        <w:tc>
          <w:tcPr>
            <w:tcW w:w="1861" w:type="dxa"/>
            <w:shd w:val="clear" w:color="auto" w:fill="auto"/>
          </w:tcPr>
          <w:p w14:paraId="2DF3F235" w14:textId="13CC6256" w:rsidR="00966EF0" w:rsidRPr="00A52F23" w:rsidRDefault="00F13B91" w:rsidP="00F13B91">
            <w:pPr>
              <w:rPr>
                <w:rFonts w:asciiTheme="minorHAnsi" w:hAnsiTheme="minorHAnsi" w:cstheme="minorHAnsi"/>
                <w:bCs/>
                <w:sz w:val="16"/>
                <w:szCs w:val="16"/>
              </w:rPr>
            </w:pPr>
            <w:r>
              <w:rPr>
                <w:rFonts w:asciiTheme="minorHAnsi" w:hAnsiTheme="minorHAnsi"/>
                <w:sz w:val="16"/>
              </w:rPr>
              <w:t>Actualización anual, del número de personas que participan, realizada por la UGP. Esta información se desglosaría por género y se registraría en una base de datos de beneficiarios del proyecto</w:t>
            </w:r>
          </w:p>
        </w:tc>
        <w:tc>
          <w:tcPr>
            <w:tcW w:w="1081" w:type="dxa"/>
            <w:shd w:val="clear" w:color="auto" w:fill="auto"/>
          </w:tcPr>
          <w:p w14:paraId="029FB3D3" w14:textId="442A0B24" w:rsidR="00966EF0" w:rsidRPr="00A52F23" w:rsidRDefault="00834551" w:rsidP="00966EF0">
            <w:pPr>
              <w:spacing w:after="60"/>
              <w:jc w:val="both"/>
              <w:rPr>
                <w:rFonts w:ascii="Calibri" w:eastAsia="SimSun" w:hAnsi="Calibri" w:cs="Calibri"/>
                <w:i/>
                <w:sz w:val="16"/>
                <w:szCs w:val="16"/>
              </w:rPr>
            </w:pPr>
            <w:r>
              <w:rPr>
                <w:rFonts w:asciiTheme="minorHAnsi" w:hAnsiTheme="minorHAnsi"/>
                <w:sz w:val="16"/>
              </w:rPr>
              <w:t>PIR, MTR y TE</w:t>
            </w:r>
          </w:p>
        </w:tc>
        <w:tc>
          <w:tcPr>
            <w:tcW w:w="1401" w:type="dxa"/>
            <w:shd w:val="clear" w:color="auto" w:fill="auto"/>
          </w:tcPr>
          <w:p w14:paraId="5827A98A" w14:textId="77777777" w:rsidR="00DC672A" w:rsidRPr="00A52F23" w:rsidRDefault="00DC672A" w:rsidP="00DC672A">
            <w:pPr>
              <w:spacing w:after="60"/>
              <w:jc w:val="both"/>
              <w:rPr>
                <w:rFonts w:ascii="Calibri" w:eastAsia="SimSun" w:hAnsi="Calibri" w:cs="Calibri"/>
                <w:iCs/>
                <w:sz w:val="16"/>
                <w:szCs w:val="16"/>
              </w:rPr>
            </w:pPr>
            <w:r>
              <w:rPr>
                <w:rFonts w:ascii="Calibri" w:hAnsi="Calibri"/>
                <w:sz w:val="16"/>
              </w:rPr>
              <w:t>UGP</w:t>
            </w:r>
          </w:p>
          <w:p w14:paraId="43C24D97" w14:textId="049FFCB6" w:rsidR="00966EF0" w:rsidRPr="00A52F23" w:rsidRDefault="00DC672A" w:rsidP="00DC672A">
            <w:pPr>
              <w:spacing w:after="60"/>
              <w:jc w:val="both"/>
              <w:rPr>
                <w:rFonts w:ascii="Calibri" w:eastAsia="SimSun" w:hAnsi="Calibri" w:cs="Calibri"/>
                <w:i/>
                <w:sz w:val="16"/>
                <w:szCs w:val="16"/>
              </w:rPr>
            </w:pPr>
            <w:r>
              <w:rPr>
                <w:rFonts w:ascii="Calibri" w:hAnsi="Calibri"/>
                <w:sz w:val="16"/>
              </w:rPr>
              <w:t>MAATE</w:t>
            </w:r>
          </w:p>
        </w:tc>
        <w:tc>
          <w:tcPr>
            <w:tcW w:w="1160" w:type="dxa"/>
            <w:shd w:val="clear" w:color="auto" w:fill="auto"/>
          </w:tcPr>
          <w:p w14:paraId="10276C95" w14:textId="7B6CC22A" w:rsidR="00966EF0" w:rsidRPr="00A52F23" w:rsidRDefault="00CB7F78" w:rsidP="00966EF0">
            <w:pPr>
              <w:spacing w:after="60"/>
              <w:jc w:val="both"/>
              <w:rPr>
                <w:rFonts w:ascii="Calibri" w:eastAsia="SimSun" w:hAnsi="Calibri" w:cs="Calibri"/>
                <w:iCs/>
                <w:sz w:val="16"/>
                <w:szCs w:val="16"/>
              </w:rPr>
            </w:pPr>
            <w:r>
              <w:rPr>
                <w:rFonts w:ascii="Calibri" w:hAnsi="Calibri"/>
                <w:sz w:val="16"/>
              </w:rPr>
              <w:t>Registros de la UGP</w:t>
            </w:r>
          </w:p>
        </w:tc>
        <w:tc>
          <w:tcPr>
            <w:tcW w:w="2113" w:type="dxa"/>
            <w:shd w:val="clear" w:color="auto" w:fill="auto"/>
          </w:tcPr>
          <w:p w14:paraId="33E02440" w14:textId="77777777" w:rsidR="00827301" w:rsidRPr="00827301" w:rsidRDefault="00A2026D" w:rsidP="00A52F23">
            <w:pPr>
              <w:spacing w:after="60"/>
              <w:jc w:val="both"/>
              <w:rPr>
                <w:rFonts w:ascii="Calibri" w:eastAsia="SimSun" w:hAnsi="Calibri" w:cs="Arial"/>
                <w:sz w:val="16"/>
                <w:szCs w:val="16"/>
                <w:u w:val="single"/>
              </w:rPr>
            </w:pPr>
            <w:r>
              <w:rPr>
                <w:rFonts w:ascii="Calibri" w:hAnsi="Calibri"/>
                <w:sz w:val="16"/>
                <w:u w:val="single"/>
              </w:rPr>
              <w:t>Riesgos:</w:t>
            </w:r>
          </w:p>
          <w:p w14:paraId="719C2DEB" w14:textId="22E53631" w:rsidR="00A2026D" w:rsidRDefault="00156FCA" w:rsidP="00A52F23">
            <w:pPr>
              <w:spacing w:after="60"/>
              <w:jc w:val="both"/>
              <w:rPr>
                <w:rFonts w:ascii="Calibri" w:hAnsi="Calibri" w:cs="Arial"/>
                <w:sz w:val="16"/>
                <w:szCs w:val="16"/>
              </w:rPr>
            </w:pPr>
            <w:r>
              <w:rPr>
                <w:rFonts w:asciiTheme="minorHAnsi" w:hAnsiTheme="minorHAnsi"/>
                <w:sz w:val="16"/>
              </w:rPr>
              <w:t>La posible falta de comunicación sobre el alcance y los beneficios del proyecto podría generar opiniones desfavorables de algunas partes interesadas sobre el proyecto, lo que podría obstaculizar su ejecución.</w:t>
            </w:r>
            <w:r>
              <w:rPr>
                <w:rFonts w:asciiTheme="minorHAnsi" w:hAnsiTheme="minorHAnsi"/>
                <w:color w:val="000000"/>
                <w:sz w:val="16"/>
                <w:bdr w:val="nil"/>
              </w:rPr>
              <w:t xml:space="preserve"> </w:t>
            </w:r>
            <w:r>
              <w:rPr>
                <w:rFonts w:ascii="Calibri" w:hAnsi="Calibri"/>
                <w:sz w:val="16"/>
              </w:rPr>
              <w:t xml:space="preserve">(Relacionado con el </w:t>
            </w:r>
            <w:r w:rsidR="008752DF">
              <w:rPr>
                <w:rFonts w:ascii="Calibri" w:hAnsi="Calibri"/>
                <w:sz w:val="16"/>
              </w:rPr>
              <w:t>R</w:t>
            </w:r>
            <w:r>
              <w:rPr>
                <w:rFonts w:ascii="Calibri" w:hAnsi="Calibri"/>
                <w:sz w:val="16"/>
              </w:rPr>
              <w:t>iesgo 13)</w:t>
            </w:r>
          </w:p>
          <w:p w14:paraId="6BA6EA95" w14:textId="4E5CAB13" w:rsidR="003D0C12" w:rsidRPr="003D0C12" w:rsidRDefault="003D0C12" w:rsidP="00A52F23">
            <w:pPr>
              <w:spacing w:after="60"/>
              <w:jc w:val="both"/>
              <w:rPr>
                <w:rFonts w:ascii="Calibri" w:eastAsia="SimSun" w:hAnsi="Calibri" w:cs="Arial"/>
                <w:sz w:val="16"/>
                <w:szCs w:val="16"/>
              </w:rPr>
            </w:pPr>
            <w:r>
              <w:rPr>
                <w:rFonts w:ascii="Calibri" w:hAnsi="Calibri"/>
                <w:sz w:val="16"/>
              </w:rPr>
              <w:t xml:space="preserve">La discriminación de género se reproduce limitando la capacidad de las mujeres para contribuir a la toma de decisiones y beneficiarse del proyecto. (Relacionado con el </w:t>
            </w:r>
            <w:r w:rsidR="008752DF">
              <w:rPr>
                <w:rFonts w:ascii="Calibri" w:hAnsi="Calibri"/>
                <w:sz w:val="16"/>
              </w:rPr>
              <w:t>R</w:t>
            </w:r>
            <w:r>
              <w:rPr>
                <w:rFonts w:ascii="Calibri" w:hAnsi="Calibri"/>
                <w:sz w:val="16"/>
              </w:rPr>
              <w:t>iesgo 4)</w:t>
            </w:r>
          </w:p>
          <w:p w14:paraId="6D397F66" w14:textId="77777777" w:rsidR="00966EF0" w:rsidRPr="00827301"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7474097B" w14:textId="77777777" w:rsidR="00A52F23" w:rsidRDefault="00A52F23" w:rsidP="00A2026D">
            <w:pPr>
              <w:spacing w:after="60"/>
              <w:jc w:val="both"/>
              <w:rPr>
                <w:rFonts w:asciiTheme="minorHAnsi" w:hAnsiTheme="minorHAnsi" w:cstheme="minorHAnsi"/>
                <w:sz w:val="16"/>
                <w:szCs w:val="16"/>
              </w:rPr>
            </w:pPr>
            <w:r>
              <w:rPr>
                <w:rFonts w:asciiTheme="minorHAnsi" w:hAnsiTheme="minorHAnsi"/>
                <w:sz w:val="16"/>
              </w:rPr>
              <w:t>La creación de sinergias y una comunicación eficaz entre las autoridades públicas a nivel nacional, provincial y municipal, junto con las agrupaciones de agricultores, permitirán crear un entorno favorable.</w:t>
            </w:r>
          </w:p>
          <w:p w14:paraId="537D48A0" w14:textId="6AE886DA" w:rsidR="003D0C12" w:rsidRPr="00A52F23" w:rsidRDefault="003D0C12" w:rsidP="008752DF">
            <w:pPr>
              <w:spacing w:after="60"/>
              <w:jc w:val="both"/>
              <w:rPr>
                <w:rFonts w:asciiTheme="minorHAnsi" w:hAnsiTheme="minorHAnsi" w:cstheme="minorHAnsi"/>
                <w:sz w:val="16"/>
                <w:szCs w:val="16"/>
              </w:rPr>
            </w:pPr>
            <w:r>
              <w:rPr>
                <w:rFonts w:ascii="Calibri" w:hAnsi="Calibri"/>
                <w:sz w:val="16"/>
              </w:rPr>
              <w:t xml:space="preserve">La aplicación del </w:t>
            </w:r>
            <w:r w:rsidR="008752DF">
              <w:rPr>
                <w:rFonts w:ascii="Calibri" w:hAnsi="Calibri"/>
                <w:sz w:val="16"/>
              </w:rPr>
              <w:t>P</w:t>
            </w:r>
            <w:r>
              <w:rPr>
                <w:rFonts w:ascii="Calibri" w:hAnsi="Calibri"/>
                <w:sz w:val="16"/>
              </w:rPr>
              <w:t xml:space="preserve">lan de </w:t>
            </w:r>
            <w:r w:rsidR="008752DF">
              <w:rPr>
                <w:rFonts w:ascii="Calibri" w:hAnsi="Calibri"/>
                <w:sz w:val="16"/>
              </w:rPr>
              <w:t>A</w:t>
            </w:r>
            <w:r>
              <w:rPr>
                <w:rFonts w:ascii="Calibri" w:hAnsi="Calibri"/>
                <w:sz w:val="16"/>
              </w:rPr>
              <w:t xml:space="preserve">cción de </w:t>
            </w:r>
            <w:r w:rsidR="008752DF">
              <w:rPr>
                <w:rFonts w:ascii="Calibri" w:hAnsi="Calibri"/>
                <w:sz w:val="16"/>
              </w:rPr>
              <w:t>G</w:t>
            </w:r>
            <w:r>
              <w:rPr>
                <w:rFonts w:ascii="Calibri" w:hAnsi="Calibri"/>
                <w:sz w:val="16"/>
              </w:rPr>
              <w:t xml:space="preserve">énero promoverá </w:t>
            </w:r>
            <w:r>
              <w:rPr>
                <w:rFonts w:asciiTheme="minorHAnsi" w:hAnsiTheme="minorHAnsi"/>
                <w:sz w:val="16"/>
              </w:rPr>
              <w:t>la participación equitativa y justa de mujeres y hombres en el diseño de alternativas innovadoras, beneficios y oportunidades en cada uno de sus componentes.</w:t>
            </w:r>
          </w:p>
        </w:tc>
      </w:tr>
      <w:tr w:rsidR="00A67531" w:rsidRPr="001B17BF" w14:paraId="637A7D70" w14:textId="77777777" w:rsidTr="00CF524B">
        <w:trPr>
          <w:trHeight w:val="424"/>
        </w:trPr>
        <w:tc>
          <w:tcPr>
            <w:tcW w:w="1335" w:type="dxa"/>
            <w:shd w:val="clear" w:color="auto" w:fill="auto"/>
            <w:vAlign w:val="center"/>
          </w:tcPr>
          <w:p w14:paraId="322AC740" w14:textId="3B744D96" w:rsidR="00966EF0" w:rsidRPr="002152FE" w:rsidRDefault="00966EF0" w:rsidP="00966EF0">
            <w:pPr>
              <w:spacing w:after="60"/>
              <w:rPr>
                <w:rFonts w:ascii="Calibri" w:eastAsia="SimSun" w:hAnsi="Calibri" w:cs="Calibri"/>
                <w:b/>
                <w:sz w:val="16"/>
                <w:szCs w:val="16"/>
                <w:lang w:val="es-EC"/>
              </w:rPr>
            </w:pPr>
          </w:p>
        </w:tc>
        <w:tc>
          <w:tcPr>
            <w:tcW w:w="1764" w:type="dxa"/>
            <w:shd w:val="clear" w:color="auto" w:fill="auto"/>
          </w:tcPr>
          <w:p w14:paraId="2E2AA337" w14:textId="77777777" w:rsidR="00966EF0" w:rsidRPr="00A52F23" w:rsidRDefault="00966EF0" w:rsidP="00966EF0">
            <w:pPr>
              <w:spacing w:after="60"/>
              <w:jc w:val="both"/>
              <w:rPr>
                <w:rFonts w:ascii="Calibri" w:eastAsia="SimSun" w:hAnsi="Calibri" w:cs="Calibri"/>
                <w:b/>
                <w:i/>
                <w:sz w:val="16"/>
                <w:szCs w:val="16"/>
              </w:rPr>
            </w:pPr>
            <w:r>
              <w:rPr>
                <w:rFonts w:ascii="Calibri" w:hAnsi="Calibri"/>
                <w:b/>
                <w:i/>
                <w:sz w:val="16"/>
              </w:rPr>
              <w:t xml:space="preserve">Indicador 13 </w:t>
            </w:r>
          </w:p>
          <w:p w14:paraId="34C43AF7" w14:textId="18AD3731" w:rsidR="00966EF0" w:rsidRPr="00A52F23" w:rsidRDefault="00966EF0" w:rsidP="00966EF0">
            <w:pPr>
              <w:spacing w:after="60"/>
              <w:jc w:val="both"/>
              <w:rPr>
                <w:rFonts w:ascii="Calibri" w:eastAsia="SimSun" w:hAnsi="Calibri" w:cs="Calibri"/>
                <w:b/>
                <w:i/>
                <w:sz w:val="16"/>
                <w:szCs w:val="16"/>
                <w:lang w:val="en-US"/>
              </w:rPr>
            </w:pPr>
          </w:p>
        </w:tc>
        <w:tc>
          <w:tcPr>
            <w:tcW w:w="1029" w:type="dxa"/>
          </w:tcPr>
          <w:p w14:paraId="6716E23B" w14:textId="326D9A96" w:rsidR="00966EF0" w:rsidRPr="00A52F23" w:rsidRDefault="00D26133" w:rsidP="00D26133">
            <w:pPr>
              <w:spacing w:after="60"/>
              <w:rPr>
                <w:rFonts w:ascii="Calibri" w:eastAsia="SimSun" w:hAnsi="Calibri" w:cs="Calibri"/>
                <w:iCs/>
                <w:sz w:val="16"/>
                <w:szCs w:val="16"/>
              </w:rPr>
            </w:pPr>
            <w:r>
              <w:rPr>
                <w:rFonts w:ascii="Calibri" w:hAnsi="Calibri"/>
                <w:sz w:val="16"/>
              </w:rPr>
              <w:t>100%</w:t>
            </w:r>
          </w:p>
        </w:tc>
        <w:tc>
          <w:tcPr>
            <w:tcW w:w="1211" w:type="dxa"/>
          </w:tcPr>
          <w:p w14:paraId="73F1DCBA" w14:textId="758A4384" w:rsidR="00966EF0" w:rsidRPr="00A52F23" w:rsidRDefault="00CB7F78" w:rsidP="00966EF0">
            <w:pPr>
              <w:spacing w:after="60"/>
              <w:jc w:val="both"/>
              <w:rPr>
                <w:rFonts w:ascii="Calibri" w:eastAsia="SimSun" w:hAnsi="Calibri" w:cs="Calibri"/>
                <w:i/>
                <w:sz w:val="16"/>
                <w:szCs w:val="16"/>
              </w:rPr>
            </w:pPr>
            <w:r>
              <w:rPr>
                <w:rFonts w:asciiTheme="minorHAnsi" w:hAnsiTheme="minorHAnsi"/>
                <w:sz w:val="16"/>
              </w:rPr>
              <w:t xml:space="preserve">Porcentaje del gasto del proyecto dedicado a actividades previstas del </w:t>
            </w:r>
            <w:r w:rsidR="00F15011">
              <w:rPr>
                <w:rFonts w:asciiTheme="minorHAnsi" w:hAnsiTheme="minorHAnsi"/>
                <w:sz w:val="16"/>
              </w:rPr>
              <w:t>FSP</w:t>
            </w:r>
          </w:p>
        </w:tc>
        <w:tc>
          <w:tcPr>
            <w:tcW w:w="1861" w:type="dxa"/>
            <w:shd w:val="clear" w:color="auto" w:fill="auto"/>
          </w:tcPr>
          <w:p w14:paraId="1D13C301" w14:textId="77777777" w:rsidR="00834551" w:rsidRPr="00A52F23" w:rsidRDefault="00834551" w:rsidP="00834551">
            <w:pPr>
              <w:rPr>
                <w:rFonts w:asciiTheme="minorHAnsi" w:hAnsiTheme="minorHAnsi" w:cstheme="minorHAnsi"/>
                <w:bCs/>
                <w:sz w:val="16"/>
                <w:szCs w:val="16"/>
              </w:rPr>
            </w:pPr>
            <w:r>
              <w:rPr>
                <w:rFonts w:asciiTheme="minorHAnsi" w:hAnsiTheme="minorHAnsi"/>
                <w:sz w:val="16"/>
                <w:u w:val="single"/>
              </w:rPr>
              <w:t>Método de recolección de datos:</w:t>
            </w:r>
            <w:r>
              <w:rPr>
                <w:rFonts w:asciiTheme="minorHAnsi" w:hAnsiTheme="minorHAnsi"/>
                <w:sz w:val="16"/>
              </w:rPr>
              <w:t xml:space="preserve"> </w:t>
            </w:r>
          </w:p>
          <w:p w14:paraId="20ADCFF9" w14:textId="544D1590" w:rsidR="00966EF0" w:rsidRPr="00A52F23" w:rsidRDefault="00834551" w:rsidP="00834551">
            <w:pPr>
              <w:spacing w:after="60"/>
              <w:jc w:val="both"/>
              <w:rPr>
                <w:rFonts w:ascii="Calibri" w:eastAsia="SimSun" w:hAnsi="Calibri" w:cs="Calibri"/>
                <w:i/>
                <w:sz w:val="16"/>
                <w:szCs w:val="16"/>
              </w:rPr>
            </w:pPr>
            <w:r>
              <w:rPr>
                <w:rFonts w:asciiTheme="minorHAnsi" w:hAnsiTheme="minorHAnsi"/>
                <w:sz w:val="16"/>
              </w:rPr>
              <w:t xml:space="preserve">Gastos del PNUD según lo reportado en Atlas </w:t>
            </w:r>
          </w:p>
        </w:tc>
        <w:tc>
          <w:tcPr>
            <w:tcW w:w="1081" w:type="dxa"/>
            <w:shd w:val="clear" w:color="auto" w:fill="auto"/>
          </w:tcPr>
          <w:p w14:paraId="4710356F" w14:textId="6B99015C" w:rsidR="00966EF0" w:rsidRPr="00A52F23" w:rsidRDefault="00834551" w:rsidP="00966EF0">
            <w:pPr>
              <w:spacing w:after="60"/>
              <w:jc w:val="both"/>
              <w:rPr>
                <w:rFonts w:ascii="Calibri" w:eastAsia="SimSun" w:hAnsi="Calibri" w:cs="Calibri"/>
                <w:i/>
                <w:sz w:val="16"/>
                <w:szCs w:val="16"/>
              </w:rPr>
            </w:pPr>
            <w:r>
              <w:rPr>
                <w:rFonts w:asciiTheme="minorHAnsi" w:hAnsiTheme="minorHAnsi"/>
                <w:sz w:val="16"/>
              </w:rPr>
              <w:t>PIR, MTR y TE</w:t>
            </w:r>
          </w:p>
        </w:tc>
        <w:tc>
          <w:tcPr>
            <w:tcW w:w="1401" w:type="dxa"/>
            <w:shd w:val="clear" w:color="auto" w:fill="auto"/>
          </w:tcPr>
          <w:p w14:paraId="08AE82F9" w14:textId="77777777" w:rsidR="00DC672A" w:rsidRPr="00A52F23" w:rsidRDefault="00DC672A" w:rsidP="00DC672A">
            <w:pPr>
              <w:spacing w:after="60"/>
              <w:jc w:val="both"/>
              <w:rPr>
                <w:rFonts w:ascii="Calibri" w:eastAsia="SimSun" w:hAnsi="Calibri" w:cs="Calibri"/>
                <w:iCs/>
                <w:sz w:val="16"/>
                <w:szCs w:val="16"/>
              </w:rPr>
            </w:pPr>
            <w:r>
              <w:rPr>
                <w:rFonts w:ascii="Calibri" w:hAnsi="Calibri"/>
                <w:sz w:val="16"/>
              </w:rPr>
              <w:t>UGP</w:t>
            </w:r>
          </w:p>
          <w:p w14:paraId="22CDA079" w14:textId="77777777" w:rsidR="00966EF0" w:rsidRPr="00A52F23" w:rsidRDefault="00DC672A" w:rsidP="00DC672A">
            <w:pPr>
              <w:spacing w:after="60"/>
              <w:jc w:val="both"/>
              <w:rPr>
                <w:rFonts w:ascii="Calibri" w:eastAsia="SimSun" w:hAnsi="Calibri" w:cs="Calibri"/>
                <w:iCs/>
                <w:sz w:val="16"/>
                <w:szCs w:val="16"/>
              </w:rPr>
            </w:pPr>
            <w:r>
              <w:rPr>
                <w:rFonts w:ascii="Calibri" w:hAnsi="Calibri"/>
                <w:sz w:val="16"/>
              </w:rPr>
              <w:t>MAATE</w:t>
            </w:r>
          </w:p>
          <w:p w14:paraId="53DEC315" w14:textId="4C566691" w:rsidR="00DC672A" w:rsidRPr="00A52F23" w:rsidRDefault="00DC672A" w:rsidP="00DC672A">
            <w:pPr>
              <w:spacing w:after="60"/>
              <w:jc w:val="both"/>
              <w:rPr>
                <w:rFonts w:ascii="Calibri" w:eastAsia="SimSun" w:hAnsi="Calibri" w:cs="Calibri"/>
                <w:i/>
                <w:sz w:val="16"/>
                <w:szCs w:val="16"/>
              </w:rPr>
            </w:pPr>
            <w:r>
              <w:rPr>
                <w:rFonts w:ascii="Calibri" w:hAnsi="Calibri"/>
                <w:sz w:val="16"/>
              </w:rPr>
              <w:t>PNUD</w:t>
            </w:r>
          </w:p>
        </w:tc>
        <w:tc>
          <w:tcPr>
            <w:tcW w:w="1160" w:type="dxa"/>
            <w:shd w:val="clear" w:color="auto" w:fill="auto"/>
          </w:tcPr>
          <w:p w14:paraId="23EEDBB7" w14:textId="3FEE5D29" w:rsidR="00966EF0" w:rsidRPr="00A52F23" w:rsidRDefault="00CB7F78" w:rsidP="00966EF0">
            <w:pPr>
              <w:spacing w:after="60"/>
              <w:jc w:val="both"/>
              <w:rPr>
                <w:rFonts w:ascii="Calibri" w:eastAsia="SimSun" w:hAnsi="Calibri" w:cs="Calibri"/>
                <w:i/>
                <w:sz w:val="16"/>
                <w:szCs w:val="16"/>
              </w:rPr>
            </w:pPr>
            <w:r>
              <w:rPr>
                <w:rFonts w:asciiTheme="minorHAnsi" w:hAnsiTheme="minorHAnsi"/>
                <w:sz w:val="16"/>
              </w:rPr>
              <w:t>Auditoría financiera externa contratada por el PNUD</w:t>
            </w:r>
          </w:p>
        </w:tc>
        <w:tc>
          <w:tcPr>
            <w:tcW w:w="2113" w:type="dxa"/>
            <w:shd w:val="clear" w:color="auto" w:fill="auto"/>
          </w:tcPr>
          <w:p w14:paraId="37B1C8D6" w14:textId="77777777" w:rsidR="00A2026D" w:rsidRPr="00827301" w:rsidRDefault="00A2026D" w:rsidP="00A2026D">
            <w:pPr>
              <w:spacing w:after="60"/>
              <w:rPr>
                <w:rFonts w:ascii="Calibri" w:eastAsia="SimSun" w:hAnsi="Calibri" w:cs="Arial"/>
                <w:sz w:val="16"/>
                <w:szCs w:val="16"/>
                <w:u w:val="single"/>
              </w:rPr>
            </w:pPr>
            <w:r>
              <w:rPr>
                <w:rFonts w:ascii="Calibri" w:hAnsi="Calibri"/>
                <w:sz w:val="16"/>
                <w:u w:val="single"/>
              </w:rPr>
              <w:t xml:space="preserve">Riesgos: </w:t>
            </w:r>
          </w:p>
          <w:p w14:paraId="500FB1AD" w14:textId="2C4123D5" w:rsidR="0059084C" w:rsidRPr="0059084C" w:rsidRDefault="0059084C" w:rsidP="00A2026D">
            <w:pPr>
              <w:spacing w:after="60"/>
              <w:jc w:val="both"/>
              <w:rPr>
                <w:rFonts w:ascii="Calibri" w:hAnsi="Calibri" w:cs="Calibri"/>
                <w:color w:val="000000" w:themeColor="text1"/>
                <w:sz w:val="16"/>
                <w:szCs w:val="16"/>
              </w:rPr>
            </w:pPr>
            <w:r>
              <w:rPr>
                <w:rFonts w:ascii="Calibri" w:hAnsi="Calibri"/>
                <w:color w:val="000000" w:themeColor="text1"/>
                <w:sz w:val="16"/>
              </w:rPr>
              <w:t>El tenso contexto económico nacional puede afectar al presupuesto total del proyecto y la participación de las partes interesadas, principalmente del sector privado.</w:t>
            </w:r>
          </w:p>
          <w:p w14:paraId="596882A8" w14:textId="5A087925" w:rsidR="0059084C" w:rsidRPr="0059084C" w:rsidRDefault="0059084C" w:rsidP="00A2026D">
            <w:pPr>
              <w:spacing w:after="60"/>
              <w:jc w:val="both"/>
              <w:rPr>
                <w:rFonts w:ascii="Calibri" w:hAnsi="Calibri" w:cs="Calibri"/>
                <w:color w:val="000000" w:themeColor="text1"/>
                <w:sz w:val="16"/>
                <w:szCs w:val="16"/>
              </w:rPr>
            </w:pPr>
            <w:r>
              <w:rPr>
                <w:rFonts w:ascii="Calibri" w:hAnsi="Calibri"/>
                <w:color w:val="000000" w:themeColor="text1"/>
                <w:sz w:val="16"/>
              </w:rPr>
              <w:t xml:space="preserve">(Relacionado con el </w:t>
            </w:r>
            <w:r w:rsidR="00F527CF">
              <w:rPr>
                <w:rFonts w:ascii="Calibri" w:hAnsi="Calibri"/>
                <w:color w:val="000000" w:themeColor="text1"/>
                <w:sz w:val="16"/>
              </w:rPr>
              <w:t>R</w:t>
            </w:r>
            <w:r>
              <w:rPr>
                <w:rFonts w:ascii="Calibri" w:hAnsi="Calibri"/>
                <w:color w:val="000000" w:themeColor="text1"/>
                <w:sz w:val="16"/>
              </w:rPr>
              <w:t>iesgo 11)</w:t>
            </w:r>
          </w:p>
          <w:p w14:paraId="591CC6D0" w14:textId="357E79B4" w:rsidR="00966EF0" w:rsidRPr="00827301" w:rsidRDefault="00A2026D" w:rsidP="00A2026D">
            <w:pPr>
              <w:spacing w:after="60"/>
              <w:jc w:val="both"/>
              <w:rPr>
                <w:rFonts w:ascii="Calibri" w:eastAsia="SimSun" w:hAnsi="Calibri" w:cs="Arial"/>
                <w:sz w:val="16"/>
                <w:szCs w:val="16"/>
                <w:u w:val="single"/>
              </w:rPr>
            </w:pPr>
            <w:r>
              <w:rPr>
                <w:rFonts w:ascii="Calibri" w:hAnsi="Calibri"/>
                <w:sz w:val="16"/>
                <w:u w:val="single"/>
              </w:rPr>
              <w:t>Supuestos:</w:t>
            </w:r>
          </w:p>
          <w:p w14:paraId="1D6FC237" w14:textId="0D56DACB" w:rsidR="00814AA4" w:rsidRPr="00A52F23" w:rsidRDefault="00814AA4" w:rsidP="00A2026D">
            <w:pPr>
              <w:spacing w:after="60"/>
              <w:jc w:val="both"/>
              <w:rPr>
                <w:rFonts w:ascii="Calibri" w:eastAsia="SimSun" w:hAnsi="Calibri" w:cs="Calibri"/>
                <w:i/>
                <w:sz w:val="16"/>
                <w:szCs w:val="16"/>
              </w:rPr>
            </w:pPr>
            <w:r>
              <w:rPr>
                <w:rFonts w:asciiTheme="minorHAnsi" w:hAnsiTheme="minorHAnsi"/>
                <w:sz w:val="16"/>
              </w:rPr>
              <w:t xml:space="preserve">Los impactos para la economía ecuatoriana se mitigarán oportunamente para garantizar la finalización exitosa de las actividades propuestas y el logro de los resultados, al final del </w:t>
            </w:r>
            <w:r w:rsidR="00F15011">
              <w:rPr>
                <w:rFonts w:asciiTheme="minorHAnsi" w:hAnsiTheme="minorHAnsi"/>
                <w:sz w:val="16"/>
              </w:rPr>
              <w:t>FSP</w:t>
            </w:r>
            <w:r>
              <w:rPr>
                <w:rFonts w:asciiTheme="minorHAnsi" w:hAnsiTheme="minorHAnsi"/>
                <w:sz w:val="16"/>
              </w:rPr>
              <w:t>.</w:t>
            </w:r>
          </w:p>
        </w:tc>
      </w:tr>
      <w:tr w:rsidR="00966EF0" w:rsidRPr="00A52F23" w14:paraId="04036564" w14:textId="77777777" w:rsidTr="00BA3DD6">
        <w:trPr>
          <w:trHeight w:val="424"/>
        </w:trPr>
        <w:tc>
          <w:tcPr>
            <w:tcW w:w="12955" w:type="dxa"/>
            <w:gridSpan w:val="9"/>
            <w:shd w:val="clear" w:color="auto" w:fill="auto"/>
          </w:tcPr>
          <w:p w14:paraId="031CF8BC" w14:textId="77777777" w:rsidR="00CF524B" w:rsidRPr="00A52F23" w:rsidRDefault="00CF524B" w:rsidP="00CF524B">
            <w:pPr>
              <w:rPr>
                <w:rFonts w:asciiTheme="minorHAnsi" w:hAnsiTheme="minorHAnsi" w:cstheme="minorHAnsi"/>
                <w:b/>
                <w:i/>
                <w:sz w:val="16"/>
                <w:szCs w:val="16"/>
              </w:rPr>
            </w:pPr>
            <w:r>
              <w:rPr>
                <w:rFonts w:asciiTheme="minorHAnsi" w:hAnsiTheme="minorHAnsi"/>
                <w:b/>
                <w:i/>
                <w:sz w:val="16"/>
              </w:rPr>
              <w:t>Véanse en las siguientes tablas los indicadores adicionales para:</w:t>
            </w:r>
          </w:p>
          <w:p w14:paraId="2B124772" w14:textId="34529062" w:rsidR="00CF524B" w:rsidRPr="00A52F23" w:rsidRDefault="00CF524B">
            <w:pPr>
              <w:pStyle w:val="Prrafodelista"/>
              <w:numPr>
                <w:ilvl w:val="0"/>
                <w:numId w:val="37"/>
              </w:numPr>
              <w:rPr>
                <w:rFonts w:asciiTheme="minorHAnsi" w:hAnsiTheme="minorHAnsi" w:cstheme="minorHAnsi"/>
                <w:sz w:val="16"/>
                <w:szCs w:val="16"/>
                <w:u w:val="single"/>
              </w:rPr>
            </w:pPr>
            <w:r>
              <w:rPr>
                <w:rFonts w:asciiTheme="minorHAnsi" w:hAnsiTheme="minorHAnsi"/>
                <w:sz w:val="16"/>
              </w:rPr>
              <w:t xml:space="preserve">El Plan de </w:t>
            </w:r>
            <w:r w:rsidR="00F527CF">
              <w:rPr>
                <w:rFonts w:asciiTheme="minorHAnsi" w:hAnsiTheme="minorHAnsi"/>
                <w:sz w:val="16"/>
              </w:rPr>
              <w:t>P</w:t>
            </w:r>
            <w:r>
              <w:rPr>
                <w:rFonts w:asciiTheme="minorHAnsi" w:hAnsiTheme="minorHAnsi"/>
                <w:sz w:val="16"/>
              </w:rPr>
              <w:t xml:space="preserve">articipación de las </w:t>
            </w:r>
            <w:r w:rsidR="00F527CF">
              <w:rPr>
                <w:rFonts w:asciiTheme="minorHAnsi" w:hAnsiTheme="minorHAnsi"/>
                <w:sz w:val="16"/>
              </w:rPr>
              <w:t>P</w:t>
            </w:r>
            <w:r>
              <w:rPr>
                <w:rFonts w:asciiTheme="minorHAnsi" w:hAnsiTheme="minorHAnsi"/>
                <w:sz w:val="16"/>
              </w:rPr>
              <w:t xml:space="preserve">artes </w:t>
            </w:r>
            <w:r w:rsidR="00F527CF">
              <w:rPr>
                <w:rFonts w:asciiTheme="minorHAnsi" w:hAnsiTheme="minorHAnsi"/>
                <w:sz w:val="16"/>
              </w:rPr>
              <w:t>I</w:t>
            </w:r>
            <w:r>
              <w:rPr>
                <w:rFonts w:asciiTheme="minorHAnsi" w:hAnsiTheme="minorHAnsi"/>
                <w:sz w:val="16"/>
              </w:rPr>
              <w:t xml:space="preserve">nteresadas (Anexo 8), y </w:t>
            </w:r>
          </w:p>
          <w:p w14:paraId="491349CF" w14:textId="2229D188" w:rsidR="00966EF0" w:rsidRPr="00A52F23" w:rsidRDefault="00CF524B">
            <w:pPr>
              <w:pStyle w:val="Prrafodelista"/>
              <w:numPr>
                <w:ilvl w:val="0"/>
                <w:numId w:val="37"/>
              </w:numPr>
              <w:rPr>
                <w:rFonts w:asciiTheme="minorHAnsi" w:hAnsiTheme="minorHAnsi" w:cstheme="minorHAnsi"/>
                <w:sz w:val="16"/>
                <w:szCs w:val="16"/>
                <w:u w:val="single"/>
              </w:rPr>
            </w:pPr>
            <w:r>
              <w:rPr>
                <w:rFonts w:asciiTheme="minorHAnsi" w:hAnsiTheme="minorHAnsi"/>
                <w:sz w:val="16"/>
              </w:rPr>
              <w:t>Plan de Acción de Género (Anexo 10)</w:t>
            </w:r>
          </w:p>
        </w:tc>
      </w:tr>
    </w:tbl>
    <w:p w14:paraId="5B038417" w14:textId="77777777" w:rsidR="000D1775" w:rsidRDefault="00966EF0" w:rsidP="00273AFD">
      <w:pPr>
        <w:keepNext/>
        <w:jc w:val="both"/>
        <w:outlineLvl w:val="1"/>
        <w:rPr>
          <w:rFonts w:asciiTheme="minorHAnsi" w:hAnsiTheme="minorHAnsi"/>
          <w:color w:val="FF0000"/>
          <w:sz w:val="20"/>
          <w:szCs w:val="20"/>
        </w:rPr>
      </w:pPr>
      <w:r>
        <w:rPr>
          <w:rFonts w:ascii="Arial Narrow" w:hAnsi="Arial Narrow"/>
          <w:b/>
          <w:sz w:val="20"/>
        </w:rPr>
        <w:br/>
      </w:r>
    </w:p>
    <w:p w14:paraId="13C2ECC3" w14:textId="48DD0614" w:rsidR="00966EF0" w:rsidRPr="00D4277D" w:rsidRDefault="00D4277D" w:rsidP="00D4277D">
      <w:pPr>
        <w:pStyle w:val="Descripcin"/>
        <w:keepNext/>
        <w:jc w:val="both"/>
        <w:rPr>
          <w:rFonts w:ascii="Calibri" w:hAnsi="Calibri" w:cs="Calibri"/>
          <w:sz w:val="18"/>
          <w:szCs w:val="18"/>
        </w:rPr>
      </w:pPr>
      <w:bookmarkStart w:id="44" w:name="_Toc114650465"/>
      <w:r>
        <w:rPr>
          <w:rFonts w:ascii="Calibri" w:hAnsi="Calibri"/>
          <w:sz w:val="18"/>
        </w:rPr>
        <w:t xml:space="preserve">Tabla </w:t>
      </w:r>
      <w:r w:rsidRPr="00D4277D">
        <w:rPr>
          <w:rFonts w:ascii="Calibri" w:hAnsi="Calibri" w:cs="Calibri"/>
          <w:sz w:val="18"/>
        </w:rPr>
        <w:fldChar w:fldCharType="begin"/>
      </w:r>
      <w:r w:rsidRPr="00D4277D">
        <w:rPr>
          <w:rFonts w:ascii="Calibri" w:hAnsi="Calibri" w:cs="Calibri"/>
          <w:sz w:val="18"/>
        </w:rPr>
        <w:instrText xml:space="preserve"> SEQ Table \* ARABIC </w:instrText>
      </w:r>
      <w:r w:rsidRPr="00D4277D">
        <w:rPr>
          <w:rFonts w:ascii="Calibri" w:hAnsi="Calibri" w:cs="Calibri"/>
          <w:sz w:val="18"/>
        </w:rPr>
        <w:fldChar w:fldCharType="separate"/>
      </w:r>
      <w:r w:rsidR="004D0AC8">
        <w:rPr>
          <w:rFonts w:ascii="Calibri" w:hAnsi="Calibri" w:cs="Calibri"/>
          <w:noProof/>
          <w:sz w:val="18"/>
        </w:rPr>
        <w:t>15</w:t>
      </w:r>
      <w:r w:rsidRPr="00D4277D">
        <w:rPr>
          <w:rFonts w:ascii="Calibri" w:hAnsi="Calibri" w:cs="Calibri"/>
          <w:sz w:val="18"/>
        </w:rPr>
        <w:fldChar w:fldCharType="end"/>
      </w:r>
      <w:r>
        <w:rPr>
          <w:rFonts w:ascii="Calibri" w:hAnsi="Calibri"/>
          <w:sz w:val="18"/>
        </w:rPr>
        <w:t xml:space="preserve">: Presupuesto de </w:t>
      </w:r>
      <w:r w:rsidR="00EE2D79">
        <w:rPr>
          <w:rFonts w:ascii="Calibri" w:hAnsi="Calibri"/>
          <w:sz w:val="18"/>
        </w:rPr>
        <w:t>M</w:t>
      </w:r>
      <w:r>
        <w:rPr>
          <w:rFonts w:ascii="Calibri" w:hAnsi="Calibri"/>
          <w:sz w:val="18"/>
        </w:rPr>
        <w:t xml:space="preserve">onitoreo y </w:t>
      </w:r>
      <w:r w:rsidR="00EE2D79">
        <w:rPr>
          <w:rFonts w:ascii="Calibri" w:hAnsi="Calibri"/>
          <w:sz w:val="18"/>
        </w:rPr>
        <w:t>E</w:t>
      </w:r>
      <w:r>
        <w:rPr>
          <w:rFonts w:ascii="Calibri" w:hAnsi="Calibri"/>
          <w:sz w:val="18"/>
        </w:rPr>
        <w:t>valuación</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1952"/>
        <w:gridCol w:w="3571"/>
      </w:tblGrid>
      <w:tr w:rsidR="00966EF0" w:rsidRPr="00ED0752" w14:paraId="0789130D" w14:textId="77777777" w:rsidTr="000D1775">
        <w:trPr>
          <w:trHeight w:val="510"/>
          <w:tblHeader/>
        </w:trPr>
        <w:tc>
          <w:tcPr>
            <w:tcW w:w="4678" w:type="dxa"/>
            <w:shd w:val="clear" w:color="auto" w:fill="BFBFBF"/>
          </w:tcPr>
          <w:p w14:paraId="6A177000" w14:textId="46C76451" w:rsidR="00966EF0" w:rsidRPr="00ED0752" w:rsidRDefault="00966EF0" w:rsidP="00966EF0">
            <w:pPr>
              <w:spacing w:after="60"/>
              <w:rPr>
                <w:rFonts w:ascii="Calibri" w:eastAsia="SimSun" w:hAnsi="Calibri" w:cs="Calibri"/>
                <w:b/>
                <w:sz w:val="18"/>
                <w:szCs w:val="18"/>
              </w:rPr>
            </w:pPr>
            <w:r>
              <w:rPr>
                <w:rFonts w:ascii="Calibri" w:hAnsi="Calibri"/>
                <w:b/>
                <w:sz w:val="18"/>
              </w:rPr>
              <w:t xml:space="preserve">Requisitos de </w:t>
            </w:r>
            <w:r w:rsidR="00EE2D79">
              <w:rPr>
                <w:rFonts w:ascii="Calibri" w:hAnsi="Calibri"/>
                <w:b/>
                <w:sz w:val="18"/>
              </w:rPr>
              <w:t>M</w:t>
            </w:r>
            <w:r>
              <w:rPr>
                <w:rFonts w:ascii="Calibri" w:hAnsi="Calibri"/>
                <w:b/>
                <w:sz w:val="18"/>
              </w:rPr>
              <w:t xml:space="preserve">onitoreo y </w:t>
            </w:r>
            <w:r w:rsidR="00EE2D79">
              <w:rPr>
                <w:rFonts w:ascii="Calibri" w:hAnsi="Calibri"/>
                <w:b/>
                <w:sz w:val="18"/>
              </w:rPr>
              <w:t>E</w:t>
            </w:r>
            <w:r>
              <w:rPr>
                <w:rFonts w:ascii="Calibri" w:hAnsi="Calibri"/>
                <w:b/>
                <w:sz w:val="18"/>
              </w:rPr>
              <w:t>valuación del FMAM a cargo de la Unidad de Gestión del Proyecto (UGP)</w:t>
            </w:r>
          </w:p>
          <w:p w14:paraId="2030A0D8" w14:textId="77777777" w:rsidR="00966EF0" w:rsidRPr="002152FE" w:rsidRDefault="00966EF0" w:rsidP="00966EF0">
            <w:pPr>
              <w:spacing w:after="60"/>
              <w:rPr>
                <w:rFonts w:ascii="Calibri" w:eastAsia="SimSun" w:hAnsi="Calibri" w:cs="Calibri"/>
                <w:b/>
                <w:sz w:val="18"/>
                <w:szCs w:val="18"/>
                <w:lang w:val="es-EC"/>
              </w:rPr>
            </w:pPr>
          </w:p>
        </w:tc>
        <w:tc>
          <w:tcPr>
            <w:tcW w:w="1952" w:type="dxa"/>
            <w:shd w:val="clear" w:color="auto" w:fill="BFBFBF"/>
          </w:tcPr>
          <w:p w14:paraId="04974714" w14:textId="6A6063B2" w:rsidR="00966EF0" w:rsidRPr="00ED0752" w:rsidRDefault="00966EF0" w:rsidP="00F527CF">
            <w:pPr>
              <w:spacing w:after="60"/>
              <w:rPr>
                <w:rFonts w:ascii="Calibri" w:eastAsia="SimSun" w:hAnsi="Calibri" w:cs="Calibri"/>
                <w:b/>
                <w:sz w:val="18"/>
                <w:szCs w:val="18"/>
              </w:rPr>
            </w:pPr>
            <w:r>
              <w:rPr>
                <w:rFonts w:ascii="Calibri" w:hAnsi="Calibri"/>
                <w:b/>
                <w:sz w:val="18"/>
              </w:rPr>
              <w:t>Cost</w:t>
            </w:r>
            <w:r w:rsidR="00F527CF">
              <w:rPr>
                <w:rFonts w:ascii="Calibri" w:hAnsi="Calibri"/>
                <w:b/>
                <w:sz w:val="18"/>
              </w:rPr>
              <w:t>o</w:t>
            </w:r>
            <w:r>
              <w:rPr>
                <w:rFonts w:ascii="Calibri" w:hAnsi="Calibri"/>
                <w:b/>
                <w:sz w:val="18"/>
              </w:rPr>
              <w:t>s indicativos (US$)</w:t>
            </w:r>
          </w:p>
        </w:tc>
        <w:tc>
          <w:tcPr>
            <w:tcW w:w="3571" w:type="dxa"/>
            <w:shd w:val="clear" w:color="auto" w:fill="BFBFBF"/>
          </w:tcPr>
          <w:p w14:paraId="3A8E7E1E" w14:textId="77777777" w:rsidR="00966EF0" w:rsidRPr="00ED0752" w:rsidRDefault="00966EF0" w:rsidP="00966EF0">
            <w:pPr>
              <w:spacing w:after="60"/>
              <w:rPr>
                <w:rFonts w:ascii="Calibri" w:eastAsia="SimSun" w:hAnsi="Calibri" w:cs="Calibri"/>
                <w:b/>
                <w:sz w:val="18"/>
                <w:szCs w:val="18"/>
              </w:rPr>
            </w:pPr>
            <w:r>
              <w:rPr>
                <w:rFonts w:ascii="Calibri" w:hAnsi="Calibri"/>
                <w:b/>
                <w:sz w:val="18"/>
              </w:rPr>
              <w:t>Plazos</w:t>
            </w:r>
          </w:p>
        </w:tc>
      </w:tr>
      <w:tr w:rsidR="00F73D0E" w:rsidRPr="001B17BF" w14:paraId="56C1346F" w14:textId="77777777" w:rsidTr="000D1775">
        <w:trPr>
          <w:trHeight w:val="510"/>
        </w:trPr>
        <w:tc>
          <w:tcPr>
            <w:tcW w:w="4678" w:type="dxa"/>
          </w:tcPr>
          <w:p w14:paraId="30AC9E82" w14:textId="77777777" w:rsidR="00F73D0E" w:rsidRPr="00ED0752" w:rsidRDefault="00F73D0E" w:rsidP="00F73D0E">
            <w:pPr>
              <w:spacing w:after="60"/>
              <w:rPr>
                <w:rFonts w:ascii="Calibri" w:eastAsia="SimSun" w:hAnsi="Calibri" w:cs="Calibri"/>
                <w:sz w:val="18"/>
                <w:szCs w:val="18"/>
              </w:rPr>
            </w:pPr>
            <w:r>
              <w:rPr>
                <w:rFonts w:ascii="Calibri" w:hAnsi="Calibri"/>
                <w:b/>
                <w:sz w:val="18"/>
              </w:rPr>
              <w:t>Taller inicial e informe</w:t>
            </w:r>
          </w:p>
        </w:tc>
        <w:tc>
          <w:tcPr>
            <w:tcW w:w="1952" w:type="dxa"/>
            <w:vAlign w:val="center"/>
          </w:tcPr>
          <w:p w14:paraId="6949B153" w14:textId="498035BD" w:rsidR="00F73D0E" w:rsidRPr="00ED0752" w:rsidRDefault="00F73D0E" w:rsidP="00F73D0E">
            <w:pPr>
              <w:spacing w:after="60"/>
              <w:jc w:val="center"/>
              <w:rPr>
                <w:rFonts w:ascii="Calibri" w:eastAsia="SimSun" w:hAnsi="Calibri" w:cs="Calibri"/>
                <w:sz w:val="18"/>
                <w:szCs w:val="18"/>
              </w:rPr>
            </w:pPr>
            <w:r>
              <w:rPr>
                <w:rFonts w:ascii="Calibri" w:hAnsi="Calibri"/>
                <w:color w:val="000000"/>
                <w:sz w:val="18"/>
              </w:rPr>
              <w:t>10.000</w:t>
            </w:r>
          </w:p>
        </w:tc>
        <w:tc>
          <w:tcPr>
            <w:tcW w:w="3571" w:type="dxa"/>
          </w:tcPr>
          <w:p w14:paraId="4B249DA9" w14:textId="0EDD8F90" w:rsidR="00F73D0E" w:rsidRPr="00ED0752" w:rsidRDefault="00F73D0E" w:rsidP="00F73D0E">
            <w:pPr>
              <w:spacing w:after="60"/>
              <w:rPr>
                <w:rFonts w:ascii="Calibri" w:eastAsia="SimSun" w:hAnsi="Calibri" w:cs="Calibri"/>
                <w:sz w:val="18"/>
                <w:szCs w:val="18"/>
              </w:rPr>
            </w:pPr>
            <w:r>
              <w:rPr>
                <w:rFonts w:ascii="Calibri" w:hAnsi="Calibri"/>
                <w:sz w:val="18"/>
              </w:rPr>
              <w:t>Taller inicial en los 2 meses siguientes al primer desembolso</w:t>
            </w:r>
          </w:p>
        </w:tc>
      </w:tr>
      <w:tr w:rsidR="00F73D0E" w:rsidRPr="001B17BF" w14:paraId="174F88D4" w14:textId="77777777" w:rsidTr="000D1775">
        <w:trPr>
          <w:trHeight w:val="510"/>
        </w:trPr>
        <w:tc>
          <w:tcPr>
            <w:tcW w:w="4678" w:type="dxa"/>
          </w:tcPr>
          <w:p w14:paraId="4D057092" w14:textId="624168F5" w:rsidR="00F73D0E" w:rsidRPr="00ED0752" w:rsidRDefault="00F73D0E" w:rsidP="00F527CF">
            <w:pPr>
              <w:spacing w:after="60"/>
              <w:rPr>
                <w:rFonts w:ascii="Calibri" w:eastAsia="SimSun" w:hAnsi="Calibri" w:cs="Calibri"/>
                <w:sz w:val="18"/>
                <w:szCs w:val="18"/>
              </w:rPr>
            </w:pPr>
            <w:r>
              <w:rPr>
                <w:rFonts w:ascii="Calibri" w:hAnsi="Calibri"/>
                <w:b/>
                <w:sz w:val="18"/>
              </w:rPr>
              <w:t xml:space="preserve">Monitoreo y </w:t>
            </w:r>
            <w:r w:rsidR="00F527CF">
              <w:rPr>
                <w:rFonts w:ascii="Calibri" w:hAnsi="Calibri"/>
                <w:b/>
                <w:sz w:val="18"/>
              </w:rPr>
              <w:t>E</w:t>
            </w:r>
            <w:r>
              <w:rPr>
                <w:rFonts w:ascii="Calibri" w:hAnsi="Calibri"/>
                <w:b/>
                <w:sz w:val="18"/>
              </w:rPr>
              <w:t xml:space="preserve">valuación necesarios para informar sobre los avances realizados en la consecución de los </w:t>
            </w:r>
            <w:r w:rsidR="00F527CF">
              <w:rPr>
                <w:rFonts w:ascii="Calibri" w:hAnsi="Calibri"/>
                <w:b/>
                <w:sz w:val="18"/>
              </w:rPr>
              <w:t>I</w:t>
            </w:r>
            <w:r>
              <w:rPr>
                <w:rFonts w:ascii="Calibri" w:hAnsi="Calibri"/>
                <w:b/>
                <w:sz w:val="18"/>
              </w:rPr>
              <w:t xml:space="preserve">ndicadores </w:t>
            </w:r>
            <w:r w:rsidR="00F527CF">
              <w:rPr>
                <w:rFonts w:ascii="Calibri" w:hAnsi="Calibri"/>
                <w:b/>
                <w:sz w:val="18"/>
              </w:rPr>
              <w:t>B</w:t>
            </w:r>
            <w:r>
              <w:rPr>
                <w:rFonts w:ascii="Calibri" w:hAnsi="Calibri"/>
                <w:b/>
                <w:sz w:val="18"/>
              </w:rPr>
              <w:t xml:space="preserve">ásicos del FMAM y los resultados del proyecto incluidos en el </w:t>
            </w:r>
            <w:r w:rsidR="00F527CF">
              <w:rPr>
                <w:rFonts w:ascii="Calibri" w:hAnsi="Calibri"/>
                <w:b/>
                <w:sz w:val="18"/>
              </w:rPr>
              <w:t>M</w:t>
            </w:r>
            <w:r>
              <w:rPr>
                <w:rFonts w:ascii="Calibri" w:hAnsi="Calibri"/>
                <w:b/>
                <w:sz w:val="18"/>
              </w:rPr>
              <w:t xml:space="preserve">arco de </w:t>
            </w:r>
            <w:r w:rsidR="00F527CF">
              <w:rPr>
                <w:rFonts w:ascii="Calibri" w:hAnsi="Calibri"/>
                <w:b/>
                <w:sz w:val="18"/>
              </w:rPr>
              <w:t>R</w:t>
            </w:r>
            <w:r>
              <w:rPr>
                <w:rFonts w:ascii="Calibri" w:hAnsi="Calibri"/>
                <w:b/>
                <w:sz w:val="18"/>
              </w:rPr>
              <w:t xml:space="preserve">esultados del </w:t>
            </w:r>
            <w:r w:rsidR="00F527CF">
              <w:rPr>
                <w:rFonts w:ascii="Calibri" w:hAnsi="Calibri"/>
                <w:b/>
                <w:sz w:val="18"/>
              </w:rPr>
              <w:t>P</w:t>
            </w:r>
            <w:r>
              <w:rPr>
                <w:rFonts w:ascii="Calibri" w:hAnsi="Calibri"/>
                <w:b/>
                <w:sz w:val="18"/>
              </w:rPr>
              <w:t xml:space="preserve">royecto </w:t>
            </w:r>
          </w:p>
        </w:tc>
        <w:tc>
          <w:tcPr>
            <w:tcW w:w="1952" w:type="dxa"/>
            <w:vAlign w:val="center"/>
          </w:tcPr>
          <w:p w14:paraId="64BC809B" w14:textId="7E984B76" w:rsidR="00F73D0E" w:rsidRPr="00ED0752" w:rsidRDefault="00F73D0E" w:rsidP="00F73D0E">
            <w:pPr>
              <w:spacing w:after="60"/>
              <w:jc w:val="center"/>
              <w:rPr>
                <w:rFonts w:ascii="Calibri" w:eastAsia="SimSun" w:hAnsi="Calibri" w:cs="Calibri"/>
                <w:sz w:val="18"/>
                <w:szCs w:val="18"/>
              </w:rPr>
            </w:pPr>
            <w:r>
              <w:rPr>
                <w:rFonts w:ascii="Calibri" w:hAnsi="Calibri"/>
                <w:color w:val="000000"/>
                <w:sz w:val="18"/>
              </w:rPr>
              <w:t>5.000</w:t>
            </w:r>
          </w:p>
        </w:tc>
        <w:tc>
          <w:tcPr>
            <w:tcW w:w="3571" w:type="dxa"/>
          </w:tcPr>
          <w:p w14:paraId="2E9EA5E8" w14:textId="602C9711" w:rsidR="00F73D0E" w:rsidRPr="00ED0752" w:rsidRDefault="00F73D0E" w:rsidP="00F73D0E">
            <w:pPr>
              <w:spacing w:after="60"/>
              <w:rPr>
                <w:rFonts w:ascii="Calibri" w:eastAsia="SimSun" w:hAnsi="Calibri" w:cs="Calibri"/>
                <w:sz w:val="18"/>
                <w:szCs w:val="18"/>
              </w:rPr>
            </w:pPr>
            <w:r>
              <w:rPr>
                <w:rFonts w:ascii="Calibri" w:hAnsi="Calibri"/>
                <w:sz w:val="18"/>
              </w:rPr>
              <w:t>Anualmente, a mitad de periodo y al cierre</w:t>
            </w:r>
          </w:p>
        </w:tc>
      </w:tr>
      <w:tr w:rsidR="00F73D0E" w:rsidRPr="001B17BF" w14:paraId="5976F502" w14:textId="77777777" w:rsidTr="000D1775">
        <w:trPr>
          <w:trHeight w:val="510"/>
        </w:trPr>
        <w:tc>
          <w:tcPr>
            <w:tcW w:w="4678" w:type="dxa"/>
          </w:tcPr>
          <w:p w14:paraId="6140F4CC" w14:textId="137C510F" w:rsidR="00F73D0E" w:rsidRPr="00ED0752" w:rsidRDefault="00F73D0E" w:rsidP="00F527CF">
            <w:pPr>
              <w:rPr>
                <w:rFonts w:ascii="Calibri" w:eastAsia="SimSun" w:hAnsi="Calibri" w:cs="Calibri"/>
                <w:sz w:val="18"/>
                <w:szCs w:val="18"/>
              </w:rPr>
            </w:pPr>
            <w:r>
              <w:rPr>
                <w:rFonts w:ascii="Calibri" w:hAnsi="Calibri"/>
                <w:b/>
                <w:sz w:val="18"/>
              </w:rPr>
              <w:t xml:space="preserve">Preparación del </w:t>
            </w:r>
            <w:r w:rsidR="00F527CF">
              <w:rPr>
                <w:rFonts w:ascii="Calibri" w:hAnsi="Calibri"/>
                <w:b/>
                <w:sz w:val="18"/>
              </w:rPr>
              <w:t>I</w:t>
            </w:r>
            <w:r>
              <w:rPr>
                <w:rFonts w:ascii="Calibri" w:hAnsi="Calibri"/>
                <w:b/>
                <w:sz w:val="18"/>
              </w:rPr>
              <w:t xml:space="preserve">nforme </w:t>
            </w:r>
            <w:r w:rsidR="00F527CF">
              <w:rPr>
                <w:rFonts w:ascii="Calibri" w:hAnsi="Calibri"/>
                <w:b/>
                <w:sz w:val="18"/>
              </w:rPr>
              <w:t>A</w:t>
            </w:r>
            <w:r>
              <w:rPr>
                <w:rFonts w:ascii="Calibri" w:hAnsi="Calibri"/>
                <w:b/>
                <w:sz w:val="18"/>
              </w:rPr>
              <w:t xml:space="preserve">nual de </w:t>
            </w:r>
            <w:r w:rsidR="00F527CF">
              <w:rPr>
                <w:rFonts w:ascii="Calibri" w:hAnsi="Calibri"/>
                <w:b/>
                <w:sz w:val="18"/>
              </w:rPr>
              <w:t>E</w:t>
            </w:r>
            <w:r>
              <w:rPr>
                <w:rFonts w:ascii="Calibri" w:hAnsi="Calibri"/>
                <w:b/>
                <w:sz w:val="18"/>
              </w:rPr>
              <w:t xml:space="preserve">jecución del </w:t>
            </w:r>
            <w:r w:rsidR="00F527CF">
              <w:rPr>
                <w:rFonts w:ascii="Calibri" w:hAnsi="Calibri"/>
                <w:b/>
                <w:sz w:val="18"/>
              </w:rPr>
              <w:t>P</w:t>
            </w:r>
            <w:r>
              <w:rPr>
                <w:rFonts w:ascii="Calibri" w:hAnsi="Calibri"/>
                <w:b/>
                <w:sz w:val="18"/>
              </w:rPr>
              <w:t xml:space="preserve">royecto del FMAM (PIR) </w:t>
            </w:r>
          </w:p>
        </w:tc>
        <w:tc>
          <w:tcPr>
            <w:tcW w:w="1952" w:type="dxa"/>
            <w:vAlign w:val="center"/>
          </w:tcPr>
          <w:p w14:paraId="13FC1067" w14:textId="4AD694AB" w:rsidR="00F73D0E" w:rsidRPr="00ED0752" w:rsidRDefault="00F73D0E" w:rsidP="00F73D0E">
            <w:pPr>
              <w:spacing w:after="60"/>
              <w:jc w:val="center"/>
              <w:rPr>
                <w:rFonts w:ascii="Calibri" w:eastAsia="SimSun" w:hAnsi="Calibri" w:cs="Calibri"/>
                <w:sz w:val="18"/>
                <w:szCs w:val="18"/>
              </w:rPr>
            </w:pPr>
            <w:r>
              <w:rPr>
                <w:rFonts w:ascii="Calibri" w:hAnsi="Calibri"/>
                <w:color w:val="000000"/>
                <w:sz w:val="18"/>
              </w:rPr>
              <w:t>5.000</w:t>
            </w:r>
          </w:p>
        </w:tc>
        <w:tc>
          <w:tcPr>
            <w:tcW w:w="3571" w:type="dxa"/>
          </w:tcPr>
          <w:p w14:paraId="480DEE2C" w14:textId="65A0F577" w:rsidR="00F73D0E" w:rsidRPr="00ED0752" w:rsidRDefault="00F73D0E" w:rsidP="00F73D0E">
            <w:pPr>
              <w:spacing w:after="60"/>
              <w:rPr>
                <w:rFonts w:ascii="Calibri" w:eastAsia="SimSun" w:hAnsi="Calibri" w:cs="Calibri"/>
                <w:sz w:val="18"/>
                <w:szCs w:val="18"/>
              </w:rPr>
            </w:pPr>
            <w:r>
              <w:rPr>
                <w:rFonts w:ascii="Calibri" w:hAnsi="Calibri"/>
                <w:sz w:val="18"/>
              </w:rPr>
              <w:t>Anualmente, normalmente entre junio y agosto</w:t>
            </w:r>
          </w:p>
        </w:tc>
      </w:tr>
      <w:tr w:rsidR="00F73D0E" w:rsidRPr="00ED0752" w14:paraId="6D6786E0" w14:textId="77777777" w:rsidTr="000D1775">
        <w:trPr>
          <w:trHeight w:val="510"/>
        </w:trPr>
        <w:tc>
          <w:tcPr>
            <w:tcW w:w="4678" w:type="dxa"/>
          </w:tcPr>
          <w:p w14:paraId="43A24490" w14:textId="3AF3B978" w:rsidR="00F73D0E" w:rsidRPr="00ED0752" w:rsidRDefault="00F73D0E" w:rsidP="00F73D0E">
            <w:pPr>
              <w:spacing w:after="60"/>
              <w:rPr>
                <w:rFonts w:ascii="Calibri" w:eastAsia="SimSun" w:hAnsi="Calibri" w:cs="Calibri"/>
                <w:i/>
                <w:sz w:val="18"/>
                <w:szCs w:val="18"/>
              </w:rPr>
            </w:pPr>
            <w:r>
              <w:rPr>
                <w:rFonts w:ascii="Calibri" w:hAnsi="Calibri"/>
                <w:b/>
                <w:sz w:val="18"/>
              </w:rPr>
              <w:t>Monitoreo del Plan de Participación de las Partes Interesadas y del Plan de Acción de Género</w:t>
            </w:r>
          </w:p>
        </w:tc>
        <w:tc>
          <w:tcPr>
            <w:tcW w:w="1952" w:type="dxa"/>
            <w:vAlign w:val="center"/>
          </w:tcPr>
          <w:p w14:paraId="432D254C" w14:textId="1B7D5BC6" w:rsidR="00F73D0E" w:rsidRPr="00F3558F" w:rsidRDefault="00D4425B" w:rsidP="00F73D0E">
            <w:pPr>
              <w:spacing w:after="60"/>
              <w:jc w:val="center"/>
              <w:rPr>
                <w:rFonts w:ascii="Calibri" w:eastAsia="SimSun" w:hAnsi="Calibri" w:cs="Calibri"/>
                <w:sz w:val="18"/>
                <w:szCs w:val="18"/>
              </w:rPr>
            </w:pPr>
            <w:r>
              <w:rPr>
                <w:rFonts w:ascii="Calibri" w:hAnsi="Calibri"/>
                <w:color w:val="000000"/>
                <w:sz w:val="18"/>
              </w:rPr>
              <w:t>30.000</w:t>
            </w:r>
          </w:p>
        </w:tc>
        <w:tc>
          <w:tcPr>
            <w:tcW w:w="3571" w:type="dxa"/>
          </w:tcPr>
          <w:p w14:paraId="3C2187E7" w14:textId="233E77FB" w:rsidR="00F73D0E" w:rsidRPr="00ED0752" w:rsidRDefault="00F73D0E" w:rsidP="00F73D0E">
            <w:pPr>
              <w:spacing w:after="60"/>
              <w:rPr>
                <w:rFonts w:ascii="Calibri" w:eastAsia="SimSun" w:hAnsi="Calibri" w:cs="Calibri"/>
                <w:sz w:val="18"/>
                <w:szCs w:val="18"/>
              </w:rPr>
            </w:pPr>
            <w:r>
              <w:rPr>
                <w:rFonts w:ascii="Calibri" w:hAnsi="Calibri"/>
                <w:sz w:val="18"/>
              </w:rPr>
              <w:t>En curso</w:t>
            </w:r>
          </w:p>
        </w:tc>
      </w:tr>
      <w:tr w:rsidR="00F73D0E" w:rsidRPr="00ED0752" w14:paraId="7E75E778" w14:textId="77777777" w:rsidTr="000D1775">
        <w:trPr>
          <w:trHeight w:val="510"/>
        </w:trPr>
        <w:tc>
          <w:tcPr>
            <w:tcW w:w="4678" w:type="dxa"/>
          </w:tcPr>
          <w:p w14:paraId="3814C252" w14:textId="51C5CA9F" w:rsidR="00F73D0E" w:rsidRPr="00ED0752" w:rsidRDefault="00F73D0E" w:rsidP="00F73D0E">
            <w:pPr>
              <w:spacing w:after="60"/>
              <w:rPr>
                <w:rFonts w:ascii="Calibri" w:eastAsia="SimSun" w:hAnsi="Calibri" w:cs="Calibri"/>
                <w:b/>
                <w:sz w:val="18"/>
                <w:szCs w:val="18"/>
              </w:rPr>
            </w:pPr>
            <w:r>
              <w:rPr>
                <w:rFonts w:ascii="Calibri" w:hAnsi="Calibri"/>
                <w:b/>
                <w:color w:val="000000"/>
                <w:sz w:val="18"/>
              </w:rPr>
              <w:t>Monitoreo de las salvaguardias ambientales y sociales</w:t>
            </w:r>
          </w:p>
        </w:tc>
        <w:tc>
          <w:tcPr>
            <w:tcW w:w="1952" w:type="dxa"/>
            <w:vAlign w:val="center"/>
          </w:tcPr>
          <w:p w14:paraId="0F6F9C22" w14:textId="5C3C8BE6" w:rsidR="00F73D0E" w:rsidRPr="00F3558F" w:rsidRDefault="00D4425B" w:rsidP="00F73D0E">
            <w:pPr>
              <w:spacing w:after="60"/>
              <w:jc w:val="center"/>
              <w:rPr>
                <w:rFonts w:ascii="Calibri" w:eastAsia="SimSun" w:hAnsi="Calibri" w:cs="Calibri"/>
                <w:sz w:val="18"/>
                <w:szCs w:val="18"/>
              </w:rPr>
            </w:pPr>
            <w:r>
              <w:rPr>
                <w:rFonts w:ascii="Calibri" w:hAnsi="Calibri"/>
                <w:color w:val="000000"/>
                <w:sz w:val="18"/>
              </w:rPr>
              <w:t>50.000</w:t>
            </w:r>
          </w:p>
        </w:tc>
        <w:tc>
          <w:tcPr>
            <w:tcW w:w="3571" w:type="dxa"/>
          </w:tcPr>
          <w:p w14:paraId="47C57DBF" w14:textId="2E8D8F42" w:rsidR="00F73D0E" w:rsidRPr="00ED0752" w:rsidRDefault="00F73D0E" w:rsidP="00F73D0E">
            <w:pPr>
              <w:spacing w:after="60"/>
              <w:rPr>
                <w:rFonts w:ascii="Calibri" w:eastAsia="SimSun" w:hAnsi="Calibri" w:cs="Calibri"/>
                <w:sz w:val="18"/>
                <w:szCs w:val="18"/>
              </w:rPr>
            </w:pPr>
            <w:r>
              <w:rPr>
                <w:rFonts w:ascii="Calibri" w:hAnsi="Calibri"/>
                <w:sz w:val="18"/>
              </w:rPr>
              <w:t>En curso</w:t>
            </w:r>
          </w:p>
        </w:tc>
      </w:tr>
      <w:tr w:rsidR="00F73D0E" w:rsidRPr="00ED0752" w14:paraId="5B86CC44" w14:textId="77777777" w:rsidTr="000D1775">
        <w:trPr>
          <w:trHeight w:val="510"/>
        </w:trPr>
        <w:tc>
          <w:tcPr>
            <w:tcW w:w="4678" w:type="dxa"/>
          </w:tcPr>
          <w:p w14:paraId="37AE3709" w14:textId="77777777" w:rsidR="00F73D0E" w:rsidRPr="00ED0752" w:rsidRDefault="00F73D0E" w:rsidP="00F73D0E">
            <w:pPr>
              <w:spacing w:after="60"/>
              <w:rPr>
                <w:rFonts w:ascii="Calibri" w:eastAsia="SimSun" w:hAnsi="Calibri" w:cs="Calibri"/>
                <w:b/>
                <w:sz w:val="18"/>
                <w:szCs w:val="18"/>
              </w:rPr>
            </w:pPr>
            <w:r>
              <w:rPr>
                <w:rFonts w:ascii="Calibri" w:hAnsi="Calibri"/>
                <w:b/>
                <w:sz w:val="18"/>
              </w:rPr>
              <w:t xml:space="preserve">Misiones de supervisión </w:t>
            </w:r>
          </w:p>
        </w:tc>
        <w:tc>
          <w:tcPr>
            <w:tcW w:w="1952" w:type="dxa"/>
            <w:vAlign w:val="center"/>
          </w:tcPr>
          <w:p w14:paraId="31823142" w14:textId="512416AB" w:rsidR="00F73D0E" w:rsidRPr="00ED0752" w:rsidRDefault="00F73D0E" w:rsidP="00F73D0E">
            <w:pPr>
              <w:spacing w:after="60"/>
              <w:jc w:val="center"/>
              <w:rPr>
                <w:rFonts w:ascii="Calibri" w:eastAsia="SimSun" w:hAnsi="Calibri" w:cs="Calibri"/>
                <w:sz w:val="18"/>
                <w:szCs w:val="18"/>
              </w:rPr>
            </w:pPr>
            <w:r>
              <w:rPr>
                <w:rFonts w:ascii="Calibri" w:hAnsi="Calibri"/>
                <w:color w:val="000000"/>
                <w:sz w:val="18"/>
              </w:rPr>
              <w:t>10.000</w:t>
            </w:r>
          </w:p>
        </w:tc>
        <w:tc>
          <w:tcPr>
            <w:tcW w:w="3571" w:type="dxa"/>
          </w:tcPr>
          <w:p w14:paraId="6AA87469" w14:textId="027FE9DC" w:rsidR="00F73D0E" w:rsidRPr="00ED0752" w:rsidRDefault="00F73D0E" w:rsidP="00F73D0E">
            <w:pPr>
              <w:spacing w:after="60"/>
              <w:rPr>
                <w:rFonts w:ascii="Calibri" w:eastAsia="SimSun" w:hAnsi="Calibri" w:cs="Calibri"/>
                <w:sz w:val="18"/>
                <w:szCs w:val="18"/>
              </w:rPr>
            </w:pPr>
            <w:r>
              <w:rPr>
                <w:rFonts w:ascii="Calibri" w:hAnsi="Calibri"/>
                <w:sz w:val="18"/>
              </w:rPr>
              <w:t>Anualmente</w:t>
            </w:r>
          </w:p>
        </w:tc>
      </w:tr>
      <w:tr w:rsidR="00F73D0E" w:rsidRPr="00ED0752" w14:paraId="3CF3CF78" w14:textId="77777777" w:rsidTr="000D1775">
        <w:trPr>
          <w:trHeight w:val="510"/>
        </w:trPr>
        <w:tc>
          <w:tcPr>
            <w:tcW w:w="4678" w:type="dxa"/>
          </w:tcPr>
          <w:p w14:paraId="5D572AA9" w14:textId="77777777" w:rsidR="00F73D0E" w:rsidRPr="00ED0752" w:rsidRDefault="00F73D0E" w:rsidP="00F73D0E">
            <w:pPr>
              <w:spacing w:after="60"/>
              <w:rPr>
                <w:rFonts w:ascii="Calibri" w:eastAsia="SimSun" w:hAnsi="Calibri" w:cs="Calibri"/>
                <w:b/>
                <w:sz w:val="18"/>
                <w:szCs w:val="18"/>
              </w:rPr>
            </w:pPr>
            <w:r>
              <w:rPr>
                <w:rFonts w:ascii="Calibri" w:hAnsi="Calibri"/>
                <w:b/>
                <w:sz w:val="18"/>
              </w:rPr>
              <w:t>Misiones de aprendizaje</w:t>
            </w:r>
          </w:p>
        </w:tc>
        <w:tc>
          <w:tcPr>
            <w:tcW w:w="1952" w:type="dxa"/>
            <w:vAlign w:val="center"/>
          </w:tcPr>
          <w:p w14:paraId="740C8D0D" w14:textId="73C2F25F" w:rsidR="00F73D0E" w:rsidRPr="00ED0752" w:rsidDel="00B93196" w:rsidRDefault="00F73D0E" w:rsidP="00F73D0E">
            <w:pPr>
              <w:spacing w:after="60"/>
              <w:jc w:val="center"/>
              <w:rPr>
                <w:rFonts w:ascii="Calibri" w:eastAsia="SimSun" w:hAnsi="Calibri" w:cs="Calibri"/>
                <w:sz w:val="18"/>
                <w:szCs w:val="18"/>
              </w:rPr>
            </w:pPr>
            <w:r>
              <w:rPr>
                <w:rFonts w:ascii="Calibri" w:hAnsi="Calibri"/>
                <w:color w:val="000000"/>
                <w:sz w:val="18"/>
              </w:rPr>
              <w:t>10.000</w:t>
            </w:r>
          </w:p>
        </w:tc>
        <w:tc>
          <w:tcPr>
            <w:tcW w:w="3571" w:type="dxa"/>
          </w:tcPr>
          <w:p w14:paraId="208C2F00" w14:textId="4B7DD73B" w:rsidR="00F73D0E" w:rsidRPr="00ED0752" w:rsidRDefault="00F73D0E" w:rsidP="00F73D0E">
            <w:pPr>
              <w:spacing w:after="60"/>
              <w:rPr>
                <w:rFonts w:ascii="Calibri" w:eastAsia="SimSun" w:hAnsi="Calibri" w:cs="Calibri"/>
                <w:sz w:val="18"/>
                <w:szCs w:val="18"/>
              </w:rPr>
            </w:pPr>
            <w:r>
              <w:rPr>
                <w:rFonts w:ascii="Calibri" w:hAnsi="Calibri"/>
                <w:sz w:val="18"/>
              </w:rPr>
              <w:t>Según sea necesario</w:t>
            </w:r>
          </w:p>
        </w:tc>
      </w:tr>
      <w:tr w:rsidR="00F73D0E" w:rsidRPr="001B17BF" w14:paraId="0FEE129E" w14:textId="77777777" w:rsidTr="000D1775">
        <w:trPr>
          <w:trHeight w:val="510"/>
        </w:trPr>
        <w:tc>
          <w:tcPr>
            <w:tcW w:w="4678" w:type="dxa"/>
          </w:tcPr>
          <w:p w14:paraId="706AF878" w14:textId="6D9BF46E" w:rsidR="00F73D0E" w:rsidRPr="00ED0752" w:rsidRDefault="00F73D0E" w:rsidP="00F527CF">
            <w:pPr>
              <w:spacing w:after="60"/>
              <w:rPr>
                <w:rFonts w:ascii="Calibri" w:eastAsia="SimSun" w:hAnsi="Calibri" w:cs="Calibri"/>
                <w:b/>
                <w:sz w:val="18"/>
                <w:szCs w:val="18"/>
              </w:rPr>
            </w:pPr>
            <w:r>
              <w:rPr>
                <w:rFonts w:ascii="Calibri" w:hAnsi="Calibri"/>
                <w:b/>
                <w:sz w:val="18"/>
              </w:rPr>
              <w:t xml:space="preserve">Evaluación de </w:t>
            </w:r>
            <w:r w:rsidR="00F527CF">
              <w:rPr>
                <w:rFonts w:ascii="Calibri" w:hAnsi="Calibri"/>
                <w:b/>
                <w:sz w:val="18"/>
              </w:rPr>
              <w:t>M</w:t>
            </w:r>
            <w:r>
              <w:rPr>
                <w:rFonts w:ascii="Calibri" w:hAnsi="Calibri"/>
                <w:b/>
                <w:sz w:val="18"/>
              </w:rPr>
              <w:t xml:space="preserve">itad de </w:t>
            </w:r>
            <w:r w:rsidR="00F527CF">
              <w:rPr>
                <w:rFonts w:ascii="Calibri" w:hAnsi="Calibri"/>
                <w:b/>
                <w:sz w:val="18"/>
              </w:rPr>
              <w:t>P</w:t>
            </w:r>
            <w:r>
              <w:rPr>
                <w:rFonts w:ascii="Calibri" w:hAnsi="Calibri"/>
                <w:b/>
                <w:sz w:val="18"/>
              </w:rPr>
              <w:t xml:space="preserve">eríodo </w:t>
            </w:r>
            <w:r w:rsidR="00F527CF">
              <w:rPr>
                <w:rFonts w:ascii="Calibri" w:hAnsi="Calibri"/>
                <w:b/>
                <w:sz w:val="18"/>
              </w:rPr>
              <w:t>I</w:t>
            </w:r>
            <w:r>
              <w:rPr>
                <w:rFonts w:ascii="Calibri" w:hAnsi="Calibri"/>
                <w:b/>
                <w:sz w:val="18"/>
              </w:rPr>
              <w:t>ndependiente</w:t>
            </w:r>
          </w:p>
        </w:tc>
        <w:tc>
          <w:tcPr>
            <w:tcW w:w="1952" w:type="dxa"/>
            <w:vAlign w:val="center"/>
          </w:tcPr>
          <w:p w14:paraId="52CB178B" w14:textId="4D557980" w:rsidR="00F73D0E" w:rsidRPr="00ED0752" w:rsidRDefault="00D4425B" w:rsidP="00ED0752">
            <w:pPr>
              <w:spacing w:after="60"/>
              <w:jc w:val="center"/>
              <w:rPr>
                <w:rFonts w:ascii="Calibri" w:eastAsia="SimSun" w:hAnsi="Calibri" w:cs="Calibri"/>
                <w:sz w:val="18"/>
                <w:szCs w:val="18"/>
              </w:rPr>
            </w:pPr>
            <w:r>
              <w:rPr>
                <w:rFonts w:ascii="Calibri" w:hAnsi="Calibri"/>
                <w:color w:val="000000"/>
                <w:sz w:val="18"/>
              </w:rPr>
              <w:t>35.000</w:t>
            </w:r>
          </w:p>
        </w:tc>
        <w:tc>
          <w:tcPr>
            <w:tcW w:w="3571" w:type="dxa"/>
          </w:tcPr>
          <w:p w14:paraId="0FDC4274" w14:textId="6CCA0465" w:rsidR="00F73D0E" w:rsidRPr="00ED0752" w:rsidRDefault="00F73D0E" w:rsidP="00F73D0E">
            <w:pPr>
              <w:spacing w:after="60"/>
              <w:rPr>
                <w:rFonts w:ascii="Calibri" w:eastAsia="SimSun" w:hAnsi="Calibri" w:cs="Calibri"/>
                <w:sz w:val="18"/>
                <w:szCs w:val="18"/>
              </w:rPr>
            </w:pPr>
            <w:r>
              <w:rPr>
                <w:rFonts w:ascii="Calibri" w:hAnsi="Calibri"/>
                <w:sz w:val="18"/>
              </w:rPr>
              <w:t>Añadir fecha incluida en la portada del Documento de Proyecto</w:t>
            </w:r>
          </w:p>
        </w:tc>
      </w:tr>
      <w:tr w:rsidR="00F73D0E" w:rsidRPr="001B17BF" w14:paraId="7B96E69B" w14:textId="77777777" w:rsidTr="000D1775">
        <w:trPr>
          <w:trHeight w:val="510"/>
        </w:trPr>
        <w:tc>
          <w:tcPr>
            <w:tcW w:w="4678" w:type="dxa"/>
          </w:tcPr>
          <w:p w14:paraId="3B4CECE6" w14:textId="54CA2675" w:rsidR="00F73D0E" w:rsidRPr="00ED0752" w:rsidRDefault="00F73D0E" w:rsidP="00F527CF">
            <w:pPr>
              <w:spacing w:after="60"/>
              <w:rPr>
                <w:rFonts w:ascii="Calibri" w:eastAsia="SimSun" w:hAnsi="Calibri" w:cs="Calibri"/>
                <w:b/>
                <w:sz w:val="18"/>
                <w:szCs w:val="18"/>
              </w:rPr>
            </w:pPr>
            <w:r>
              <w:rPr>
                <w:rFonts w:ascii="Calibri" w:hAnsi="Calibri"/>
                <w:b/>
                <w:sz w:val="18"/>
              </w:rPr>
              <w:t>Evaluación</w:t>
            </w:r>
            <w:r w:rsidR="00F527CF">
              <w:rPr>
                <w:rFonts w:ascii="Calibri" w:hAnsi="Calibri"/>
                <w:b/>
                <w:sz w:val="18"/>
              </w:rPr>
              <w:t xml:space="preserve"> F</w:t>
            </w:r>
            <w:r>
              <w:rPr>
                <w:rFonts w:ascii="Calibri" w:hAnsi="Calibri"/>
                <w:b/>
                <w:sz w:val="18"/>
              </w:rPr>
              <w:t xml:space="preserve">inal </w:t>
            </w:r>
            <w:r w:rsidR="00F527CF">
              <w:rPr>
                <w:rFonts w:ascii="Calibri" w:hAnsi="Calibri"/>
                <w:b/>
                <w:sz w:val="18"/>
              </w:rPr>
              <w:t>I</w:t>
            </w:r>
            <w:r>
              <w:rPr>
                <w:rFonts w:ascii="Calibri" w:hAnsi="Calibri"/>
                <w:b/>
                <w:sz w:val="18"/>
              </w:rPr>
              <w:t>ndependiente (T</w:t>
            </w:r>
            <w:r w:rsidR="00343360">
              <w:rPr>
                <w:rFonts w:ascii="Calibri" w:hAnsi="Calibri"/>
                <w:b/>
                <w:sz w:val="18"/>
              </w:rPr>
              <w:t>E</w:t>
            </w:r>
            <w:r>
              <w:rPr>
                <w:rFonts w:ascii="Calibri" w:hAnsi="Calibri"/>
                <w:b/>
                <w:sz w:val="18"/>
              </w:rPr>
              <w:t>)</w:t>
            </w:r>
          </w:p>
        </w:tc>
        <w:tc>
          <w:tcPr>
            <w:tcW w:w="1952" w:type="dxa"/>
            <w:vAlign w:val="center"/>
          </w:tcPr>
          <w:p w14:paraId="1129018F" w14:textId="5115BC00" w:rsidR="00F73D0E" w:rsidRPr="00ED0752" w:rsidRDefault="00D4425B" w:rsidP="00F73D0E">
            <w:pPr>
              <w:tabs>
                <w:tab w:val="center" w:pos="1216"/>
              </w:tabs>
              <w:spacing w:after="60"/>
              <w:jc w:val="center"/>
              <w:rPr>
                <w:rFonts w:ascii="Calibri" w:eastAsia="SimSun" w:hAnsi="Calibri" w:cs="Calibri"/>
                <w:sz w:val="18"/>
                <w:szCs w:val="18"/>
              </w:rPr>
            </w:pPr>
            <w:r>
              <w:rPr>
                <w:rFonts w:ascii="Calibri" w:hAnsi="Calibri"/>
                <w:color w:val="000000"/>
                <w:sz w:val="18"/>
              </w:rPr>
              <w:t>35.000</w:t>
            </w:r>
          </w:p>
        </w:tc>
        <w:tc>
          <w:tcPr>
            <w:tcW w:w="3571" w:type="dxa"/>
          </w:tcPr>
          <w:p w14:paraId="05D94774" w14:textId="2FC2D9F7" w:rsidR="00F73D0E" w:rsidRPr="00ED0752" w:rsidRDefault="00F73D0E" w:rsidP="00F73D0E">
            <w:pPr>
              <w:spacing w:after="60"/>
              <w:rPr>
                <w:rFonts w:ascii="Calibri" w:eastAsia="SimSun" w:hAnsi="Calibri" w:cs="Calibri"/>
                <w:sz w:val="18"/>
                <w:szCs w:val="18"/>
              </w:rPr>
            </w:pPr>
            <w:r>
              <w:rPr>
                <w:rFonts w:ascii="Calibri" w:hAnsi="Calibri"/>
                <w:sz w:val="18"/>
              </w:rPr>
              <w:t>Añadir fecha incluida en la portada del Documento de Proyecto</w:t>
            </w:r>
          </w:p>
        </w:tc>
      </w:tr>
      <w:tr w:rsidR="00966EF0" w:rsidRPr="00ED0752" w14:paraId="00541EA0" w14:textId="77777777" w:rsidTr="000D1775">
        <w:trPr>
          <w:cantSplit/>
          <w:trHeight w:val="510"/>
        </w:trPr>
        <w:tc>
          <w:tcPr>
            <w:tcW w:w="4678" w:type="dxa"/>
            <w:shd w:val="clear" w:color="auto" w:fill="E6E6E6"/>
          </w:tcPr>
          <w:p w14:paraId="61DDD582" w14:textId="2AA5021A" w:rsidR="00966EF0" w:rsidRPr="00ED0752" w:rsidRDefault="00966EF0" w:rsidP="00F527CF">
            <w:pPr>
              <w:spacing w:after="60"/>
              <w:rPr>
                <w:rFonts w:ascii="Calibri" w:eastAsia="SimSun" w:hAnsi="Calibri" w:cs="Calibri"/>
                <w:b/>
                <w:sz w:val="18"/>
                <w:szCs w:val="18"/>
              </w:rPr>
            </w:pPr>
            <w:r>
              <w:rPr>
                <w:rFonts w:ascii="Calibri" w:hAnsi="Calibri"/>
                <w:b/>
                <w:sz w:val="18"/>
              </w:rPr>
              <w:t>COST</w:t>
            </w:r>
            <w:r w:rsidR="00F527CF">
              <w:rPr>
                <w:rFonts w:ascii="Calibri" w:hAnsi="Calibri"/>
                <w:b/>
                <w:sz w:val="18"/>
              </w:rPr>
              <w:t>O</w:t>
            </w:r>
            <w:r>
              <w:rPr>
                <w:rFonts w:ascii="Calibri" w:hAnsi="Calibri"/>
                <w:b/>
                <w:sz w:val="18"/>
              </w:rPr>
              <w:t xml:space="preserve"> TOTAL </w:t>
            </w:r>
            <w:r w:rsidR="00F527CF">
              <w:rPr>
                <w:rFonts w:ascii="Calibri" w:hAnsi="Calibri"/>
                <w:b/>
                <w:sz w:val="18"/>
              </w:rPr>
              <w:t>I</w:t>
            </w:r>
            <w:r>
              <w:rPr>
                <w:rFonts w:ascii="Calibri" w:hAnsi="Calibri"/>
                <w:b/>
                <w:sz w:val="18"/>
              </w:rPr>
              <w:t xml:space="preserve">ndicativo </w:t>
            </w:r>
          </w:p>
        </w:tc>
        <w:tc>
          <w:tcPr>
            <w:tcW w:w="1952" w:type="dxa"/>
            <w:shd w:val="clear" w:color="auto" w:fill="E6E6E6"/>
            <w:vAlign w:val="center"/>
          </w:tcPr>
          <w:p w14:paraId="1654C6ED" w14:textId="4AFD231B" w:rsidR="00966EF0" w:rsidRPr="006B2621" w:rsidRDefault="006B2C5B" w:rsidP="00F73D0E">
            <w:pPr>
              <w:spacing w:after="60"/>
              <w:jc w:val="center"/>
              <w:rPr>
                <w:rFonts w:ascii="Calibri" w:eastAsia="SimSun" w:hAnsi="Calibri" w:cs="Calibri"/>
                <w:b/>
                <w:bCs/>
                <w:sz w:val="18"/>
                <w:szCs w:val="18"/>
              </w:rPr>
            </w:pPr>
            <w:r>
              <w:rPr>
                <w:rFonts w:ascii="Calibri" w:hAnsi="Calibri"/>
                <w:b/>
                <w:sz w:val="18"/>
              </w:rPr>
              <w:t>190.000</w:t>
            </w:r>
          </w:p>
        </w:tc>
        <w:tc>
          <w:tcPr>
            <w:tcW w:w="3571" w:type="dxa"/>
            <w:shd w:val="clear" w:color="auto" w:fill="E6E6E6"/>
          </w:tcPr>
          <w:p w14:paraId="4D603EC0" w14:textId="6C38A5F0" w:rsidR="00966EF0" w:rsidRPr="006B2621" w:rsidRDefault="00966EF0" w:rsidP="00966EF0">
            <w:pPr>
              <w:spacing w:after="60"/>
              <w:rPr>
                <w:rFonts w:ascii="Calibri" w:eastAsia="SimSun" w:hAnsi="Calibri" w:cs="Calibri"/>
                <w:b/>
                <w:bCs/>
                <w:i/>
                <w:sz w:val="18"/>
                <w:szCs w:val="18"/>
                <w:highlight w:val="yellow"/>
                <w:lang w:val="en-US"/>
              </w:rPr>
            </w:pPr>
          </w:p>
        </w:tc>
      </w:tr>
    </w:tbl>
    <w:p w14:paraId="36278F8E" w14:textId="77777777" w:rsidR="00966EF0" w:rsidRPr="006A315B" w:rsidRDefault="00966EF0" w:rsidP="00966EF0">
      <w:pPr>
        <w:keepNext/>
        <w:pBdr>
          <w:top w:val="single" w:sz="4" w:space="1" w:color="auto"/>
        </w:pBdr>
        <w:tabs>
          <w:tab w:val="num" w:pos="720"/>
        </w:tabs>
        <w:suppressAutoHyphens/>
        <w:ind w:left="720" w:hanging="720"/>
        <w:outlineLvl w:val="0"/>
        <w:rPr>
          <w:rFonts w:ascii="Calibri" w:eastAsia="SimSun" w:hAnsi="Calibri"/>
          <w:b/>
          <w:smallCaps/>
          <w:spacing w:val="-2"/>
          <w:sz w:val="28"/>
          <w:szCs w:val="20"/>
          <w:lang w:val="en-US"/>
        </w:rPr>
        <w:sectPr w:rsidR="00966EF0" w:rsidRPr="006A315B" w:rsidSect="00BA3DD6">
          <w:pgSz w:w="15840" w:h="12240" w:orient="landscape" w:code="1"/>
          <w:pgMar w:top="1440" w:right="1440" w:bottom="1440" w:left="1440" w:header="720" w:footer="432" w:gutter="0"/>
          <w:cols w:space="708"/>
          <w:titlePg/>
          <w:docGrid w:linePitch="360"/>
        </w:sectPr>
      </w:pPr>
    </w:p>
    <w:p w14:paraId="581FCA3F" w14:textId="72A16842" w:rsidR="00966EF0" w:rsidRPr="00E80365" w:rsidRDefault="00705641" w:rsidP="00E80365">
      <w:pPr>
        <w:keepNext/>
        <w:pBdr>
          <w:top w:val="single" w:sz="4" w:space="1" w:color="auto"/>
        </w:pBdr>
        <w:tabs>
          <w:tab w:val="num" w:pos="720"/>
        </w:tabs>
        <w:suppressAutoHyphens/>
        <w:spacing w:after="120"/>
        <w:ind w:left="720" w:hanging="720"/>
        <w:outlineLvl w:val="0"/>
        <w:rPr>
          <w:rFonts w:ascii="Calibri" w:eastAsia="SimSun" w:hAnsi="Calibri"/>
          <w:b/>
          <w:smallCaps/>
          <w:spacing w:val="-2"/>
          <w:sz w:val="28"/>
          <w:szCs w:val="20"/>
        </w:rPr>
      </w:pPr>
      <w:bookmarkStart w:id="45" w:name="_Toc114650847"/>
      <w:bookmarkStart w:id="46" w:name="_Toc144822672"/>
      <w:r>
        <w:rPr>
          <w:rFonts w:ascii="Calibri" w:hAnsi="Calibri"/>
          <w:b/>
          <w:smallCaps/>
          <w:sz w:val="28"/>
        </w:rPr>
        <w:t>VII. Disposiciones de Gobernanza y gestión</w:t>
      </w:r>
      <w:bookmarkEnd w:id="45"/>
      <w:bookmarkEnd w:id="46"/>
      <w:r>
        <w:rPr>
          <w:rFonts w:ascii="Calibri" w:hAnsi="Calibri"/>
          <w:b/>
          <w:smallCaps/>
          <w:sz w:val="28"/>
        </w:rPr>
        <w:t xml:space="preserve"> </w:t>
      </w:r>
    </w:p>
    <w:p w14:paraId="66540883" w14:textId="011B4012" w:rsidR="00E80365" w:rsidRPr="00273AFD" w:rsidRDefault="00966EF0" w:rsidP="00273AFD">
      <w:pPr>
        <w:spacing w:after="120"/>
        <w:jc w:val="both"/>
        <w:rPr>
          <w:rFonts w:ascii="Calibri" w:eastAsia="SimSun" w:hAnsi="Calibri" w:cs="Arial"/>
          <w:b/>
          <w:sz w:val="20"/>
          <w:szCs w:val="20"/>
        </w:rPr>
      </w:pPr>
      <w:r>
        <w:rPr>
          <w:rFonts w:ascii="Calibri" w:hAnsi="Calibri"/>
          <w:b/>
          <w:sz w:val="20"/>
        </w:rPr>
        <w:t xml:space="preserve">Sección 1: Funciones y responsabilidades generales en el </w:t>
      </w:r>
      <w:r w:rsidR="00FB3386">
        <w:rPr>
          <w:rFonts w:ascii="Calibri" w:hAnsi="Calibri"/>
          <w:b/>
          <w:sz w:val="20"/>
        </w:rPr>
        <w:t>M</w:t>
      </w:r>
      <w:r>
        <w:rPr>
          <w:rFonts w:ascii="Calibri" w:hAnsi="Calibri"/>
          <w:b/>
          <w:sz w:val="20"/>
        </w:rPr>
        <w:t xml:space="preserve">ecanismo de </w:t>
      </w:r>
      <w:r w:rsidR="00FB3386">
        <w:rPr>
          <w:rFonts w:ascii="Calibri" w:hAnsi="Calibri"/>
          <w:b/>
          <w:sz w:val="20"/>
        </w:rPr>
        <w:t>G</w:t>
      </w:r>
      <w:r>
        <w:rPr>
          <w:rFonts w:ascii="Calibri" w:hAnsi="Calibri"/>
          <w:b/>
          <w:sz w:val="20"/>
        </w:rPr>
        <w:t>obernanza de los proyectos</w:t>
      </w:r>
    </w:p>
    <w:p w14:paraId="3169C8EB" w14:textId="0D75A45F" w:rsidR="00D74451" w:rsidRPr="00473469" w:rsidRDefault="00966EF0" w:rsidP="00473469">
      <w:pPr>
        <w:pStyle w:val="GEFFieldtoFillout"/>
        <w:shd w:val="clear" w:color="auto" w:fill="FFFFFF"/>
        <w:tabs>
          <w:tab w:val="left" w:pos="567"/>
        </w:tabs>
        <w:spacing w:after="120"/>
        <w:ind w:left="0"/>
        <w:jc w:val="both"/>
        <w:rPr>
          <w:rFonts w:ascii="Calibri" w:eastAsia="SimSun" w:hAnsi="Calibri" w:cs="Arial"/>
          <w:i/>
          <w:iCs/>
          <w:noProof/>
          <w:sz w:val="20"/>
        </w:rPr>
      </w:pPr>
      <w:r>
        <w:rPr>
          <w:rFonts w:ascii="Calibri" w:hAnsi="Calibri"/>
          <w:sz w:val="20"/>
          <w:u w:val="single"/>
        </w:rPr>
        <w:t>Socio en la Implementación</w:t>
      </w:r>
      <w:r>
        <w:rPr>
          <w:rFonts w:ascii="Calibri" w:hAnsi="Calibri"/>
          <w:sz w:val="20"/>
        </w:rPr>
        <w:t xml:space="preserve">: </w:t>
      </w:r>
      <w:r w:rsidR="00A73848">
        <w:rPr>
          <w:rFonts w:asciiTheme="minorHAnsi" w:hAnsiTheme="minorHAnsi"/>
          <w:sz w:val="20"/>
        </w:rPr>
        <w:t>e</w:t>
      </w:r>
      <w:r>
        <w:rPr>
          <w:rFonts w:asciiTheme="minorHAnsi" w:hAnsiTheme="minorHAnsi"/>
          <w:sz w:val="20"/>
        </w:rPr>
        <w:t>l Socio en la Implementación de este proyecto es el Ministerio de Medio Ambiente, Agua y Transición Ecológica (MAATE).</w:t>
      </w:r>
    </w:p>
    <w:p w14:paraId="7A30519F" w14:textId="3E16BCF9" w:rsidR="00966EF0" w:rsidRPr="006A315B" w:rsidRDefault="00966EF0" w:rsidP="00273AFD">
      <w:pPr>
        <w:spacing w:after="120"/>
        <w:jc w:val="both"/>
        <w:rPr>
          <w:rFonts w:ascii="Calibri" w:eastAsia="SimSun" w:hAnsi="Calibri" w:cs="Arial"/>
          <w:sz w:val="20"/>
          <w:szCs w:val="20"/>
        </w:rPr>
      </w:pPr>
      <w:r>
        <w:rPr>
          <w:rFonts w:ascii="Calibri" w:hAnsi="Calibri"/>
          <w:sz w:val="20"/>
        </w:rPr>
        <w:t>El Socio en la Implementación es la entidad a la que el Administrador del PNUD ha confiado la ejecución de la asistencia del PNUD especificada en este documento de proyecto firmado, junto con la asunción de la plena responsabilidad y rendición de cuentas por el uso eficaz de los recursos del PNUD y la entrega de los productos, tal como se establece en este documento.</w:t>
      </w:r>
    </w:p>
    <w:p w14:paraId="2AB82D56" w14:textId="77777777" w:rsidR="00966EF0" w:rsidRPr="00273AFD" w:rsidRDefault="00966EF0" w:rsidP="00E80365">
      <w:pPr>
        <w:jc w:val="both"/>
        <w:rPr>
          <w:rFonts w:ascii="Calibri" w:eastAsia="SimSun" w:hAnsi="Calibri" w:cs="Arial"/>
          <w:sz w:val="20"/>
          <w:szCs w:val="20"/>
        </w:rPr>
      </w:pPr>
      <w:r>
        <w:rPr>
          <w:rFonts w:ascii="Calibri" w:hAnsi="Calibri"/>
          <w:sz w:val="20"/>
        </w:rPr>
        <w:t>El Socio en la Implementación es responsable de la ejecución de este proyecto. Las tareas específicas incluyen:</w:t>
      </w:r>
    </w:p>
    <w:p w14:paraId="76AFF75C" w14:textId="77777777" w:rsidR="00966EF0" w:rsidRPr="006A315B" w:rsidRDefault="00966EF0">
      <w:pPr>
        <w:numPr>
          <w:ilvl w:val="0"/>
          <w:numId w:val="7"/>
        </w:numPr>
        <w:jc w:val="both"/>
        <w:rPr>
          <w:rFonts w:ascii="Calibri" w:eastAsia="SimSun" w:hAnsi="Calibri" w:cs="Calibri"/>
          <w:sz w:val="20"/>
          <w:szCs w:val="20"/>
        </w:rPr>
      </w:pPr>
      <w:r>
        <w:rPr>
          <w:rFonts w:ascii="Calibri" w:hAnsi="Calibri"/>
          <w:sz w:val="20"/>
        </w:rPr>
        <w:t xml:space="preserve">Planificación, coordinación, gestión, monitoreo, evaluación y elaboración de informes de proyectos.  Esto incluye el suministro de toda la información y los datos necesarios para la elaboración de informes de proyectos oportunos, exhaustivos y basados en evidencia, incluidos resultados y datos financieros, según sea necesario. El Socio en la Implementación se esforzará por garantizar que los institutos nacionales lleven a cabo el monitoreo y evaluación a nivel de proyecto y se ajusten a los sistemas nacionales, de modo que los datos utilizados y generados por el proyecto sirvan de apoyo a los sistemas nacionales. </w:t>
      </w:r>
    </w:p>
    <w:p w14:paraId="57B16A53" w14:textId="4B98F4B9" w:rsidR="00966EF0" w:rsidRPr="006A315B" w:rsidRDefault="00966EF0">
      <w:pPr>
        <w:numPr>
          <w:ilvl w:val="0"/>
          <w:numId w:val="7"/>
        </w:numPr>
        <w:jc w:val="both"/>
        <w:rPr>
          <w:rFonts w:ascii="Calibri" w:eastAsia="SimSun" w:hAnsi="Calibri"/>
          <w:sz w:val="20"/>
          <w:szCs w:val="20"/>
        </w:rPr>
      </w:pPr>
      <w:r>
        <w:rPr>
          <w:rFonts w:ascii="Calibri" w:hAnsi="Calibri"/>
          <w:sz w:val="20"/>
        </w:rPr>
        <w:t xml:space="preserve">Supervisión de la </w:t>
      </w:r>
      <w:r w:rsidR="00EF5481">
        <w:rPr>
          <w:rFonts w:ascii="Calibri" w:hAnsi="Calibri"/>
          <w:sz w:val="20"/>
        </w:rPr>
        <w:t>G</w:t>
      </w:r>
      <w:r>
        <w:rPr>
          <w:rFonts w:ascii="Calibri" w:hAnsi="Calibri"/>
          <w:sz w:val="20"/>
        </w:rPr>
        <w:t xml:space="preserve">estión de los </w:t>
      </w:r>
      <w:r w:rsidR="00EF5481">
        <w:rPr>
          <w:rFonts w:ascii="Calibri" w:hAnsi="Calibri"/>
          <w:sz w:val="20"/>
        </w:rPr>
        <w:t>R</w:t>
      </w:r>
      <w:r>
        <w:rPr>
          <w:rFonts w:ascii="Calibri" w:hAnsi="Calibri"/>
          <w:sz w:val="20"/>
        </w:rPr>
        <w:t xml:space="preserve">iesgos del </w:t>
      </w:r>
      <w:r w:rsidR="00EF5481">
        <w:rPr>
          <w:rFonts w:ascii="Calibri" w:hAnsi="Calibri"/>
          <w:sz w:val="20"/>
        </w:rPr>
        <w:t>P</w:t>
      </w:r>
      <w:r>
        <w:rPr>
          <w:rFonts w:ascii="Calibri" w:hAnsi="Calibri"/>
          <w:sz w:val="20"/>
        </w:rPr>
        <w:t xml:space="preserve">royecto incluidos en este documento y de los nuevos riesgos que puedan surgir durante la ejecución del proyecto. </w:t>
      </w:r>
    </w:p>
    <w:p w14:paraId="4C48CD31" w14:textId="77777777" w:rsidR="00966EF0" w:rsidRPr="006A315B" w:rsidRDefault="00966EF0">
      <w:pPr>
        <w:numPr>
          <w:ilvl w:val="0"/>
          <w:numId w:val="7"/>
        </w:numPr>
        <w:jc w:val="both"/>
        <w:rPr>
          <w:rFonts w:ascii="Calibri" w:eastAsia="SimSun" w:hAnsi="Calibri"/>
          <w:sz w:val="20"/>
          <w:szCs w:val="20"/>
        </w:rPr>
      </w:pPr>
      <w:r>
        <w:rPr>
          <w:rFonts w:ascii="Calibri" w:hAnsi="Calibri"/>
          <w:sz w:val="20"/>
        </w:rPr>
        <w:t>Adquisición de bienes y servicios, incluidos los recursos humanos.</w:t>
      </w:r>
    </w:p>
    <w:p w14:paraId="1FF49EE1" w14:textId="45F131E0" w:rsidR="00966EF0" w:rsidRPr="006A315B" w:rsidRDefault="00966EF0">
      <w:pPr>
        <w:numPr>
          <w:ilvl w:val="0"/>
          <w:numId w:val="7"/>
        </w:numPr>
        <w:jc w:val="both"/>
        <w:rPr>
          <w:rFonts w:ascii="Calibri" w:eastAsia="SimSun" w:hAnsi="Calibri"/>
          <w:sz w:val="20"/>
          <w:szCs w:val="20"/>
        </w:rPr>
      </w:pPr>
      <w:r>
        <w:rPr>
          <w:rFonts w:ascii="Calibri" w:hAnsi="Calibri"/>
          <w:sz w:val="20"/>
        </w:rPr>
        <w:t xml:space="preserve">Gestión </w:t>
      </w:r>
      <w:r w:rsidR="00EF5481">
        <w:rPr>
          <w:rFonts w:ascii="Calibri" w:hAnsi="Calibri"/>
          <w:sz w:val="20"/>
        </w:rPr>
        <w:t>F</w:t>
      </w:r>
      <w:r>
        <w:rPr>
          <w:rFonts w:ascii="Calibri" w:hAnsi="Calibri"/>
          <w:sz w:val="20"/>
        </w:rPr>
        <w:t>inanciera, incluida la supervisión de los gastos financieros en relación con los presupuestos de los proyectos.</w:t>
      </w:r>
    </w:p>
    <w:p w14:paraId="067FDB8F" w14:textId="323710D8" w:rsidR="00966EF0" w:rsidRPr="006A315B" w:rsidRDefault="00966EF0">
      <w:pPr>
        <w:numPr>
          <w:ilvl w:val="0"/>
          <w:numId w:val="7"/>
        </w:numPr>
        <w:jc w:val="both"/>
        <w:rPr>
          <w:rFonts w:ascii="Calibri" w:eastAsia="SimSun" w:hAnsi="Calibri"/>
          <w:sz w:val="20"/>
          <w:szCs w:val="20"/>
        </w:rPr>
      </w:pPr>
      <w:r>
        <w:rPr>
          <w:rFonts w:ascii="Calibri" w:hAnsi="Calibri"/>
          <w:sz w:val="20"/>
        </w:rPr>
        <w:t xml:space="preserve">Aprobación y firma del </w:t>
      </w:r>
      <w:r w:rsidR="00E05A10">
        <w:rPr>
          <w:rFonts w:ascii="Calibri" w:hAnsi="Calibri"/>
          <w:sz w:val="20"/>
        </w:rPr>
        <w:t>P</w:t>
      </w:r>
      <w:r>
        <w:rPr>
          <w:rFonts w:ascii="Calibri" w:hAnsi="Calibri"/>
          <w:sz w:val="20"/>
        </w:rPr>
        <w:t xml:space="preserve">lan de </w:t>
      </w:r>
      <w:r w:rsidR="00E05A10">
        <w:rPr>
          <w:rFonts w:ascii="Calibri" w:hAnsi="Calibri"/>
          <w:sz w:val="20"/>
        </w:rPr>
        <w:t>T</w:t>
      </w:r>
      <w:r>
        <w:rPr>
          <w:rFonts w:ascii="Calibri" w:hAnsi="Calibri"/>
          <w:sz w:val="20"/>
        </w:rPr>
        <w:t xml:space="preserve">rabajo </w:t>
      </w:r>
      <w:r w:rsidR="00E05A10">
        <w:rPr>
          <w:rFonts w:ascii="Calibri" w:hAnsi="Calibri"/>
          <w:sz w:val="20"/>
        </w:rPr>
        <w:t>P</w:t>
      </w:r>
      <w:r>
        <w:rPr>
          <w:rFonts w:ascii="Calibri" w:hAnsi="Calibri"/>
          <w:sz w:val="20"/>
        </w:rPr>
        <w:t>lurianual.</w:t>
      </w:r>
    </w:p>
    <w:p w14:paraId="7216AACD" w14:textId="6805C7A6" w:rsidR="00966EF0" w:rsidRPr="006A315B" w:rsidRDefault="00966EF0">
      <w:pPr>
        <w:numPr>
          <w:ilvl w:val="0"/>
          <w:numId w:val="7"/>
        </w:numPr>
        <w:jc w:val="both"/>
        <w:rPr>
          <w:rFonts w:ascii="Calibri" w:eastAsia="SimSun" w:hAnsi="Calibri"/>
          <w:sz w:val="20"/>
          <w:szCs w:val="20"/>
        </w:rPr>
      </w:pPr>
      <w:r>
        <w:rPr>
          <w:rFonts w:ascii="Calibri" w:hAnsi="Calibri"/>
          <w:sz w:val="20"/>
        </w:rPr>
        <w:t xml:space="preserve">Aprobación y firma del </w:t>
      </w:r>
      <w:r w:rsidR="00E05A10">
        <w:rPr>
          <w:rFonts w:ascii="Calibri" w:hAnsi="Calibri"/>
          <w:sz w:val="20"/>
        </w:rPr>
        <w:t>I</w:t>
      </w:r>
      <w:r>
        <w:rPr>
          <w:rFonts w:ascii="Calibri" w:hAnsi="Calibri"/>
          <w:sz w:val="20"/>
        </w:rPr>
        <w:t xml:space="preserve">nforme de </w:t>
      </w:r>
      <w:r w:rsidR="00E05A10">
        <w:rPr>
          <w:rFonts w:ascii="Calibri" w:hAnsi="Calibri"/>
          <w:sz w:val="20"/>
        </w:rPr>
        <w:t>E</w:t>
      </w:r>
      <w:r>
        <w:rPr>
          <w:rFonts w:ascii="Calibri" w:hAnsi="Calibri"/>
          <w:sz w:val="20"/>
        </w:rPr>
        <w:t xml:space="preserve">jecución </w:t>
      </w:r>
      <w:r w:rsidR="00E05A10">
        <w:rPr>
          <w:rFonts w:ascii="Calibri" w:hAnsi="Calibri"/>
          <w:sz w:val="20"/>
        </w:rPr>
        <w:t>C</w:t>
      </w:r>
      <w:r>
        <w:rPr>
          <w:rFonts w:ascii="Calibri" w:hAnsi="Calibri"/>
          <w:sz w:val="20"/>
        </w:rPr>
        <w:t>ombinado al final del año, y</w:t>
      </w:r>
    </w:p>
    <w:p w14:paraId="6AA380F7" w14:textId="0E98FCFF" w:rsidR="00966EF0" w:rsidRPr="006A315B" w:rsidRDefault="00966EF0">
      <w:pPr>
        <w:numPr>
          <w:ilvl w:val="0"/>
          <w:numId w:val="7"/>
        </w:numPr>
        <w:jc w:val="both"/>
        <w:rPr>
          <w:rFonts w:ascii="Calibri" w:eastAsia="SimSun" w:hAnsi="Calibri"/>
          <w:sz w:val="20"/>
          <w:szCs w:val="20"/>
        </w:rPr>
      </w:pPr>
      <w:r>
        <w:rPr>
          <w:rFonts w:ascii="Calibri" w:hAnsi="Calibri"/>
          <w:sz w:val="20"/>
        </w:rPr>
        <w:t xml:space="preserve">Firma del </w:t>
      </w:r>
      <w:r w:rsidR="00E05A10">
        <w:rPr>
          <w:rFonts w:ascii="Calibri" w:hAnsi="Calibri"/>
          <w:sz w:val="20"/>
        </w:rPr>
        <w:t>I</w:t>
      </w:r>
      <w:r>
        <w:rPr>
          <w:rFonts w:ascii="Calibri" w:hAnsi="Calibri"/>
          <w:sz w:val="20"/>
        </w:rPr>
        <w:t xml:space="preserve">nforme </w:t>
      </w:r>
      <w:r w:rsidR="00E05A10">
        <w:rPr>
          <w:rFonts w:ascii="Calibri" w:hAnsi="Calibri"/>
          <w:sz w:val="20"/>
        </w:rPr>
        <w:t>F</w:t>
      </w:r>
      <w:r>
        <w:rPr>
          <w:rFonts w:ascii="Calibri" w:hAnsi="Calibri"/>
          <w:sz w:val="20"/>
        </w:rPr>
        <w:t xml:space="preserve">inanciero o la </w:t>
      </w:r>
      <w:r w:rsidR="00E05A10">
        <w:rPr>
          <w:rFonts w:ascii="Calibri" w:hAnsi="Calibri"/>
          <w:sz w:val="20"/>
        </w:rPr>
        <w:t>A</w:t>
      </w:r>
      <w:r>
        <w:rPr>
          <w:rFonts w:ascii="Calibri" w:hAnsi="Calibri"/>
          <w:sz w:val="20"/>
        </w:rPr>
        <w:t xml:space="preserve">utorización de </w:t>
      </w:r>
      <w:r w:rsidR="00E05A10">
        <w:rPr>
          <w:rFonts w:ascii="Calibri" w:hAnsi="Calibri"/>
          <w:sz w:val="20"/>
        </w:rPr>
        <w:t>F</w:t>
      </w:r>
      <w:r>
        <w:rPr>
          <w:rFonts w:ascii="Calibri" w:hAnsi="Calibri"/>
          <w:sz w:val="20"/>
        </w:rPr>
        <w:t xml:space="preserve">inanciación y el </w:t>
      </w:r>
      <w:r w:rsidR="00E05A10">
        <w:rPr>
          <w:rFonts w:ascii="Calibri" w:hAnsi="Calibri"/>
          <w:sz w:val="20"/>
        </w:rPr>
        <w:t>C</w:t>
      </w:r>
      <w:r>
        <w:rPr>
          <w:rFonts w:ascii="Calibri" w:hAnsi="Calibri"/>
          <w:sz w:val="20"/>
        </w:rPr>
        <w:t xml:space="preserve">ertificado de </w:t>
      </w:r>
      <w:r w:rsidR="00E05A10">
        <w:rPr>
          <w:rFonts w:ascii="Calibri" w:hAnsi="Calibri"/>
          <w:sz w:val="20"/>
        </w:rPr>
        <w:t>G</w:t>
      </w:r>
      <w:r>
        <w:rPr>
          <w:rFonts w:ascii="Calibri" w:hAnsi="Calibri"/>
          <w:sz w:val="20"/>
        </w:rPr>
        <w:t>astos.</w:t>
      </w:r>
    </w:p>
    <w:p w14:paraId="1D9785BC" w14:textId="77777777" w:rsidR="00966EF0" w:rsidRPr="002152FE" w:rsidRDefault="00966EF0" w:rsidP="00E80365">
      <w:pPr>
        <w:jc w:val="both"/>
        <w:rPr>
          <w:rFonts w:ascii="Calibri" w:eastAsia="SimSun" w:hAnsi="Calibri" w:cs="Arial"/>
          <w:noProof/>
          <w:sz w:val="20"/>
          <w:szCs w:val="20"/>
          <w:lang w:val="es-EC" w:eastAsia="zh-CN"/>
        </w:rPr>
      </w:pPr>
    </w:p>
    <w:p w14:paraId="7B09D011" w14:textId="1E2E8DF1" w:rsidR="00473469" w:rsidRDefault="00966EF0" w:rsidP="00966EF0">
      <w:pPr>
        <w:rPr>
          <w:rFonts w:ascii="Calibri" w:eastAsia="SimSun" w:hAnsi="Calibri"/>
          <w:bCs/>
          <w:sz w:val="20"/>
          <w:szCs w:val="20"/>
        </w:rPr>
      </w:pPr>
      <w:r>
        <w:rPr>
          <w:rFonts w:ascii="Calibri" w:hAnsi="Calibri"/>
          <w:sz w:val="20"/>
          <w:u w:val="single"/>
        </w:rPr>
        <w:t xml:space="preserve">Partes </w:t>
      </w:r>
      <w:r w:rsidR="00E05A10">
        <w:rPr>
          <w:rFonts w:ascii="Calibri" w:hAnsi="Calibri"/>
          <w:sz w:val="20"/>
          <w:u w:val="single"/>
        </w:rPr>
        <w:t>r</w:t>
      </w:r>
      <w:r>
        <w:rPr>
          <w:rFonts w:ascii="Calibri" w:hAnsi="Calibri"/>
          <w:sz w:val="20"/>
          <w:u w:val="single"/>
        </w:rPr>
        <w:t>esponsables</w:t>
      </w:r>
      <w:r>
        <w:rPr>
          <w:rFonts w:ascii="Calibri" w:hAnsi="Calibri"/>
          <w:sz w:val="20"/>
        </w:rPr>
        <w:t>:</w:t>
      </w:r>
      <w:r>
        <w:rPr>
          <w:rFonts w:ascii="Calibri" w:hAnsi="Calibri"/>
          <w:b/>
          <w:sz w:val="20"/>
        </w:rPr>
        <w:t xml:space="preserve"> </w:t>
      </w:r>
      <w:r>
        <w:rPr>
          <w:rFonts w:ascii="Calibri" w:hAnsi="Calibri"/>
          <w:sz w:val="20"/>
        </w:rPr>
        <w:t>AGROCALIDAD</w:t>
      </w:r>
      <w:r>
        <w:rPr>
          <w:rFonts w:ascii="Calibri" w:hAnsi="Calibri"/>
          <w:i/>
          <w:sz w:val="20"/>
        </w:rPr>
        <w:t>.</w:t>
      </w:r>
      <w:r>
        <w:rPr>
          <w:rFonts w:ascii="Calibri" w:hAnsi="Calibri"/>
          <w:sz w:val="20"/>
        </w:rPr>
        <w:t xml:space="preserve"> Las tareas específicas incluyen:</w:t>
      </w:r>
    </w:p>
    <w:p w14:paraId="6AD05861" w14:textId="5CA53524" w:rsidR="00D25361" w:rsidRPr="002152FE" w:rsidRDefault="00D25361" w:rsidP="00966EF0">
      <w:pPr>
        <w:rPr>
          <w:rFonts w:ascii="Calibri" w:eastAsia="SimSun" w:hAnsi="Calibri"/>
          <w:bCs/>
          <w:sz w:val="20"/>
          <w:szCs w:val="20"/>
          <w:lang w:val="es-EC"/>
        </w:rPr>
      </w:pPr>
    </w:p>
    <w:p w14:paraId="094A6964" w14:textId="6592DFB3" w:rsidR="00D25361" w:rsidRPr="00D25361" w:rsidRDefault="00D25361">
      <w:pPr>
        <w:numPr>
          <w:ilvl w:val="0"/>
          <w:numId w:val="7"/>
        </w:numPr>
        <w:ind w:left="723"/>
        <w:jc w:val="both"/>
        <w:rPr>
          <w:rFonts w:asciiTheme="minorHAnsi" w:eastAsia="SimSun" w:hAnsiTheme="minorHAnsi" w:cstheme="minorHAnsi"/>
          <w:sz w:val="20"/>
          <w:szCs w:val="20"/>
        </w:rPr>
      </w:pPr>
      <w:r>
        <w:rPr>
          <w:rFonts w:asciiTheme="minorHAnsi" w:hAnsiTheme="minorHAnsi"/>
          <w:sz w:val="20"/>
        </w:rPr>
        <w:t>Apoyar la reducción/</w:t>
      </w:r>
      <w:r w:rsidR="00626B84" w:rsidRPr="00626B84">
        <w:t xml:space="preserve"> </w:t>
      </w:r>
      <w:r w:rsidR="009B5E12" w:rsidRPr="00626B84">
        <w:rPr>
          <w:rFonts w:asciiTheme="minorHAnsi" w:hAnsiTheme="minorHAnsi"/>
          <w:sz w:val="20"/>
        </w:rPr>
        <w:t xml:space="preserve">prevención </w:t>
      </w:r>
      <w:r w:rsidR="009B5E12">
        <w:rPr>
          <w:rFonts w:asciiTheme="minorHAnsi" w:hAnsiTheme="minorHAnsi"/>
          <w:sz w:val="20"/>
        </w:rPr>
        <w:t>de</w:t>
      </w:r>
      <w:r w:rsidR="00626B84">
        <w:rPr>
          <w:rFonts w:asciiTheme="minorHAnsi" w:hAnsiTheme="minorHAnsi"/>
          <w:sz w:val="20"/>
        </w:rPr>
        <w:t xml:space="preserve"> uso </w:t>
      </w:r>
      <w:r>
        <w:rPr>
          <w:rFonts w:asciiTheme="minorHAnsi" w:hAnsiTheme="minorHAnsi"/>
          <w:sz w:val="20"/>
        </w:rPr>
        <w:t>de COPs/PAPs en la agricultura durante la vida del proyecto.</w:t>
      </w:r>
    </w:p>
    <w:p w14:paraId="06B9E37E" w14:textId="3F125307" w:rsidR="00D25361" w:rsidRPr="00D25361" w:rsidRDefault="00D25361">
      <w:pPr>
        <w:numPr>
          <w:ilvl w:val="0"/>
          <w:numId w:val="7"/>
        </w:numPr>
        <w:ind w:left="723"/>
        <w:jc w:val="both"/>
        <w:rPr>
          <w:rFonts w:asciiTheme="minorHAnsi" w:eastAsia="SimSun" w:hAnsiTheme="minorHAnsi" w:cstheme="minorHAnsi"/>
          <w:sz w:val="20"/>
          <w:szCs w:val="20"/>
        </w:rPr>
      </w:pPr>
      <w:r>
        <w:rPr>
          <w:rFonts w:asciiTheme="minorHAnsi" w:hAnsiTheme="minorHAnsi"/>
          <w:sz w:val="20"/>
        </w:rPr>
        <w:t>Apoyar la elaboración, validación y difusión de materiales de formación y sensibilización.</w:t>
      </w:r>
    </w:p>
    <w:p w14:paraId="24591B29" w14:textId="46E27AE2" w:rsidR="00D25361" w:rsidRPr="00D25361" w:rsidRDefault="00D25361">
      <w:pPr>
        <w:numPr>
          <w:ilvl w:val="0"/>
          <w:numId w:val="7"/>
        </w:numPr>
        <w:ind w:left="723"/>
        <w:jc w:val="both"/>
        <w:rPr>
          <w:rFonts w:asciiTheme="minorHAnsi" w:eastAsia="SimSun" w:hAnsiTheme="minorHAnsi" w:cstheme="minorHAnsi"/>
          <w:sz w:val="20"/>
          <w:szCs w:val="20"/>
        </w:rPr>
      </w:pPr>
      <w:r>
        <w:rPr>
          <w:rFonts w:asciiTheme="minorHAnsi" w:hAnsiTheme="minorHAnsi"/>
          <w:sz w:val="20"/>
        </w:rPr>
        <w:t xml:space="preserve">Apoyar la formación de los agricultores.  </w:t>
      </w:r>
    </w:p>
    <w:p w14:paraId="73825F51" w14:textId="77777777" w:rsidR="00966EF0" w:rsidRPr="002152FE" w:rsidRDefault="00966EF0" w:rsidP="00966EF0">
      <w:pPr>
        <w:rPr>
          <w:rFonts w:ascii="Calibri" w:eastAsia="SimSun" w:hAnsi="Calibri" w:cs="Arial"/>
          <w:i/>
          <w:noProof/>
          <w:sz w:val="20"/>
          <w:szCs w:val="20"/>
          <w:lang w:val="es-EC" w:eastAsia="zh-CN"/>
        </w:rPr>
      </w:pPr>
    </w:p>
    <w:p w14:paraId="465EB0CF" w14:textId="080ED2BA" w:rsidR="00627278" w:rsidRDefault="00966EF0" w:rsidP="00627278">
      <w:pPr>
        <w:pStyle w:val="GEFFieldtoFillout"/>
        <w:shd w:val="clear" w:color="auto" w:fill="FFFFFF"/>
        <w:tabs>
          <w:tab w:val="left" w:pos="567"/>
        </w:tabs>
        <w:spacing w:after="120"/>
        <w:ind w:left="0"/>
        <w:jc w:val="both"/>
        <w:rPr>
          <w:rFonts w:asciiTheme="minorHAnsi" w:hAnsiTheme="minorHAnsi"/>
          <w:sz w:val="20"/>
          <w:szCs w:val="20"/>
        </w:rPr>
      </w:pPr>
      <w:r>
        <w:rPr>
          <w:rFonts w:ascii="Calibri" w:hAnsi="Calibri"/>
          <w:sz w:val="20"/>
          <w:u w:val="single"/>
        </w:rPr>
        <w:t>Actores en el proyecto y grupos destinatarios</w:t>
      </w:r>
      <w:r>
        <w:rPr>
          <w:rFonts w:ascii="Calibri" w:hAnsi="Calibri"/>
          <w:sz w:val="20"/>
        </w:rPr>
        <w:t xml:space="preserve">:  </w:t>
      </w:r>
      <w:r w:rsidR="00A73848">
        <w:rPr>
          <w:rFonts w:asciiTheme="minorHAnsi" w:hAnsiTheme="minorHAnsi"/>
          <w:sz w:val="20"/>
        </w:rPr>
        <w:t>l</w:t>
      </w:r>
      <w:r>
        <w:rPr>
          <w:rFonts w:asciiTheme="minorHAnsi" w:hAnsiTheme="minorHAnsi"/>
          <w:sz w:val="20"/>
        </w:rPr>
        <w:t>os actores del proyecto corresponden a una diversidad de entidades del Gobierno (a nivel nacional y local), el sector privado, entidades financieras, partes interesadas locales, la academia y OSC, como se detalla en la Tabla</w:t>
      </w:r>
      <w:r>
        <w:rPr>
          <w:rFonts w:asciiTheme="minorHAnsi" w:hAnsiTheme="minorHAnsi"/>
          <w:color w:val="000000" w:themeColor="text1"/>
          <w:sz w:val="20"/>
        </w:rPr>
        <w:t xml:space="preserve"> 10. Alianzas del </w:t>
      </w:r>
      <w:r w:rsidR="00F15011">
        <w:rPr>
          <w:rFonts w:asciiTheme="minorHAnsi" w:hAnsiTheme="minorHAnsi"/>
          <w:color w:val="000000" w:themeColor="text1"/>
          <w:sz w:val="20"/>
        </w:rPr>
        <w:t>FSP</w:t>
      </w:r>
      <w:r>
        <w:rPr>
          <w:rFonts w:asciiTheme="minorHAnsi" w:hAnsiTheme="minorHAnsi"/>
          <w:color w:val="000000" w:themeColor="text1"/>
          <w:sz w:val="20"/>
        </w:rPr>
        <w:t>, tales como: universidades</w:t>
      </w:r>
      <w:r>
        <w:rPr>
          <w:rFonts w:asciiTheme="minorHAnsi" w:hAnsiTheme="minorHAnsi"/>
          <w:sz w:val="20"/>
        </w:rPr>
        <w:t>, asociaciones de productores de cultivos, empresas de agroquímicos, grupos financieros públicos y privados, centros de investigación, etc. Estas partes interesadas pueden participar con un enfoque y objetivos similares para la reducción de agroquímicos nocivos y promover una producción agrícola sostenible, la salud de la comunidad, la sostenibilidad y la financiación.</w:t>
      </w:r>
    </w:p>
    <w:p w14:paraId="26C6A51D" w14:textId="6EF8A065" w:rsidR="00E80365" w:rsidRDefault="00966EF0" w:rsidP="00E80365">
      <w:pPr>
        <w:spacing w:after="120"/>
        <w:jc w:val="both"/>
        <w:rPr>
          <w:rFonts w:ascii="Calibri" w:eastAsia="SimSun" w:hAnsi="Calibri"/>
          <w:sz w:val="20"/>
          <w:szCs w:val="20"/>
        </w:rPr>
      </w:pPr>
      <w:r>
        <w:rPr>
          <w:rFonts w:ascii="Calibri" w:hAnsi="Calibri"/>
          <w:sz w:val="20"/>
          <w:u w:val="single"/>
        </w:rPr>
        <w:t>PNUD:</w:t>
      </w:r>
      <w:r>
        <w:rPr>
          <w:rFonts w:ascii="Calibri" w:hAnsi="Calibri"/>
          <w:sz w:val="20"/>
        </w:rPr>
        <w:t xml:space="preserve"> </w:t>
      </w:r>
      <w:r w:rsidR="00A73848">
        <w:rPr>
          <w:rFonts w:ascii="Calibri" w:hAnsi="Calibri"/>
          <w:sz w:val="20"/>
        </w:rPr>
        <w:t>e</w:t>
      </w:r>
      <w:r>
        <w:rPr>
          <w:rFonts w:ascii="Calibri" w:hAnsi="Calibri"/>
          <w:sz w:val="20"/>
        </w:rPr>
        <w:t xml:space="preserve">l PNUD es responsable ante el FMAM de la ejecución de este proyecto. Esto incluye la supervisión de la ejecución del proyecto llevada a cabo por el Socio en la Implementación para asegurar que el proyecto se está llevando a cabo de acuerdo con las políticas y procedimientos del PNUD y del FMAM y las normas y disposiciones descritas en la </w:t>
      </w:r>
      <w:r w:rsidR="00E05A10">
        <w:rPr>
          <w:rFonts w:ascii="Calibri" w:hAnsi="Calibri"/>
          <w:sz w:val="20"/>
        </w:rPr>
        <w:t>C</w:t>
      </w:r>
      <w:r>
        <w:rPr>
          <w:rFonts w:ascii="Calibri" w:hAnsi="Calibri"/>
          <w:sz w:val="20"/>
        </w:rPr>
        <w:t>arta de Delegación de Autoridad (</w:t>
      </w:r>
      <w:r w:rsidR="004C7A54">
        <w:rPr>
          <w:rFonts w:ascii="Calibri" w:hAnsi="Calibri"/>
          <w:sz w:val="20"/>
        </w:rPr>
        <w:t>DOA</w:t>
      </w:r>
      <w:r>
        <w:rPr>
          <w:rFonts w:ascii="Calibri" w:hAnsi="Calibri"/>
          <w:sz w:val="20"/>
        </w:rPr>
        <w:t xml:space="preserve">) para este proyecto. </w:t>
      </w:r>
      <w:r>
        <w:rPr>
          <w:rFonts w:ascii="Calibri" w:hAnsi="Calibri"/>
          <w:b/>
          <w:sz w:val="20"/>
        </w:rPr>
        <w:t>El Coordinador Ejecutivo de NCE, en consulta con las Direcciones Generales del PNUD y el Socio en la Implementación, se reserva el derecho de revocar la DOA del proyecto, suspender o cancelar este proyecto del FMAM.</w:t>
      </w:r>
      <w:r>
        <w:rPr>
          <w:rFonts w:ascii="Calibri" w:hAnsi="Calibri"/>
          <w:sz w:val="20"/>
        </w:rPr>
        <w:t xml:space="preserve"> El PNUD es responsable de la función de Garantía del Proyecto en la </w:t>
      </w:r>
      <w:r w:rsidR="00E05A10">
        <w:rPr>
          <w:rFonts w:ascii="Calibri" w:hAnsi="Calibri"/>
          <w:sz w:val="20"/>
        </w:rPr>
        <w:t>E</w:t>
      </w:r>
      <w:r>
        <w:rPr>
          <w:rFonts w:ascii="Calibri" w:hAnsi="Calibri"/>
          <w:sz w:val="20"/>
        </w:rPr>
        <w:t xml:space="preserve">structura de </w:t>
      </w:r>
      <w:r w:rsidR="00E05A10">
        <w:rPr>
          <w:rFonts w:ascii="Calibri" w:hAnsi="Calibri"/>
          <w:sz w:val="20"/>
        </w:rPr>
        <w:t>G</w:t>
      </w:r>
      <w:r>
        <w:rPr>
          <w:rFonts w:ascii="Calibri" w:hAnsi="Calibri"/>
          <w:sz w:val="20"/>
        </w:rPr>
        <w:t xml:space="preserve">obernanza del </w:t>
      </w:r>
      <w:r w:rsidR="00E05A10">
        <w:rPr>
          <w:rFonts w:ascii="Calibri" w:hAnsi="Calibri"/>
          <w:sz w:val="20"/>
        </w:rPr>
        <w:t>P</w:t>
      </w:r>
      <w:r>
        <w:rPr>
          <w:rFonts w:ascii="Calibri" w:hAnsi="Calibri"/>
          <w:sz w:val="20"/>
        </w:rPr>
        <w:t>royecto</w:t>
      </w:r>
      <w:r w:rsidR="00E05A10">
        <w:rPr>
          <w:rFonts w:ascii="Calibri" w:hAnsi="Calibri"/>
          <w:sz w:val="20"/>
        </w:rPr>
        <w:t>,</w:t>
      </w:r>
      <w:r>
        <w:rPr>
          <w:rFonts w:ascii="Calibri" w:hAnsi="Calibri"/>
          <w:sz w:val="20"/>
        </w:rPr>
        <w:t xml:space="preserve"> presenta a la Dirección del Proyecto y asiste a las reuniones de la Dirección del Proyecto como miembro sin derecho a voto.  </w:t>
      </w:r>
    </w:p>
    <w:p w14:paraId="72638E0D" w14:textId="77777777" w:rsidR="001F0D15" w:rsidRPr="002152FE" w:rsidRDefault="001F0D15" w:rsidP="004E391B">
      <w:pPr>
        <w:jc w:val="both"/>
        <w:rPr>
          <w:rFonts w:ascii="Calibri" w:eastAsia="SimSun" w:hAnsi="Calibri"/>
          <w:iCs/>
          <w:sz w:val="20"/>
          <w:szCs w:val="20"/>
          <w:lang w:val="es-EC"/>
        </w:rPr>
      </w:pPr>
    </w:p>
    <w:p w14:paraId="24F73A41" w14:textId="1D810A6F" w:rsidR="004E391B" w:rsidRPr="004E391B" w:rsidRDefault="004E391B" w:rsidP="004E391B">
      <w:pPr>
        <w:jc w:val="both"/>
        <w:rPr>
          <w:rFonts w:ascii="Calibri" w:eastAsia="SimSun" w:hAnsi="Calibri"/>
          <w:iCs/>
          <w:sz w:val="20"/>
          <w:szCs w:val="20"/>
        </w:rPr>
      </w:pPr>
      <w:r>
        <w:rPr>
          <w:rFonts w:ascii="Calibri" w:hAnsi="Calibri"/>
          <w:sz w:val="20"/>
        </w:rPr>
        <w:t>Se mantendrá un cortafuegos (firewall) entre la entrega de supervisión del proyecto y la garantía de calidad realizadas por el PNUD y este se cargará a los honorarios del FMAM y cualquier apoyo a la ejecución del proyecto realizado por el PNUD (según lo solicitado y acordado tanto por el Socio en la Implementación como por el FMAM) y puede cargarse a los costos de gestión del proyecto del FMAM (sólo si es aprobado por el FMAM). La segregación de funciones y las disposiciones de cortafuegos para el PNUD en este caso se describen en la siguiente sección.</w:t>
      </w:r>
    </w:p>
    <w:p w14:paraId="0CEEFF1F" w14:textId="77777777" w:rsidR="00966EF0" w:rsidRPr="002152FE" w:rsidRDefault="00966EF0" w:rsidP="00966EF0">
      <w:pPr>
        <w:rPr>
          <w:rFonts w:asciiTheme="minorHAnsi" w:eastAsia="SimSun" w:hAnsiTheme="minorHAnsi" w:cstheme="minorHAnsi"/>
          <w:b/>
          <w:iCs/>
          <w:noProof/>
          <w:sz w:val="20"/>
          <w:szCs w:val="20"/>
          <w:lang w:val="es-EC" w:eastAsia="zh-CN"/>
        </w:rPr>
      </w:pPr>
    </w:p>
    <w:p w14:paraId="1A6BD967" w14:textId="4633AD22" w:rsidR="00966EF0" w:rsidRDefault="00966EF0" w:rsidP="00E90844">
      <w:pPr>
        <w:spacing w:after="120"/>
        <w:jc w:val="both"/>
        <w:rPr>
          <w:rFonts w:ascii="Calibri" w:eastAsia="SimSun" w:hAnsi="Calibri" w:cs="Arial"/>
          <w:b/>
          <w:sz w:val="20"/>
          <w:szCs w:val="20"/>
        </w:rPr>
      </w:pPr>
      <w:r>
        <w:rPr>
          <w:rFonts w:ascii="Calibri" w:hAnsi="Calibri"/>
          <w:b/>
          <w:sz w:val="20"/>
        </w:rPr>
        <w:t>Sección 2: Estructura de gobernanza del proyecto</w:t>
      </w:r>
    </w:p>
    <w:sdt>
      <w:sdtPr>
        <w:id w:val="568603642"/>
        <w:temporary/>
        <w:showingPlcHdr/>
        <w15:appearance w15:val="hidden"/>
      </w:sdtPr>
      <w:sdtContent>
        <w:p w14:paraId="53E639AC" w14:textId="77777777" w:rsidR="00AD340F" w:rsidRPr="002903E3" w:rsidRDefault="00AD340F" w:rsidP="00AD340F">
          <w:pPr>
            <w:rPr>
              <w:lang w:val="en-US"/>
            </w:rPr>
          </w:pPr>
          <w:r>
            <w:t>[Grab your reader’s attention with a great quote from the document or use this space to emphasize a key point. To place this text box anywhere on the page, just drag it.]</w:t>
          </w:r>
        </w:p>
      </w:sdtContent>
    </w:sdt>
    <w:p w14:paraId="7ADCB27E" w14:textId="304FE866" w:rsidR="00863180" w:rsidRPr="002903E3" w:rsidDel="00741D8D" w:rsidRDefault="00AD340F" w:rsidP="00E90844">
      <w:pPr>
        <w:spacing w:after="120"/>
        <w:jc w:val="both"/>
        <w:rPr>
          <w:rFonts w:ascii="Calibri" w:eastAsia="SimSun" w:hAnsi="Calibri" w:cs="Arial"/>
          <w:b/>
          <w:sz w:val="20"/>
          <w:szCs w:val="20"/>
          <w:u w:val="single"/>
          <w:lang w:val="en-US" w:eastAsia="zh-CN"/>
        </w:rPr>
      </w:pPr>
      <w:r w:rsidRPr="00AD340F">
        <w:rPr>
          <w:rFonts w:ascii="Calibri" w:eastAsia="SimSun" w:hAnsi="Calibri"/>
          <w:i/>
          <w:iCs/>
          <w:noProof/>
          <w:sz w:val="20"/>
        </w:rPr>
        <mc:AlternateContent>
          <mc:Choice Requires="wps">
            <w:drawing>
              <wp:anchor distT="45720" distB="45720" distL="114300" distR="114300" simplePos="0" relativeHeight="251661312" behindDoc="0" locked="0" layoutInCell="1" allowOverlap="1" wp14:anchorId="63F79187" wp14:editId="6843FDAF">
                <wp:simplePos x="0" y="0"/>
                <wp:positionH relativeFrom="column">
                  <wp:posOffset>342900</wp:posOffset>
                </wp:positionH>
                <wp:positionV relativeFrom="paragraph">
                  <wp:posOffset>181610</wp:posOffset>
                </wp:positionV>
                <wp:extent cx="6037580" cy="11239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7580" cy="1123950"/>
                        </a:xfrm>
                        <a:prstGeom prst="rect">
                          <a:avLst/>
                        </a:prstGeom>
                        <a:solidFill>
                          <a:srgbClr val="FFFFFF"/>
                        </a:solidFill>
                        <a:ln w="9525">
                          <a:solidFill>
                            <a:srgbClr val="000000"/>
                          </a:solidFill>
                          <a:miter lim="800000"/>
                          <a:headEnd/>
                          <a:tailEnd/>
                        </a:ln>
                      </wps:spPr>
                      <wps:txbx>
                        <w:txbxContent>
                          <w:p w14:paraId="7C002377" w14:textId="77777777" w:rsidR="00AD340F" w:rsidRPr="00AD340F" w:rsidRDefault="00AD340F" w:rsidP="00AD340F">
                            <w:pPr>
                              <w:rPr>
                                <w:sz w:val="18"/>
                                <w:szCs w:val="18"/>
                                <w:lang w:val="es-EC"/>
                              </w:rPr>
                            </w:pPr>
                            <w:r w:rsidRPr="00AD340F">
                              <w:rPr>
                                <w:sz w:val="18"/>
                                <w:szCs w:val="18"/>
                                <w:lang w:val="es-EC"/>
                              </w:rPr>
                              <w:t>Primera línea de defensa</w:t>
                            </w:r>
                          </w:p>
                          <w:p w14:paraId="2C5D7B47" w14:textId="77777777" w:rsidR="00AD340F" w:rsidRPr="00AD340F" w:rsidRDefault="00AD340F" w:rsidP="00AD340F">
                            <w:pPr>
                              <w:pStyle w:val="Bullets"/>
                              <w:numPr>
                                <w:ilvl w:val="0"/>
                                <w:numId w:val="51"/>
                              </w:numPr>
                              <w:tabs>
                                <w:tab w:val="num" w:pos="360"/>
                              </w:tabs>
                              <w:spacing w:before="0" w:after="160" w:line="259" w:lineRule="auto"/>
                              <w:contextualSpacing/>
                              <w:rPr>
                                <w:sz w:val="14"/>
                                <w:szCs w:val="16"/>
                                <w:lang w:val="es-EC"/>
                              </w:rPr>
                            </w:pPr>
                            <w:r w:rsidRPr="00AD340F">
                              <w:rPr>
                                <w:sz w:val="14"/>
                                <w:szCs w:val="16"/>
                                <w:lang w:val="es-EC"/>
                              </w:rPr>
                              <w:t>La supervisión del PNUD del apoyo al PI no puede ser personal encargado del aseguramiento del proyecto o que proporcione apoyo de supervisión programática al RR</w:t>
                            </w:r>
                          </w:p>
                          <w:p w14:paraId="194F0DC4" w14:textId="77777777" w:rsidR="00AD340F" w:rsidRPr="00AD340F" w:rsidRDefault="00AD340F" w:rsidP="00AD340F">
                            <w:pPr>
                              <w:rPr>
                                <w:sz w:val="18"/>
                                <w:szCs w:val="18"/>
                                <w:lang w:val="es-EC"/>
                              </w:rPr>
                            </w:pPr>
                            <w:r w:rsidRPr="00AD340F">
                              <w:rPr>
                                <w:sz w:val="18"/>
                                <w:szCs w:val="18"/>
                                <w:lang w:val="es-EC"/>
                              </w:rPr>
                              <w:t>Segunda línea de defensa</w:t>
                            </w:r>
                          </w:p>
                          <w:p w14:paraId="08CFC9CF" w14:textId="73A9E6D8" w:rsidR="00AD340F" w:rsidRPr="00AD340F" w:rsidRDefault="00AD340F" w:rsidP="00AD340F">
                            <w:pPr>
                              <w:pStyle w:val="Bullets"/>
                              <w:numPr>
                                <w:ilvl w:val="0"/>
                                <w:numId w:val="51"/>
                              </w:numPr>
                              <w:tabs>
                                <w:tab w:val="num" w:pos="360"/>
                              </w:tabs>
                              <w:spacing w:before="0" w:after="160" w:line="259" w:lineRule="auto"/>
                              <w:contextualSpacing/>
                              <w:rPr>
                                <w:sz w:val="14"/>
                                <w:szCs w:val="16"/>
                                <w:lang w:val="es-EC"/>
                              </w:rPr>
                            </w:pPr>
                            <w:r w:rsidRPr="00AD340F">
                              <w:rPr>
                                <w:sz w:val="14"/>
                                <w:szCs w:val="16"/>
                                <w:lang w:val="es-EC"/>
                              </w:rPr>
                              <w:t>La Oficinal Regional supervisa el aseguramiento de la calidad técnica y el cumplimiento del FMAM. La BBPS NCE PTA supervisa la función del</w:t>
                            </w:r>
                            <w:r w:rsidR="005C4FE6">
                              <w:rPr>
                                <w:sz w:val="14"/>
                                <w:szCs w:val="16"/>
                                <w:lang w:val="es-EC"/>
                              </w:rPr>
                              <w:t>/la</w:t>
                            </w:r>
                            <w:r w:rsidRPr="00AD340F">
                              <w:rPr>
                                <w:sz w:val="14"/>
                                <w:szCs w:val="16"/>
                                <w:lang w:val="es-EC"/>
                              </w:rPr>
                              <w:t xml:space="preserve"> RTA.</w:t>
                            </w:r>
                          </w:p>
                          <w:p w14:paraId="267DC71E" w14:textId="77777777" w:rsidR="00AD340F" w:rsidRPr="00AD340F" w:rsidRDefault="00AD340F" w:rsidP="00AD340F">
                            <w:pPr>
                              <w:pStyle w:val="Bullets"/>
                              <w:numPr>
                                <w:ilvl w:val="0"/>
                                <w:numId w:val="51"/>
                              </w:numPr>
                              <w:tabs>
                                <w:tab w:val="num" w:pos="360"/>
                              </w:tabs>
                              <w:spacing w:before="0" w:after="160" w:line="259" w:lineRule="auto"/>
                              <w:contextualSpacing/>
                              <w:rPr>
                                <w:sz w:val="14"/>
                                <w:szCs w:val="16"/>
                                <w:lang w:val="es-EC"/>
                              </w:rPr>
                            </w:pPr>
                            <w:r w:rsidRPr="00AD340F">
                              <w:rPr>
                                <w:sz w:val="14"/>
                                <w:szCs w:val="16"/>
                                <w:lang w:val="es-EC"/>
                              </w:rPr>
                              <w:t xml:space="preserve">El/la Coordinador(a) Ejecutivo(a) NCE del PNUD y el/la Director (a) Adjunto(a) de la Oficinal Regional puede revocar delegación de autoridad/cancelar/suspender el proyecto o proporcionar supervisión adicional. </w:t>
                            </w:r>
                          </w:p>
                          <w:p w14:paraId="424C973A" w14:textId="77777777" w:rsidR="00AD340F" w:rsidRPr="00AD340F" w:rsidRDefault="00AD340F" w:rsidP="00AD340F">
                            <w:pPr>
                              <w:rPr>
                                <w:lang w:val="es-E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F79187" id="_x0000_t202" coordsize="21600,21600" o:spt="202" path="m,l,21600r21600,l21600,xe">
                <v:stroke joinstyle="miter"/>
                <v:path gradientshapeok="t" o:connecttype="rect"/>
              </v:shapetype>
              <v:shape id="Text Box 2" o:spid="_x0000_s1026" type="#_x0000_t202" style="position:absolute;left:0;text-align:left;margin-left:27pt;margin-top:14.3pt;width:475.4pt;height:8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">
                <v:textbox>
                  <w:txbxContent>
                    <w:p w14:paraId="7C002377" w14:textId="77777777" w:rsidR="00AD340F" w:rsidRPr="00AD340F" w:rsidRDefault="00AD340F" w:rsidP="00AD340F">
                      <w:pPr>
                        <w:rPr>
                          <w:sz w:val="18"/>
                          <w:szCs w:val="18"/>
                          <w:lang w:val="es-EC"/>
                        </w:rPr>
                      </w:pPr>
                      <w:r w:rsidRPr="00AD340F">
                        <w:rPr>
                          <w:sz w:val="18"/>
                          <w:szCs w:val="18"/>
                          <w:lang w:val="es-EC"/>
                        </w:rPr>
                        <w:t>Primera línea de defensa</w:t>
                      </w:r>
                    </w:p>
                    <w:p w14:paraId="2C5D7B47" w14:textId="77777777" w:rsidR="00AD340F" w:rsidRPr="00AD340F" w:rsidRDefault="00AD340F" w:rsidP="00AD340F">
                      <w:pPr>
                        <w:pStyle w:val="Bullets"/>
                        <w:numPr>
                          <w:ilvl w:val="0"/>
                          <w:numId w:val="51"/>
                        </w:numPr>
                        <w:tabs>
                          <w:tab w:val="num" w:pos="360"/>
                        </w:tabs>
                        <w:spacing w:before="0" w:after="160" w:line="259" w:lineRule="auto"/>
                        <w:contextualSpacing/>
                        <w:rPr>
                          <w:sz w:val="14"/>
                          <w:szCs w:val="16"/>
                          <w:lang w:val="es-EC"/>
                        </w:rPr>
                      </w:pPr>
                      <w:r w:rsidRPr="00AD340F">
                        <w:rPr>
                          <w:sz w:val="14"/>
                          <w:szCs w:val="16"/>
                          <w:lang w:val="es-EC"/>
                        </w:rPr>
                        <w:t>La supervisión del PNUD del apoyo al PI no puede ser personal encargado del aseguramiento del proyecto o que proporcione apoyo de supervisión programática al RR</w:t>
                      </w:r>
                    </w:p>
                    <w:p w14:paraId="194F0DC4" w14:textId="77777777" w:rsidR="00AD340F" w:rsidRPr="00AD340F" w:rsidRDefault="00AD340F" w:rsidP="00AD340F">
                      <w:pPr>
                        <w:rPr>
                          <w:sz w:val="18"/>
                          <w:szCs w:val="18"/>
                          <w:lang w:val="es-EC"/>
                        </w:rPr>
                      </w:pPr>
                      <w:r w:rsidRPr="00AD340F">
                        <w:rPr>
                          <w:sz w:val="18"/>
                          <w:szCs w:val="18"/>
                          <w:lang w:val="es-EC"/>
                        </w:rPr>
                        <w:t>Segunda línea de defensa</w:t>
                      </w:r>
                    </w:p>
                    <w:p w14:paraId="08CFC9CF" w14:textId="73A9E6D8" w:rsidR="00AD340F" w:rsidRPr="00AD340F" w:rsidRDefault="00AD340F" w:rsidP="00AD340F">
                      <w:pPr>
                        <w:pStyle w:val="Bullets"/>
                        <w:numPr>
                          <w:ilvl w:val="0"/>
                          <w:numId w:val="51"/>
                        </w:numPr>
                        <w:tabs>
                          <w:tab w:val="num" w:pos="360"/>
                        </w:tabs>
                        <w:spacing w:before="0" w:after="160" w:line="259" w:lineRule="auto"/>
                        <w:contextualSpacing/>
                        <w:rPr>
                          <w:sz w:val="14"/>
                          <w:szCs w:val="16"/>
                          <w:lang w:val="es-EC"/>
                        </w:rPr>
                      </w:pPr>
                      <w:r w:rsidRPr="00AD340F">
                        <w:rPr>
                          <w:sz w:val="14"/>
                          <w:szCs w:val="16"/>
                          <w:lang w:val="es-EC"/>
                        </w:rPr>
                        <w:t>La Oficinal Regional supervisa el aseguramiento de la calidad técnica y el cumplimiento del FMAM. La BBPS NCE PTA supervisa la función del</w:t>
                      </w:r>
                      <w:r w:rsidR="005C4FE6">
                        <w:rPr>
                          <w:sz w:val="14"/>
                          <w:szCs w:val="16"/>
                          <w:lang w:val="es-EC"/>
                        </w:rPr>
                        <w:t>/la</w:t>
                      </w:r>
                      <w:r w:rsidRPr="00AD340F">
                        <w:rPr>
                          <w:sz w:val="14"/>
                          <w:szCs w:val="16"/>
                          <w:lang w:val="es-EC"/>
                        </w:rPr>
                        <w:t xml:space="preserve"> RTA.</w:t>
                      </w:r>
                    </w:p>
                    <w:p w14:paraId="267DC71E" w14:textId="77777777" w:rsidR="00AD340F" w:rsidRPr="00AD340F" w:rsidRDefault="00AD340F" w:rsidP="00AD340F">
                      <w:pPr>
                        <w:pStyle w:val="Bullets"/>
                        <w:numPr>
                          <w:ilvl w:val="0"/>
                          <w:numId w:val="51"/>
                        </w:numPr>
                        <w:tabs>
                          <w:tab w:val="num" w:pos="360"/>
                        </w:tabs>
                        <w:spacing w:before="0" w:after="160" w:line="259" w:lineRule="auto"/>
                        <w:contextualSpacing/>
                        <w:rPr>
                          <w:sz w:val="14"/>
                          <w:szCs w:val="16"/>
                          <w:lang w:val="es-EC"/>
                        </w:rPr>
                      </w:pPr>
                      <w:r w:rsidRPr="00AD340F">
                        <w:rPr>
                          <w:sz w:val="14"/>
                          <w:szCs w:val="16"/>
                          <w:lang w:val="es-EC"/>
                        </w:rPr>
                        <w:t xml:space="preserve">El/la Coordinador(a) Ejecutivo(a) NCE del PNUD y el/la Director (a) Adjunto(a) de la Oficinal Regional puede revocar delegación de autoridad/cancelar/suspender el proyecto o proporcionar supervisión adicional. </w:t>
                      </w:r>
                    </w:p>
                    <w:p w14:paraId="424C973A" w14:textId="77777777" w:rsidR="00AD340F" w:rsidRPr="00AD340F" w:rsidRDefault="00AD340F" w:rsidP="00AD340F">
                      <w:pPr>
                        <w:rPr>
                          <w:lang w:val="es-EC"/>
                        </w:rPr>
                      </w:pPr>
                    </w:p>
                  </w:txbxContent>
                </v:textbox>
                <w10:wrap type="square"/>
              </v:shape>
            </w:pict>
          </mc:Fallback>
        </mc:AlternateContent>
      </w:r>
    </w:p>
    <w:p w14:paraId="4FD95654" w14:textId="2BA402C9" w:rsidR="00547E01" w:rsidRPr="009911CA" w:rsidRDefault="009911CA" w:rsidP="009911CA">
      <w:pPr>
        <w:spacing w:after="60"/>
        <w:jc w:val="both"/>
        <w:rPr>
          <w:rFonts w:ascii="Calibri" w:eastAsia="SimSun" w:hAnsi="Calibri"/>
          <w:i/>
          <w:iCs/>
          <w:sz w:val="20"/>
        </w:rPr>
      </w:pPr>
      <w:r>
        <w:rPr>
          <w:i/>
          <w:noProof/>
          <w:lang w:eastAsia="es-419"/>
        </w:rPr>
        <mc:AlternateContent>
          <mc:Choice Requires="wpc">
            <w:drawing>
              <wp:inline distT="0" distB="0" distL="0" distR="0" wp14:anchorId="1A3CA103" wp14:editId="700E2207">
                <wp:extent cx="6124575" cy="3219450"/>
                <wp:effectExtent l="0" t="0" r="0" b="0"/>
                <wp:docPr id="17"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Rectangle 342"/>
                        <wps:cNvSpPr>
                          <a:spLocks noChangeArrowheads="1"/>
                        </wps:cNvSpPr>
                        <wps:spPr bwMode="auto">
                          <a:xfrm>
                            <a:off x="1853597" y="1782716"/>
                            <a:ext cx="1099153" cy="446133"/>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3AFAADB4" w14:textId="77777777"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Socio en la Implementación </w:t>
                              </w:r>
                            </w:p>
                            <w:p w14:paraId="3DE6AEA1" w14:textId="6DB7115E" w:rsidR="00E23E05" w:rsidRPr="009228DB" w:rsidRDefault="00E23E05" w:rsidP="008073B9">
                              <w:pPr>
                                <w:jc w:val="center"/>
                                <w:rPr>
                                  <w:rFonts w:asciiTheme="minorHAnsi" w:hAnsiTheme="minorHAnsi" w:cstheme="minorHAnsi"/>
                                  <w:bCs/>
                                  <w:sz w:val="16"/>
                                  <w:szCs w:val="16"/>
                                </w:rPr>
                              </w:pPr>
                              <w:r>
                                <w:rPr>
                                  <w:rFonts w:asciiTheme="minorHAnsi" w:hAnsiTheme="minorHAnsi"/>
                                  <w:sz w:val="16"/>
                                </w:rPr>
                                <w:t>MAATE</w:t>
                              </w:r>
                            </w:p>
                          </w:txbxContent>
                        </wps:txbx>
                        <wps:bodyPr rot="0" vert="horz" wrap="square" lIns="91440" tIns="45720" rIns="91440" bIns="45720" anchor="t" anchorCtr="0" upright="1">
                          <a:noAutofit/>
                        </wps:bodyPr>
                      </wps:wsp>
                      <wps:wsp>
                        <wps:cNvPr id="3" name="Rectangle 343"/>
                        <wps:cNvSpPr>
                          <a:spLocks noChangeArrowheads="1"/>
                        </wps:cNvSpPr>
                        <wps:spPr bwMode="auto">
                          <a:xfrm>
                            <a:off x="501048" y="369356"/>
                            <a:ext cx="3451828" cy="24024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2CEB92B3" w14:textId="43B8644E"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Dirección del Proyecto/Comité </w:t>
                              </w:r>
                              <w:r w:rsidR="00C67C5B">
                                <w:rPr>
                                  <w:rFonts w:asciiTheme="minorHAnsi" w:hAnsiTheme="minorHAnsi"/>
                                  <w:b/>
                                  <w:sz w:val="16"/>
                                </w:rPr>
                                <w:t>Directivo</w:t>
                              </w:r>
                            </w:p>
                          </w:txbxContent>
                        </wps:txbx>
                        <wps:bodyPr rot="0" vert="horz" wrap="square" lIns="91440" tIns="45720" rIns="91440" bIns="45720" anchor="t" anchorCtr="0" upright="1">
                          <a:noAutofit/>
                        </wps:bodyPr>
                      </wps:wsp>
                      <wps:wsp>
                        <wps:cNvPr id="5" name="Rectangle 344"/>
                        <wps:cNvSpPr>
                          <a:spLocks noChangeArrowheads="1"/>
                        </wps:cNvSpPr>
                        <wps:spPr bwMode="auto">
                          <a:xfrm>
                            <a:off x="120047" y="721687"/>
                            <a:ext cx="1394428" cy="478464"/>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79ED93AC" w14:textId="507CAC65" w:rsidR="00E23E05" w:rsidRPr="009228DB" w:rsidRDefault="00E23E05" w:rsidP="009911CA">
                              <w:pPr>
                                <w:jc w:val="center"/>
                                <w:rPr>
                                  <w:rFonts w:asciiTheme="minorHAnsi" w:hAnsiTheme="minorHAnsi" w:cstheme="minorHAnsi"/>
                                  <w:b/>
                                  <w:bCs/>
                                  <w:sz w:val="16"/>
                                  <w:szCs w:val="16"/>
                                </w:rPr>
                              </w:pPr>
                              <w:r>
                                <w:rPr>
                                  <w:rFonts w:asciiTheme="minorHAnsi" w:hAnsiTheme="minorHAnsi"/>
                                  <w:b/>
                                  <w:sz w:val="16"/>
                                </w:rPr>
                                <w:t xml:space="preserve">Socios para el Desarrollo  </w:t>
                              </w:r>
                            </w:p>
                            <w:p w14:paraId="2A4718A2" w14:textId="210D8113" w:rsidR="00E23E05" w:rsidRPr="009228DB" w:rsidRDefault="00E23E05" w:rsidP="009911CA">
                              <w:pPr>
                                <w:jc w:val="center"/>
                                <w:rPr>
                                  <w:rFonts w:asciiTheme="minorHAnsi" w:hAnsiTheme="minorHAnsi" w:cstheme="minorHAnsi"/>
                                  <w:iCs/>
                                  <w:sz w:val="16"/>
                                  <w:szCs w:val="16"/>
                                </w:rPr>
                              </w:pPr>
                              <w:r>
                                <w:rPr>
                                  <w:rFonts w:asciiTheme="minorHAnsi" w:hAnsiTheme="minorHAnsi"/>
                                  <w:sz w:val="16"/>
                                </w:rPr>
                                <w:t xml:space="preserve">Representante Residente del PNUD Ecuador </w:t>
                              </w:r>
                              <w:r w:rsidR="00497A66">
                                <w:rPr>
                                  <w:rFonts w:asciiTheme="minorHAnsi" w:hAnsiTheme="minorHAnsi"/>
                                  <w:sz w:val="16"/>
                                </w:rPr>
                                <w:t>CO</w:t>
                              </w:r>
                            </w:p>
                          </w:txbxContent>
                        </wps:txbx>
                        <wps:bodyPr rot="0" vert="horz" wrap="square" lIns="91440" tIns="45720" rIns="91440" bIns="45720" anchor="t" anchorCtr="0" upright="1">
                          <a:noAutofit/>
                        </wps:bodyPr>
                      </wps:wsp>
                      <wps:wsp>
                        <wps:cNvPr id="6" name="Rectangle 345"/>
                        <wps:cNvSpPr>
                          <a:spLocks noChangeArrowheads="1"/>
                        </wps:cNvSpPr>
                        <wps:spPr bwMode="auto">
                          <a:xfrm>
                            <a:off x="1714499" y="721652"/>
                            <a:ext cx="1181101" cy="59279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F7DE088" w14:textId="77777777"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Ejecutivo de Proyecto</w:t>
                              </w:r>
                            </w:p>
                            <w:p w14:paraId="6B1B6AD7" w14:textId="3BD19623" w:rsidR="00E23E05" w:rsidRPr="009228DB" w:rsidRDefault="00E23E05" w:rsidP="009911CA">
                              <w:pPr>
                                <w:jc w:val="center"/>
                                <w:rPr>
                                  <w:rFonts w:asciiTheme="minorHAnsi" w:hAnsiTheme="minorHAnsi" w:cstheme="minorHAnsi"/>
                                  <w:iCs/>
                                  <w:sz w:val="16"/>
                                  <w:szCs w:val="16"/>
                                </w:rPr>
                              </w:pPr>
                              <w:r>
                                <w:rPr>
                                  <w:rFonts w:asciiTheme="minorHAnsi" w:hAnsiTheme="minorHAnsi"/>
                                  <w:color w:val="000000" w:themeColor="text1"/>
                                  <w:sz w:val="16"/>
                                </w:rPr>
                                <w:t>Subsecretario de Calidad Ambiental</w:t>
                              </w:r>
                              <w:r>
                                <w:rPr>
                                  <w:rFonts w:asciiTheme="minorHAnsi" w:hAnsiTheme="minorHAnsi"/>
                                  <w:sz w:val="16"/>
                                </w:rPr>
                                <w:t xml:space="preserve"> </w:t>
                              </w:r>
                            </w:p>
                            <w:p w14:paraId="72798EAF" w14:textId="565B7D91" w:rsidR="00E23E05" w:rsidRPr="009228DB" w:rsidRDefault="00E23E05" w:rsidP="009911CA">
                              <w:pPr>
                                <w:jc w:val="center"/>
                                <w:rPr>
                                  <w:rFonts w:asciiTheme="minorHAnsi" w:hAnsiTheme="minorHAnsi" w:cstheme="minorHAnsi"/>
                                  <w:iCs/>
                                  <w:sz w:val="16"/>
                                  <w:szCs w:val="16"/>
                                </w:rPr>
                              </w:pPr>
                              <w:r>
                                <w:rPr>
                                  <w:rFonts w:asciiTheme="minorHAnsi" w:hAnsiTheme="minorHAnsi"/>
                                  <w:sz w:val="16"/>
                                </w:rPr>
                                <w:t>MAATE</w:t>
                              </w:r>
                            </w:p>
                          </w:txbxContent>
                        </wps:txbx>
                        <wps:bodyPr rot="0" vert="horz" wrap="square" lIns="91440" tIns="45720" rIns="91440" bIns="45720" anchor="t" anchorCtr="0" upright="1">
                          <a:noAutofit/>
                        </wps:bodyPr>
                      </wps:wsp>
                      <wps:wsp>
                        <wps:cNvPr id="7" name="Rectangle 346"/>
                        <wps:cNvSpPr>
                          <a:spLocks noChangeArrowheads="1"/>
                        </wps:cNvSpPr>
                        <wps:spPr bwMode="auto">
                          <a:xfrm>
                            <a:off x="3095626" y="712127"/>
                            <a:ext cx="1276350" cy="61184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1970BEF9" w14:textId="77777777" w:rsidR="00E23E05" w:rsidRPr="009228DB" w:rsidRDefault="00E23E05" w:rsidP="009911CA">
                              <w:pPr>
                                <w:jc w:val="center"/>
                                <w:rPr>
                                  <w:rFonts w:asciiTheme="minorHAnsi" w:hAnsiTheme="minorHAnsi" w:cstheme="minorHAnsi"/>
                                  <w:b/>
                                  <w:bCs/>
                                  <w:sz w:val="16"/>
                                  <w:szCs w:val="16"/>
                                </w:rPr>
                              </w:pPr>
                              <w:r>
                                <w:rPr>
                                  <w:rFonts w:asciiTheme="minorHAnsi" w:hAnsiTheme="minorHAnsi"/>
                                  <w:b/>
                                  <w:sz w:val="16"/>
                                </w:rPr>
                                <w:t>Representantes de los beneficiarios</w:t>
                              </w:r>
                            </w:p>
                            <w:p w14:paraId="2C20D899" w14:textId="77777777" w:rsidR="00E23E05" w:rsidRPr="009228DB" w:rsidRDefault="00E23E05" w:rsidP="004A4C37">
                              <w:pPr>
                                <w:jc w:val="center"/>
                                <w:rPr>
                                  <w:rFonts w:asciiTheme="minorHAnsi" w:hAnsiTheme="minorHAnsi" w:cstheme="minorHAnsi"/>
                                  <w:bCs/>
                                  <w:sz w:val="16"/>
                                  <w:szCs w:val="16"/>
                                </w:rPr>
                              </w:pPr>
                              <w:r>
                                <w:rPr>
                                  <w:rFonts w:ascii="Calibri" w:hAnsi="Calibri"/>
                                  <w:sz w:val="16"/>
                                </w:rPr>
                                <w:t>Ministerio de Agricultura y Ganadería (MAG)</w:t>
                              </w:r>
                            </w:p>
                            <w:p w14:paraId="155B18D9" w14:textId="74F668D6" w:rsidR="00E23E05" w:rsidRPr="002152FE" w:rsidRDefault="00E23E05" w:rsidP="004A4C37">
                              <w:pPr>
                                <w:jc w:val="center"/>
                                <w:rPr>
                                  <w:rFonts w:asciiTheme="minorHAnsi" w:hAnsiTheme="minorHAnsi" w:cstheme="minorHAnsi"/>
                                  <w:sz w:val="16"/>
                                  <w:szCs w:val="16"/>
                                  <w:lang w:val="es-EC"/>
                                </w:rPr>
                              </w:pPr>
                            </w:p>
                          </w:txbxContent>
                        </wps:txbx>
                        <wps:bodyPr rot="0" vert="horz" wrap="square" lIns="91440" tIns="45720" rIns="91440" bIns="45720" anchor="t" anchorCtr="0" upright="1">
                          <a:noAutofit/>
                        </wps:bodyPr>
                      </wps:wsp>
                      <wps:wsp>
                        <wps:cNvPr id="8" name="AutoShape 347"/>
                        <wps:cNvCnPr>
                          <a:cxnSpLocks noChangeShapeType="1"/>
                        </wps:cNvCnPr>
                        <wps:spPr bwMode="auto">
                          <a:xfrm>
                            <a:off x="2329847" y="1323975"/>
                            <a:ext cx="0"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348"/>
                        <wps:cNvSpPr>
                          <a:spLocks noChangeArrowheads="1"/>
                        </wps:cNvSpPr>
                        <wps:spPr bwMode="auto">
                          <a:xfrm>
                            <a:off x="120047" y="1504950"/>
                            <a:ext cx="1504507" cy="59055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1DB21CC5" w14:textId="77777777" w:rsidR="00E23E05" w:rsidRPr="009228DB" w:rsidRDefault="00E23E05" w:rsidP="009911CA">
                              <w:pPr>
                                <w:jc w:val="center"/>
                                <w:rPr>
                                  <w:rFonts w:asciiTheme="minorHAnsi" w:hAnsiTheme="minorHAnsi" w:cstheme="minorHAnsi"/>
                                  <w:b/>
                                  <w:sz w:val="16"/>
                                  <w:szCs w:val="16"/>
                                </w:rPr>
                              </w:pPr>
                              <w:bookmarkStart w:id="47" w:name="_Hlk53414198"/>
                              <w:r>
                                <w:rPr>
                                  <w:rFonts w:asciiTheme="minorHAnsi" w:hAnsiTheme="minorHAnsi"/>
                                  <w:b/>
                                  <w:sz w:val="16"/>
                                </w:rPr>
                                <w:t>Garantía de Proyecto</w:t>
                              </w:r>
                            </w:p>
                            <w:p w14:paraId="55067D9E" w14:textId="74B4031A" w:rsidR="00E23E05" w:rsidRPr="009228DB" w:rsidRDefault="00E23E05" w:rsidP="009911CA">
                              <w:pPr>
                                <w:pStyle w:val="Textoindependiente3"/>
                                <w:jc w:val="center"/>
                                <w:rPr>
                                  <w:rFonts w:asciiTheme="minorHAnsi" w:hAnsiTheme="minorHAnsi" w:cstheme="minorHAnsi"/>
                                  <w:bCs/>
                                  <w:sz w:val="16"/>
                                  <w:szCs w:val="16"/>
                                </w:rPr>
                              </w:pPr>
                              <w:r>
                                <w:t xml:space="preserve"> </w:t>
                              </w:r>
                              <w:r w:rsidR="00AE72DB">
                                <w:rPr>
                                  <w:rFonts w:asciiTheme="minorHAnsi" w:hAnsiTheme="minorHAnsi"/>
                                  <w:sz w:val="16"/>
                                </w:rPr>
                                <w:t>CO P</w:t>
                              </w:r>
                              <w:r>
                                <w:rPr>
                                  <w:rFonts w:asciiTheme="minorHAnsi" w:hAnsiTheme="minorHAnsi"/>
                                  <w:sz w:val="16"/>
                                </w:rPr>
                                <w:t xml:space="preserve">NUD </w:t>
                              </w:r>
                              <w:bookmarkEnd w:id="47"/>
                              <w:r>
                                <w:rPr>
                                  <w:rFonts w:asciiTheme="minorHAnsi" w:hAnsiTheme="minorHAnsi"/>
                                  <w:sz w:val="16"/>
                                </w:rPr>
                                <w:t>Ecuador Punto Focal Ambiental</w:t>
                              </w:r>
                            </w:p>
                          </w:txbxContent>
                        </wps:txbx>
                        <wps:bodyPr rot="0" vert="horz" wrap="square" lIns="91440" tIns="45720" rIns="91440" bIns="45720" anchor="t" anchorCtr="0" upright="1">
                          <a:noAutofit/>
                        </wps:bodyPr>
                      </wps:wsp>
                      <wps:wsp>
                        <wps:cNvPr id="10" name="Rectangle 349"/>
                        <wps:cNvSpPr>
                          <a:spLocks noChangeArrowheads="1"/>
                        </wps:cNvSpPr>
                        <wps:spPr bwMode="auto">
                          <a:xfrm>
                            <a:off x="3457575" y="1531868"/>
                            <a:ext cx="1181100" cy="1348616"/>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34DFADA6" w14:textId="59EE8006"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Apoyo al proyecto: </w:t>
                              </w:r>
                            </w:p>
                            <w:p w14:paraId="04158F67" w14:textId="50A7E664"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Unidad de Gestión de Proyecto (UGP)</w:t>
                              </w:r>
                            </w:p>
                            <w:p w14:paraId="543E788C" w14:textId="403A97E7"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Coordinador de Proyecto</w:t>
                              </w:r>
                            </w:p>
                            <w:p w14:paraId="22E24B31" w14:textId="2DE87625"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Asistente Administrativo</w:t>
                              </w:r>
                            </w:p>
                            <w:p w14:paraId="4A0931BF" w14:textId="56851980"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Experto en Agroquímicos</w:t>
                              </w:r>
                            </w:p>
                            <w:p w14:paraId="29D58331" w14:textId="4B302F79"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Experto en Finanzas</w:t>
                              </w:r>
                            </w:p>
                            <w:p w14:paraId="129A04FC" w14:textId="0DAE4E7B"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Responsable de Gestión de Conocimientos</w:t>
                              </w:r>
                            </w:p>
                            <w:p w14:paraId="73056F51" w14:textId="440EB0EA"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Responsable de M&amp;E</w:t>
                              </w:r>
                            </w:p>
                            <w:p w14:paraId="5EDD64FD" w14:textId="77777777" w:rsidR="00E23E05" w:rsidRPr="009228DB" w:rsidRDefault="00E23E05" w:rsidP="009911CA">
                              <w:pPr>
                                <w:jc w:val="center"/>
                                <w:rPr>
                                  <w:rFonts w:asciiTheme="minorHAnsi" w:hAnsiTheme="minorHAnsi" w:cstheme="minorHAnsi"/>
                                  <w:bCs/>
                                  <w:sz w:val="16"/>
                                  <w:szCs w:val="16"/>
                                  <w:lang w:val="en-US"/>
                                </w:rPr>
                              </w:pPr>
                            </w:p>
                          </w:txbxContent>
                        </wps:txbx>
                        <wps:bodyPr rot="0" vert="horz" wrap="square" lIns="91440" tIns="45720" rIns="91440" bIns="45720" anchor="t" anchorCtr="0" upright="1">
                          <a:noAutofit/>
                        </wps:bodyPr>
                      </wps:wsp>
                      <wps:wsp>
                        <wps:cNvPr id="11" name="AutoShape 350"/>
                        <wps:cNvCnPr>
                          <a:cxnSpLocks noChangeShapeType="1"/>
                        </wps:cNvCnPr>
                        <wps:spPr bwMode="auto">
                          <a:xfrm>
                            <a:off x="2962275" y="1885676"/>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351"/>
                        <wps:cNvSpPr>
                          <a:spLocks noChangeArrowheads="1"/>
                        </wps:cNvSpPr>
                        <wps:spPr bwMode="auto">
                          <a:xfrm>
                            <a:off x="348647" y="35993"/>
                            <a:ext cx="3851878" cy="230703"/>
                          </a:xfrm>
                          <a:prstGeom prst="roundRect">
                            <a:avLst>
                              <a:gd name="adj" fmla="val 16667"/>
                            </a:avLst>
                          </a:prstGeom>
                          <a:solidFill>
                            <a:srgbClr val="99CCFF"/>
                          </a:solidFill>
                          <a:ln w="9525">
                            <a:solidFill>
                              <a:srgbClr val="000000"/>
                            </a:solidFill>
                            <a:round/>
                            <a:headEnd/>
                            <a:tailEnd/>
                          </a:ln>
                        </wps:spPr>
                        <wps:txbx>
                          <w:txbxContent>
                            <w:p w14:paraId="7041B764" w14:textId="52258D8B"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Disposiciones de Gobernanza del </w:t>
                              </w:r>
                              <w:r w:rsidR="00206AD8">
                                <w:rPr>
                                  <w:rFonts w:asciiTheme="minorHAnsi" w:hAnsiTheme="minorHAnsi"/>
                                  <w:b/>
                                  <w:sz w:val="16"/>
                                </w:rPr>
                                <w:t>proyecto</w:t>
                              </w:r>
                            </w:p>
                          </w:txbxContent>
                        </wps:txbx>
                        <wps:bodyPr rot="0" vert="horz" wrap="square" lIns="91440" tIns="45720" rIns="91440" bIns="45720" anchor="t" anchorCtr="0" upright="1">
                          <a:noAutofit/>
                        </wps:bodyPr>
                      </wps:wsp>
                      <wps:wsp>
                        <wps:cNvPr id="13" name="Rectangle 356"/>
                        <wps:cNvSpPr>
                          <a:spLocks noChangeArrowheads="1"/>
                        </wps:cNvSpPr>
                        <wps:spPr bwMode="auto">
                          <a:xfrm>
                            <a:off x="1900246" y="2779883"/>
                            <a:ext cx="1166804" cy="335651"/>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47DB429B" w14:textId="5124C3B8"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Parte Responsable</w:t>
                              </w:r>
                            </w:p>
                            <w:p w14:paraId="0A755393" w14:textId="56F8EEDE"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AGROCALIDAD</w:t>
                              </w:r>
                            </w:p>
                          </w:txbxContent>
                        </wps:txbx>
                        <wps:bodyPr rot="0" vert="horz" wrap="square" lIns="91440" tIns="45720" rIns="91440" bIns="45720" anchor="t" anchorCtr="0" upright="1">
                          <a:noAutofit/>
                        </wps:bodyPr>
                      </wps:wsp>
                      <wps:wsp>
                        <wps:cNvPr id="14" name="AutoShape 357"/>
                        <wps:cNvCnPr>
                          <a:cxnSpLocks noChangeShapeType="1"/>
                        </wps:cNvCnPr>
                        <wps:spPr bwMode="auto">
                          <a:xfrm>
                            <a:off x="2744566" y="2266950"/>
                            <a:ext cx="4981" cy="5129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358"/>
                        <wps:cNvCnPr>
                          <a:cxnSpLocks noChangeShapeType="1"/>
                        </wps:cNvCnPr>
                        <wps:spPr bwMode="auto">
                          <a:xfrm flipV="1">
                            <a:off x="1647825" y="1438275"/>
                            <a:ext cx="682022" cy="2000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Rectangle 356"/>
                        <wps:cNvSpPr>
                          <a:spLocks noChangeArrowheads="1"/>
                        </wps:cNvSpPr>
                        <wps:spPr bwMode="auto">
                          <a:xfrm>
                            <a:off x="35999" y="2286000"/>
                            <a:ext cx="1488001" cy="703385"/>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21BD538B" w14:textId="24A83D74" w:rsidR="00E23E05" w:rsidRDefault="00E23E05" w:rsidP="009911CA">
                              <w:pPr>
                                <w:jc w:val="center"/>
                                <w:rPr>
                                  <w:rFonts w:asciiTheme="minorHAnsi" w:hAnsiTheme="minorHAnsi" w:cstheme="minorHAnsi"/>
                                  <w:b/>
                                  <w:bCs/>
                                  <w:sz w:val="16"/>
                                  <w:szCs w:val="16"/>
                                </w:rPr>
                              </w:pPr>
                              <w:r>
                                <w:rPr>
                                  <w:rFonts w:asciiTheme="minorHAnsi" w:hAnsiTheme="minorHAnsi"/>
                                  <w:b/>
                                  <w:sz w:val="16"/>
                                </w:rPr>
                                <w:t>Apoyo del PNUD al Socio en la Implementación del Proyecto</w:t>
                              </w:r>
                            </w:p>
                            <w:p w14:paraId="7CD1EA9B" w14:textId="73CA3932" w:rsidR="00E23E05" w:rsidRPr="009228DB" w:rsidRDefault="00E23E05" w:rsidP="009911CA">
                              <w:pPr>
                                <w:jc w:val="center"/>
                                <w:rPr>
                                  <w:rFonts w:asciiTheme="minorHAnsi" w:hAnsiTheme="minorHAnsi" w:cstheme="minorHAnsi"/>
                                  <w:b/>
                                  <w:bCs/>
                                  <w:sz w:val="16"/>
                                  <w:szCs w:val="16"/>
                                </w:rPr>
                              </w:pPr>
                              <w:r>
                                <w:rPr>
                                  <w:rFonts w:ascii="Calibri" w:hAnsi="Calibri"/>
                                  <w:sz w:val="16"/>
                                </w:rPr>
                                <w:t>Director de Operaciones del PNUD</w:t>
                              </w:r>
                            </w:p>
                          </w:txbxContent>
                        </wps:txbx>
                        <wps:bodyPr rot="0" vert="horz" wrap="square" lIns="91440" tIns="45720" rIns="91440" bIns="45720" anchor="t" anchorCtr="0" upright="1">
                          <a:noAutofit/>
                        </wps:bodyPr>
                      </wps:wsp>
                      <wps:wsp>
                        <wps:cNvPr id="19" name="AutoShape 358"/>
                        <wps:cNvCnPr>
                          <a:cxnSpLocks noChangeShapeType="1"/>
                          <a:stCxn id="16" idx="3"/>
                        </wps:cNvCnPr>
                        <wps:spPr bwMode="auto">
                          <a:xfrm flipV="1">
                            <a:off x="1524000" y="2608151"/>
                            <a:ext cx="1220566" cy="29542"/>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A3CA103" id="Canvas 340" o:spid="_x0000_s1027" editas="canvas" style="width:482.25pt;height:253.5pt;mso-position-horizontal-relative:char;mso-position-vertical-relative:line" coordsize="61245,3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1245;height:32194;visibility:visible;mso-wrap-style:square">
                  <v:fill o:detectmouseclick="t"/>
                  <v:path o:connecttype="none"/>
                </v:shape>
                <v:rect id="Rectangle 342" o:spid="_x0000_s1029" style="position:absolute;left:18535;top:17827;width:10992;height:4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" fillcolor="#fc9">
                  <v:shadow on="t" opacity=".5" offset="6pt,6pt"/>
                  <v:textbox>
                    <w:txbxContent>
                      <w:p w14:paraId="3AFAADB4" w14:textId="77777777"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Socio en la Implementación </w:t>
                        </w:r>
                      </w:p>
                      <w:p w14:paraId="3DE6AEA1" w14:textId="6DB7115E" w:rsidR="00E23E05" w:rsidRPr="009228DB" w:rsidRDefault="00E23E05" w:rsidP="008073B9">
                        <w:pPr>
                          <w:jc w:val="center"/>
                          <w:rPr>
                            <w:rFonts w:asciiTheme="minorHAnsi" w:hAnsiTheme="minorHAnsi" w:cstheme="minorHAnsi"/>
                            <w:bCs/>
                            <w:sz w:val="16"/>
                            <w:szCs w:val="16"/>
                          </w:rPr>
                        </w:pPr>
                        <w:r>
                          <w:rPr>
                            <w:rFonts w:asciiTheme="minorHAnsi" w:hAnsiTheme="minorHAnsi"/>
                            <w:sz w:val="16"/>
                          </w:rPr>
                          <w:t>MAATE</w:t>
                        </w:r>
                      </w:p>
                    </w:txbxContent>
                  </v:textbox>
                </v:rect>
                <v:rect id="Rectangle 343" o:spid="_x0000_s1030" style="position:absolute;left:5010;top:3693;width:34518;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" fillcolor="#f90">
                  <v:shadow on="t" opacity=".5" offset="6pt,6pt"/>
                  <v:textbox>
                    <w:txbxContent>
                      <w:p w14:paraId="2CEB92B3" w14:textId="43B8644E"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Dirección del Proyecto/Comité </w:t>
                        </w:r>
                        <w:r w:rsidR="00C67C5B">
                          <w:rPr>
                            <w:rFonts w:asciiTheme="minorHAnsi" w:hAnsiTheme="minorHAnsi"/>
                            <w:b/>
                            <w:sz w:val="16"/>
                          </w:rPr>
                          <w:t>Directivo</w:t>
                        </w:r>
                      </w:p>
                    </w:txbxContent>
                  </v:textbox>
                </v:rect>
                <v:rect id="Rectangle 344" o:spid="_x0000_s1031" style="position:absolute;left:1200;top:7216;width:13944;height: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IXwQAAANoAAAAPAAAAZHJzL2Rvd25yZXYueG1sRI/disIw&#10;FITvBd8hHGHvNLWw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MJ1QhfBAAAA2gAAAA8AAAAA&#10;AAAAAAAAAAAABwIAAGRycy9kb3ducmV2LnhtbFBLBQYAAAAAAwADALcAAAD1AgAAAAA=&#10;" fillcolor="#fc0">
                  <v:shadow on="t" opacity=".5" offset="6pt,6pt"/>
                  <v:textbox>
                    <w:txbxContent>
                      <w:p w14:paraId="79ED93AC" w14:textId="507CAC65" w:rsidR="00E23E05" w:rsidRPr="009228DB" w:rsidRDefault="00E23E05" w:rsidP="009911CA">
                        <w:pPr>
                          <w:jc w:val="center"/>
                          <w:rPr>
                            <w:rFonts w:asciiTheme="minorHAnsi" w:hAnsiTheme="minorHAnsi" w:cstheme="minorHAnsi"/>
                            <w:b/>
                            <w:bCs/>
                            <w:sz w:val="16"/>
                            <w:szCs w:val="16"/>
                          </w:rPr>
                        </w:pPr>
                        <w:r>
                          <w:rPr>
                            <w:rFonts w:asciiTheme="minorHAnsi" w:hAnsiTheme="minorHAnsi"/>
                            <w:b/>
                            <w:sz w:val="16"/>
                          </w:rPr>
                          <w:t xml:space="preserve">Socios para el Desarrollo  </w:t>
                        </w:r>
                      </w:p>
                      <w:p w14:paraId="2A4718A2" w14:textId="210D8113" w:rsidR="00E23E05" w:rsidRPr="009228DB" w:rsidRDefault="00E23E05" w:rsidP="009911CA">
                        <w:pPr>
                          <w:jc w:val="center"/>
                          <w:rPr>
                            <w:rFonts w:asciiTheme="minorHAnsi" w:hAnsiTheme="minorHAnsi" w:cstheme="minorHAnsi"/>
                            <w:iCs/>
                            <w:sz w:val="16"/>
                            <w:szCs w:val="16"/>
                          </w:rPr>
                        </w:pPr>
                        <w:r>
                          <w:rPr>
                            <w:rFonts w:asciiTheme="minorHAnsi" w:hAnsiTheme="minorHAnsi"/>
                            <w:sz w:val="16"/>
                          </w:rPr>
                          <w:t xml:space="preserve">Representante Residente del PNUD Ecuador </w:t>
                        </w:r>
                        <w:r w:rsidR="00497A66">
                          <w:rPr>
                            <w:rFonts w:asciiTheme="minorHAnsi" w:hAnsiTheme="minorHAnsi"/>
                            <w:sz w:val="16"/>
                          </w:rPr>
                          <w:t>CO</w:t>
                        </w:r>
                      </w:p>
                    </w:txbxContent>
                  </v:textbox>
                </v:rect>
                <v:rect id="Rectangle 345" o:spid="_x0000_s1032" style="position:absolute;left:17144;top:7216;width:11812;height:5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" fillcolor="#fc0">
                  <v:shadow on="t" opacity=".5" offset="6pt,6pt"/>
                  <v:textbox>
                    <w:txbxContent>
                      <w:p w14:paraId="0F7DE088" w14:textId="77777777"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Ejecutivo de Proyecto</w:t>
                        </w:r>
                      </w:p>
                      <w:p w14:paraId="6B1B6AD7" w14:textId="3BD19623" w:rsidR="00E23E05" w:rsidRPr="009228DB" w:rsidRDefault="00E23E05" w:rsidP="009911CA">
                        <w:pPr>
                          <w:jc w:val="center"/>
                          <w:rPr>
                            <w:rFonts w:asciiTheme="minorHAnsi" w:hAnsiTheme="minorHAnsi" w:cstheme="minorHAnsi"/>
                            <w:iCs/>
                            <w:sz w:val="16"/>
                            <w:szCs w:val="16"/>
                          </w:rPr>
                        </w:pPr>
                        <w:r>
                          <w:rPr>
                            <w:rFonts w:asciiTheme="minorHAnsi" w:hAnsiTheme="minorHAnsi"/>
                            <w:color w:val="000000" w:themeColor="text1"/>
                            <w:sz w:val="16"/>
                          </w:rPr>
                          <w:t>Subsecretario de Calidad Ambiental</w:t>
                        </w:r>
                        <w:r>
                          <w:rPr>
                            <w:rFonts w:asciiTheme="minorHAnsi" w:hAnsiTheme="minorHAnsi"/>
                            <w:sz w:val="16"/>
                          </w:rPr>
                          <w:t xml:space="preserve"> </w:t>
                        </w:r>
                      </w:p>
                      <w:p w14:paraId="72798EAF" w14:textId="565B7D91" w:rsidR="00E23E05" w:rsidRPr="009228DB" w:rsidRDefault="00E23E05" w:rsidP="009911CA">
                        <w:pPr>
                          <w:jc w:val="center"/>
                          <w:rPr>
                            <w:rFonts w:asciiTheme="minorHAnsi" w:hAnsiTheme="minorHAnsi" w:cstheme="minorHAnsi"/>
                            <w:iCs/>
                            <w:sz w:val="16"/>
                            <w:szCs w:val="16"/>
                          </w:rPr>
                        </w:pPr>
                        <w:r>
                          <w:rPr>
                            <w:rFonts w:asciiTheme="minorHAnsi" w:hAnsiTheme="minorHAnsi"/>
                            <w:sz w:val="16"/>
                          </w:rPr>
                          <w:t>MAATE</w:t>
                        </w:r>
                      </w:p>
                    </w:txbxContent>
                  </v:textbox>
                </v:rect>
                <v:rect id="Rectangle 346" o:spid="_x0000_s1033" style="position:absolute;left:30956;top:7121;width:12763;height:6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" fillcolor="#fc0">
                  <v:shadow on="t" opacity=".5" offset="6pt,6pt"/>
                  <v:textbox>
                    <w:txbxContent>
                      <w:p w14:paraId="1970BEF9" w14:textId="77777777" w:rsidR="00E23E05" w:rsidRPr="009228DB" w:rsidRDefault="00E23E05" w:rsidP="009911CA">
                        <w:pPr>
                          <w:jc w:val="center"/>
                          <w:rPr>
                            <w:rFonts w:asciiTheme="minorHAnsi" w:hAnsiTheme="minorHAnsi" w:cstheme="minorHAnsi"/>
                            <w:b/>
                            <w:bCs/>
                            <w:sz w:val="16"/>
                            <w:szCs w:val="16"/>
                          </w:rPr>
                        </w:pPr>
                        <w:r>
                          <w:rPr>
                            <w:rFonts w:asciiTheme="minorHAnsi" w:hAnsiTheme="minorHAnsi"/>
                            <w:b/>
                            <w:sz w:val="16"/>
                          </w:rPr>
                          <w:t>Representantes de los beneficiarios</w:t>
                        </w:r>
                      </w:p>
                      <w:p w14:paraId="2C20D899" w14:textId="77777777" w:rsidR="00E23E05" w:rsidRPr="009228DB" w:rsidRDefault="00E23E05" w:rsidP="004A4C37">
                        <w:pPr>
                          <w:jc w:val="center"/>
                          <w:rPr>
                            <w:rFonts w:asciiTheme="minorHAnsi" w:hAnsiTheme="minorHAnsi" w:cstheme="minorHAnsi"/>
                            <w:bCs/>
                            <w:sz w:val="16"/>
                            <w:szCs w:val="16"/>
                          </w:rPr>
                        </w:pPr>
                        <w:r>
                          <w:rPr>
                            <w:rFonts w:ascii="Calibri" w:hAnsi="Calibri"/>
                            <w:sz w:val="16"/>
                          </w:rPr>
                          <w:t>Ministerio de Agricultura y Ganadería (MAG)</w:t>
                        </w:r>
                      </w:p>
                      <w:p w14:paraId="155B18D9" w14:textId="74F668D6" w:rsidR="00E23E05" w:rsidRPr="002152FE" w:rsidRDefault="00E23E05" w:rsidP="004A4C37">
                        <w:pPr>
                          <w:jc w:val="center"/>
                          <w:rPr>
                            <w:rFonts w:asciiTheme="minorHAnsi" w:hAnsiTheme="minorHAnsi" w:cstheme="minorHAnsi"/>
                            <w:sz w:val="16"/>
                            <w:szCs w:val="16"/>
                            <w:lang w:val="es-EC"/>
                          </w:rPr>
                        </w:pPr>
                      </w:p>
                    </w:txbxContent>
                  </v:textbox>
                </v:rect>
                <v:shapetype id="_x0000_t32" coordsize="21600,21600" o:spt="32" o:oned="t" path="m,l21600,21600e" filled="f">
                  <v:path arrowok="t" fillok="f" o:connecttype="none"/>
                  <o:lock v:ext="edit" shapetype="t"/>
                </v:shapetype>
                <v:shape id="AutoShape 347" o:spid="_x0000_s1034" type="#_x0000_t32" style="position:absolute;left:23298;top:13239;width:0;height:4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ect id="Rectangle 348" o:spid="_x0000_s1035" style="position:absolute;left:1200;top:15049;width:15045;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" fillcolor="#fc0">
                  <v:shadow on="t" opacity=".5" offset="6pt,6pt"/>
                  <v:textbox>
                    <w:txbxContent>
                      <w:p w14:paraId="1DB21CC5" w14:textId="77777777" w:rsidR="00E23E05" w:rsidRPr="009228DB" w:rsidRDefault="00E23E05" w:rsidP="009911CA">
                        <w:pPr>
                          <w:jc w:val="center"/>
                          <w:rPr>
                            <w:rFonts w:asciiTheme="minorHAnsi" w:hAnsiTheme="minorHAnsi" w:cstheme="minorHAnsi"/>
                            <w:b/>
                            <w:sz w:val="16"/>
                            <w:szCs w:val="16"/>
                          </w:rPr>
                        </w:pPr>
                        <w:bookmarkStart w:id="49" w:name="_Hlk53414198"/>
                        <w:r>
                          <w:rPr>
                            <w:rFonts w:asciiTheme="minorHAnsi" w:hAnsiTheme="minorHAnsi"/>
                            <w:b/>
                            <w:sz w:val="16"/>
                          </w:rPr>
                          <w:t>Garantía de Proyecto</w:t>
                        </w:r>
                      </w:p>
                      <w:p w14:paraId="55067D9E" w14:textId="74B4031A" w:rsidR="00E23E05" w:rsidRPr="009228DB" w:rsidRDefault="00E23E05" w:rsidP="009911CA">
                        <w:pPr>
                          <w:pStyle w:val="BodyText3"/>
                          <w:jc w:val="center"/>
                          <w:rPr>
                            <w:rFonts w:asciiTheme="minorHAnsi" w:hAnsiTheme="minorHAnsi" w:cstheme="minorHAnsi"/>
                            <w:bCs/>
                            <w:sz w:val="16"/>
                            <w:szCs w:val="16"/>
                          </w:rPr>
                        </w:pPr>
                        <w:r>
                          <w:t xml:space="preserve"> </w:t>
                        </w:r>
                        <w:r w:rsidR="00AE72DB">
                          <w:rPr>
                            <w:rFonts w:asciiTheme="minorHAnsi" w:hAnsiTheme="minorHAnsi"/>
                            <w:sz w:val="16"/>
                          </w:rPr>
                          <w:t>CO P</w:t>
                        </w:r>
                        <w:r>
                          <w:rPr>
                            <w:rFonts w:asciiTheme="minorHAnsi" w:hAnsiTheme="minorHAnsi"/>
                            <w:sz w:val="16"/>
                          </w:rPr>
                          <w:t xml:space="preserve">NUD </w:t>
                        </w:r>
                        <w:bookmarkEnd w:id="49"/>
                        <w:r>
                          <w:rPr>
                            <w:rFonts w:asciiTheme="minorHAnsi" w:hAnsiTheme="minorHAnsi"/>
                            <w:sz w:val="16"/>
                          </w:rPr>
                          <w:t>Ecuador Punto Focal Ambiental</w:t>
                        </w:r>
                      </w:p>
                    </w:txbxContent>
                  </v:textbox>
                </v:rect>
                <v:rect id="Rectangle 349" o:spid="_x0000_s1036" style="position:absolute;left:34575;top:15318;width:11811;height:1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" fillcolor="#fc9">
                  <v:shadow on="t" opacity=".5" offset="6pt,6pt"/>
                  <v:textbox>
                    <w:txbxContent>
                      <w:p w14:paraId="34DFADA6" w14:textId="59EE8006"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Apoyo al proyecto: </w:t>
                        </w:r>
                      </w:p>
                      <w:p w14:paraId="04158F67" w14:textId="50A7E664"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Unidad de Gestión de Proyecto (UGP)</w:t>
                        </w:r>
                      </w:p>
                      <w:p w14:paraId="543E788C" w14:textId="403A97E7"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Coordinador de Proyecto</w:t>
                        </w:r>
                      </w:p>
                      <w:p w14:paraId="22E24B31" w14:textId="2DE87625"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Asistente Administrativo</w:t>
                        </w:r>
                      </w:p>
                      <w:p w14:paraId="4A0931BF" w14:textId="56851980"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Experto en Agroquímicos</w:t>
                        </w:r>
                      </w:p>
                      <w:p w14:paraId="29D58331" w14:textId="4B302F79"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Experto en Finanzas</w:t>
                        </w:r>
                      </w:p>
                      <w:p w14:paraId="129A04FC" w14:textId="0DAE4E7B"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Responsable de Gestión de Conocimientos</w:t>
                        </w:r>
                      </w:p>
                      <w:p w14:paraId="73056F51" w14:textId="440EB0EA"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Responsable de M&amp;E</w:t>
                        </w:r>
                      </w:p>
                      <w:p w14:paraId="5EDD64FD" w14:textId="77777777" w:rsidR="00E23E05" w:rsidRPr="009228DB" w:rsidRDefault="00E23E05" w:rsidP="009911CA">
                        <w:pPr>
                          <w:jc w:val="center"/>
                          <w:rPr>
                            <w:rFonts w:asciiTheme="minorHAnsi" w:hAnsiTheme="minorHAnsi" w:cstheme="minorHAnsi"/>
                            <w:bCs/>
                            <w:sz w:val="16"/>
                            <w:szCs w:val="16"/>
                            <w:lang w:val="en-US"/>
                          </w:rPr>
                        </w:pPr>
                      </w:p>
                    </w:txbxContent>
                  </v:textbox>
                </v:rect>
                <v:shape id="AutoShape 350" o:spid="_x0000_s1037" type="#_x0000_t32" style="position:absolute;left:29622;top:18856;width:4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roundrect id="AutoShape 351" o:spid="_x0000_s1038" style="position:absolute;left:3486;top:359;width:38519;height:23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" fillcolor="#9cf">
                  <v:textbox>
                    <w:txbxContent>
                      <w:p w14:paraId="7041B764" w14:textId="52258D8B"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 xml:space="preserve">Disposiciones de Gobernanza del </w:t>
                        </w:r>
                        <w:r w:rsidR="00206AD8">
                          <w:rPr>
                            <w:rFonts w:asciiTheme="minorHAnsi" w:hAnsiTheme="minorHAnsi"/>
                            <w:b/>
                            <w:sz w:val="16"/>
                          </w:rPr>
                          <w:t>proyecto</w:t>
                        </w:r>
                      </w:p>
                    </w:txbxContent>
                  </v:textbox>
                </v:roundrect>
                <v:rect id="Rectangle 356" o:spid="_x0000_s1039" style="position:absolute;left:19002;top:27798;width:11668;height: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" fillcolor="#ff9">
                  <v:shadow on="t" opacity=".5" offset="6pt,6pt"/>
                  <v:textbox>
                    <w:txbxContent>
                      <w:p w14:paraId="47DB429B" w14:textId="5124C3B8" w:rsidR="00E23E05" w:rsidRPr="009228DB" w:rsidRDefault="00E23E05" w:rsidP="009911CA">
                        <w:pPr>
                          <w:jc w:val="center"/>
                          <w:rPr>
                            <w:rFonts w:asciiTheme="minorHAnsi" w:hAnsiTheme="minorHAnsi" w:cstheme="minorHAnsi"/>
                            <w:b/>
                            <w:sz w:val="16"/>
                            <w:szCs w:val="16"/>
                          </w:rPr>
                        </w:pPr>
                        <w:r>
                          <w:rPr>
                            <w:rFonts w:asciiTheme="minorHAnsi" w:hAnsiTheme="minorHAnsi"/>
                            <w:b/>
                            <w:sz w:val="16"/>
                          </w:rPr>
                          <w:t>Parte Responsable</w:t>
                        </w:r>
                      </w:p>
                      <w:p w14:paraId="0A755393" w14:textId="56F8EEDE" w:rsidR="00E23E05" w:rsidRPr="009228DB" w:rsidRDefault="00E23E05" w:rsidP="009911CA">
                        <w:pPr>
                          <w:jc w:val="center"/>
                          <w:rPr>
                            <w:rFonts w:asciiTheme="minorHAnsi" w:hAnsiTheme="minorHAnsi" w:cstheme="minorHAnsi"/>
                            <w:bCs/>
                            <w:sz w:val="16"/>
                            <w:szCs w:val="16"/>
                          </w:rPr>
                        </w:pPr>
                        <w:r>
                          <w:rPr>
                            <w:rFonts w:asciiTheme="minorHAnsi" w:hAnsiTheme="minorHAnsi"/>
                            <w:sz w:val="16"/>
                          </w:rPr>
                          <w:t>AGROCALIDAD</w:t>
                        </w:r>
                      </w:p>
                    </w:txbxContent>
                  </v:textbox>
                </v:rect>
                <v:shape id="AutoShape 357" o:spid="_x0000_s1040" type="#_x0000_t32" style="position:absolute;left:27445;top:22669;width:50;height:51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41" type="#_x0000_t34" style="position:absolute;left:16478;top:14382;width:6820;height:200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"/>
                <v:rect id="Rectangle 356" o:spid="_x0000_s1042" style="position:absolute;left:359;top:22860;width:14881;height:7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" fillcolor="#ff9">
                  <v:shadow on="t" opacity=".5" offset="6pt,6pt"/>
                  <v:textbox>
                    <w:txbxContent>
                      <w:p w14:paraId="21BD538B" w14:textId="24A83D74" w:rsidR="00E23E05" w:rsidRDefault="00E23E05" w:rsidP="009911CA">
                        <w:pPr>
                          <w:jc w:val="center"/>
                          <w:rPr>
                            <w:rFonts w:asciiTheme="minorHAnsi" w:hAnsiTheme="minorHAnsi" w:cstheme="minorHAnsi"/>
                            <w:b/>
                            <w:bCs/>
                            <w:sz w:val="16"/>
                            <w:szCs w:val="16"/>
                          </w:rPr>
                        </w:pPr>
                        <w:r>
                          <w:rPr>
                            <w:rFonts w:asciiTheme="minorHAnsi" w:hAnsiTheme="minorHAnsi"/>
                            <w:b/>
                            <w:sz w:val="16"/>
                          </w:rPr>
                          <w:t>Apoyo del PNUD al Socio en la Implementación del Proyecto</w:t>
                        </w:r>
                      </w:p>
                      <w:p w14:paraId="7CD1EA9B" w14:textId="73CA3932" w:rsidR="00E23E05" w:rsidRPr="009228DB" w:rsidRDefault="00E23E05" w:rsidP="009911CA">
                        <w:pPr>
                          <w:jc w:val="center"/>
                          <w:rPr>
                            <w:rFonts w:asciiTheme="minorHAnsi" w:hAnsiTheme="minorHAnsi" w:cstheme="minorHAnsi"/>
                            <w:b/>
                            <w:bCs/>
                            <w:sz w:val="16"/>
                            <w:szCs w:val="16"/>
                          </w:rPr>
                        </w:pPr>
                        <w:r>
                          <w:rPr>
                            <w:rFonts w:ascii="Calibri" w:hAnsi="Calibri"/>
                            <w:sz w:val="16"/>
                          </w:rPr>
                          <w:t>Director de Operaciones del PNUD</w:t>
                        </w:r>
                      </w:p>
                    </w:txbxContent>
                  </v:textbox>
                </v:rect>
                <v:shape id="AutoShape 358" o:spid="_x0000_s1043" type="#_x0000_t34" style="position:absolute;left:15240;top:26081;width:12205;height:29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"/>
                <w10:anchorlock/>
              </v:group>
            </w:pict>
          </mc:Fallback>
        </mc:AlternateContent>
      </w:r>
    </w:p>
    <w:p w14:paraId="1B014BAD" w14:textId="77777777" w:rsidR="00AD340F" w:rsidRDefault="00AD340F" w:rsidP="00116D8D">
      <w:pPr>
        <w:spacing w:after="120"/>
        <w:jc w:val="both"/>
        <w:rPr>
          <w:rFonts w:ascii="Calibri" w:hAnsi="Calibri"/>
          <w:sz w:val="20"/>
        </w:rPr>
      </w:pPr>
    </w:p>
    <w:p w14:paraId="3D3D8410" w14:textId="05B29D79" w:rsidR="00AD340F" w:rsidRDefault="00AD340F" w:rsidP="00116D8D">
      <w:pPr>
        <w:spacing w:after="120"/>
        <w:jc w:val="both"/>
        <w:rPr>
          <w:rFonts w:ascii="Calibri" w:hAnsi="Calibri"/>
          <w:sz w:val="20"/>
        </w:rPr>
      </w:pPr>
    </w:p>
    <w:p w14:paraId="6A33F856" w14:textId="7CED78BA" w:rsidR="00547E01" w:rsidRPr="00547E01" w:rsidRDefault="00547E01" w:rsidP="00116D8D">
      <w:pPr>
        <w:spacing w:after="120"/>
        <w:jc w:val="both"/>
        <w:rPr>
          <w:rFonts w:ascii="Calibri" w:eastAsia="SimSun" w:hAnsi="Calibri" w:cs="Arial"/>
          <w:sz w:val="20"/>
          <w:szCs w:val="20"/>
        </w:rPr>
      </w:pPr>
      <w:r>
        <w:rPr>
          <w:rFonts w:ascii="Calibri" w:hAnsi="Calibri"/>
          <w:sz w:val="20"/>
        </w:rPr>
        <w:t xml:space="preserve">El Representante Residente del PNUD asume la plena </w:t>
      </w:r>
      <w:r>
        <w:rPr>
          <w:rFonts w:ascii="Calibri" w:hAnsi="Calibri"/>
          <w:color w:val="000000"/>
          <w:sz w:val="20"/>
        </w:rPr>
        <w:t>responsabilidad de la supervisión y la garantía de calidad de este proyecto y garantiza su ejecución oportuna de conformidad con los requisitos específicos del FMAM y las Políticas y Procedimientos de Programas y Operaciones (POPP) del PNUD, su Reglamento Financiero y la Reglamentación Financiera Detallada del PNUD, y el Marco de Control Interno.</w:t>
      </w:r>
      <w:r>
        <w:rPr>
          <w:rFonts w:ascii="Calibri" w:hAnsi="Calibri"/>
          <w:sz w:val="20"/>
        </w:rPr>
        <w:t xml:space="preserve"> Un representante de la </w:t>
      </w:r>
      <w:r w:rsidR="00343360">
        <w:rPr>
          <w:rFonts w:ascii="Calibri" w:hAnsi="Calibri"/>
          <w:sz w:val="20"/>
        </w:rPr>
        <w:t>Oficina Nacional</w:t>
      </w:r>
      <w:r>
        <w:rPr>
          <w:rFonts w:ascii="Calibri" w:hAnsi="Calibri"/>
          <w:sz w:val="20"/>
        </w:rPr>
        <w:t xml:space="preserve"> del PNUD asumirá la función de aseguramiento y presentará los resultados del aseguramiento a la Dirección del Proyecto, por lo que asiste a las reuniones de</w:t>
      </w:r>
      <w:r w:rsidR="00343360">
        <w:rPr>
          <w:rFonts w:ascii="Calibri" w:hAnsi="Calibri"/>
          <w:sz w:val="20"/>
        </w:rPr>
        <w:t xml:space="preserve">l Comité </w:t>
      </w:r>
      <w:r>
        <w:rPr>
          <w:rFonts w:ascii="Calibri" w:hAnsi="Calibri"/>
          <w:sz w:val="20"/>
        </w:rPr>
        <w:t xml:space="preserve">del Proyecto como miembro sin derecho a voto.  </w:t>
      </w:r>
    </w:p>
    <w:p w14:paraId="610F992C" w14:textId="33E15867" w:rsidR="009B2B57" w:rsidRDefault="00547E01" w:rsidP="00116D8D">
      <w:pPr>
        <w:spacing w:after="120"/>
        <w:jc w:val="both"/>
        <w:rPr>
          <w:rFonts w:ascii="Calibri" w:hAnsi="Calibri" w:cs="Calibri"/>
          <w:color w:val="000000"/>
          <w:sz w:val="20"/>
          <w:szCs w:val="20"/>
        </w:rPr>
      </w:pPr>
      <w:r>
        <w:rPr>
          <w:rFonts w:ascii="Calibri" w:hAnsi="Calibri"/>
          <w:b/>
          <w:sz w:val="20"/>
        </w:rPr>
        <w:t>Apoyo al proyecto del PNUD</w:t>
      </w:r>
      <w:r>
        <w:rPr>
          <w:rFonts w:ascii="Calibri" w:hAnsi="Calibri"/>
          <w:i/>
          <w:sz w:val="20"/>
        </w:rPr>
        <w:t>:</w:t>
      </w:r>
      <w:r>
        <w:rPr>
          <w:rFonts w:ascii="Calibri" w:hAnsi="Calibri"/>
          <w:sz w:val="20"/>
        </w:rPr>
        <w:t xml:space="preserve"> </w:t>
      </w:r>
      <w:r w:rsidR="00A73848">
        <w:rPr>
          <w:rFonts w:ascii="Calibri" w:hAnsi="Calibri"/>
          <w:color w:val="000000"/>
          <w:sz w:val="20"/>
        </w:rPr>
        <w:t>e</w:t>
      </w:r>
      <w:r>
        <w:rPr>
          <w:rFonts w:ascii="Calibri" w:hAnsi="Calibri"/>
          <w:color w:val="000000"/>
          <w:sz w:val="20"/>
        </w:rPr>
        <w:t>l Socio en la Implementación y el PFO del FMAM han solicitado al PNUD que preste servicios de apoyo por un importe de 119.315 dólares para toda la duración del proyecto</w:t>
      </w:r>
      <w:r>
        <w:rPr>
          <w:rFonts w:ascii="Calibri" w:hAnsi="Calibri"/>
          <w:sz w:val="20"/>
        </w:rPr>
        <w:t>, y el FMAM ha acordado que el PNUD preste dichos servicios de apoyo a la ejecución y que el cost</w:t>
      </w:r>
      <w:r w:rsidR="00EF5481">
        <w:rPr>
          <w:rFonts w:ascii="Calibri" w:hAnsi="Calibri"/>
          <w:sz w:val="20"/>
        </w:rPr>
        <w:t>o</w:t>
      </w:r>
      <w:r>
        <w:rPr>
          <w:rFonts w:ascii="Calibri" w:hAnsi="Calibri"/>
          <w:sz w:val="20"/>
        </w:rPr>
        <w:t xml:space="preserve"> de los mismos se impute al presupuesto del proyecto</w:t>
      </w:r>
      <w:r>
        <w:rPr>
          <w:rFonts w:ascii="Calibri" w:hAnsi="Calibri"/>
          <w:color w:val="000000"/>
          <w:sz w:val="20"/>
        </w:rPr>
        <w:t xml:space="preserve">. Los servicios de apoyo a la ejecución (ya sean financiados con cargo al presupuesto del proyecto o por otras fuentes) han sido detallados y acordados entre la </w:t>
      </w:r>
      <w:r w:rsidR="00343360">
        <w:rPr>
          <w:rFonts w:ascii="Calibri" w:hAnsi="Calibri"/>
          <w:color w:val="000000"/>
          <w:sz w:val="20"/>
        </w:rPr>
        <w:t>Oficina Nacional</w:t>
      </w:r>
      <w:r>
        <w:rPr>
          <w:rFonts w:ascii="Calibri" w:hAnsi="Calibri"/>
          <w:color w:val="000000"/>
          <w:sz w:val="20"/>
        </w:rPr>
        <w:t xml:space="preserve"> del PNUD y el Socio en la Implementación en una Carta de Acuerdo (LOA). Esta LOA se adjunta a este Documento de Proyecto.</w:t>
      </w:r>
    </w:p>
    <w:p w14:paraId="27BAC9D5" w14:textId="122DEA17" w:rsidR="00547E01" w:rsidRPr="00A74297" w:rsidRDefault="00547E01" w:rsidP="00A74297">
      <w:pPr>
        <w:shd w:val="clear" w:color="auto" w:fill="FFFFFF"/>
        <w:spacing w:after="120"/>
        <w:jc w:val="both"/>
        <w:rPr>
          <w:rFonts w:ascii="Calibri" w:eastAsia="SimSun" w:hAnsi="Calibri"/>
          <w:sz w:val="20"/>
          <w:szCs w:val="20"/>
        </w:rPr>
      </w:pPr>
      <w:r>
        <w:rPr>
          <w:rFonts w:ascii="Calibri" w:hAnsi="Calibri"/>
          <w:sz w:val="20"/>
        </w:rPr>
        <w:t>Para garantizar la estricta independencia exigida por el FMAM y de conformidad con el Marco de Control Interno del PNUD, estos servicios de ejecución se prestarán independientemente de los servicios de supervisión y garantía de calidad específicos del FMAM.</w:t>
      </w:r>
    </w:p>
    <w:p w14:paraId="625F15D7" w14:textId="56B1DC5C" w:rsidR="00966EF0" w:rsidRPr="006A315B" w:rsidRDefault="00966EF0" w:rsidP="00273AFD">
      <w:pPr>
        <w:spacing w:after="120"/>
        <w:rPr>
          <w:rFonts w:ascii="Calibri" w:eastAsia="SimSun" w:hAnsi="Calibri" w:cs="Arial"/>
          <w:b/>
          <w:sz w:val="20"/>
        </w:rPr>
      </w:pPr>
      <w:r>
        <w:rPr>
          <w:rFonts w:ascii="Calibri" w:hAnsi="Calibri"/>
          <w:b/>
          <w:sz w:val="20"/>
        </w:rPr>
        <w:t>Sección 3: Separación de funciones y cortafuegos con respecto a la representación del PNUD en la Dirección del Proyecto</w:t>
      </w:r>
    </w:p>
    <w:p w14:paraId="48411CED" w14:textId="62017DE0" w:rsidR="00966EF0" w:rsidRPr="006A315B" w:rsidRDefault="00966EF0" w:rsidP="0002553C">
      <w:pPr>
        <w:jc w:val="both"/>
        <w:rPr>
          <w:rFonts w:ascii="Calibri" w:eastAsia="SimSun" w:hAnsi="Calibri" w:cs="Arial"/>
          <w:bCs/>
          <w:noProof/>
          <w:sz w:val="20"/>
          <w:szCs w:val="20"/>
        </w:rPr>
      </w:pPr>
      <w:r>
        <w:rPr>
          <w:rFonts w:ascii="Calibri" w:hAnsi="Calibri"/>
          <w:sz w:val="20"/>
        </w:rPr>
        <w:t xml:space="preserve">Como se señala en las </w:t>
      </w:r>
      <w:hyperlink r:id="rId28" w:history="1">
        <w:r>
          <w:rPr>
            <w:rFonts w:ascii="Calibri" w:hAnsi="Calibri"/>
            <w:color w:val="0000FF"/>
            <w:sz w:val="20"/>
            <w:u w:val="single"/>
          </w:rPr>
          <w:t xml:space="preserve">Normas </w:t>
        </w:r>
        <w:r w:rsidR="008A2742">
          <w:rPr>
            <w:rFonts w:ascii="Calibri" w:hAnsi="Calibri"/>
            <w:color w:val="0000FF"/>
            <w:sz w:val="20"/>
            <w:u w:val="single"/>
          </w:rPr>
          <w:t>F</w:t>
        </w:r>
        <w:r>
          <w:rPr>
            <w:rFonts w:ascii="Calibri" w:hAnsi="Calibri"/>
            <w:color w:val="0000FF"/>
            <w:sz w:val="20"/>
            <w:u w:val="single"/>
          </w:rPr>
          <w:t xml:space="preserve">iduciarias </w:t>
        </w:r>
        <w:r w:rsidR="008A2742">
          <w:rPr>
            <w:rFonts w:ascii="Calibri" w:hAnsi="Calibri"/>
            <w:color w:val="0000FF"/>
            <w:sz w:val="20"/>
            <w:u w:val="single"/>
          </w:rPr>
          <w:t>M</w:t>
        </w:r>
        <w:r>
          <w:rPr>
            <w:rFonts w:ascii="Calibri" w:hAnsi="Calibri"/>
            <w:color w:val="0000FF"/>
            <w:sz w:val="20"/>
            <w:u w:val="single"/>
          </w:rPr>
          <w:t xml:space="preserve">ínimas para los </w:t>
        </w:r>
        <w:r w:rsidR="008A2742">
          <w:rPr>
            <w:rFonts w:ascii="Calibri" w:hAnsi="Calibri"/>
            <w:color w:val="0000FF"/>
            <w:sz w:val="20"/>
            <w:u w:val="single"/>
          </w:rPr>
          <w:t>O</w:t>
        </w:r>
        <w:r>
          <w:rPr>
            <w:rFonts w:ascii="Calibri" w:hAnsi="Calibri"/>
            <w:color w:val="0000FF"/>
            <w:sz w:val="20"/>
            <w:u w:val="single"/>
          </w:rPr>
          <w:t xml:space="preserve">rganismos </w:t>
        </w:r>
        <w:r w:rsidR="008A2742">
          <w:rPr>
            <w:rFonts w:ascii="Calibri" w:hAnsi="Calibri"/>
            <w:color w:val="0000FF"/>
            <w:sz w:val="20"/>
            <w:u w:val="single"/>
          </w:rPr>
          <w:t>A</w:t>
        </w:r>
        <w:r>
          <w:rPr>
            <w:rFonts w:ascii="Calibri" w:hAnsi="Calibri"/>
            <w:color w:val="0000FF"/>
            <w:sz w:val="20"/>
            <w:u w:val="single"/>
          </w:rPr>
          <w:t>sociados del FMAM,</w:t>
        </w:r>
      </w:hyperlink>
      <w:r>
        <w:rPr>
          <w:rFonts w:ascii="Calibri" w:hAnsi="Calibri"/>
          <w:sz w:val="20"/>
        </w:rPr>
        <w:t xml:space="preserve">en los casos en que un Organismo Asociado del FMAM (es decir, el PNUD) lleve a cabo tanto la supervisión de la implementación como la ejecución de un proyecto, el Organismo Asociado del FMAM (es decir, el PNUD) debe separar sus funciones de supervisión y ejecución de la implementación del proyecto, y describir en el documento de proyecto pertinente: 1) </w:t>
      </w:r>
      <w:r w:rsidR="00A73848">
        <w:rPr>
          <w:rFonts w:ascii="Calibri" w:hAnsi="Calibri"/>
          <w:sz w:val="20"/>
        </w:rPr>
        <w:t>d</w:t>
      </w:r>
      <w:r>
        <w:rPr>
          <w:rFonts w:ascii="Calibri" w:hAnsi="Calibri"/>
          <w:sz w:val="20"/>
        </w:rPr>
        <w:t xml:space="preserve">isposiciones institucionales satisfactorias para la separación de las funciones de supervisión y de ejecución de la implementación en diferentes departamentos del Organismo Asociado del FMAM; y 2) </w:t>
      </w:r>
      <w:r w:rsidR="00A73848">
        <w:rPr>
          <w:rFonts w:ascii="Calibri" w:hAnsi="Calibri"/>
          <w:sz w:val="20"/>
        </w:rPr>
        <w:t>l</w:t>
      </w:r>
      <w:r>
        <w:rPr>
          <w:rFonts w:ascii="Calibri" w:hAnsi="Calibri"/>
          <w:sz w:val="20"/>
        </w:rPr>
        <w:t>íneas claras de responsabilidad, presentación de informes y rendición de cuentas dentro del Organismo Asociado del FMAM entre las funciones de supervisión implementación y ejecución de proyecto</w:t>
      </w:r>
    </w:p>
    <w:p w14:paraId="04FF91BC" w14:textId="480B0C8F" w:rsidR="00966EF0" w:rsidRDefault="00966EF0" w:rsidP="003509B9">
      <w:pPr>
        <w:spacing w:after="120"/>
        <w:jc w:val="both"/>
        <w:rPr>
          <w:rFonts w:ascii="Calibri" w:eastAsia="SimSun" w:hAnsi="Calibri" w:cs="Arial"/>
          <w:bCs/>
          <w:noProof/>
          <w:sz w:val="20"/>
          <w:szCs w:val="20"/>
        </w:rPr>
      </w:pPr>
      <w:r>
        <w:rPr>
          <w:rFonts w:ascii="Calibri" w:hAnsi="Calibri"/>
          <w:sz w:val="20"/>
        </w:rPr>
        <w:t>.</w:t>
      </w:r>
    </w:p>
    <w:p w14:paraId="28B98E11" w14:textId="01A0E89E" w:rsidR="00F40E55" w:rsidRPr="00994258" w:rsidRDefault="00F40E55" w:rsidP="003509B9">
      <w:pPr>
        <w:spacing w:after="120"/>
        <w:jc w:val="both"/>
        <w:rPr>
          <w:rFonts w:ascii="Calibri" w:eastAsia="SimSun" w:hAnsi="Calibri" w:cs="Arial"/>
          <w:bCs/>
          <w:noProof/>
          <w:sz w:val="20"/>
          <w:szCs w:val="20"/>
        </w:rPr>
      </w:pPr>
      <w:r>
        <w:rPr>
          <w:rFonts w:ascii="Calibri" w:hAnsi="Calibri"/>
          <w:sz w:val="20"/>
        </w:rPr>
        <w:t xml:space="preserve">En este caso, la función de supervisión de la ejecución del PNUD en el proyecto, representada en la Dirección del Proyecto y a través de la función de garantía del proyecto, es desempeñada por </w:t>
      </w:r>
      <w:r>
        <w:rPr>
          <w:rFonts w:asciiTheme="minorHAnsi" w:hAnsiTheme="minorHAnsi"/>
          <w:sz w:val="20"/>
        </w:rPr>
        <w:t xml:space="preserve">la </w:t>
      </w:r>
      <w:r w:rsidR="00497A66">
        <w:rPr>
          <w:rFonts w:asciiTheme="minorHAnsi" w:hAnsiTheme="minorHAnsi"/>
          <w:sz w:val="20"/>
        </w:rPr>
        <w:t xml:space="preserve">CO </w:t>
      </w:r>
      <w:r>
        <w:rPr>
          <w:rFonts w:asciiTheme="minorHAnsi" w:hAnsiTheme="minorHAnsi"/>
          <w:sz w:val="20"/>
        </w:rPr>
        <w:t xml:space="preserve">RR de Ecuador </w:t>
      </w:r>
      <w:r>
        <w:rPr>
          <w:rFonts w:ascii="Calibri" w:hAnsi="Calibri"/>
          <w:sz w:val="20"/>
        </w:rPr>
        <w:t>en la Dirección del Proyecto y el Punto Focal de Ambiente para el aseguramiento del proyecto</w:t>
      </w:r>
      <w:r>
        <w:rPr>
          <w:rFonts w:asciiTheme="minorHAnsi" w:hAnsiTheme="minorHAnsi"/>
          <w:color w:val="000000" w:themeColor="text1"/>
          <w:sz w:val="20"/>
        </w:rPr>
        <w:t>.</w:t>
      </w:r>
      <w:r>
        <w:rPr>
          <w:rFonts w:ascii="Calibri" w:hAnsi="Calibri"/>
          <w:sz w:val="20"/>
        </w:rPr>
        <w:t xml:space="preserve"> La función de </w:t>
      </w:r>
      <w:r>
        <w:rPr>
          <w:rFonts w:ascii="Calibri" w:hAnsi="Calibri"/>
          <w:color w:val="000000" w:themeColor="text1"/>
          <w:sz w:val="20"/>
        </w:rPr>
        <w:t xml:space="preserve">ejecución del PNUD </w:t>
      </w:r>
      <w:r>
        <w:rPr>
          <w:rFonts w:ascii="Calibri" w:hAnsi="Calibri"/>
          <w:sz w:val="20"/>
        </w:rPr>
        <w:t>en el proyecto (solicitada por el asociado en la ejecución y aprobada por el FMAM) la desempeña un(a) Director(a) de Operaciones, y otro personal de la unidad de Operaciones,</w:t>
      </w:r>
      <w:r>
        <w:rPr>
          <w:rFonts w:asciiTheme="minorHAnsi" w:hAnsiTheme="minorHAnsi"/>
          <w:color w:val="000000"/>
          <w:sz w:val="20"/>
        </w:rPr>
        <w:t xml:space="preserve"> </w:t>
      </w:r>
      <w:r>
        <w:rPr>
          <w:rFonts w:ascii="Calibri" w:hAnsi="Calibri"/>
          <w:sz w:val="20"/>
        </w:rPr>
        <w:t>que dependerán del Representante Residente Adjunto</w:t>
      </w:r>
      <w:r>
        <w:rPr>
          <w:rFonts w:asciiTheme="minorHAnsi" w:hAnsiTheme="minorHAnsi"/>
          <w:color w:val="000000"/>
          <w:sz w:val="20"/>
        </w:rPr>
        <w:t>.</w:t>
      </w:r>
    </w:p>
    <w:p w14:paraId="75DD331D" w14:textId="77777777" w:rsidR="00966EF0" w:rsidRPr="002152FE" w:rsidRDefault="00966EF0" w:rsidP="00966EF0">
      <w:pPr>
        <w:shd w:val="clear" w:color="auto" w:fill="FFFFFF"/>
        <w:rPr>
          <w:rFonts w:ascii="Calibri" w:eastAsia="SimSun" w:hAnsi="Calibri" w:cs="Arial"/>
          <w:noProof/>
          <w:sz w:val="20"/>
          <w:szCs w:val="20"/>
          <w:u w:val="single"/>
          <w:lang w:val="es-EC" w:eastAsia="zh-CN"/>
        </w:rPr>
      </w:pPr>
    </w:p>
    <w:p w14:paraId="69FF85A6" w14:textId="2E9B6FE7" w:rsidR="00966EF0" w:rsidRPr="00273AFD" w:rsidRDefault="00966EF0" w:rsidP="00273AFD">
      <w:pPr>
        <w:shd w:val="clear" w:color="auto" w:fill="FFFFFF"/>
        <w:spacing w:after="120"/>
        <w:rPr>
          <w:rFonts w:ascii="Calibri" w:eastAsia="SimSun" w:hAnsi="Calibri" w:cs="Calibri"/>
          <w:b/>
          <w:sz w:val="20"/>
          <w:szCs w:val="20"/>
        </w:rPr>
      </w:pPr>
      <w:r>
        <w:rPr>
          <w:rFonts w:ascii="Calibri" w:hAnsi="Calibri"/>
          <w:b/>
          <w:sz w:val="20"/>
          <w:u w:val="single"/>
        </w:rPr>
        <w:t>Sección 4: Funciones y responsabilidades de la Estructura Organizativa del Proyecto</w:t>
      </w:r>
    </w:p>
    <w:p w14:paraId="2E9A54EE" w14:textId="79DDD4A3" w:rsidR="00966EF0" w:rsidRPr="00273AFD" w:rsidRDefault="00966EF0">
      <w:pPr>
        <w:numPr>
          <w:ilvl w:val="0"/>
          <w:numId w:val="17"/>
        </w:numPr>
        <w:shd w:val="clear" w:color="auto" w:fill="FFFFFF"/>
        <w:spacing w:after="120"/>
        <w:jc w:val="both"/>
        <w:rPr>
          <w:rFonts w:ascii="Calibri" w:eastAsia="SimSun" w:hAnsi="Calibri" w:cs="Calibri"/>
          <w:b/>
          <w:bCs/>
          <w:noProof/>
          <w:sz w:val="20"/>
          <w:szCs w:val="20"/>
        </w:rPr>
      </w:pPr>
      <w:r>
        <w:rPr>
          <w:rFonts w:ascii="Calibri" w:hAnsi="Calibri"/>
          <w:b/>
          <w:sz w:val="20"/>
        </w:rPr>
        <w:t xml:space="preserve">Dirección del Proyecto: </w:t>
      </w:r>
      <w:r w:rsidR="00A73848">
        <w:rPr>
          <w:rFonts w:ascii="Calibri" w:hAnsi="Calibri"/>
          <w:sz w:val="20"/>
        </w:rPr>
        <w:t>t</w:t>
      </w:r>
      <w:r>
        <w:rPr>
          <w:rFonts w:ascii="Calibri" w:hAnsi="Calibri"/>
          <w:sz w:val="20"/>
        </w:rPr>
        <w:t xml:space="preserve">odos los proyectos del PNUD deben estar regidos por una dirección o comité de múltiples partes interesadas establecido para revisar el rendimiento basado en el </w:t>
      </w:r>
      <w:r w:rsidR="00583161">
        <w:rPr>
          <w:rFonts w:ascii="Calibri" w:hAnsi="Calibri"/>
          <w:sz w:val="20"/>
        </w:rPr>
        <w:t>M</w:t>
      </w:r>
      <w:r>
        <w:rPr>
          <w:rFonts w:ascii="Calibri" w:hAnsi="Calibri"/>
          <w:sz w:val="20"/>
        </w:rPr>
        <w:t xml:space="preserve">onitoreo y </w:t>
      </w:r>
      <w:r w:rsidR="00583161">
        <w:rPr>
          <w:rFonts w:ascii="Calibri" w:hAnsi="Calibri"/>
          <w:sz w:val="20"/>
        </w:rPr>
        <w:t>E</w:t>
      </w:r>
      <w:r>
        <w:rPr>
          <w:rFonts w:ascii="Calibri" w:hAnsi="Calibri"/>
          <w:sz w:val="20"/>
        </w:rPr>
        <w:t xml:space="preserve">valuación, y las cuestiones de implementación para garantizar la calidad de la entrega de resultados. La Dirección del Proyecto (también llamada Comité </w:t>
      </w:r>
      <w:r w:rsidR="00C67C5B">
        <w:rPr>
          <w:rFonts w:ascii="Calibri" w:hAnsi="Calibri"/>
          <w:sz w:val="20"/>
        </w:rPr>
        <w:t>Directivo</w:t>
      </w:r>
      <w:r>
        <w:rPr>
          <w:rFonts w:ascii="Calibri" w:hAnsi="Calibri"/>
          <w:sz w:val="20"/>
        </w:rPr>
        <w:t xml:space="preserve">) es el órgano de supervisión de mayor rango dedicado a un proyecto. </w:t>
      </w:r>
    </w:p>
    <w:p w14:paraId="5F4748C2" w14:textId="09B80D78" w:rsidR="00966EF0" w:rsidRPr="006A315B" w:rsidRDefault="00966EF0" w:rsidP="00273AFD">
      <w:pPr>
        <w:shd w:val="clear" w:color="auto" w:fill="FFFFFF"/>
        <w:spacing w:after="120"/>
        <w:rPr>
          <w:rFonts w:ascii="Calibri" w:eastAsia="SimSun" w:hAnsi="Calibri" w:cs="Calibri"/>
          <w:noProof/>
          <w:sz w:val="20"/>
          <w:szCs w:val="20"/>
        </w:rPr>
      </w:pPr>
      <w:r>
        <w:rPr>
          <w:rFonts w:ascii="Calibri" w:hAnsi="Calibri"/>
          <w:sz w:val="20"/>
        </w:rPr>
        <w:t xml:space="preserve">Las dos funciones principales (obligatorias) de la </w:t>
      </w:r>
      <w:r w:rsidR="00583161">
        <w:rPr>
          <w:rFonts w:ascii="Calibri" w:hAnsi="Calibri"/>
          <w:sz w:val="20"/>
        </w:rPr>
        <w:t>D</w:t>
      </w:r>
      <w:r>
        <w:rPr>
          <w:rFonts w:ascii="Calibri" w:hAnsi="Calibri"/>
          <w:sz w:val="20"/>
        </w:rPr>
        <w:t xml:space="preserve">irección del </w:t>
      </w:r>
      <w:r w:rsidR="00583161">
        <w:rPr>
          <w:rFonts w:ascii="Calibri" w:hAnsi="Calibri"/>
          <w:sz w:val="20"/>
        </w:rPr>
        <w:t>P</w:t>
      </w:r>
      <w:r>
        <w:rPr>
          <w:rFonts w:ascii="Calibri" w:hAnsi="Calibri"/>
          <w:sz w:val="20"/>
        </w:rPr>
        <w:t>royecto son las siguientes:</w:t>
      </w:r>
    </w:p>
    <w:p w14:paraId="4CBF33C9" w14:textId="395E6B4E" w:rsidR="00966EF0" w:rsidRPr="006A315B" w:rsidRDefault="00966EF0">
      <w:pPr>
        <w:numPr>
          <w:ilvl w:val="0"/>
          <w:numId w:val="12"/>
        </w:numPr>
        <w:shd w:val="clear" w:color="auto" w:fill="FFFFFF"/>
        <w:spacing w:after="120"/>
        <w:jc w:val="both"/>
        <w:rPr>
          <w:rFonts w:ascii="Calibri" w:eastAsia="SimSun" w:hAnsi="Calibri" w:cs="Calibri"/>
          <w:sz w:val="20"/>
          <w:szCs w:val="20"/>
        </w:rPr>
      </w:pPr>
      <w:r>
        <w:rPr>
          <w:rFonts w:ascii="Calibri" w:hAnsi="Calibri"/>
          <w:b/>
          <w:sz w:val="20"/>
        </w:rPr>
        <w:t>Supervisión de alto nivel de la ejecución del proyecto por parte del Socio en la Implementación</w:t>
      </w:r>
      <w:r>
        <w:rPr>
          <w:rFonts w:ascii="Calibri" w:hAnsi="Calibri"/>
          <w:sz w:val="20"/>
        </w:rPr>
        <w:t xml:space="preserve"> (como se explica en el apartado </w:t>
      </w:r>
      <w:hyperlink r:id="rId29" w:history="1">
        <w:r>
          <w:rPr>
            <w:rFonts w:ascii="Calibri" w:hAnsi="Calibri"/>
            <w:color w:val="0000FF"/>
            <w:sz w:val="20"/>
            <w:u w:val="single"/>
          </w:rPr>
          <w:t>"Proporcionar Supervisión"</w:t>
        </w:r>
      </w:hyperlink>
      <w:r>
        <w:rPr>
          <w:rFonts w:ascii="Calibri" w:hAnsi="Calibri"/>
          <w:sz w:val="20"/>
        </w:rPr>
        <w:t xml:space="preserve"> del POPP). Esta es la función principal de la </w:t>
      </w:r>
      <w:r w:rsidR="00583161">
        <w:rPr>
          <w:rFonts w:ascii="Calibri" w:hAnsi="Calibri"/>
          <w:sz w:val="20"/>
        </w:rPr>
        <w:t>D</w:t>
      </w:r>
      <w:r>
        <w:rPr>
          <w:rFonts w:ascii="Calibri" w:hAnsi="Calibri"/>
          <w:sz w:val="20"/>
        </w:rPr>
        <w:t>irección del Proyecto e incluye evaluaciones anuales (y según sea necesario) de cualquier riesgo importante para el proyecto, y decisiones/acuerdos sobre cualquier acción de gestión o medidas correctoras para abordarlos eficazmente. La Dirección del Proyecto examina las pruebas de los resultados del proyecto basándose en el monitoreo, evaluación y elaboración de informes, incluidos informes de avances, evaluaciones, registros de riesgos e informe de ejecución combinado.</w:t>
      </w:r>
      <w:r>
        <w:rPr>
          <w:sz w:val="20"/>
        </w:rPr>
        <w:t xml:space="preserve"> </w:t>
      </w:r>
      <w:r>
        <w:rPr>
          <w:rFonts w:ascii="Calibri" w:hAnsi="Calibri"/>
          <w:sz w:val="20"/>
        </w:rPr>
        <w:t>La Dirección del Proyecto es responsable de adoptar las medidas correctoras necesarias para garantizar que el proyecto alcance los resultados deseados.</w:t>
      </w:r>
    </w:p>
    <w:p w14:paraId="52D0078D" w14:textId="76477250" w:rsidR="00966EF0" w:rsidRPr="00273AFD" w:rsidRDefault="00966EF0">
      <w:pPr>
        <w:numPr>
          <w:ilvl w:val="0"/>
          <w:numId w:val="12"/>
        </w:numPr>
        <w:shd w:val="clear" w:color="auto" w:fill="FFFFFF"/>
        <w:spacing w:after="120"/>
        <w:jc w:val="both"/>
        <w:rPr>
          <w:rFonts w:eastAsia="SimSun" w:cs="Arial"/>
          <w:sz w:val="20"/>
          <w:szCs w:val="20"/>
        </w:rPr>
      </w:pPr>
      <w:r>
        <w:rPr>
          <w:rFonts w:ascii="Calibri" w:hAnsi="Calibri"/>
          <w:b/>
          <w:sz w:val="20"/>
        </w:rPr>
        <w:t>Aprobación de las decisiones estratégicas de ejecución</w:t>
      </w:r>
      <w:r>
        <w:rPr>
          <w:rFonts w:ascii="Calibri" w:hAnsi="Calibri"/>
          <w:b/>
          <w:bCs/>
          <w:sz w:val="20"/>
        </w:rPr>
        <w:t xml:space="preserve"> de proyecto del Socio en la Implementación</w:t>
      </w:r>
      <w:r>
        <w:rPr>
          <w:rFonts w:ascii="Calibri" w:hAnsi="Calibri"/>
          <w:sz w:val="20"/>
        </w:rPr>
        <w:t xml:space="preserve"> con vistas a evaluar y gestionar los riesgos, supervisar y garantizar la consecución general de los resultados e impactos previstos y garantizar la sostenibilidad a largo plazo de las decisiones de ejecución del proyecto del Socio en la Implementación</w:t>
      </w:r>
      <w:r>
        <w:rPr>
          <w:rFonts w:ascii="Calibri" w:hAnsi="Calibri"/>
          <w:b/>
          <w:sz w:val="20"/>
        </w:rPr>
        <w:t xml:space="preserve"> </w:t>
      </w:r>
      <w:r>
        <w:rPr>
          <w:rFonts w:ascii="Calibri" w:hAnsi="Calibri"/>
          <w:sz w:val="20"/>
        </w:rPr>
        <w:t xml:space="preserve">(como se explica en la sección </w:t>
      </w:r>
      <w:hyperlink r:id="rId30" w:history="1">
        <w:r>
          <w:rPr>
            <w:rFonts w:ascii="Calibri" w:hAnsi="Calibri"/>
            <w:color w:val="0000FF"/>
            <w:sz w:val="20"/>
            <w:u w:val="single"/>
          </w:rPr>
          <w:t xml:space="preserve">"Gestión de </w:t>
        </w:r>
        <w:r w:rsidR="00583161">
          <w:rPr>
            <w:rFonts w:ascii="Calibri" w:hAnsi="Calibri"/>
            <w:color w:val="0000FF"/>
            <w:sz w:val="20"/>
            <w:u w:val="single"/>
          </w:rPr>
          <w:t>C</w:t>
        </w:r>
        <w:r>
          <w:rPr>
            <w:rFonts w:ascii="Calibri" w:hAnsi="Calibri"/>
            <w:color w:val="0000FF"/>
            <w:sz w:val="20"/>
            <w:u w:val="single"/>
          </w:rPr>
          <w:t>ambios"</w:t>
        </w:r>
      </w:hyperlink>
      <w:r>
        <w:rPr>
          <w:rFonts w:ascii="Calibri" w:hAnsi="Calibri"/>
          <w:sz w:val="20"/>
        </w:rPr>
        <w:t xml:space="preserve"> del POPP). </w:t>
      </w:r>
    </w:p>
    <w:p w14:paraId="11BE7E59" w14:textId="268D5BEE" w:rsidR="00966EF0" w:rsidRPr="006A315B" w:rsidRDefault="00966EF0" w:rsidP="00966EF0">
      <w:pPr>
        <w:shd w:val="clear" w:color="auto" w:fill="FFFFFF"/>
        <w:rPr>
          <w:rFonts w:ascii="Calibri" w:eastAsia="SimSun" w:hAnsi="Calibri" w:cs="Calibri"/>
          <w:noProof/>
          <w:sz w:val="20"/>
          <w:szCs w:val="20"/>
        </w:rPr>
      </w:pPr>
      <w:r>
        <w:rPr>
          <w:rFonts w:ascii="Calibri" w:hAnsi="Calibri"/>
          <w:b/>
          <w:sz w:val="20"/>
        </w:rPr>
        <w:t>Requisitos para formar parte de la Dirección del Proyecto</w:t>
      </w:r>
      <w:r>
        <w:rPr>
          <w:rFonts w:ascii="Calibri" w:hAnsi="Calibri"/>
          <w:sz w:val="20"/>
        </w:rPr>
        <w:t xml:space="preserve">: </w:t>
      </w:r>
    </w:p>
    <w:p w14:paraId="5401D2CE" w14:textId="2EBAA05D" w:rsidR="00966EF0" w:rsidRPr="00A562E4" w:rsidRDefault="00966EF0">
      <w:pPr>
        <w:numPr>
          <w:ilvl w:val="0"/>
          <w:numId w:val="13"/>
        </w:numPr>
        <w:shd w:val="clear" w:color="auto" w:fill="FFFFFF"/>
        <w:jc w:val="both"/>
        <w:rPr>
          <w:rFonts w:ascii="Calibri" w:eastAsia="SimSun" w:hAnsi="Calibri" w:cs="Arial"/>
          <w:sz w:val="20"/>
          <w:szCs w:val="20"/>
        </w:rPr>
      </w:pPr>
      <w:r>
        <w:rPr>
          <w:rFonts w:ascii="Calibri" w:hAnsi="Calibri"/>
          <w:sz w:val="20"/>
        </w:rPr>
        <w:t>Estar de acuerdo con los Términos de Referencia de la Dirección y las normas sobre protocolos, quórum y actas.</w:t>
      </w:r>
    </w:p>
    <w:p w14:paraId="650104B2" w14:textId="77777777" w:rsidR="00966EF0" w:rsidRPr="006A315B" w:rsidRDefault="00966EF0">
      <w:pPr>
        <w:numPr>
          <w:ilvl w:val="0"/>
          <w:numId w:val="13"/>
        </w:numPr>
        <w:shd w:val="clear" w:color="auto" w:fill="FFFFFF"/>
        <w:jc w:val="both"/>
        <w:rPr>
          <w:rFonts w:ascii="Calibri" w:eastAsia="SimSun" w:hAnsi="Calibri" w:cs="Arial"/>
          <w:sz w:val="20"/>
          <w:szCs w:val="20"/>
        </w:rPr>
      </w:pPr>
      <w:r>
        <w:rPr>
          <w:rFonts w:ascii="Calibri" w:hAnsi="Calibri"/>
          <w:sz w:val="20"/>
        </w:rPr>
        <w:t>Reunirse anualmente; al menos una vez.</w:t>
      </w:r>
    </w:p>
    <w:p w14:paraId="731E1506" w14:textId="77777777" w:rsidR="00966EF0" w:rsidRPr="006A315B" w:rsidRDefault="00966EF0">
      <w:pPr>
        <w:numPr>
          <w:ilvl w:val="0"/>
          <w:numId w:val="13"/>
        </w:numPr>
        <w:jc w:val="both"/>
        <w:rPr>
          <w:rFonts w:ascii="Calibri" w:eastAsia="SimSun" w:hAnsi="Calibri" w:cs="Calibri"/>
          <w:sz w:val="20"/>
        </w:rPr>
      </w:pPr>
      <w:r>
        <w:rPr>
          <w:rFonts w:ascii="Calibri" w:hAnsi="Calibri"/>
          <w:sz w:val="20"/>
        </w:rPr>
        <w:t>Revelar cualquier conflicto de intereses en el desempeño de las funciones de algún miembro de la Dirección del Proyecto y tomar todas las medidas necesarias para evitar cualquier conflicto de intereses real o percibido. El PNUD deberá documentar y conservar esta información.</w:t>
      </w:r>
    </w:p>
    <w:p w14:paraId="64198AC0" w14:textId="77777777" w:rsidR="00966EF0" w:rsidRPr="006A315B" w:rsidRDefault="00966EF0">
      <w:pPr>
        <w:numPr>
          <w:ilvl w:val="0"/>
          <w:numId w:val="13"/>
        </w:numPr>
        <w:shd w:val="clear" w:color="auto" w:fill="FFFFFF"/>
        <w:jc w:val="both"/>
        <w:rPr>
          <w:rFonts w:ascii="Calibri" w:eastAsia="SimSun" w:hAnsi="Calibri" w:cs="Arial"/>
          <w:sz w:val="20"/>
          <w:szCs w:val="20"/>
        </w:rPr>
      </w:pPr>
      <w:r>
        <w:rPr>
          <w:rFonts w:ascii="Calibri" w:hAnsi="Calibri"/>
          <w:sz w:val="20"/>
        </w:rPr>
        <w:t>Desempeñar las funciones de la Dirección del Proyecto de conformidad con las políticas y procedimientos del PNUD.</w:t>
      </w:r>
    </w:p>
    <w:p w14:paraId="42ECE674" w14:textId="77777777" w:rsidR="00966EF0" w:rsidRPr="006A315B" w:rsidRDefault="00966EF0">
      <w:pPr>
        <w:numPr>
          <w:ilvl w:val="0"/>
          <w:numId w:val="13"/>
        </w:numPr>
        <w:shd w:val="clear" w:color="auto" w:fill="FFFFFF"/>
        <w:jc w:val="both"/>
        <w:rPr>
          <w:rFonts w:ascii="Calibri" w:eastAsia="SimSun" w:hAnsi="Calibri" w:cs="Calibri"/>
          <w:noProof/>
          <w:sz w:val="20"/>
          <w:szCs w:val="20"/>
        </w:rPr>
      </w:pPr>
      <w:r>
        <w:rPr>
          <w:rFonts w:ascii="Calibri" w:hAnsi="Calibri"/>
          <w:sz w:val="20"/>
        </w:rPr>
        <w:t>Garantizar los máximos niveles de transparencia y velar por que las actas de las reuniones de la Dirección del Proyecto se registren y compartan con las partes interesadas del proyecto.</w:t>
      </w:r>
    </w:p>
    <w:p w14:paraId="1551CFE7" w14:textId="77777777" w:rsidR="00966EF0" w:rsidRPr="002152FE" w:rsidRDefault="00966EF0" w:rsidP="00966EF0">
      <w:pPr>
        <w:shd w:val="clear" w:color="auto" w:fill="FFFFFF"/>
        <w:rPr>
          <w:rFonts w:ascii="Calibri" w:eastAsia="SimSun" w:hAnsi="Calibri" w:cs="Calibri"/>
          <w:b/>
          <w:bCs/>
          <w:noProof/>
          <w:sz w:val="20"/>
          <w:szCs w:val="20"/>
          <w:lang w:val="es-EC" w:eastAsia="zh-CN"/>
        </w:rPr>
      </w:pPr>
    </w:p>
    <w:p w14:paraId="7EA189A3" w14:textId="0C835CD7" w:rsidR="00966EF0" w:rsidRPr="006A315B" w:rsidRDefault="00966EF0" w:rsidP="00966EF0">
      <w:pPr>
        <w:shd w:val="clear" w:color="auto" w:fill="FFFFFF"/>
        <w:rPr>
          <w:rFonts w:ascii="Calibri" w:eastAsia="SimSun" w:hAnsi="Calibri" w:cs="Arial"/>
          <w:noProof/>
          <w:sz w:val="20"/>
        </w:rPr>
      </w:pPr>
      <w:r>
        <w:rPr>
          <w:rFonts w:ascii="Calibri" w:hAnsi="Calibri"/>
          <w:b/>
          <w:sz w:val="20"/>
        </w:rPr>
        <w:t>Responsabilidades de la Dirección del Proyecto</w:t>
      </w:r>
      <w:r>
        <w:rPr>
          <w:rFonts w:ascii="Calibri" w:hAnsi="Calibri"/>
          <w:sz w:val="20"/>
        </w:rPr>
        <w:t xml:space="preserve">: </w:t>
      </w:r>
    </w:p>
    <w:p w14:paraId="162A1F50" w14:textId="77777777" w:rsidR="00966EF0" w:rsidRPr="00966EF0" w:rsidRDefault="00966EF0">
      <w:pPr>
        <w:numPr>
          <w:ilvl w:val="0"/>
          <w:numId w:val="14"/>
        </w:numPr>
        <w:shd w:val="clear" w:color="auto" w:fill="FFFFFF"/>
        <w:jc w:val="both"/>
        <w:rPr>
          <w:rFonts w:ascii="Calibri" w:hAnsi="Calibri" w:cs="Calibri"/>
          <w:sz w:val="20"/>
          <w:szCs w:val="20"/>
        </w:rPr>
      </w:pPr>
      <w:r>
        <w:rPr>
          <w:rFonts w:ascii="Calibri" w:hAnsi="Calibri"/>
          <w:sz w:val="20"/>
        </w:rPr>
        <w:t>Toma de decisiones por consenso:</w:t>
      </w:r>
    </w:p>
    <w:p w14:paraId="69000585" w14:textId="449EEDCA" w:rsidR="00966EF0" w:rsidRPr="006A315B" w:rsidRDefault="00966EF0">
      <w:pPr>
        <w:numPr>
          <w:ilvl w:val="1"/>
          <w:numId w:val="14"/>
        </w:numPr>
        <w:shd w:val="clear" w:color="auto" w:fill="FFFFFF"/>
        <w:jc w:val="both"/>
        <w:rPr>
          <w:rFonts w:ascii="Calibri" w:hAnsi="Calibri" w:cs="Calibri"/>
          <w:sz w:val="20"/>
          <w:szCs w:val="20"/>
        </w:rPr>
      </w:pPr>
      <w:r>
        <w:rPr>
          <w:rFonts w:ascii="Calibri" w:hAnsi="Calibri"/>
          <w:sz w:val="20"/>
        </w:rPr>
        <w:t xml:space="preserve">La Dirección del Proyecto proporciona orientación y dirección generales al proyecto, garantizando que se mantenga dentro de las limitaciones especificadas y supervisando globalmente la ejecución del proyecto. </w:t>
      </w:r>
    </w:p>
    <w:p w14:paraId="40E0A7C4" w14:textId="77777777" w:rsidR="00966EF0" w:rsidRPr="00A562E4" w:rsidRDefault="00966EF0">
      <w:pPr>
        <w:numPr>
          <w:ilvl w:val="1"/>
          <w:numId w:val="14"/>
        </w:numPr>
        <w:shd w:val="clear" w:color="auto" w:fill="FFFFFF"/>
        <w:jc w:val="both"/>
        <w:rPr>
          <w:rFonts w:ascii="Calibri" w:hAnsi="Calibri" w:cs="Calibri"/>
          <w:sz w:val="20"/>
          <w:szCs w:val="20"/>
        </w:rPr>
      </w:pPr>
      <w:r>
        <w:rPr>
          <w:rFonts w:ascii="Calibri" w:hAnsi="Calibri"/>
          <w:sz w:val="20"/>
        </w:rPr>
        <w:t>Revisar el rendimiento del proyecto basándose en el monitoreo, evaluación y elaboración de informes, incluidos los informes de avances, registros de riesgos e informe de entrega combinado;</w:t>
      </w:r>
    </w:p>
    <w:p w14:paraId="0590EBFD" w14:textId="77777777" w:rsidR="00966EF0" w:rsidRPr="006A315B" w:rsidRDefault="00966EF0">
      <w:pPr>
        <w:numPr>
          <w:ilvl w:val="1"/>
          <w:numId w:val="14"/>
        </w:numPr>
        <w:shd w:val="clear" w:color="auto" w:fill="FFFFFF"/>
        <w:jc w:val="both"/>
        <w:rPr>
          <w:rFonts w:ascii="Calibri" w:hAnsi="Calibri" w:cs="Calibri"/>
          <w:sz w:val="20"/>
          <w:szCs w:val="20"/>
        </w:rPr>
      </w:pPr>
      <w:r>
        <w:rPr>
          <w:rFonts w:ascii="Calibri" w:hAnsi="Calibri"/>
          <w:sz w:val="20"/>
        </w:rPr>
        <w:t xml:space="preserve">La Dirección del Proyecto se encarga de tomar decisiones de gestión por consenso. </w:t>
      </w:r>
    </w:p>
    <w:p w14:paraId="23B9FDF6" w14:textId="77777777" w:rsidR="00966EF0" w:rsidRPr="006A315B" w:rsidRDefault="00966EF0">
      <w:pPr>
        <w:numPr>
          <w:ilvl w:val="1"/>
          <w:numId w:val="14"/>
        </w:numPr>
        <w:shd w:val="clear" w:color="auto" w:fill="FFFFFF"/>
        <w:jc w:val="both"/>
        <w:rPr>
          <w:rFonts w:ascii="Calibri" w:hAnsi="Calibri" w:cs="Calibri"/>
          <w:sz w:val="20"/>
          <w:szCs w:val="20"/>
        </w:rPr>
      </w:pPr>
      <w:r>
        <w:rPr>
          <w:rFonts w:ascii="Calibri" w:hAnsi="Calibri"/>
          <w:sz w:val="20"/>
        </w:rPr>
        <w:t xml:space="preserve">Con el fin de garantizar la responsabilidad máxima del PNUD, las decisiones de la Dirección del Proyecto deben tomarse de acuerdo con normas que garanticen la gestión para resultados de desarrollo, la mejor relación calidad-precio, la equidad, la integridad, la transparencia y la competencia internacional efectiva.  </w:t>
      </w:r>
    </w:p>
    <w:p w14:paraId="315090EC" w14:textId="7E7213EE" w:rsidR="00966EF0" w:rsidRPr="003509B9" w:rsidRDefault="00966EF0">
      <w:pPr>
        <w:numPr>
          <w:ilvl w:val="1"/>
          <w:numId w:val="14"/>
        </w:numPr>
        <w:shd w:val="clear" w:color="auto" w:fill="FFFFFF"/>
        <w:jc w:val="both"/>
        <w:rPr>
          <w:rFonts w:ascii="Calibri" w:hAnsi="Calibri" w:cs="Calibri"/>
          <w:sz w:val="20"/>
          <w:szCs w:val="20"/>
        </w:rPr>
      </w:pPr>
      <w:r>
        <w:rPr>
          <w:rFonts w:ascii="Calibri" w:hAnsi="Calibri"/>
          <w:sz w:val="20"/>
        </w:rPr>
        <w:t>En caso de que no se pueda llegar a un consenso en el seno de la Dirección, el representante del PNUD en la Dirección mediará para encontrar un consenso y, si no se consigue, tomará la decisión final para garantizar que la ejecución del proyecto no se retrase indebidamente</w:t>
      </w:r>
      <w:r>
        <w:rPr>
          <w:rFonts w:ascii="Calibri" w:hAnsi="Calibri"/>
          <w:i/>
          <w:sz w:val="20"/>
        </w:rPr>
        <w:t>.</w:t>
      </w:r>
    </w:p>
    <w:p w14:paraId="7AD47D4E" w14:textId="77777777" w:rsidR="00966EF0" w:rsidRPr="00966EF0" w:rsidRDefault="00966EF0">
      <w:pPr>
        <w:numPr>
          <w:ilvl w:val="0"/>
          <w:numId w:val="14"/>
        </w:numPr>
        <w:shd w:val="clear" w:color="auto" w:fill="FFFFFF"/>
        <w:jc w:val="both"/>
        <w:rPr>
          <w:rFonts w:ascii="Calibri" w:hAnsi="Calibri" w:cs="Calibri"/>
          <w:sz w:val="20"/>
          <w:szCs w:val="20"/>
        </w:rPr>
      </w:pPr>
      <w:r>
        <w:rPr>
          <w:rFonts w:ascii="Calibri" w:hAnsi="Calibri"/>
          <w:sz w:val="20"/>
        </w:rPr>
        <w:t xml:space="preserve">Supervisar la ejecución de los proyectos: </w:t>
      </w:r>
    </w:p>
    <w:p w14:paraId="44D815CB" w14:textId="08B8EA75" w:rsidR="00966EF0" w:rsidRPr="006A315B" w:rsidRDefault="00966EF0">
      <w:pPr>
        <w:numPr>
          <w:ilvl w:val="1"/>
          <w:numId w:val="14"/>
        </w:numPr>
        <w:jc w:val="both"/>
        <w:rPr>
          <w:rFonts w:ascii="Calibri" w:eastAsia="SimSun" w:hAnsi="Calibri"/>
          <w:sz w:val="20"/>
          <w:szCs w:val="20"/>
        </w:rPr>
      </w:pPr>
      <w:r>
        <w:rPr>
          <w:rFonts w:ascii="Calibri" w:hAnsi="Calibri"/>
          <w:sz w:val="20"/>
        </w:rPr>
        <w:t xml:space="preserve">Acordar las tolerancias del </w:t>
      </w:r>
      <w:r w:rsidR="00583161">
        <w:rPr>
          <w:rFonts w:ascii="Calibri" w:hAnsi="Calibri"/>
          <w:sz w:val="20"/>
        </w:rPr>
        <w:t>D</w:t>
      </w:r>
      <w:r>
        <w:rPr>
          <w:rFonts w:ascii="Calibri" w:hAnsi="Calibri"/>
          <w:sz w:val="20"/>
        </w:rPr>
        <w:t xml:space="preserve">irector de </w:t>
      </w:r>
      <w:r w:rsidR="00583161">
        <w:rPr>
          <w:rFonts w:ascii="Calibri" w:hAnsi="Calibri"/>
          <w:sz w:val="20"/>
        </w:rPr>
        <w:t>P</w:t>
      </w:r>
      <w:r>
        <w:rPr>
          <w:rFonts w:ascii="Calibri" w:hAnsi="Calibri"/>
          <w:sz w:val="20"/>
        </w:rPr>
        <w:t xml:space="preserve">royecto según sea necesario, dentro de los parámetros establecidos en el </w:t>
      </w:r>
      <w:r w:rsidR="00583161">
        <w:rPr>
          <w:rFonts w:ascii="Calibri" w:hAnsi="Calibri"/>
          <w:sz w:val="20"/>
        </w:rPr>
        <w:t>D</w:t>
      </w:r>
      <w:r>
        <w:rPr>
          <w:rFonts w:ascii="Calibri" w:hAnsi="Calibri"/>
          <w:sz w:val="20"/>
        </w:rPr>
        <w:t xml:space="preserve">ocumento del </w:t>
      </w:r>
      <w:r w:rsidR="00583161">
        <w:rPr>
          <w:rFonts w:ascii="Calibri" w:hAnsi="Calibri"/>
          <w:sz w:val="20"/>
        </w:rPr>
        <w:t>P</w:t>
      </w:r>
      <w:r>
        <w:rPr>
          <w:rFonts w:ascii="Calibri" w:hAnsi="Calibri"/>
          <w:sz w:val="20"/>
        </w:rPr>
        <w:t>royecto, y proporcionar dirección y asesoramiento para situaciones excepcionales en las que se superen sus tolerancias.</w:t>
      </w:r>
    </w:p>
    <w:p w14:paraId="30C8DB59" w14:textId="77777777" w:rsidR="00966EF0" w:rsidRPr="006A315B" w:rsidRDefault="00966EF0">
      <w:pPr>
        <w:numPr>
          <w:ilvl w:val="0"/>
          <w:numId w:val="16"/>
        </w:numPr>
        <w:jc w:val="both"/>
        <w:rPr>
          <w:rFonts w:ascii="Calibri" w:hAnsi="Calibri" w:cs="Calibri"/>
          <w:color w:val="000000"/>
          <w:sz w:val="20"/>
          <w:szCs w:val="20"/>
        </w:rPr>
      </w:pPr>
      <w:r>
        <w:rPr>
          <w:rFonts w:ascii="Calibri" w:hAnsi="Calibri"/>
          <w:sz w:val="20"/>
        </w:rPr>
        <w:t xml:space="preserve">Evaluar los planes de trabajo anuales preparados por el Socio en la Implementación para el proyecto; </w:t>
      </w:r>
      <w:r>
        <w:rPr>
          <w:rFonts w:ascii="Calibri" w:hAnsi="Calibri"/>
          <w:color w:val="000000"/>
          <w:sz w:val="20"/>
        </w:rPr>
        <w:t>revisar los informes de ejecución combinados antes de su certificación por parte del Socio en la Implementación.</w:t>
      </w:r>
    </w:p>
    <w:p w14:paraId="2493AD91" w14:textId="283919B8" w:rsidR="00966EF0" w:rsidRPr="00966EF0" w:rsidRDefault="00966EF0">
      <w:pPr>
        <w:numPr>
          <w:ilvl w:val="0"/>
          <w:numId w:val="16"/>
        </w:numPr>
        <w:jc w:val="both"/>
        <w:rPr>
          <w:rFonts w:ascii="Calibri" w:eastAsia="SimSun" w:hAnsi="Calibri" w:cs="Arial"/>
          <w:sz w:val="20"/>
          <w:szCs w:val="20"/>
        </w:rPr>
      </w:pPr>
      <w:r>
        <w:rPr>
          <w:rFonts w:ascii="Calibri" w:hAnsi="Calibri"/>
          <w:sz w:val="20"/>
        </w:rPr>
        <w:t xml:space="preserve">Abordar cualquier cuestión de alto nivel del proyecto planteada por el </w:t>
      </w:r>
      <w:r w:rsidR="00583161">
        <w:rPr>
          <w:rFonts w:ascii="Calibri" w:hAnsi="Calibri"/>
          <w:sz w:val="20"/>
        </w:rPr>
        <w:t>D</w:t>
      </w:r>
      <w:r>
        <w:rPr>
          <w:rFonts w:ascii="Calibri" w:hAnsi="Calibri"/>
          <w:sz w:val="20"/>
        </w:rPr>
        <w:t xml:space="preserve">irector del </w:t>
      </w:r>
      <w:r w:rsidR="00583161">
        <w:rPr>
          <w:rFonts w:ascii="Calibri" w:hAnsi="Calibri"/>
          <w:sz w:val="20"/>
        </w:rPr>
        <w:t>P</w:t>
      </w:r>
      <w:r>
        <w:rPr>
          <w:rFonts w:ascii="Calibri" w:hAnsi="Calibri"/>
          <w:sz w:val="20"/>
        </w:rPr>
        <w:t>royecto y el aseguramiento del proyecto</w:t>
      </w:r>
      <w:r w:rsidR="00583161">
        <w:rPr>
          <w:rFonts w:ascii="Calibri" w:hAnsi="Calibri"/>
          <w:sz w:val="20"/>
        </w:rPr>
        <w:t>.</w:t>
      </w:r>
    </w:p>
    <w:p w14:paraId="50764B0C" w14:textId="475B66AE" w:rsidR="00966EF0" w:rsidRPr="00966EF0" w:rsidRDefault="00966EF0">
      <w:pPr>
        <w:numPr>
          <w:ilvl w:val="0"/>
          <w:numId w:val="16"/>
        </w:numPr>
        <w:jc w:val="both"/>
        <w:rPr>
          <w:rFonts w:ascii="Calibri" w:eastAsia="SimSun" w:hAnsi="Calibri" w:cs="Arial"/>
          <w:sz w:val="20"/>
          <w:szCs w:val="20"/>
        </w:rPr>
      </w:pPr>
      <w:r>
        <w:rPr>
          <w:rFonts w:ascii="Calibri" w:hAnsi="Calibri"/>
          <w:sz w:val="20"/>
        </w:rPr>
        <w:t>Asesorar sobre enmiendas mayores y menores al proyecto dentro de los parámetros establecidos por el PNUD y el donante y remitir dichas enmiendas mayores y menores propuestas al Coordinador Ejecutivo de Naturaleza, Clima y Energía del BPPS del PNUD (y al FMAM, según lo requieran las políticas del FMAM)</w:t>
      </w:r>
      <w:r w:rsidR="00583161">
        <w:rPr>
          <w:rFonts w:ascii="Calibri" w:hAnsi="Calibri"/>
          <w:sz w:val="20"/>
        </w:rPr>
        <w:t>.</w:t>
      </w:r>
    </w:p>
    <w:p w14:paraId="6529EE1D" w14:textId="3EE9CE90" w:rsidR="00966EF0" w:rsidRPr="00966EF0" w:rsidRDefault="00966EF0">
      <w:pPr>
        <w:numPr>
          <w:ilvl w:val="0"/>
          <w:numId w:val="16"/>
        </w:numPr>
        <w:jc w:val="both"/>
        <w:rPr>
          <w:rFonts w:ascii="Calibri" w:eastAsia="SimSun" w:hAnsi="Calibri" w:cs="Arial"/>
          <w:sz w:val="20"/>
          <w:szCs w:val="20"/>
        </w:rPr>
      </w:pPr>
      <w:r>
        <w:rPr>
          <w:rFonts w:ascii="Calibri" w:hAnsi="Calibri"/>
          <w:sz w:val="20"/>
        </w:rPr>
        <w:t xml:space="preserve">Proporcionar dirección y recomendaciones de alto nivel a la </w:t>
      </w:r>
      <w:r w:rsidR="00583161">
        <w:rPr>
          <w:rFonts w:ascii="Calibri" w:hAnsi="Calibri"/>
          <w:sz w:val="20"/>
        </w:rPr>
        <w:t>U</w:t>
      </w:r>
      <w:r>
        <w:rPr>
          <w:rFonts w:ascii="Calibri" w:hAnsi="Calibri"/>
          <w:sz w:val="20"/>
        </w:rPr>
        <w:t xml:space="preserve">nidad de </w:t>
      </w:r>
      <w:r w:rsidR="00583161">
        <w:rPr>
          <w:rFonts w:ascii="Calibri" w:hAnsi="Calibri"/>
          <w:sz w:val="20"/>
        </w:rPr>
        <w:t>G</w:t>
      </w:r>
      <w:r>
        <w:rPr>
          <w:rFonts w:ascii="Calibri" w:hAnsi="Calibri"/>
          <w:sz w:val="20"/>
        </w:rPr>
        <w:t xml:space="preserve">estión del </w:t>
      </w:r>
      <w:r w:rsidR="00AF2053">
        <w:rPr>
          <w:rFonts w:ascii="Calibri" w:hAnsi="Calibri"/>
          <w:sz w:val="20"/>
        </w:rPr>
        <w:t>P</w:t>
      </w:r>
      <w:r>
        <w:rPr>
          <w:rFonts w:ascii="Calibri" w:hAnsi="Calibri"/>
          <w:sz w:val="20"/>
        </w:rPr>
        <w:t>royecto para garantizar que los entregables acordados se produzcan satisfactoriamente y de acuerdo con los planes.</w:t>
      </w:r>
    </w:p>
    <w:p w14:paraId="14A0B7D0" w14:textId="77777777" w:rsidR="00966EF0" w:rsidRPr="00966EF0" w:rsidRDefault="00966EF0">
      <w:pPr>
        <w:numPr>
          <w:ilvl w:val="0"/>
          <w:numId w:val="16"/>
        </w:numPr>
        <w:jc w:val="both"/>
        <w:rPr>
          <w:rFonts w:ascii="Calibri" w:eastAsia="SimSun" w:hAnsi="Calibri" w:cs="Arial"/>
          <w:sz w:val="20"/>
          <w:szCs w:val="20"/>
        </w:rPr>
      </w:pPr>
      <w:r>
        <w:rPr>
          <w:rFonts w:ascii="Calibri" w:hAnsi="Calibri"/>
          <w:sz w:val="20"/>
        </w:rPr>
        <w:t xml:space="preserve">Hacer seguimiento y supervisar las actividades cofinanciadas y la realización de los importes de cofinanciación de este proyecto. </w:t>
      </w:r>
    </w:p>
    <w:p w14:paraId="74B861E7" w14:textId="271CE169" w:rsidR="00966EF0" w:rsidRPr="00966EF0" w:rsidRDefault="00966EF0">
      <w:pPr>
        <w:numPr>
          <w:ilvl w:val="0"/>
          <w:numId w:val="16"/>
        </w:numPr>
        <w:jc w:val="both"/>
        <w:rPr>
          <w:rFonts w:ascii="Calibri" w:eastAsia="SimSun" w:hAnsi="Calibri" w:cs="Arial"/>
          <w:sz w:val="20"/>
          <w:szCs w:val="20"/>
        </w:rPr>
      </w:pPr>
      <w:r>
        <w:rPr>
          <w:rFonts w:ascii="Calibri" w:hAnsi="Calibri"/>
          <w:sz w:val="20"/>
        </w:rPr>
        <w:t xml:space="preserve">Aprobar el </w:t>
      </w:r>
      <w:r w:rsidR="00AF2053">
        <w:rPr>
          <w:rFonts w:ascii="Calibri" w:hAnsi="Calibri"/>
          <w:sz w:val="20"/>
        </w:rPr>
        <w:t>I</w:t>
      </w:r>
      <w:r>
        <w:rPr>
          <w:rFonts w:ascii="Calibri" w:hAnsi="Calibri"/>
          <w:sz w:val="20"/>
        </w:rPr>
        <w:t xml:space="preserve">nforme </w:t>
      </w:r>
      <w:r w:rsidR="00AF2053">
        <w:rPr>
          <w:rFonts w:ascii="Calibri" w:hAnsi="Calibri"/>
          <w:sz w:val="20"/>
        </w:rPr>
        <w:t>I</w:t>
      </w:r>
      <w:r>
        <w:rPr>
          <w:rFonts w:ascii="Calibri" w:hAnsi="Calibri"/>
          <w:sz w:val="20"/>
        </w:rPr>
        <w:t xml:space="preserve">nicial, los </w:t>
      </w:r>
      <w:r w:rsidR="00AF2053">
        <w:rPr>
          <w:rFonts w:ascii="Calibri" w:hAnsi="Calibri"/>
          <w:sz w:val="20"/>
        </w:rPr>
        <w:t>I</w:t>
      </w:r>
      <w:r>
        <w:rPr>
          <w:rFonts w:ascii="Calibri" w:hAnsi="Calibri"/>
          <w:sz w:val="20"/>
        </w:rPr>
        <w:t xml:space="preserve">nformes </w:t>
      </w:r>
      <w:r w:rsidR="00AF2053">
        <w:rPr>
          <w:rFonts w:ascii="Calibri" w:hAnsi="Calibri"/>
          <w:sz w:val="20"/>
        </w:rPr>
        <w:t>A</w:t>
      </w:r>
      <w:r>
        <w:rPr>
          <w:rFonts w:ascii="Calibri" w:hAnsi="Calibri"/>
          <w:sz w:val="20"/>
        </w:rPr>
        <w:t xml:space="preserve">nuales de </w:t>
      </w:r>
      <w:r w:rsidR="00AF2053">
        <w:rPr>
          <w:rFonts w:ascii="Calibri" w:hAnsi="Calibri"/>
          <w:sz w:val="20"/>
        </w:rPr>
        <w:t>E</w:t>
      </w:r>
      <w:r>
        <w:rPr>
          <w:rFonts w:ascii="Calibri" w:hAnsi="Calibri"/>
          <w:sz w:val="20"/>
        </w:rPr>
        <w:t xml:space="preserve">jecución de los </w:t>
      </w:r>
      <w:r w:rsidR="00AF2053">
        <w:rPr>
          <w:rFonts w:ascii="Calibri" w:hAnsi="Calibri"/>
          <w:sz w:val="20"/>
        </w:rPr>
        <w:t>P</w:t>
      </w:r>
      <w:r>
        <w:rPr>
          <w:rFonts w:ascii="Calibri" w:hAnsi="Calibri"/>
          <w:sz w:val="20"/>
        </w:rPr>
        <w:t xml:space="preserve">royectos del FMAM y los </w:t>
      </w:r>
      <w:r w:rsidR="00AF2053">
        <w:rPr>
          <w:rFonts w:ascii="Calibri" w:hAnsi="Calibri"/>
          <w:sz w:val="20"/>
        </w:rPr>
        <w:t>I</w:t>
      </w:r>
      <w:r>
        <w:rPr>
          <w:rFonts w:ascii="Calibri" w:hAnsi="Calibri"/>
          <w:sz w:val="20"/>
        </w:rPr>
        <w:t xml:space="preserve">nformes de </w:t>
      </w:r>
      <w:r w:rsidR="00AF2053">
        <w:rPr>
          <w:rFonts w:ascii="Calibri" w:hAnsi="Calibri"/>
          <w:sz w:val="20"/>
        </w:rPr>
        <w:t>E</w:t>
      </w:r>
      <w:r>
        <w:rPr>
          <w:rFonts w:ascii="Calibri" w:hAnsi="Calibri"/>
          <w:sz w:val="20"/>
        </w:rPr>
        <w:t xml:space="preserve">valuación de </w:t>
      </w:r>
      <w:r w:rsidR="00AF2053">
        <w:rPr>
          <w:rFonts w:ascii="Calibri" w:hAnsi="Calibri"/>
          <w:sz w:val="20"/>
        </w:rPr>
        <w:t>M</w:t>
      </w:r>
      <w:r>
        <w:rPr>
          <w:rFonts w:ascii="Calibri" w:hAnsi="Calibri"/>
          <w:sz w:val="20"/>
        </w:rPr>
        <w:t xml:space="preserve">itad de </w:t>
      </w:r>
      <w:r w:rsidR="00AF2053">
        <w:rPr>
          <w:rFonts w:ascii="Calibri" w:hAnsi="Calibri"/>
          <w:sz w:val="20"/>
        </w:rPr>
        <w:t>P</w:t>
      </w:r>
      <w:r>
        <w:rPr>
          <w:rFonts w:ascii="Calibri" w:hAnsi="Calibri"/>
          <w:sz w:val="20"/>
        </w:rPr>
        <w:t xml:space="preserve">eríodo y </w:t>
      </w:r>
      <w:r w:rsidR="00AF2053">
        <w:rPr>
          <w:rFonts w:ascii="Calibri" w:hAnsi="Calibri"/>
          <w:sz w:val="20"/>
        </w:rPr>
        <w:t>F</w:t>
      </w:r>
      <w:r>
        <w:rPr>
          <w:rFonts w:ascii="Calibri" w:hAnsi="Calibri"/>
          <w:sz w:val="20"/>
        </w:rPr>
        <w:t>inal.</w:t>
      </w:r>
    </w:p>
    <w:p w14:paraId="6090D5B9" w14:textId="77777777" w:rsidR="00966EF0" w:rsidRPr="00966EF0" w:rsidRDefault="00966EF0">
      <w:pPr>
        <w:numPr>
          <w:ilvl w:val="0"/>
          <w:numId w:val="16"/>
        </w:numPr>
        <w:jc w:val="both"/>
        <w:rPr>
          <w:rFonts w:ascii="Calibri" w:eastAsia="SimSun" w:hAnsi="Calibri" w:cs="Arial"/>
          <w:sz w:val="20"/>
          <w:szCs w:val="20"/>
        </w:rPr>
      </w:pPr>
      <w:r>
        <w:rPr>
          <w:rFonts w:ascii="Calibri" w:hAnsi="Calibri"/>
          <w:sz w:val="20"/>
        </w:rPr>
        <w:t xml:space="preserve">Garantizar el compromiso de los recursos humanos para apoyar la ejecución del proyecto, arbitrando cualquier problema dentro del proyecto. </w:t>
      </w:r>
    </w:p>
    <w:p w14:paraId="2F640F52" w14:textId="77777777" w:rsidR="00966EF0" w:rsidRPr="00966EF0" w:rsidRDefault="00966EF0">
      <w:pPr>
        <w:numPr>
          <w:ilvl w:val="0"/>
          <w:numId w:val="14"/>
        </w:numPr>
        <w:shd w:val="clear" w:color="auto" w:fill="FFFFFF"/>
        <w:jc w:val="both"/>
        <w:rPr>
          <w:rFonts w:ascii="Calibri" w:hAnsi="Calibri" w:cs="Calibri"/>
          <w:sz w:val="20"/>
          <w:szCs w:val="20"/>
        </w:rPr>
      </w:pPr>
      <w:r>
        <w:rPr>
          <w:rFonts w:ascii="Calibri" w:hAnsi="Calibri"/>
          <w:sz w:val="20"/>
        </w:rPr>
        <w:t>Gestión de Riesgos:</w:t>
      </w:r>
    </w:p>
    <w:p w14:paraId="2CAC92F5" w14:textId="7A556725" w:rsidR="00966EF0" w:rsidRPr="006A315B" w:rsidRDefault="00966EF0">
      <w:pPr>
        <w:numPr>
          <w:ilvl w:val="1"/>
          <w:numId w:val="14"/>
        </w:numPr>
        <w:shd w:val="clear" w:color="auto" w:fill="FFFFFF"/>
        <w:jc w:val="both"/>
        <w:rPr>
          <w:rFonts w:ascii="Calibri" w:hAnsi="Calibri" w:cs="Calibri"/>
          <w:sz w:val="20"/>
          <w:szCs w:val="20"/>
        </w:rPr>
      </w:pPr>
      <w:r>
        <w:rPr>
          <w:rFonts w:ascii="Calibri" w:hAnsi="Calibri"/>
          <w:sz w:val="20"/>
        </w:rPr>
        <w:t xml:space="preserve">Orientar sobre la evolución o materialización de los riesgos del proyecto y acordar posibles medidas de mitigación y gestión para hacer frente a riesgos específicos. </w:t>
      </w:r>
    </w:p>
    <w:p w14:paraId="738E967F" w14:textId="23A78CDE" w:rsidR="00966EF0" w:rsidRPr="006A315B" w:rsidRDefault="00966EF0">
      <w:pPr>
        <w:numPr>
          <w:ilvl w:val="1"/>
          <w:numId w:val="14"/>
        </w:numPr>
        <w:shd w:val="clear" w:color="auto" w:fill="FFFFFF"/>
        <w:jc w:val="both"/>
        <w:rPr>
          <w:rFonts w:ascii="Calibri" w:hAnsi="Calibri" w:cs="Calibri"/>
          <w:sz w:val="20"/>
          <w:szCs w:val="20"/>
        </w:rPr>
      </w:pPr>
      <w:r>
        <w:rPr>
          <w:rFonts w:ascii="Calibri" w:hAnsi="Calibri"/>
          <w:sz w:val="20"/>
        </w:rPr>
        <w:t xml:space="preserve">Revisar y actualizar el </w:t>
      </w:r>
      <w:r w:rsidR="00AF2053">
        <w:rPr>
          <w:rFonts w:ascii="Calibri" w:hAnsi="Calibri"/>
          <w:sz w:val="20"/>
        </w:rPr>
        <w:t>R</w:t>
      </w:r>
      <w:r>
        <w:rPr>
          <w:rFonts w:ascii="Calibri" w:hAnsi="Calibri"/>
          <w:sz w:val="20"/>
        </w:rPr>
        <w:t xml:space="preserve">egistro de </w:t>
      </w:r>
      <w:r w:rsidR="00AF2053">
        <w:rPr>
          <w:rFonts w:ascii="Calibri" w:hAnsi="Calibri"/>
          <w:sz w:val="20"/>
        </w:rPr>
        <w:t>R</w:t>
      </w:r>
      <w:r>
        <w:rPr>
          <w:rFonts w:ascii="Calibri" w:hAnsi="Calibri"/>
          <w:sz w:val="20"/>
        </w:rPr>
        <w:t xml:space="preserve">iesgos del </w:t>
      </w:r>
      <w:r w:rsidR="00AF2053">
        <w:rPr>
          <w:rFonts w:ascii="Calibri" w:hAnsi="Calibri"/>
          <w:sz w:val="20"/>
        </w:rPr>
        <w:t>P</w:t>
      </w:r>
      <w:r>
        <w:rPr>
          <w:rFonts w:ascii="Calibri" w:hAnsi="Calibri"/>
          <w:sz w:val="20"/>
        </w:rPr>
        <w:t xml:space="preserve">royecto y los </w:t>
      </w:r>
      <w:r w:rsidR="00AF2053">
        <w:rPr>
          <w:rFonts w:ascii="Calibri" w:hAnsi="Calibri"/>
          <w:sz w:val="20"/>
        </w:rPr>
        <w:t>P</w:t>
      </w:r>
      <w:r>
        <w:rPr>
          <w:rFonts w:ascii="Calibri" w:hAnsi="Calibri"/>
          <w:sz w:val="20"/>
        </w:rPr>
        <w:t xml:space="preserve">lanes de </w:t>
      </w:r>
      <w:r w:rsidR="00AF2053">
        <w:rPr>
          <w:rFonts w:ascii="Calibri" w:hAnsi="Calibri"/>
          <w:sz w:val="20"/>
        </w:rPr>
        <w:t>G</w:t>
      </w:r>
      <w:r>
        <w:rPr>
          <w:rFonts w:ascii="Calibri" w:hAnsi="Calibri"/>
          <w:sz w:val="20"/>
        </w:rPr>
        <w:t xml:space="preserve">estión </w:t>
      </w:r>
      <w:r w:rsidR="00AF2053">
        <w:rPr>
          <w:rFonts w:ascii="Calibri" w:hAnsi="Calibri"/>
          <w:sz w:val="20"/>
        </w:rPr>
        <w:t>A</w:t>
      </w:r>
      <w:r>
        <w:rPr>
          <w:rFonts w:ascii="Calibri" w:hAnsi="Calibri"/>
          <w:sz w:val="20"/>
        </w:rPr>
        <w:t>sociados basándose en la información preparada por el Socio en la Implementación</w:t>
      </w:r>
      <w:r w:rsidR="00AF2053">
        <w:rPr>
          <w:rFonts w:ascii="Calibri" w:hAnsi="Calibri"/>
          <w:sz w:val="20"/>
        </w:rPr>
        <w:t>.</w:t>
      </w:r>
      <w:r>
        <w:rPr>
          <w:rFonts w:ascii="Calibri" w:hAnsi="Calibri"/>
          <w:sz w:val="20"/>
        </w:rPr>
        <w:t xml:space="preserve"> Esto incluye riesgos relacionados que pueden ser gestionados directamente por este proyecto, así como riesgos contextuales que pueden afectar a la ejecución del proyecto o al cumplimiento y reputación continuos del PNUD, pero que están fuera del control del proyecto. Por ejemplo, los riesgos sociales y ambientales asociados a actividades cofinanciadas o a actividades que tengan lugar en la zona de influencia del proyecto y que tengan implicaciones para el mismo. </w:t>
      </w:r>
    </w:p>
    <w:p w14:paraId="403069A4" w14:textId="355FE376" w:rsidR="00966EF0" w:rsidRPr="00CD4D5D" w:rsidRDefault="00966EF0">
      <w:pPr>
        <w:numPr>
          <w:ilvl w:val="1"/>
          <w:numId w:val="14"/>
        </w:numPr>
        <w:shd w:val="clear" w:color="auto" w:fill="FFFFFF"/>
        <w:jc w:val="both"/>
        <w:rPr>
          <w:rFonts w:ascii="Calibri" w:hAnsi="Calibri" w:cs="Calibri"/>
          <w:sz w:val="20"/>
          <w:szCs w:val="20"/>
        </w:rPr>
      </w:pPr>
      <w:r>
        <w:rPr>
          <w:rFonts w:ascii="Calibri" w:hAnsi="Calibri"/>
          <w:sz w:val="20"/>
        </w:rPr>
        <w:t>Abordar las reclamaciones a nivel de proyecto.</w:t>
      </w:r>
    </w:p>
    <w:p w14:paraId="3AA5FB96" w14:textId="0CB17B8B" w:rsidR="00CD4D5D" w:rsidRDefault="00CD4D5D" w:rsidP="00CD4D5D">
      <w:pPr>
        <w:shd w:val="clear" w:color="auto" w:fill="FFFFFF"/>
        <w:ind w:left="1440"/>
        <w:jc w:val="both"/>
        <w:rPr>
          <w:rFonts w:ascii="Calibri" w:hAnsi="Calibri"/>
          <w:sz w:val="20"/>
        </w:rPr>
      </w:pPr>
    </w:p>
    <w:p w14:paraId="0FDD3301" w14:textId="77777777" w:rsidR="00CD4D5D" w:rsidRPr="00966EF0" w:rsidRDefault="00CD4D5D" w:rsidP="00CD4D5D">
      <w:pPr>
        <w:shd w:val="clear" w:color="auto" w:fill="FFFFFF"/>
        <w:ind w:left="1440"/>
        <w:jc w:val="both"/>
        <w:rPr>
          <w:rFonts w:ascii="Calibri" w:hAnsi="Calibri" w:cs="Calibri"/>
          <w:sz w:val="20"/>
          <w:szCs w:val="20"/>
        </w:rPr>
      </w:pPr>
    </w:p>
    <w:p w14:paraId="1C519AD0" w14:textId="77777777" w:rsidR="00966EF0" w:rsidRPr="00966EF0" w:rsidRDefault="00966EF0">
      <w:pPr>
        <w:numPr>
          <w:ilvl w:val="0"/>
          <w:numId w:val="15"/>
        </w:numPr>
        <w:jc w:val="both"/>
        <w:rPr>
          <w:rFonts w:ascii="Calibri" w:eastAsia="SimSun" w:hAnsi="Calibri" w:cs="Arial"/>
          <w:sz w:val="20"/>
        </w:rPr>
      </w:pPr>
      <w:r>
        <w:rPr>
          <w:rFonts w:ascii="Calibri" w:hAnsi="Calibri"/>
          <w:sz w:val="20"/>
        </w:rPr>
        <w:t>Coordinación:</w:t>
      </w:r>
    </w:p>
    <w:p w14:paraId="01ACD610" w14:textId="77777777" w:rsidR="00966EF0" w:rsidRPr="00966EF0" w:rsidRDefault="00966EF0">
      <w:pPr>
        <w:numPr>
          <w:ilvl w:val="1"/>
          <w:numId w:val="15"/>
        </w:numPr>
        <w:jc w:val="both"/>
        <w:rPr>
          <w:rFonts w:ascii="Calibri" w:eastAsia="SimSun" w:hAnsi="Calibri" w:cs="Arial"/>
          <w:sz w:val="20"/>
        </w:rPr>
      </w:pPr>
      <w:r>
        <w:rPr>
          <w:rFonts w:ascii="Calibri" w:hAnsi="Calibri"/>
          <w:sz w:val="20"/>
        </w:rPr>
        <w:t xml:space="preserve">Garantizar la coordinación entre los diversos proyectos y programas financiados por donantes y gobiernos. </w:t>
      </w:r>
    </w:p>
    <w:p w14:paraId="5E9CD5A3" w14:textId="77777777" w:rsidR="00966EF0" w:rsidRPr="00966EF0" w:rsidRDefault="00966EF0">
      <w:pPr>
        <w:numPr>
          <w:ilvl w:val="1"/>
          <w:numId w:val="15"/>
        </w:numPr>
        <w:jc w:val="both"/>
        <w:rPr>
          <w:rFonts w:ascii="Calibri" w:eastAsia="SimSun" w:hAnsi="Calibri" w:cs="Arial"/>
          <w:sz w:val="20"/>
        </w:rPr>
      </w:pPr>
      <w:r>
        <w:rPr>
          <w:rFonts w:ascii="Calibri" w:hAnsi="Calibri"/>
          <w:sz w:val="20"/>
        </w:rPr>
        <w:t xml:space="preserve">Garantizar la coordinación con diversos organismos gubernamentales y su participación en las actividades del proyecto. </w:t>
      </w:r>
    </w:p>
    <w:p w14:paraId="41BCC667" w14:textId="77777777" w:rsidR="00966EF0" w:rsidRPr="002152FE" w:rsidRDefault="00966EF0" w:rsidP="00966EF0">
      <w:pPr>
        <w:shd w:val="clear" w:color="auto" w:fill="FFFFFF"/>
        <w:rPr>
          <w:rFonts w:ascii="Calibri" w:eastAsia="SimSun" w:hAnsi="Calibri"/>
          <w:sz w:val="20"/>
          <w:szCs w:val="20"/>
          <w:lang w:val="es-EC"/>
        </w:rPr>
      </w:pPr>
    </w:p>
    <w:p w14:paraId="02143563" w14:textId="6DD3E415" w:rsidR="00966EF0" w:rsidRPr="006A315B" w:rsidRDefault="00966EF0" w:rsidP="00966EF0">
      <w:pPr>
        <w:shd w:val="clear" w:color="auto" w:fill="FFFFFF"/>
        <w:rPr>
          <w:rFonts w:ascii="Calibri" w:eastAsia="SimSun" w:hAnsi="Calibri"/>
          <w:sz w:val="20"/>
        </w:rPr>
      </w:pPr>
      <w:r>
        <w:rPr>
          <w:rFonts w:ascii="Calibri" w:hAnsi="Calibri"/>
          <w:b/>
          <w:bCs/>
          <w:sz w:val="20"/>
        </w:rPr>
        <w:t>Composición de la Dirección del Proyecto:</w:t>
      </w:r>
      <w:r>
        <w:rPr>
          <w:rFonts w:ascii="Calibri" w:hAnsi="Calibri"/>
          <w:sz w:val="20"/>
        </w:rPr>
        <w:t xml:space="preserve"> </w:t>
      </w:r>
      <w:r w:rsidR="00707175">
        <w:rPr>
          <w:rFonts w:ascii="Calibri" w:hAnsi="Calibri"/>
          <w:sz w:val="20"/>
        </w:rPr>
        <w:t>l</w:t>
      </w:r>
      <w:r>
        <w:rPr>
          <w:rFonts w:ascii="Calibri" w:hAnsi="Calibri"/>
          <w:sz w:val="20"/>
        </w:rPr>
        <w:t xml:space="preserve">a composición de la Dirección del Proyecto debe incluir personas asignadas a las tres funciones siguientes: </w:t>
      </w:r>
    </w:p>
    <w:p w14:paraId="5C50D3E1" w14:textId="77777777" w:rsidR="00966EF0" w:rsidRPr="002152FE" w:rsidRDefault="00966EF0" w:rsidP="00966EF0">
      <w:pPr>
        <w:rPr>
          <w:rFonts w:ascii="Calibri" w:eastAsia="SimSun" w:hAnsi="Calibri"/>
          <w:sz w:val="20"/>
          <w:lang w:val="es-EC"/>
        </w:rPr>
      </w:pPr>
    </w:p>
    <w:p w14:paraId="23DD526F" w14:textId="196776D4" w:rsidR="00966EF0" w:rsidRPr="00E74F9D" w:rsidRDefault="00966EF0">
      <w:pPr>
        <w:numPr>
          <w:ilvl w:val="0"/>
          <w:numId w:val="18"/>
        </w:numPr>
        <w:jc w:val="both"/>
        <w:rPr>
          <w:rFonts w:ascii="Calibri" w:eastAsia="SimSun" w:hAnsi="Calibri"/>
          <w:i/>
          <w:sz w:val="20"/>
          <w:szCs w:val="20"/>
        </w:rPr>
      </w:pPr>
      <w:r>
        <w:rPr>
          <w:rFonts w:ascii="Calibri" w:hAnsi="Calibri"/>
          <w:b/>
          <w:sz w:val="20"/>
        </w:rPr>
        <w:t xml:space="preserve">Ejecutivo(a) de </w:t>
      </w:r>
      <w:r w:rsidR="00AF2053">
        <w:rPr>
          <w:rFonts w:ascii="Calibri" w:hAnsi="Calibri"/>
          <w:b/>
          <w:sz w:val="20"/>
        </w:rPr>
        <w:t>P</w:t>
      </w:r>
      <w:r>
        <w:rPr>
          <w:rFonts w:ascii="Calibri" w:hAnsi="Calibri"/>
          <w:b/>
          <w:sz w:val="20"/>
        </w:rPr>
        <w:t>royectos:</w:t>
      </w:r>
      <w:r>
        <w:rPr>
          <w:rFonts w:ascii="Calibri" w:hAnsi="Calibri"/>
          <w:sz w:val="20"/>
        </w:rPr>
        <w:t xml:space="preserve"> </w:t>
      </w:r>
      <w:r w:rsidR="00707175">
        <w:rPr>
          <w:rFonts w:ascii="Calibri" w:hAnsi="Calibri"/>
          <w:sz w:val="20"/>
        </w:rPr>
        <w:t>s</w:t>
      </w:r>
      <w:r>
        <w:rPr>
          <w:rFonts w:ascii="Calibri" w:hAnsi="Calibri"/>
          <w:sz w:val="20"/>
        </w:rPr>
        <w:t xml:space="preserve">e trata de una persona que representa la propiedad del proyecto y preside (o copreside) la Dirección del Proyecto. El Ejecutivo suele ser la contraparte nacional superior para los proyectos de ejecución nacional (normalmente de la misma entidad que el Socio en la Implementación), y debe ser el PNUD para los </w:t>
      </w:r>
      <w:r w:rsidR="00AF2053">
        <w:rPr>
          <w:rFonts w:ascii="Calibri" w:hAnsi="Calibri"/>
          <w:sz w:val="20"/>
        </w:rPr>
        <w:t>P</w:t>
      </w:r>
      <w:r>
        <w:rPr>
          <w:rFonts w:ascii="Calibri" w:hAnsi="Calibri"/>
          <w:sz w:val="20"/>
        </w:rPr>
        <w:t xml:space="preserve">royectos de </w:t>
      </w:r>
      <w:r w:rsidR="00AF2053">
        <w:rPr>
          <w:rFonts w:ascii="Calibri" w:hAnsi="Calibri"/>
          <w:sz w:val="20"/>
        </w:rPr>
        <w:t>I</w:t>
      </w:r>
      <w:r>
        <w:rPr>
          <w:rFonts w:ascii="Calibri" w:hAnsi="Calibri"/>
          <w:sz w:val="20"/>
        </w:rPr>
        <w:t xml:space="preserve">mplementación </w:t>
      </w:r>
      <w:r w:rsidR="00AF2053">
        <w:rPr>
          <w:rFonts w:ascii="Calibri" w:hAnsi="Calibri"/>
          <w:sz w:val="20"/>
        </w:rPr>
        <w:t>D</w:t>
      </w:r>
      <w:r>
        <w:rPr>
          <w:rFonts w:ascii="Calibri" w:hAnsi="Calibri"/>
          <w:sz w:val="20"/>
        </w:rPr>
        <w:t xml:space="preserve">irecta (DIM). En casos excepcionales, dos personas de entidades diferentes pueden compartir esta función y/o copresidir la Dirección del Proyecto. Si el </w:t>
      </w:r>
      <w:r w:rsidR="00AF2053">
        <w:rPr>
          <w:rFonts w:ascii="Calibri" w:hAnsi="Calibri"/>
          <w:sz w:val="20"/>
        </w:rPr>
        <w:t>E</w:t>
      </w:r>
      <w:r>
        <w:rPr>
          <w:rFonts w:ascii="Calibri" w:hAnsi="Calibri"/>
          <w:sz w:val="20"/>
        </w:rPr>
        <w:t xml:space="preserve">jecutivo del </w:t>
      </w:r>
      <w:r w:rsidR="00AF2053">
        <w:rPr>
          <w:rFonts w:ascii="Calibri" w:hAnsi="Calibri"/>
          <w:sz w:val="20"/>
        </w:rPr>
        <w:t>P</w:t>
      </w:r>
      <w:r>
        <w:rPr>
          <w:rFonts w:ascii="Calibri" w:hAnsi="Calibri"/>
          <w:sz w:val="20"/>
        </w:rPr>
        <w:t xml:space="preserve">royecto copreside la </w:t>
      </w:r>
      <w:r w:rsidR="00AF2053">
        <w:rPr>
          <w:rFonts w:ascii="Calibri" w:hAnsi="Calibri"/>
          <w:sz w:val="20"/>
        </w:rPr>
        <w:t>D</w:t>
      </w:r>
      <w:r>
        <w:rPr>
          <w:rFonts w:ascii="Calibri" w:hAnsi="Calibri"/>
          <w:sz w:val="20"/>
        </w:rPr>
        <w:t xml:space="preserve">irección del </w:t>
      </w:r>
      <w:r w:rsidR="00AF2053">
        <w:rPr>
          <w:rFonts w:ascii="Calibri" w:hAnsi="Calibri"/>
          <w:sz w:val="20"/>
        </w:rPr>
        <w:t>P</w:t>
      </w:r>
      <w:r>
        <w:rPr>
          <w:rFonts w:ascii="Calibri" w:hAnsi="Calibri"/>
          <w:sz w:val="20"/>
        </w:rPr>
        <w:t xml:space="preserve">royecto con representantes de otra categoría, suele hacerlo con un representante del </w:t>
      </w:r>
      <w:r w:rsidR="00AF2053">
        <w:rPr>
          <w:rFonts w:ascii="Calibri" w:hAnsi="Calibri"/>
          <w:sz w:val="20"/>
        </w:rPr>
        <w:t>S</w:t>
      </w:r>
      <w:r>
        <w:rPr>
          <w:rFonts w:ascii="Calibri" w:hAnsi="Calibri"/>
          <w:sz w:val="20"/>
        </w:rPr>
        <w:t xml:space="preserve">ocio de </w:t>
      </w:r>
      <w:r w:rsidR="00AF2053">
        <w:rPr>
          <w:rFonts w:ascii="Calibri" w:hAnsi="Calibri"/>
          <w:sz w:val="20"/>
        </w:rPr>
        <w:t>D</w:t>
      </w:r>
      <w:r>
        <w:rPr>
          <w:rFonts w:ascii="Calibri" w:hAnsi="Calibri"/>
          <w:sz w:val="20"/>
        </w:rPr>
        <w:t xml:space="preserve">esarrollo. El </w:t>
      </w:r>
      <w:r>
        <w:rPr>
          <w:rFonts w:ascii="Calibri" w:hAnsi="Calibri"/>
          <w:color w:val="000000" w:themeColor="text1"/>
          <w:sz w:val="20"/>
        </w:rPr>
        <w:t xml:space="preserve">Ejecutivo del Proyecto es: </w:t>
      </w:r>
      <w:r>
        <w:rPr>
          <w:rFonts w:asciiTheme="minorHAnsi" w:hAnsiTheme="minorHAnsi"/>
          <w:b/>
          <w:color w:val="000000" w:themeColor="text1"/>
          <w:sz w:val="20"/>
        </w:rPr>
        <w:t>Subsecretario(a) de Calidad Ambiental</w:t>
      </w:r>
      <w:r>
        <w:rPr>
          <w:rFonts w:asciiTheme="minorHAnsi" w:hAnsiTheme="minorHAnsi"/>
          <w:i/>
          <w:color w:val="000000" w:themeColor="text1"/>
          <w:sz w:val="20"/>
        </w:rPr>
        <w:t xml:space="preserve">, </w:t>
      </w:r>
      <w:r>
        <w:rPr>
          <w:rFonts w:asciiTheme="minorHAnsi" w:hAnsiTheme="minorHAnsi"/>
          <w:color w:val="000000" w:themeColor="text1"/>
          <w:sz w:val="20"/>
        </w:rPr>
        <w:t>Ministerio de Medio Ambiente, Agua y Transición Ecológica (MAATE)</w:t>
      </w:r>
      <w:r w:rsidR="00C41DC3">
        <w:rPr>
          <w:rFonts w:asciiTheme="minorHAnsi" w:hAnsiTheme="minorHAnsi"/>
          <w:color w:val="000000" w:themeColor="text1"/>
          <w:sz w:val="20"/>
        </w:rPr>
        <w:t>.</w:t>
      </w:r>
    </w:p>
    <w:p w14:paraId="7CB021D2" w14:textId="7EEA7181" w:rsidR="00966EF0" w:rsidRPr="00C30474" w:rsidRDefault="00966EF0">
      <w:pPr>
        <w:numPr>
          <w:ilvl w:val="0"/>
          <w:numId w:val="18"/>
        </w:numPr>
        <w:rPr>
          <w:rFonts w:ascii="Calibri" w:eastAsia="SimSun" w:hAnsi="Calibri"/>
          <w:i/>
          <w:color w:val="000000" w:themeColor="text1"/>
          <w:sz w:val="20"/>
          <w:szCs w:val="20"/>
        </w:rPr>
      </w:pPr>
      <w:r>
        <w:rPr>
          <w:rFonts w:ascii="Calibri" w:hAnsi="Calibri"/>
          <w:b/>
          <w:color w:val="000000" w:themeColor="text1"/>
          <w:sz w:val="20"/>
        </w:rPr>
        <w:t>Representante(s) de beneficiarios:</w:t>
      </w:r>
      <w:r>
        <w:rPr>
          <w:rFonts w:ascii="Calibri" w:hAnsi="Calibri"/>
          <w:color w:val="000000" w:themeColor="text1"/>
          <w:sz w:val="20"/>
        </w:rPr>
        <w:t xml:space="preserve"> </w:t>
      </w:r>
      <w:r w:rsidR="00707175">
        <w:rPr>
          <w:rFonts w:ascii="Calibri" w:hAnsi="Calibri"/>
          <w:color w:val="000000" w:themeColor="text1"/>
          <w:sz w:val="20"/>
        </w:rPr>
        <w:t>p</w:t>
      </w:r>
      <w:r>
        <w:rPr>
          <w:rFonts w:ascii="Calibri" w:hAnsi="Calibri"/>
          <w:color w:val="000000" w:themeColor="text1"/>
          <w:sz w:val="20"/>
        </w:rPr>
        <w:t xml:space="preserve">ersonas o grupos que representan los intereses de los grupos de actores que, en última instancia, se beneficiarán del proyecto. Su función principal dentro de la </w:t>
      </w:r>
      <w:r w:rsidR="00C41DC3">
        <w:rPr>
          <w:rFonts w:ascii="Calibri" w:hAnsi="Calibri"/>
          <w:color w:val="000000" w:themeColor="text1"/>
          <w:sz w:val="20"/>
        </w:rPr>
        <w:t>D</w:t>
      </w:r>
      <w:r>
        <w:rPr>
          <w:rFonts w:ascii="Calibri" w:hAnsi="Calibri"/>
          <w:color w:val="000000" w:themeColor="text1"/>
          <w:sz w:val="20"/>
        </w:rPr>
        <w:t>irección es garantizar la realización de los resultados del proyecto desde la perspectiva de los beneficiarios del mismo. A menudo, representantes de la sociedad civil, asociaciones industriales u otras entidades gubernamentales beneficiarias del proyecto pueden desempeñar esta función. En un</w:t>
      </w:r>
      <w:r w:rsidR="00C67C5B">
        <w:rPr>
          <w:rFonts w:ascii="Calibri" w:hAnsi="Calibri"/>
          <w:color w:val="000000" w:themeColor="text1"/>
          <w:sz w:val="20"/>
        </w:rPr>
        <w:t xml:space="preserve"> Comité</w:t>
      </w:r>
      <w:r>
        <w:rPr>
          <w:rFonts w:ascii="Calibri" w:hAnsi="Calibri"/>
          <w:color w:val="000000" w:themeColor="text1"/>
          <w:sz w:val="20"/>
        </w:rPr>
        <w:t xml:space="preserve"> de Proyecto puede haber varios representantes de los beneficiarios. El/los representante(s) del beneficiario es/son: Ministerio de Agricultura y Ganadería (MAG)</w:t>
      </w:r>
      <w:r w:rsidR="00C41DC3">
        <w:rPr>
          <w:rFonts w:ascii="Calibri" w:hAnsi="Calibri"/>
          <w:color w:val="000000" w:themeColor="text1"/>
          <w:sz w:val="20"/>
        </w:rPr>
        <w:t>.</w:t>
      </w:r>
    </w:p>
    <w:p w14:paraId="0C0E69A8" w14:textId="652B3FE9" w:rsidR="00966EF0" w:rsidRPr="00C30474" w:rsidRDefault="00966EF0">
      <w:pPr>
        <w:numPr>
          <w:ilvl w:val="0"/>
          <w:numId w:val="18"/>
        </w:numPr>
        <w:jc w:val="both"/>
        <w:rPr>
          <w:rFonts w:ascii="Calibri" w:eastAsia="SimSun" w:hAnsi="Calibri"/>
          <w:i/>
          <w:color w:val="000000" w:themeColor="text1"/>
          <w:sz w:val="20"/>
          <w:szCs w:val="20"/>
        </w:rPr>
      </w:pPr>
      <w:r>
        <w:rPr>
          <w:rFonts w:ascii="Calibri" w:hAnsi="Calibri"/>
          <w:b/>
          <w:color w:val="000000" w:themeColor="text1"/>
          <w:sz w:val="20"/>
        </w:rPr>
        <w:t xml:space="preserve">Socio(s) de </w:t>
      </w:r>
      <w:r w:rsidR="00C41DC3">
        <w:rPr>
          <w:rFonts w:ascii="Calibri" w:hAnsi="Calibri"/>
          <w:b/>
          <w:color w:val="000000" w:themeColor="text1"/>
          <w:sz w:val="20"/>
        </w:rPr>
        <w:t>D</w:t>
      </w:r>
      <w:r>
        <w:rPr>
          <w:rFonts w:ascii="Calibri" w:hAnsi="Calibri"/>
          <w:b/>
          <w:color w:val="000000" w:themeColor="text1"/>
          <w:sz w:val="20"/>
        </w:rPr>
        <w:t>esarrollo:</w:t>
      </w:r>
      <w:r>
        <w:rPr>
          <w:rFonts w:ascii="Calibri" w:hAnsi="Calibri"/>
          <w:color w:val="000000" w:themeColor="text1"/>
          <w:sz w:val="20"/>
        </w:rPr>
        <w:t xml:space="preserve"> </w:t>
      </w:r>
      <w:r w:rsidR="00707175">
        <w:rPr>
          <w:rFonts w:ascii="Calibri" w:hAnsi="Calibri"/>
          <w:color w:val="000000" w:themeColor="text1"/>
          <w:sz w:val="20"/>
        </w:rPr>
        <w:t>p</w:t>
      </w:r>
      <w:r>
        <w:rPr>
          <w:rFonts w:ascii="Calibri" w:hAnsi="Calibri"/>
          <w:color w:val="000000" w:themeColor="text1"/>
          <w:sz w:val="20"/>
        </w:rPr>
        <w:t>ersonas o grupos que representan los intereses de las partes implicadas y que aportan financiación, orientación estratégica y/o conocimientos técnicos al proyecto. El/los</w:t>
      </w:r>
      <w:r w:rsidR="00206AD8">
        <w:rPr>
          <w:rFonts w:ascii="Calibri" w:hAnsi="Calibri"/>
          <w:color w:val="000000" w:themeColor="text1"/>
          <w:sz w:val="20"/>
        </w:rPr>
        <w:t xml:space="preserve"> </w:t>
      </w:r>
      <w:r w:rsidR="00C41DC3">
        <w:rPr>
          <w:rFonts w:ascii="Calibri" w:hAnsi="Calibri"/>
          <w:color w:val="000000" w:themeColor="text1"/>
          <w:sz w:val="20"/>
        </w:rPr>
        <w:t>S</w:t>
      </w:r>
      <w:r>
        <w:rPr>
          <w:rFonts w:ascii="Calibri" w:hAnsi="Calibri"/>
          <w:color w:val="000000" w:themeColor="text1"/>
          <w:sz w:val="20"/>
        </w:rPr>
        <w:t xml:space="preserve">ocio(s) </w:t>
      </w:r>
      <w:r w:rsidR="00C41DC3">
        <w:rPr>
          <w:rFonts w:ascii="Calibri" w:hAnsi="Calibri"/>
          <w:color w:val="000000" w:themeColor="text1"/>
          <w:sz w:val="20"/>
        </w:rPr>
        <w:t>P</w:t>
      </w:r>
      <w:r>
        <w:rPr>
          <w:rFonts w:ascii="Calibri" w:hAnsi="Calibri"/>
          <w:color w:val="000000" w:themeColor="text1"/>
          <w:sz w:val="20"/>
        </w:rPr>
        <w:t xml:space="preserve">romotor(es) es/son: </w:t>
      </w:r>
      <w:r>
        <w:rPr>
          <w:rFonts w:asciiTheme="minorHAnsi" w:hAnsiTheme="minorHAnsi"/>
          <w:color w:val="000000" w:themeColor="text1"/>
          <w:sz w:val="20"/>
        </w:rPr>
        <w:t xml:space="preserve">Representante Residente de la </w:t>
      </w:r>
      <w:r w:rsidR="00343360">
        <w:rPr>
          <w:rFonts w:asciiTheme="minorHAnsi" w:hAnsiTheme="minorHAnsi"/>
          <w:color w:val="000000" w:themeColor="text1"/>
          <w:sz w:val="20"/>
        </w:rPr>
        <w:t>Oficina Nacional</w:t>
      </w:r>
      <w:r>
        <w:rPr>
          <w:rFonts w:asciiTheme="minorHAnsi" w:hAnsiTheme="minorHAnsi"/>
          <w:color w:val="000000" w:themeColor="text1"/>
          <w:sz w:val="20"/>
        </w:rPr>
        <w:t xml:space="preserve"> del PNUD en Ecuador.</w:t>
      </w:r>
    </w:p>
    <w:p w14:paraId="1FF808F5" w14:textId="77777777" w:rsidR="00966EF0" w:rsidRPr="002152FE" w:rsidRDefault="00966EF0" w:rsidP="00966EF0">
      <w:pPr>
        <w:spacing w:after="60"/>
        <w:jc w:val="both"/>
        <w:rPr>
          <w:rFonts w:ascii="Calibri" w:eastAsia="SimSun" w:hAnsi="Calibri" w:cs="Calibri"/>
          <w:noProof/>
          <w:sz w:val="20"/>
          <w:szCs w:val="20"/>
          <w:u w:val="single"/>
          <w:lang w:val="es-EC" w:eastAsia="zh-CN"/>
        </w:rPr>
      </w:pPr>
    </w:p>
    <w:p w14:paraId="0246E0EB" w14:textId="3A1616BE" w:rsidR="00966EF0" w:rsidRPr="00273AFD" w:rsidRDefault="00966EF0">
      <w:pPr>
        <w:numPr>
          <w:ilvl w:val="0"/>
          <w:numId w:val="17"/>
        </w:numPr>
        <w:spacing w:after="120"/>
        <w:jc w:val="both"/>
        <w:rPr>
          <w:rFonts w:ascii="Calibri" w:hAnsi="Calibri" w:cs="Calibri"/>
          <w:sz w:val="20"/>
          <w:szCs w:val="20"/>
        </w:rPr>
      </w:pPr>
      <w:r>
        <w:rPr>
          <w:rFonts w:ascii="Calibri" w:hAnsi="Calibri"/>
          <w:b/>
          <w:sz w:val="20"/>
          <w:u w:val="single"/>
        </w:rPr>
        <w:t xml:space="preserve">Garantía de </w:t>
      </w:r>
      <w:r w:rsidR="00C41DC3">
        <w:rPr>
          <w:rFonts w:ascii="Calibri" w:hAnsi="Calibri"/>
          <w:b/>
          <w:sz w:val="20"/>
          <w:u w:val="single"/>
        </w:rPr>
        <w:t>P</w:t>
      </w:r>
      <w:r>
        <w:rPr>
          <w:rFonts w:ascii="Calibri" w:hAnsi="Calibri"/>
          <w:b/>
          <w:sz w:val="20"/>
          <w:u w:val="single"/>
        </w:rPr>
        <w:t xml:space="preserve">royecto: </w:t>
      </w:r>
      <w:r w:rsidR="00707175">
        <w:rPr>
          <w:rFonts w:ascii="Calibri" w:hAnsi="Calibri"/>
          <w:sz w:val="20"/>
        </w:rPr>
        <w:t>e</w:t>
      </w:r>
      <w:r>
        <w:rPr>
          <w:rFonts w:ascii="Calibri" w:hAnsi="Calibri"/>
          <w:sz w:val="20"/>
        </w:rPr>
        <w:t xml:space="preserve">l aseguramiento del proyecto es responsabilidad de cada miembro </w:t>
      </w:r>
      <w:r w:rsidR="00C67C5B">
        <w:rPr>
          <w:rFonts w:ascii="Calibri" w:hAnsi="Calibri"/>
          <w:sz w:val="20"/>
        </w:rPr>
        <w:t xml:space="preserve">del </w:t>
      </w:r>
      <w:r w:rsidR="00C67C5B">
        <w:rPr>
          <w:rFonts w:ascii="Calibri" w:hAnsi="Calibri"/>
          <w:color w:val="000000" w:themeColor="text1"/>
          <w:sz w:val="20"/>
        </w:rPr>
        <w:t>Comité</w:t>
      </w:r>
      <w:r>
        <w:rPr>
          <w:rFonts w:ascii="Calibri" w:hAnsi="Calibri"/>
          <w:sz w:val="20"/>
        </w:rPr>
        <w:t xml:space="preserve"> del </w:t>
      </w:r>
      <w:r w:rsidR="00C41DC3">
        <w:rPr>
          <w:rFonts w:ascii="Calibri" w:hAnsi="Calibri"/>
          <w:sz w:val="20"/>
        </w:rPr>
        <w:t>P</w:t>
      </w:r>
      <w:r>
        <w:rPr>
          <w:rFonts w:ascii="Calibri" w:hAnsi="Calibri"/>
          <w:sz w:val="20"/>
        </w:rPr>
        <w:t>royecto; sin embargo, el PNUD tiene un papel de aseguramiento distinto para todos los proyectos del PNUD al llevar a cabo funciones objetivas e independientes de supervisión y monitoreo del proyecto. El PNUD garantiza la calidad y apoya a</w:t>
      </w:r>
      <w:r w:rsidR="00C67C5B">
        <w:rPr>
          <w:rFonts w:ascii="Calibri" w:hAnsi="Calibri"/>
          <w:sz w:val="20"/>
        </w:rPr>
        <w:t xml:space="preserv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 xml:space="preserve">del Proyecto (y a la Unidad de Gestión del Proyecto) llevando a cabo funciones objetivas e independientes de supervisión y monitoreo del proyecto, incluido el cumplimiento de </w:t>
      </w:r>
      <w:r w:rsidR="00C76CB7">
        <w:rPr>
          <w:rFonts w:ascii="Calibri" w:hAnsi="Calibri"/>
          <w:sz w:val="20"/>
        </w:rPr>
        <w:t>los Estándares</w:t>
      </w:r>
      <w:r>
        <w:rPr>
          <w:rFonts w:ascii="Calibri" w:hAnsi="Calibri"/>
          <w:sz w:val="20"/>
        </w:rPr>
        <w:t xml:space="preserve"> de </w:t>
      </w:r>
      <w:r w:rsidR="00C41DC3">
        <w:rPr>
          <w:rFonts w:ascii="Calibri" w:hAnsi="Calibri"/>
          <w:sz w:val="20"/>
        </w:rPr>
        <w:t>G</w:t>
      </w:r>
      <w:r>
        <w:rPr>
          <w:rFonts w:ascii="Calibri" w:hAnsi="Calibri"/>
          <w:sz w:val="20"/>
        </w:rPr>
        <w:t xml:space="preserve">estión de </w:t>
      </w:r>
      <w:r w:rsidR="00C41DC3">
        <w:rPr>
          <w:rFonts w:ascii="Calibri" w:hAnsi="Calibri"/>
          <w:sz w:val="20"/>
        </w:rPr>
        <w:t>R</w:t>
      </w:r>
      <w:r>
        <w:rPr>
          <w:rFonts w:ascii="Calibri" w:hAnsi="Calibri"/>
          <w:sz w:val="20"/>
        </w:rPr>
        <w:t xml:space="preserve">iesgos y de </w:t>
      </w:r>
      <w:r w:rsidR="00C76CB7">
        <w:rPr>
          <w:rFonts w:ascii="Calibri" w:hAnsi="Calibri"/>
          <w:sz w:val="20"/>
        </w:rPr>
        <w:t>los Estándares</w:t>
      </w:r>
      <w:r>
        <w:rPr>
          <w:rFonts w:ascii="Calibri" w:hAnsi="Calibri"/>
          <w:sz w:val="20"/>
        </w:rPr>
        <w:t xml:space="preserve"> </w:t>
      </w:r>
      <w:r w:rsidR="00C41DC3">
        <w:rPr>
          <w:rFonts w:ascii="Calibri" w:hAnsi="Calibri"/>
          <w:sz w:val="20"/>
        </w:rPr>
        <w:t>S</w:t>
      </w:r>
      <w:r>
        <w:rPr>
          <w:rFonts w:ascii="Calibri" w:hAnsi="Calibri"/>
          <w:sz w:val="20"/>
        </w:rPr>
        <w:t xml:space="preserve">ociales y </w:t>
      </w:r>
      <w:r w:rsidR="00C41DC3">
        <w:rPr>
          <w:rFonts w:ascii="Calibri" w:hAnsi="Calibri"/>
          <w:sz w:val="20"/>
        </w:rPr>
        <w:t>A</w:t>
      </w:r>
      <w:r>
        <w:rPr>
          <w:rFonts w:ascii="Calibri" w:hAnsi="Calibri"/>
          <w:sz w:val="20"/>
        </w:rPr>
        <w:t xml:space="preserve">mbientales del PNUD. </w:t>
      </w:r>
      <w:r w:rsidR="00C67C5B">
        <w:rPr>
          <w:rFonts w:ascii="Calibri" w:hAnsi="Calibri"/>
          <w:sz w:val="20"/>
        </w:rPr>
        <w:t xml:space="preserve">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de Proyecto no puede delegar ninguna de sus responsabilidades de garantía de calidad al Director de Proyecto. El aseguramiento del proyecto es totalmente independiente de su ejecución.</w:t>
      </w:r>
    </w:p>
    <w:p w14:paraId="75772133" w14:textId="6261E484" w:rsidR="004C2BAF" w:rsidRPr="002A6C28" w:rsidRDefault="00966EF0" w:rsidP="001314F6">
      <w:pPr>
        <w:pStyle w:val="GEFFieldtoFillout"/>
        <w:shd w:val="clear" w:color="auto" w:fill="FFFFFF"/>
        <w:spacing w:after="120"/>
        <w:ind w:left="360"/>
        <w:jc w:val="both"/>
        <w:rPr>
          <w:rFonts w:asciiTheme="minorHAnsi" w:eastAsia="SimSun" w:hAnsiTheme="minorHAnsi" w:cstheme="minorHAnsi"/>
          <w:color w:val="FF0000"/>
          <w:sz w:val="20"/>
          <w:szCs w:val="20"/>
        </w:rPr>
      </w:pPr>
      <w:r>
        <w:rPr>
          <w:rFonts w:ascii="Calibri" w:hAnsi="Calibri"/>
          <w:sz w:val="20"/>
        </w:rPr>
        <w:t>Se espera que un representante designado del PNUD que desempeñe el papel de garante del proyecto asista a todas las reuniones de</w:t>
      </w:r>
      <w:r w:rsidR="00343360">
        <w:rPr>
          <w:rFonts w:ascii="Calibri" w:hAnsi="Calibri"/>
          <w:sz w:val="20"/>
        </w:rPr>
        <w:t>l comité</w:t>
      </w:r>
      <w:r>
        <w:rPr>
          <w:rFonts w:ascii="Calibri" w:hAnsi="Calibri"/>
          <w:sz w:val="20"/>
        </w:rPr>
        <w:t xml:space="preserve"> y apoye los procesos de la junta como representante sin derecho a voto. Cabe señalar que, si bien en ciertos casos la función de garantía de proyectos del PNUD en todo el proyecto puede abarcar actividades que tienen lugar en varios niveles (por ejemplo, global, regional), al menos un representante del PNUD que desempeñe esa función debe, como parte de sus obligaciones, asistir </w:t>
      </w:r>
      <w:r>
        <w:rPr>
          <w:rFonts w:ascii="Calibri" w:hAnsi="Calibri"/>
          <w:sz w:val="20"/>
          <w:u w:val="single"/>
        </w:rPr>
        <w:t xml:space="preserve">específicamente </w:t>
      </w:r>
      <w:r>
        <w:rPr>
          <w:rFonts w:ascii="Calibri" w:hAnsi="Calibri"/>
          <w:sz w:val="20"/>
        </w:rPr>
        <w:t xml:space="preserve">a la reunión </w:t>
      </w:r>
      <w:r w:rsidR="00C67C5B">
        <w:rPr>
          <w:rFonts w:ascii="Calibri" w:hAnsi="Calibri"/>
          <w:sz w:val="20"/>
        </w:rPr>
        <w:t>del Comité Directivo</w:t>
      </w:r>
      <w:r>
        <w:rPr>
          <w:rFonts w:ascii="Calibri" w:hAnsi="Calibri"/>
          <w:sz w:val="20"/>
        </w:rPr>
        <w:t xml:space="preserve"> y proporcionar a </w:t>
      </w:r>
      <w:r>
        <w:rPr>
          <w:rFonts w:ascii="Calibri" w:hAnsi="Calibri"/>
          <w:color w:val="000000" w:themeColor="text1"/>
          <w:sz w:val="20"/>
        </w:rPr>
        <w:t xml:space="preserve">sus miembros la documentación necesaria para el desempeño de sus funciones. El representante del PNUD que desempeña la función principal de garantía del proyecto es/son: </w:t>
      </w:r>
      <w:r>
        <w:rPr>
          <w:rFonts w:asciiTheme="minorHAnsi" w:hAnsiTheme="minorHAnsi"/>
          <w:color w:val="000000" w:themeColor="text1"/>
          <w:sz w:val="20"/>
        </w:rPr>
        <w:t xml:space="preserve">Oficial de </w:t>
      </w:r>
      <w:r w:rsidR="00C41DC3">
        <w:rPr>
          <w:rFonts w:asciiTheme="minorHAnsi" w:hAnsiTheme="minorHAnsi"/>
          <w:color w:val="000000" w:themeColor="text1"/>
          <w:sz w:val="20"/>
        </w:rPr>
        <w:t>P</w:t>
      </w:r>
      <w:r>
        <w:rPr>
          <w:rFonts w:asciiTheme="minorHAnsi" w:hAnsiTheme="minorHAnsi"/>
          <w:color w:val="000000" w:themeColor="text1"/>
          <w:sz w:val="20"/>
        </w:rPr>
        <w:t xml:space="preserve">rogramas, NOB (Funcionario </w:t>
      </w:r>
      <w:r w:rsidR="00C41DC3">
        <w:rPr>
          <w:rFonts w:asciiTheme="minorHAnsi" w:hAnsiTheme="minorHAnsi"/>
          <w:color w:val="000000" w:themeColor="text1"/>
          <w:sz w:val="20"/>
        </w:rPr>
        <w:t>P</w:t>
      </w:r>
      <w:r>
        <w:rPr>
          <w:rFonts w:asciiTheme="minorHAnsi" w:hAnsiTheme="minorHAnsi"/>
          <w:color w:val="000000" w:themeColor="text1"/>
          <w:sz w:val="20"/>
        </w:rPr>
        <w:t xml:space="preserve">rofesional </w:t>
      </w:r>
      <w:r w:rsidR="00C41DC3">
        <w:rPr>
          <w:rFonts w:asciiTheme="minorHAnsi" w:hAnsiTheme="minorHAnsi"/>
          <w:color w:val="000000" w:themeColor="text1"/>
          <w:sz w:val="20"/>
        </w:rPr>
        <w:t>N</w:t>
      </w:r>
      <w:r>
        <w:rPr>
          <w:rFonts w:asciiTheme="minorHAnsi" w:hAnsiTheme="minorHAnsi"/>
          <w:color w:val="000000" w:themeColor="text1"/>
          <w:sz w:val="20"/>
        </w:rPr>
        <w:t>acional B)</w:t>
      </w:r>
      <w:r w:rsidR="00C41DC3">
        <w:rPr>
          <w:rFonts w:asciiTheme="minorHAnsi" w:hAnsiTheme="minorHAnsi"/>
          <w:color w:val="000000" w:themeColor="text1"/>
          <w:sz w:val="20"/>
        </w:rPr>
        <w:t>.</w:t>
      </w:r>
    </w:p>
    <w:p w14:paraId="5E3AB0F8" w14:textId="7641A33A" w:rsidR="00273AFD" w:rsidRPr="002152FE" w:rsidRDefault="00273AFD" w:rsidP="004C2BAF">
      <w:pPr>
        <w:jc w:val="both"/>
        <w:rPr>
          <w:rFonts w:ascii="Calibri" w:hAnsi="Calibri" w:cs="Calibri"/>
          <w:sz w:val="20"/>
          <w:szCs w:val="20"/>
          <w:lang w:val="es-EC"/>
        </w:rPr>
      </w:pPr>
    </w:p>
    <w:p w14:paraId="653C3157" w14:textId="49D1B00F" w:rsidR="00966EF0" w:rsidRPr="00273AFD" w:rsidRDefault="00966EF0">
      <w:pPr>
        <w:numPr>
          <w:ilvl w:val="0"/>
          <w:numId w:val="17"/>
        </w:numPr>
        <w:spacing w:after="120"/>
        <w:jc w:val="both"/>
        <w:rPr>
          <w:rFonts w:ascii="Calibri" w:eastAsia="SimSun" w:hAnsi="Calibri" w:cs="Calibri"/>
          <w:noProof/>
          <w:sz w:val="20"/>
          <w:szCs w:val="20"/>
        </w:rPr>
      </w:pPr>
      <w:r>
        <w:rPr>
          <w:rFonts w:ascii="Calibri" w:hAnsi="Calibri"/>
          <w:b/>
          <w:sz w:val="20"/>
          <w:u w:val="single"/>
        </w:rPr>
        <w:t xml:space="preserve">Gestión del </w:t>
      </w:r>
      <w:r w:rsidR="00C41DC3">
        <w:rPr>
          <w:rFonts w:ascii="Calibri" w:hAnsi="Calibri"/>
          <w:b/>
          <w:sz w:val="20"/>
          <w:u w:val="single"/>
        </w:rPr>
        <w:t>P</w:t>
      </w:r>
      <w:r>
        <w:rPr>
          <w:rFonts w:ascii="Calibri" w:hAnsi="Calibri"/>
          <w:b/>
          <w:sz w:val="20"/>
          <w:u w:val="single"/>
        </w:rPr>
        <w:t xml:space="preserve">royecto - Ejecución del </w:t>
      </w:r>
      <w:r w:rsidR="00C41DC3">
        <w:rPr>
          <w:rFonts w:ascii="Calibri" w:hAnsi="Calibri"/>
          <w:b/>
          <w:sz w:val="20"/>
          <w:u w:val="single"/>
        </w:rPr>
        <w:t>P</w:t>
      </w:r>
      <w:r>
        <w:rPr>
          <w:rFonts w:ascii="Calibri" w:hAnsi="Calibri"/>
          <w:b/>
          <w:sz w:val="20"/>
          <w:u w:val="single"/>
        </w:rPr>
        <w:t xml:space="preserve">royecto: </w:t>
      </w:r>
      <w:r w:rsidR="00707175">
        <w:rPr>
          <w:rFonts w:ascii="Calibri" w:hAnsi="Calibri"/>
          <w:sz w:val="20"/>
        </w:rPr>
        <w:t>e</w:t>
      </w:r>
      <w:r>
        <w:rPr>
          <w:rFonts w:ascii="Calibri" w:hAnsi="Calibri"/>
          <w:sz w:val="20"/>
        </w:rPr>
        <w:t>l/</w:t>
      </w:r>
      <w:r w:rsidR="00707175">
        <w:rPr>
          <w:rFonts w:ascii="Calibri" w:hAnsi="Calibri"/>
          <w:sz w:val="20"/>
        </w:rPr>
        <w:t>l</w:t>
      </w:r>
      <w:r>
        <w:rPr>
          <w:rFonts w:ascii="Calibri" w:hAnsi="Calibri"/>
          <w:sz w:val="20"/>
        </w:rPr>
        <w:t xml:space="preserve">a </w:t>
      </w:r>
      <w:r w:rsidR="009C6F27">
        <w:rPr>
          <w:rFonts w:ascii="Calibri" w:hAnsi="Calibri"/>
          <w:sz w:val="20"/>
        </w:rPr>
        <w:t>Coordinador</w:t>
      </w:r>
      <w:r>
        <w:rPr>
          <w:rFonts w:ascii="Calibri" w:hAnsi="Calibri"/>
          <w:sz w:val="20"/>
        </w:rPr>
        <w:t>(a) de Proyecto (</w:t>
      </w:r>
      <w:r w:rsidR="009C6F27">
        <w:rPr>
          <w:rFonts w:ascii="Calibri" w:hAnsi="Calibri"/>
          <w:sz w:val="20"/>
        </w:rPr>
        <w:t>P</w:t>
      </w:r>
      <w:r w:rsidR="009C6F27">
        <w:rPr>
          <w:rFonts w:ascii="Calibri" w:hAnsi="Calibri"/>
          <w:sz w:val="20"/>
          <w:lang w:val="es-EC"/>
        </w:rPr>
        <w:t>M</w:t>
      </w:r>
      <w:r>
        <w:rPr>
          <w:rFonts w:ascii="Calibri" w:hAnsi="Calibri"/>
          <w:sz w:val="20"/>
        </w:rPr>
        <w:t xml:space="preserve">) (también llamado </w:t>
      </w:r>
      <w:r w:rsidR="00C41DC3">
        <w:rPr>
          <w:rFonts w:ascii="Calibri" w:hAnsi="Calibri"/>
          <w:sz w:val="20"/>
        </w:rPr>
        <w:t>C</w:t>
      </w:r>
      <w:r>
        <w:rPr>
          <w:rFonts w:ascii="Calibri" w:hAnsi="Calibri"/>
          <w:sz w:val="20"/>
        </w:rPr>
        <w:t xml:space="preserve">oordinador del </w:t>
      </w:r>
      <w:r w:rsidR="00C41DC3">
        <w:rPr>
          <w:rFonts w:ascii="Calibri" w:hAnsi="Calibri"/>
          <w:sz w:val="20"/>
        </w:rPr>
        <w:t>P</w:t>
      </w:r>
      <w:r>
        <w:rPr>
          <w:rFonts w:ascii="Calibri" w:hAnsi="Calibri"/>
          <w:sz w:val="20"/>
        </w:rPr>
        <w:t xml:space="preserve">royecto) es el máximo representante de la Unidad de Gestión del Proyecto (UGP) y es responsable de la gestión diaria general del proyecto en nombre </w:t>
      </w:r>
      <w:r>
        <w:rPr>
          <w:rFonts w:ascii="Calibri" w:hAnsi="Calibri"/>
          <w:sz w:val="20"/>
          <w:u w:val="single"/>
        </w:rPr>
        <w:t>del Socio en la Implementación</w:t>
      </w:r>
      <w:r>
        <w:rPr>
          <w:rFonts w:ascii="Calibri" w:hAnsi="Calibri"/>
          <w:sz w:val="20"/>
        </w:rPr>
        <w:t xml:space="preserve">, incluyendo la movilización de todos los insumos del proyecto, la supervisión sobre el personal del proyecto, las partes responsables, los consultores y los subcontratistas. El </w:t>
      </w:r>
      <w:r w:rsidR="00C41DC3">
        <w:rPr>
          <w:rFonts w:ascii="Calibri" w:hAnsi="Calibri"/>
          <w:sz w:val="20"/>
        </w:rPr>
        <w:t>D</w:t>
      </w:r>
      <w:r>
        <w:rPr>
          <w:rFonts w:ascii="Calibri" w:hAnsi="Calibri"/>
          <w:sz w:val="20"/>
        </w:rPr>
        <w:t xml:space="preserve">irector del </w:t>
      </w:r>
      <w:r w:rsidR="00C41DC3">
        <w:rPr>
          <w:rFonts w:ascii="Calibri" w:hAnsi="Calibri"/>
          <w:sz w:val="20"/>
        </w:rPr>
        <w:t>P</w:t>
      </w:r>
      <w:r>
        <w:rPr>
          <w:rFonts w:ascii="Calibri" w:hAnsi="Calibri"/>
          <w:sz w:val="20"/>
        </w:rPr>
        <w:t xml:space="preserve">royecto suele presentar al consejo los principales documentos y resultados para su examen y aprobación, incluidos los informes de avance, planes de trabajo anuales, ajustes de los niveles de tolerancia y registros de riesgos.  </w:t>
      </w:r>
    </w:p>
    <w:p w14:paraId="2DEAFFC2" w14:textId="4A6EE508" w:rsidR="00966EF0" w:rsidRPr="00B7157E" w:rsidRDefault="00966EF0" w:rsidP="00273AFD">
      <w:pPr>
        <w:spacing w:after="120"/>
        <w:ind w:left="360"/>
        <w:rPr>
          <w:rFonts w:ascii="Calibri" w:eastAsia="SimSun" w:hAnsi="Calibri" w:cs="Calibri"/>
          <w:noProof/>
          <w:sz w:val="20"/>
          <w:szCs w:val="20"/>
        </w:rPr>
      </w:pPr>
      <w:r>
        <w:rPr>
          <w:rFonts w:ascii="Calibri" w:hAnsi="Calibri"/>
          <w:sz w:val="20"/>
        </w:rPr>
        <w:t xml:space="preserve">Se espera que un representante designado de la UGP asista a todas las reuniones de la junta y apoye los procesos de la junta como representante sin derecho a voto. El principal representante de la UGP que asiste a las reuniones de la junta es: </w:t>
      </w:r>
      <w:r w:rsidR="00C41DC3">
        <w:rPr>
          <w:rFonts w:ascii="Calibri" w:hAnsi="Calibri"/>
          <w:sz w:val="20"/>
        </w:rPr>
        <w:t>e</w:t>
      </w:r>
      <w:r>
        <w:rPr>
          <w:rFonts w:ascii="Calibri" w:hAnsi="Calibri"/>
          <w:sz w:val="20"/>
        </w:rPr>
        <w:t>L/</w:t>
      </w:r>
      <w:r w:rsidR="00C41DC3">
        <w:rPr>
          <w:rFonts w:ascii="Calibri" w:hAnsi="Calibri"/>
          <w:sz w:val="20"/>
        </w:rPr>
        <w:t>l</w:t>
      </w:r>
      <w:r>
        <w:rPr>
          <w:rFonts w:ascii="Calibri" w:hAnsi="Calibri"/>
          <w:sz w:val="20"/>
        </w:rPr>
        <w:t xml:space="preserve">a Coordinador(a) de </w:t>
      </w:r>
      <w:r w:rsidR="00C41DC3">
        <w:rPr>
          <w:rFonts w:ascii="Calibri" w:hAnsi="Calibri"/>
          <w:sz w:val="20"/>
        </w:rPr>
        <w:t>P</w:t>
      </w:r>
      <w:r>
        <w:rPr>
          <w:rFonts w:ascii="Calibri" w:hAnsi="Calibri"/>
          <w:sz w:val="20"/>
        </w:rPr>
        <w:t>royecto</w:t>
      </w:r>
      <w:r w:rsidR="00C41DC3">
        <w:rPr>
          <w:rFonts w:ascii="Calibri" w:hAnsi="Calibri"/>
          <w:sz w:val="20"/>
        </w:rPr>
        <w:t>.</w:t>
      </w:r>
    </w:p>
    <w:p w14:paraId="5A32944D" w14:textId="61702F74" w:rsidR="00966EF0" w:rsidRPr="00966EF0" w:rsidRDefault="00EE549A" w:rsidP="00273AFD">
      <w:pPr>
        <w:spacing w:after="120" w:line="259" w:lineRule="auto"/>
        <w:rPr>
          <w:rFonts w:ascii="Calibri" w:eastAsia="SimSun" w:hAnsi="Calibri" w:cs="Arial"/>
          <w:noProof/>
          <w:sz w:val="20"/>
          <w:szCs w:val="20"/>
        </w:rPr>
      </w:pPr>
      <w:r>
        <w:br w:type="page"/>
      </w:r>
    </w:p>
    <w:p w14:paraId="62E693A8" w14:textId="4D936CF5" w:rsidR="00966EF0" w:rsidRPr="00273AFD" w:rsidRDefault="00705641" w:rsidP="00273AFD">
      <w:pPr>
        <w:keepNext/>
        <w:pBdr>
          <w:top w:val="single" w:sz="4" w:space="1" w:color="auto"/>
        </w:pBdr>
        <w:tabs>
          <w:tab w:val="num" w:pos="720"/>
        </w:tabs>
        <w:suppressAutoHyphens/>
        <w:spacing w:after="120"/>
        <w:ind w:left="720" w:hanging="720"/>
        <w:jc w:val="both"/>
        <w:outlineLvl w:val="0"/>
        <w:rPr>
          <w:rFonts w:ascii="Calibri" w:eastAsia="SimSun" w:hAnsi="Calibri"/>
          <w:b/>
          <w:smallCaps/>
          <w:spacing w:val="-2"/>
          <w:sz w:val="28"/>
          <w:szCs w:val="20"/>
        </w:rPr>
      </w:pPr>
      <w:bookmarkStart w:id="48" w:name="_Toc114650848"/>
      <w:bookmarkStart w:id="49" w:name="_Toc144822673"/>
      <w:r>
        <w:rPr>
          <w:rFonts w:ascii="Calibri" w:hAnsi="Calibri"/>
          <w:b/>
          <w:smallCaps/>
          <w:sz w:val="28"/>
        </w:rPr>
        <w:t>VIII. Planificación y gestión financiera</w:t>
      </w:r>
      <w:bookmarkEnd w:id="48"/>
      <w:bookmarkEnd w:id="49"/>
      <w:r>
        <w:rPr>
          <w:rFonts w:ascii="Calibri" w:hAnsi="Calibri"/>
          <w:b/>
          <w:smallCaps/>
          <w:sz w:val="28"/>
        </w:rPr>
        <w:t xml:space="preserve"> </w:t>
      </w:r>
    </w:p>
    <w:p w14:paraId="42BB8F1A" w14:textId="1B5549F6" w:rsidR="00966EF0" w:rsidRPr="00A562E4" w:rsidRDefault="00966EF0" w:rsidP="00536058">
      <w:pPr>
        <w:autoSpaceDE w:val="0"/>
        <w:autoSpaceDN w:val="0"/>
        <w:adjustRightInd w:val="0"/>
        <w:jc w:val="both"/>
        <w:rPr>
          <w:rFonts w:ascii="Calibri" w:eastAsia="SimSun" w:hAnsi="Calibri"/>
          <w:color w:val="000000"/>
          <w:sz w:val="20"/>
          <w:szCs w:val="20"/>
        </w:rPr>
      </w:pPr>
      <w:r>
        <w:rPr>
          <w:rFonts w:ascii="Calibri" w:hAnsi="Calibri"/>
          <w:color w:val="000000"/>
          <w:sz w:val="20"/>
        </w:rPr>
        <w:t>El cost</w:t>
      </w:r>
      <w:r w:rsidR="00C41DC3">
        <w:rPr>
          <w:rFonts w:ascii="Calibri" w:hAnsi="Calibri"/>
          <w:color w:val="000000"/>
          <w:sz w:val="20"/>
        </w:rPr>
        <w:t>o</w:t>
      </w:r>
      <w:r>
        <w:rPr>
          <w:rFonts w:ascii="Calibri" w:hAnsi="Calibri"/>
          <w:color w:val="000000"/>
          <w:sz w:val="20"/>
        </w:rPr>
        <w:t xml:space="preserve"> total del </w:t>
      </w:r>
      <w:r>
        <w:rPr>
          <w:rFonts w:ascii="Calibri" w:hAnsi="Calibri"/>
          <w:color w:val="000000" w:themeColor="text1"/>
          <w:sz w:val="20"/>
        </w:rPr>
        <w:t xml:space="preserve">proyecto es de 30.878.386 USD.  Este </w:t>
      </w:r>
      <w:r>
        <w:rPr>
          <w:rFonts w:ascii="Calibri" w:hAnsi="Calibri"/>
          <w:color w:val="000000"/>
          <w:sz w:val="20"/>
        </w:rPr>
        <w:t xml:space="preserve">se financia mediante una subvención del FMAM de </w:t>
      </w:r>
      <w:r>
        <w:rPr>
          <w:rFonts w:asciiTheme="minorHAnsi" w:hAnsiTheme="minorHAnsi"/>
          <w:sz w:val="20"/>
        </w:rPr>
        <w:t xml:space="preserve">USD$4.000.000 </w:t>
      </w:r>
      <w:r>
        <w:rPr>
          <w:rFonts w:ascii="Calibri" w:hAnsi="Calibri"/>
          <w:color w:val="000000" w:themeColor="text1"/>
          <w:sz w:val="20"/>
        </w:rPr>
        <w:t>administrada por el PNUD</w:t>
      </w:r>
      <w:r>
        <w:rPr>
          <w:rFonts w:ascii="Calibri" w:hAnsi="Calibri"/>
          <w:color w:val="000000"/>
          <w:sz w:val="20"/>
        </w:rPr>
        <w:t xml:space="preserve"> y un apoyo adicional de 26.878.386 USD. El PNUD, como Organismo de Ejecución del FMAM, es responsable de la supervisión de los recursos del FMAM y de la cofinanciación en efectivo transferida únicamente a la cuenta bancaria del PNUD.   </w:t>
      </w:r>
    </w:p>
    <w:p w14:paraId="306DAC5E" w14:textId="77777777" w:rsidR="00966EF0" w:rsidRPr="002152FE" w:rsidRDefault="00966EF0" w:rsidP="00536058">
      <w:pPr>
        <w:autoSpaceDE w:val="0"/>
        <w:autoSpaceDN w:val="0"/>
        <w:adjustRightInd w:val="0"/>
        <w:jc w:val="both"/>
        <w:rPr>
          <w:rFonts w:ascii="Calibri" w:eastAsia="SimSun" w:hAnsi="Calibri"/>
          <w:color w:val="000000"/>
          <w:sz w:val="20"/>
          <w:szCs w:val="20"/>
          <w:u w:val="single"/>
          <w:lang w:val="es-EC"/>
        </w:rPr>
      </w:pPr>
    </w:p>
    <w:p w14:paraId="7A7A5668" w14:textId="753028AD" w:rsidR="00966EF0" w:rsidRDefault="00966EF0" w:rsidP="00536058">
      <w:pPr>
        <w:autoSpaceDE w:val="0"/>
        <w:autoSpaceDN w:val="0"/>
        <w:adjustRightInd w:val="0"/>
        <w:jc w:val="both"/>
        <w:rPr>
          <w:rFonts w:ascii="Calibri" w:eastAsia="SimSun" w:hAnsi="Calibri"/>
          <w:color w:val="000000"/>
          <w:sz w:val="20"/>
          <w:szCs w:val="20"/>
        </w:rPr>
      </w:pPr>
      <w:r>
        <w:rPr>
          <w:rFonts w:ascii="Calibri" w:hAnsi="Calibri"/>
          <w:b/>
          <w:color w:val="000000"/>
          <w:sz w:val="20"/>
          <w:u w:val="single"/>
        </w:rPr>
        <w:t>Cofinanciación</w:t>
      </w:r>
      <w:r w:rsidR="00474CFC">
        <w:rPr>
          <w:rStyle w:val="Refdenotaalpie"/>
          <w:rFonts w:eastAsia="SimSun"/>
          <w:b/>
          <w:bCs/>
          <w:color w:val="000000"/>
          <w:szCs w:val="20"/>
          <w:u w:val="single"/>
          <w:lang w:val="en-US"/>
        </w:rPr>
        <w:footnoteReference w:id="38"/>
      </w:r>
      <w:r>
        <w:rPr>
          <w:rFonts w:ascii="Calibri" w:hAnsi="Calibri"/>
          <w:color w:val="000000"/>
          <w:sz w:val="20"/>
        </w:rPr>
        <w:t xml:space="preserve">: </w:t>
      </w:r>
      <w:r w:rsidR="00707175">
        <w:rPr>
          <w:rFonts w:ascii="Calibri" w:hAnsi="Calibri"/>
          <w:color w:val="000000"/>
          <w:sz w:val="20"/>
        </w:rPr>
        <w:t>l</w:t>
      </w:r>
      <w:r>
        <w:rPr>
          <w:rFonts w:ascii="Calibri" w:hAnsi="Calibri"/>
          <w:color w:val="000000"/>
          <w:sz w:val="20"/>
        </w:rPr>
        <w:t xml:space="preserve">a ejecución real de las cantidades de cofinanciación del proyecto será supervisada por la </w:t>
      </w:r>
      <w:r w:rsidR="00343360">
        <w:rPr>
          <w:rFonts w:ascii="Calibri" w:hAnsi="Calibri"/>
          <w:color w:val="000000"/>
          <w:sz w:val="20"/>
        </w:rPr>
        <w:t>Oficina Nacional</w:t>
      </w:r>
      <w:r>
        <w:rPr>
          <w:rFonts w:ascii="Calibri" w:hAnsi="Calibri"/>
          <w:color w:val="000000"/>
          <w:sz w:val="20"/>
        </w:rPr>
        <w:t xml:space="preserve"> del PNUD y la UGP sobre una base anual en el </w:t>
      </w:r>
      <w:r w:rsidR="009C6F27">
        <w:rPr>
          <w:rFonts w:ascii="Calibri" w:hAnsi="Calibri"/>
          <w:color w:val="000000"/>
          <w:sz w:val="20"/>
        </w:rPr>
        <w:t>PIF</w:t>
      </w:r>
      <w:r>
        <w:rPr>
          <w:rFonts w:ascii="Calibri" w:hAnsi="Calibri"/>
          <w:color w:val="000000"/>
          <w:sz w:val="20"/>
        </w:rPr>
        <w:t xml:space="preserve"> del FMAM y se informará al FMAM durante </w:t>
      </w:r>
      <w:r w:rsidRPr="00343360">
        <w:rPr>
          <w:rFonts w:ascii="Calibri" w:hAnsi="Calibri"/>
          <w:color w:val="000000"/>
          <w:sz w:val="20"/>
        </w:rPr>
        <w:t xml:space="preserve">la </w:t>
      </w:r>
      <w:r w:rsidR="005176EC" w:rsidRPr="00343360">
        <w:rPr>
          <w:rFonts w:ascii="Calibri" w:hAnsi="Calibri"/>
          <w:color w:val="000000"/>
          <w:sz w:val="20"/>
        </w:rPr>
        <w:t>R</w:t>
      </w:r>
      <w:r w:rsidRPr="00343360">
        <w:rPr>
          <w:rFonts w:ascii="Calibri" w:hAnsi="Calibri"/>
          <w:color w:val="000000"/>
          <w:sz w:val="20"/>
        </w:rPr>
        <w:t xml:space="preserve">evisión de </w:t>
      </w:r>
      <w:r w:rsidR="005176EC" w:rsidRPr="00343360">
        <w:rPr>
          <w:rFonts w:ascii="Calibri" w:hAnsi="Calibri"/>
          <w:color w:val="000000"/>
          <w:sz w:val="20"/>
        </w:rPr>
        <w:t>M</w:t>
      </w:r>
      <w:r w:rsidRPr="00343360">
        <w:rPr>
          <w:rFonts w:ascii="Calibri" w:hAnsi="Calibri"/>
          <w:color w:val="000000"/>
          <w:sz w:val="20"/>
        </w:rPr>
        <w:t xml:space="preserve">itad de </w:t>
      </w:r>
      <w:r w:rsidR="005176EC" w:rsidRPr="00343360">
        <w:rPr>
          <w:rFonts w:ascii="Calibri" w:hAnsi="Calibri"/>
          <w:color w:val="000000"/>
          <w:sz w:val="20"/>
        </w:rPr>
        <w:t>P</w:t>
      </w:r>
      <w:r w:rsidRPr="00343360">
        <w:rPr>
          <w:rFonts w:ascii="Calibri" w:hAnsi="Calibri"/>
          <w:color w:val="000000"/>
          <w:sz w:val="20"/>
        </w:rPr>
        <w:t>eríodo</w:t>
      </w:r>
      <w:r w:rsidR="00343360" w:rsidRPr="00343360">
        <w:rPr>
          <w:rFonts w:ascii="Calibri" w:hAnsi="Calibri"/>
          <w:color w:val="000000"/>
          <w:sz w:val="20"/>
        </w:rPr>
        <w:t>, MTR,</w:t>
      </w:r>
      <w:r w:rsidRPr="00343360">
        <w:rPr>
          <w:rFonts w:ascii="Calibri" w:hAnsi="Calibri"/>
          <w:color w:val="000000"/>
          <w:sz w:val="20"/>
        </w:rPr>
        <w:t xml:space="preserve"> y el </w:t>
      </w:r>
      <w:r w:rsidR="005176EC" w:rsidRPr="00343360">
        <w:rPr>
          <w:rFonts w:ascii="Calibri" w:hAnsi="Calibri"/>
          <w:color w:val="000000"/>
          <w:sz w:val="20"/>
        </w:rPr>
        <w:t>P</w:t>
      </w:r>
      <w:r w:rsidRPr="00343360">
        <w:rPr>
          <w:rFonts w:ascii="Calibri" w:hAnsi="Calibri"/>
          <w:color w:val="000000"/>
          <w:sz w:val="20"/>
        </w:rPr>
        <w:t xml:space="preserve">roceso de </w:t>
      </w:r>
      <w:r w:rsidR="005176EC" w:rsidRPr="00343360">
        <w:rPr>
          <w:rFonts w:ascii="Calibri" w:hAnsi="Calibri"/>
          <w:color w:val="000000"/>
          <w:sz w:val="20"/>
        </w:rPr>
        <w:t>E</w:t>
      </w:r>
      <w:r w:rsidRPr="00343360">
        <w:rPr>
          <w:rFonts w:ascii="Calibri" w:hAnsi="Calibri"/>
          <w:color w:val="000000"/>
          <w:sz w:val="20"/>
        </w:rPr>
        <w:t xml:space="preserve">valuación </w:t>
      </w:r>
      <w:r w:rsidR="005176EC" w:rsidRPr="00343360">
        <w:rPr>
          <w:rFonts w:ascii="Calibri" w:hAnsi="Calibri"/>
          <w:color w:val="000000"/>
          <w:sz w:val="20"/>
        </w:rPr>
        <w:t>F</w:t>
      </w:r>
      <w:r w:rsidRPr="00343360">
        <w:rPr>
          <w:rFonts w:ascii="Calibri" w:hAnsi="Calibri"/>
          <w:color w:val="000000"/>
          <w:sz w:val="20"/>
        </w:rPr>
        <w:t>inal de la siguiente</w:t>
      </w:r>
      <w:r>
        <w:rPr>
          <w:rFonts w:ascii="Calibri" w:hAnsi="Calibri"/>
          <w:color w:val="000000"/>
          <w:sz w:val="20"/>
        </w:rPr>
        <w:t xml:space="preserve"> manera:</w:t>
      </w:r>
    </w:p>
    <w:p w14:paraId="284CE4AF" w14:textId="28EDE58B" w:rsidR="00536058" w:rsidRPr="002152FE" w:rsidRDefault="00536058" w:rsidP="00536058">
      <w:pPr>
        <w:autoSpaceDE w:val="0"/>
        <w:autoSpaceDN w:val="0"/>
        <w:adjustRightInd w:val="0"/>
        <w:jc w:val="both"/>
        <w:rPr>
          <w:rFonts w:ascii="Calibri" w:eastAsia="SimSun" w:hAnsi="Calibri"/>
          <w:color w:val="000000"/>
          <w:sz w:val="20"/>
          <w:szCs w:val="20"/>
          <w:lang w:val="es-EC"/>
        </w:rPr>
      </w:pPr>
    </w:p>
    <w:p w14:paraId="4251BFD4" w14:textId="697173E2" w:rsidR="00966EF0" w:rsidRPr="00361B75" w:rsidRDefault="00361B75" w:rsidP="00361B75">
      <w:pPr>
        <w:pStyle w:val="Descripcin"/>
        <w:keepNext/>
        <w:rPr>
          <w:rFonts w:asciiTheme="minorHAnsi" w:hAnsiTheme="minorHAnsi" w:cstheme="minorHAnsi"/>
          <w:sz w:val="18"/>
          <w:szCs w:val="18"/>
        </w:rPr>
      </w:pPr>
      <w:bookmarkStart w:id="50" w:name="_Toc102373950"/>
      <w:bookmarkStart w:id="51" w:name="_Toc114650466"/>
      <w:r>
        <w:rPr>
          <w:rFonts w:asciiTheme="minorHAnsi" w:hAnsiTheme="minorHAnsi"/>
          <w:sz w:val="18"/>
        </w:rPr>
        <w:t xml:space="preserve">Tabla </w:t>
      </w:r>
      <w:r w:rsidRPr="00361B75">
        <w:rPr>
          <w:rFonts w:asciiTheme="minorHAnsi" w:hAnsiTheme="minorHAnsi" w:cstheme="minorHAnsi"/>
          <w:sz w:val="18"/>
        </w:rPr>
        <w:fldChar w:fldCharType="begin"/>
      </w:r>
      <w:r w:rsidRPr="00361B75">
        <w:rPr>
          <w:rFonts w:asciiTheme="minorHAnsi" w:hAnsiTheme="minorHAnsi" w:cstheme="minorHAnsi"/>
          <w:sz w:val="18"/>
        </w:rPr>
        <w:instrText xml:space="preserve"> SEQ Table \* ARABIC </w:instrText>
      </w:r>
      <w:r w:rsidRPr="00361B75">
        <w:rPr>
          <w:rFonts w:asciiTheme="minorHAnsi" w:hAnsiTheme="minorHAnsi" w:cstheme="minorHAnsi"/>
          <w:sz w:val="18"/>
        </w:rPr>
        <w:fldChar w:fldCharType="separate"/>
      </w:r>
      <w:r w:rsidR="004D0AC8">
        <w:rPr>
          <w:rFonts w:asciiTheme="minorHAnsi" w:hAnsiTheme="minorHAnsi" w:cstheme="minorHAnsi"/>
          <w:noProof/>
          <w:sz w:val="18"/>
        </w:rPr>
        <w:t>16</w:t>
      </w:r>
      <w:r w:rsidRPr="00361B75">
        <w:rPr>
          <w:rFonts w:asciiTheme="minorHAnsi" w:hAnsiTheme="minorHAnsi" w:cstheme="minorHAnsi"/>
          <w:sz w:val="18"/>
        </w:rPr>
        <w:fldChar w:fldCharType="end"/>
      </w:r>
      <w:r>
        <w:rPr>
          <w:rFonts w:asciiTheme="minorHAnsi" w:hAnsiTheme="minorHAnsi"/>
          <w:sz w:val="18"/>
        </w:rPr>
        <w:t>: Recursos de cofinanciación</w:t>
      </w:r>
      <w:bookmarkEnd w:id="50"/>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715"/>
        <w:gridCol w:w="1293"/>
      </w:tblGrid>
      <w:tr w:rsidR="00966EF0" w:rsidRPr="00966EF0" w14:paraId="5E831594" w14:textId="77777777" w:rsidTr="00536058">
        <w:tc>
          <w:tcPr>
            <w:tcW w:w="2875" w:type="dxa"/>
            <w:shd w:val="clear" w:color="auto" w:fill="auto"/>
          </w:tcPr>
          <w:p w14:paraId="5538FF28" w14:textId="77777777" w:rsidR="00966EF0" w:rsidRPr="00966EF0" w:rsidRDefault="00966EF0" w:rsidP="00966EF0">
            <w:pPr>
              <w:autoSpaceDE w:val="0"/>
              <w:autoSpaceDN w:val="0"/>
              <w:adjustRightInd w:val="0"/>
              <w:jc w:val="both"/>
              <w:rPr>
                <w:rFonts w:ascii="Calibri" w:eastAsia="SimSun" w:hAnsi="Calibri"/>
                <w:b/>
                <w:color w:val="000000"/>
                <w:sz w:val="18"/>
                <w:szCs w:val="18"/>
              </w:rPr>
            </w:pPr>
            <w:r>
              <w:rPr>
                <w:rFonts w:ascii="Calibri" w:hAnsi="Calibri"/>
                <w:b/>
                <w:color w:val="000000"/>
                <w:sz w:val="18"/>
              </w:rPr>
              <w:t>Fuente de cofinanciación</w:t>
            </w:r>
          </w:p>
        </w:tc>
        <w:tc>
          <w:tcPr>
            <w:tcW w:w="1715" w:type="dxa"/>
            <w:shd w:val="clear" w:color="auto" w:fill="auto"/>
          </w:tcPr>
          <w:p w14:paraId="06A184E4" w14:textId="77777777" w:rsidR="00966EF0" w:rsidRPr="00966EF0" w:rsidRDefault="00966EF0" w:rsidP="00966EF0">
            <w:pPr>
              <w:autoSpaceDE w:val="0"/>
              <w:autoSpaceDN w:val="0"/>
              <w:adjustRightInd w:val="0"/>
              <w:jc w:val="both"/>
              <w:rPr>
                <w:rFonts w:ascii="Calibri" w:eastAsia="SimSun" w:hAnsi="Calibri"/>
                <w:b/>
                <w:color w:val="000000"/>
                <w:sz w:val="18"/>
                <w:szCs w:val="18"/>
              </w:rPr>
            </w:pPr>
            <w:r>
              <w:rPr>
                <w:rFonts w:ascii="Calibri" w:hAnsi="Calibri"/>
                <w:b/>
                <w:color w:val="000000"/>
                <w:sz w:val="18"/>
              </w:rPr>
              <w:t>Tipo de cofinanciación</w:t>
            </w:r>
          </w:p>
        </w:tc>
        <w:tc>
          <w:tcPr>
            <w:tcW w:w="1170" w:type="dxa"/>
            <w:shd w:val="clear" w:color="auto" w:fill="auto"/>
          </w:tcPr>
          <w:p w14:paraId="7D73CCC1" w14:textId="77777777" w:rsidR="00966EF0" w:rsidRPr="00966EF0" w:rsidRDefault="00966EF0" w:rsidP="00966EF0">
            <w:pPr>
              <w:autoSpaceDE w:val="0"/>
              <w:autoSpaceDN w:val="0"/>
              <w:adjustRightInd w:val="0"/>
              <w:jc w:val="both"/>
              <w:rPr>
                <w:rFonts w:ascii="Calibri" w:eastAsia="SimSun" w:hAnsi="Calibri"/>
                <w:b/>
                <w:color w:val="000000"/>
                <w:sz w:val="18"/>
                <w:szCs w:val="18"/>
              </w:rPr>
            </w:pPr>
            <w:r>
              <w:rPr>
                <w:rFonts w:ascii="Calibri" w:hAnsi="Calibri"/>
                <w:b/>
                <w:color w:val="000000"/>
                <w:sz w:val="18"/>
              </w:rPr>
              <w:t>Importe de cofinanciación</w:t>
            </w:r>
          </w:p>
        </w:tc>
      </w:tr>
      <w:tr w:rsidR="00966EF0" w:rsidRPr="00E74A4B" w14:paraId="617B9823" w14:textId="77777777" w:rsidTr="00536058">
        <w:tc>
          <w:tcPr>
            <w:tcW w:w="2875" w:type="dxa"/>
            <w:shd w:val="clear" w:color="auto" w:fill="auto"/>
          </w:tcPr>
          <w:p w14:paraId="65DFA634" w14:textId="57F89B35" w:rsidR="00966EF0" w:rsidRPr="008E1A39" w:rsidRDefault="00410905" w:rsidP="00966EF0">
            <w:pPr>
              <w:autoSpaceDE w:val="0"/>
              <w:autoSpaceDN w:val="0"/>
              <w:adjustRightInd w:val="0"/>
              <w:jc w:val="both"/>
              <w:rPr>
                <w:rFonts w:ascii="Calibri" w:eastAsia="SimSun" w:hAnsi="Calibri"/>
                <w:iCs/>
                <w:color w:val="000000"/>
                <w:sz w:val="18"/>
                <w:szCs w:val="18"/>
              </w:rPr>
            </w:pPr>
            <w:r>
              <w:rPr>
                <w:rFonts w:ascii="Calibri" w:hAnsi="Calibri"/>
                <w:color w:val="000000"/>
                <w:sz w:val="18"/>
              </w:rPr>
              <w:t>Gobierno del país receptor (MAATE, MAG, MSP, AGROCALIDAD, CONGOPE, Municipalidad de Pedro Moncayo, SENAE, ABG)</w:t>
            </w:r>
          </w:p>
        </w:tc>
        <w:tc>
          <w:tcPr>
            <w:tcW w:w="1715" w:type="dxa"/>
            <w:shd w:val="clear" w:color="auto" w:fill="auto"/>
          </w:tcPr>
          <w:p w14:paraId="4FF8181E" w14:textId="4C54F513" w:rsidR="00966EF0" w:rsidRPr="008E1A39" w:rsidRDefault="00410905" w:rsidP="00966EF0">
            <w:pPr>
              <w:autoSpaceDE w:val="0"/>
              <w:autoSpaceDN w:val="0"/>
              <w:adjustRightInd w:val="0"/>
              <w:rPr>
                <w:rFonts w:ascii="Calibri" w:eastAsia="SimSun" w:hAnsi="Calibri"/>
                <w:iCs/>
                <w:color w:val="000000"/>
                <w:sz w:val="18"/>
                <w:szCs w:val="18"/>
              </w:rPr>
            </w:pPr>
            <w:r>
              <w:rPr>
                <w:rFonts w:ascii="Calibri" w:hAnsi="Calibri"/>
                <w:color w:val="000000"/>
                <w:sz w:val="18"/>
              </w:rPr>
              <w:t>En especie</w:t>
            </w:r>
          </w:p>
        </w:tc>
        <w:tc>
          <w:tcPr>
            <w:tcW w:w="1170" w:type="dxa"/>
            <w:shd w:val="clear" w:color="auto" w:fill="auto"/>
          </w:tcPr>
          <w:p w14:paraId="7BC22112" w14:textId="3B226DCE" w:rsidR="00966EF0" w:rsidRPr="008E1A39" w:rsidRDefault="00410905" w:rsidP="00966EF0">
            <w:pPr>
              <w:autoSpaceDE w:val="0"/>
              <w:autoSpaceDN w:val="0"/>
              <w:adjustRightInd w:val="0"/>
              <w:jc w:val="both"/>
              <w:rPr>
                <w:rFonts w:ascii="Calibri" w:eastAsia="SimSun" w:hAnsi="Calibri"/>
                <w:iCs/>
                <w:color w:val="000000"/>
                <w:sz w:val="18"/>
                <w:szCs w:val="18"/>
              </w:rPr>
            </w:pPr>
            <w:r>
              <w:rPr>
                <w:rFonts w:ascii="Calibri" w:hAnsi="Calibri"/>
                <w:color w:val="000000"/>
                <w:sz w:val="18"/>
              </w:rPr>
              <w:t>16.529.473</w:t>
            </w:r>
          </w:p>
        </w:tc>
      </w:tr>
      <w:tr w:rsidR="005838B5" w:rsidRPr="00E74A4B" w14:paraId="0AB4916E" w14:textId="77777777" w:rsidTr="00536058">
        <w:tc>
          <w:tcPr>
            <w:tcW w:w="2875" w:type="dxa"/>
            <w:shd w:val="clear" w:color="auto" w:fill="auto"/>
          </w:tcPr>
          <w:p w14:paraId="2FB84B12" w14:textId="7632D033" w:rsidR="005838B5" w:rsidRPr="008E1A39" w:rsidRDefault="00410905" w:rsidP="00966EF0">
            <w:pPr>
              <w:autoSpaceDE w:val="0"/>
              <w:autoSpaceDN w:val="0"/>
              <w:adjustRightInd w:val="0"/>
              <w:jc w:val="both"/>
              <w:rPr>
                <w:rFonts w:ascii="Calibri" w:eastAsia="SimSun" w:hAnsi="Calibri"/>
                <w:iCs/>
                <w:color w:val="000000"/>
                <w:sz w:val="18"/>
                <w:szCs w:val="18"/>
              </w:rPr>
            </w:pPr>
            <w:r>
              <w:rPr>
                <w:rFonts w:ascii="Calibri" w:hAnsi="Calibri"/>
                <w:color w:val="000000"/>
                <w:sz w:val="18"/>
              </w:rPr>
              <w:t>Gobierno del país beneficiario (MAG, AGROCALIDAD)</w:t>
            </w:r>
          </w:p>
        </w:tc>
        <w:tc>
          <w:tcPr>
            <w:tcW w:w="1715" w:type="dxa"/>
            <w:shd w:val="clear" w:color="auto" w:fill="auto"/>
          </w:tcPr>
          <w:p w14:paraId="4C24CD23" w14:textId="061FBB67" w:rsidR="005838B5" w:rsidRPr="008E1A39" w:rsidRDefault="00410905" w:rsidP="00966EF0">
            <w:pPr>
              <w:autoSpaceDE w:val="0"/>
              <w:autoSpaceDN w:val="0"/>
              <w:adjustRightInd w:val="0"/>
              <w:rPr>
                <w:rFonts w:ascii="Calibri" w:eastAsia="SimSun" w:hAnsi="Calibri"/>
                <w:iCs/>
                <w:color w:val="000000"/>
                <w:sz w:val="18"/>
                <w:szCs w:val="18"/>
              </w:rPr>
            </w:pPr>
            <w:r>
              <w:rPr>
                <w:rFonts w:ascii="Calibri" w:hAnsi="Calibri"/>
                <w:color w:val="000000"/>
                <w:sz w:val="18"/>
              </w:rPr>
              <w:t>Subvención</w:t>
            </w:r>
          </w:p>
        </w:tc>
        <w:tc>
          <w:tcPr>
            <w:tcW w:w="1170" w:type="dxa"/>
            <w:shd w:val="clear" w:color="auto" w:fill="auto"/>
          </w:tcPr>
          <w:p w14:paraId="3ADEA6DF" w14:textId="68EAF39D" w:rsidR="005838B5" w:rsidRPr="008E1A39" w:rsidRDefault="00410905" w:rsidP="00966EF0">
            <w:pPr>
              <w:autoSpaceDE w:val="0"/>
              <w:autoSpaceDN w:val="0"/>
              <w:adjustRightInd w:val="0"/>
              <w:jc w:val="both"/>
              <w:rPr>
                <w:rFonts w:ascii="Calibri" w:eastAsia="SimSun" w:hAnsi="Calibri"/>
                <w:iCs/>
                <w:color w:val="000000"/>
                <w:sz w:val="18"/>
                <w:szCs w:val="18"/>
              </w:rPr>
            </w:pPr>
            <w:r>
              <w:rPr>
                <w:rFonts w:ascii="Calibri" w:hAnsi="Calibri"/>
                <w:color w:val="000000"/>
                <w:sz w:val="18"/>
              </w:rPr>
              <w:t>2.000.000</w:t>
            </w:r>
          </w:p>
        </w:tc>
      </w:tr>
      <w:tr w:rsidR="00966EF0" w:rsidRPr="00966EF0" w14:paraId="78DB3994" w14:textId="77777777" w:rsidTr="00536058">
        <w:tc>
          <w:tcPr>
            <w:tcW w:w="2875" w:type="dxa"/>
            <w:shd w:val="clear" w:color="auto" w:fill="auto"/>
          </w:tcPr>
          <w:p w14:paraId="5D88666E" w14:textId="4114A38E" w:rsidR="00966EF0" w:rsidRPr="008E1A39" w:rsidRDefault="00410905" w:rsidP="00410905">
            <w:pPr>
              <w:autoSpaceDE w:val="0"/>
              <w:autoSpaceDN w:val="0"/>
              <w:adjustRightInd w:val="0"/>
              <w:rPr>
                <w:rFonts w:ascii="Calibri" w:eastAsia="SimSun" w:hAnsi="Calibri"/>
                <w:color w:val="000000"/>
                <w:sz w:val="18"/>
                <w:szCs w:val="18"/>
              </w:rPr>
            </w:pPr>
            <w:r>
              <w:rPr>
                <w:rFonts w:ascii="Calibri" w:hAnsi="Calibri"/>
                <w:color w:val="000000"/>
                <w:sz w:val="18"/>
              </w:rPr>
              <w:t>Sector privado (CONAFIPS, APCSA, INNOVAGRO, AEBE)</w:t>
            </w:r>
          </w:p>
        </w:tc>
        <w:tc>
          <w:tcPr>
            <w:tcW w:w="1715" w:type="dxa"/>
            <w:shd w:val="clear" w:color="auto" w:fill="auto"/>
          </w:tcPr>
          <w:p w14:paraId="54CE837E" w14:textId="2ACD41A6" w:rsidR="00966EF0" w:rsidRPr="008E1A39" w:rsidRDefault="008E1A39" w:rsidP="00966EF0">
            <w:pPr>
              <w:autoSpaceDE w:val="0"/>
              <w:autoSpaceDN w:val="0"/>
              <w:adjustRightInd w:val="0"/>
              <w:jc w:val="both"/>
              <w:rPr>
                <w:rFonts w:ascii="Calibri" w:eastAsia="SimSun" w:hAnsi="Calibri"/>
                <w:color w:val="000000"/>
                <w:sz w:val="18"/>
                <w:szCs w:val="18"/>
              </w:rPr>
            </w:pPr>
            <w:r>
              <w:rPr>
                <w:rFonts w:ascii="Calibri" w:hAnsi="Calibri"/>
                <w:color w:val="000000"/>
                <w:sz w:val="18"/>
              </w:rPr>
              <w:t>En especie</w:t>
            </w:r>
          </w:p>
        </w:tc>
        <w:tc>
          <w:tcPr>
            <w:tcW w:w="1170" w:type="dxa"/>
            <w:shd w:val="clear" w:color="auto" w:fill="auto"/>
          </w:tcPr>
          <w:p w14:paraId="11976A71" w14:textId="57B4E0CD" w:rsidR="00966EF0" w:rsidRPr="008E1A39" w:rsidRDefault="008E1A39" w:rsidP="00966EF0">
            <w:pPr>
              <w:autoSpaceDE w:val="0"/>
              <w:autoSpaceDN w:val="0"/>
              <w:adjustRightInd w:val="0"/>
              <w:jc w:val="both"/>
              <w:rPr>
                <w:rFonts w:ascii="Calibri" w:eastAsia="SimSun" w:hAnsi="Calibri"/>
                <w:color w:val="000000"/>
                <w:sz w:val="18"/>
                <w:szCs w:val="18"/>
              </w:rPr>
            </w:pPr>
            <w:r>
              <w:rPr>
                <w:rFonts w:ascii="Calibri" w:hAnsi="Calibri"/>
                <w:color w:val="000000"/>
                <w:sz w:val="18"/>
              </w:rPr>
              <w:t>2.015.216</w:t>
            </w:r>
          </w:p>
        </w:tc>
      </w:tr>
      <w:tr w:rsidR="00410905" w:rsidRPr="00966EF0" w14:paraId="6B907639" w14:textId="77777777" w:rsidTr="00536058">
        <w:tc>
          <w:tcPr>
            <w:tcW w:w="2875" w:type="dxa"/>
            <w:shd w:val="clear" w:color="auto" w:fill="auto"/>
          </w:tcPr>
          <w:p w14:paraId="0B1D9E46" w14:textId="22CA5DE2" w:rsidR="00410905" w:rsidRPr="008E1A39" w:rsidRDefault="00410905" w:rsidP="00966EF0">
            <w:pPr>
              <w:autoSpaceDE w:val="0"/>
              <w:autoSpaceDN w:val="0"/>
              <w:adjustRightInd w:val="0"/>
              <w:jc w:val="both"/>
              <w:rPr>
                <w:rFonts w:ascii="Calibri" w:eastAsia="SimSun" w:hAnsi="Calibri"/>
                <w:color w:val="000000"/>
                <w:sz w:val="18"/>
                <w:szCs w:val="18"/>
              </w:rPr>
            </w:pPr>
            <w:r>
              <w:rPr>
                <w:rFonts w:ascii="Calibri" w:hAnsi="Calibri"/>
                <w:color w:val="000000"/>
                <w:sz w:val="18"/>
              </w:rPr>
              <w:t>Sector privado (CONAFIPS, INNOVAGRO)</w:t>
            </w:r>
          </w:p>
        </w:tc>
        <w:tc>
          <w:tcPr>
            <w:tcW w:w="1715" w:type="dxa"/>
            <w:shd w:val="clear" w:color="auto" w:fill="auto"/>
          </w:tcPr>
          <w:p w14:paraId="0A4DA3CC" w14:textId="14CEF930" w:rsidR="00410905" w:rsidRPr="008E1A39" w:rsidRDefault="008E1A39" w:rsidP="00966EF0">
            <w:pPr>
              <w:autoSpaceDE w:val="0"/>
              <w:autoSpaceDN w:val="0"/>
              <w:adjustRightInd w:val="0"/>
              <w:jc w:val="both"/>
              <w:rPr>
                <w:rFonts w:ascii="Calibri" w:eastAsia="SimSun" w:hAnsi="Calibri"/>
                <w:color w:val="000000"/>
                <w:sz w:val="18"/>
                <w:szCs w:val="18"/>
              </w:rPr>
            </w:pPr>
            <w:r>
              <w:rPr>
                <w:rFonts w:ascii="Calibri" w:hAnsi="Calibri"/>
                <w:color w:val="000000"/>
                <w:sz w:val="18"/>
              </w:rPr>
              <w:t>Subvención</w:t>
            </w:r>
          </w:p>
        </w:tc>
        <w:tc>
          <w:tcPr>
            <w:tcW w:w="1170" w:type="dxa"/>
            <w:shd w:val="clear" w:color="auto" w:fill="auto"/>
          </w:tcPr>
          <w:p w14:paraId="5F917DB5" w14:textId="22489BBF" w:rsidR="00410905" w:rsidRPr="008E1A39" w:rsidRDefault="008E1A39" w:rsidP="00966EF0">
            <w:pPr>
              <w:autoSpaceDE w:val="0"/>
              <w:autoSpaceDN w:val="0"/>
              <w:adjustRightInd w:val="0"/>
              <w:jc w:val="both"/>
              <w:rPr>
                <w:rFonts w:ascii="Calibri" w:eastAsia="SimSun" w:hAnsi="Calibri"/>
                <w:color w:val="000000"/>
                <w:sz w:val="18"/>
                <w:szCs w:val="18"/>
              </w:rPr>
            </w:pPr>
            <w:r>
              <w:rPr>
                <w:rFonts w:ascii="Calibri" w:hAnsi="Calibri"/>
                <w:color w:val="000000"/>
                <w:sz w:val="18"/>
              </w:rPr>
              <w:t>3.736.839</w:t>
            </w:r>
          </w:p>
        </w:tc>
      </w:tr>
      <w:tr w:rsidR="008E1A39" w:rsidRPr="00966EF0" w14:paraId="307C5F78" w14:textId="77777777" w:rsidTr="00536058">
        <w:tc>
          <w:tcPr>
            <w:tcW w:w="2875" w:type="dxa"/>
            <w:shd w:val="clear" w:color="auto" w:fill="auto"/>
          </w:tcPr>
          <w:p w14:paraId="20145102" w14:textId="60BF5C58" w:rsidR="008E1A39" w:rsidRPr="00966EF0" w:rsidRDefault="008E1A39" w:rsidP="008E1A39">
            <w:pPr>
              <w:autoSpaceDE w:val="0"/>
              <w:autoSpaceDN w:val="0"/>
              <w:adjustRightInd w:val="0"/>
              <w:jc w:val="both"/>
              <w:rPr>
                <w:rFonts w:ascii="Calibri" w:eastAsia="SimSun" w:hAnsi="Calibri"/>
                <w:color w:val="000000"/>
                <w:sz w:val="20"/>
                <w:szCs w:val="20"/>
              </w:rPr>
            </w:pPr>
            <w:r>
              <w:rPr>
                <w:rFonts w:ascii="Calibri" w:hAnsi="Calibri"/>
                <w:color w:val="000000"/>
                <w:sz w:val="20"/>
              </w:rPr>
              <w:t>ONG (HEIFER)</w:t>
            </w:r>
          </w:p>
        </w:tc>
        <w:tc>
          <w:tcPr>
            <w:tcW w:w="1715" w:type="dxa"/>
            <w:shd w:val="clear" w:color="auto" w:fill="auto"/>
          </w:tcPr>
          <w:p w14:paraId="46748D92" w14:textId="70EA9C8F" w:rsidR="008E1A39" w:rsidRPr="00966EF0" w:rsidRDefault="008E1A39" w:rsidP="008E1A39">
            <w:pPr>
              <w:autoSpaceDE w:val="0"/>
              <w:autoSpaceDN w:val="0"/>
              <w:adjustRightInd w:val="0"/>
              <w:rPr>
                <w:rFonts w:ascii="Calibri" w:eastAsia="SimSun" w:hAnsi="Calibri"/>
                <w:color w:val="000000"/>
                <w:sz w:val="20"/>
                <w:szCs w:val="20"/>
              </w:rPr>
            </w:pPr>
            <w:r>
              <w:rPr>
                <w:rFonts w:ascii="Calibri" w:hAnsi="Calibri"/>
                <w:color w:val="000000"/>
                <w:sz w:val="18"/>
              </w:rPr>
              <w:t>En especie</w:t>
            </w:r>
          </w:p>
        </w:tc>
        <w:tc>
          <w:tcPr>
            <w:tcW w:w="1170" w:type="dxa"/>
            <w:shd w:val="clear" w:color="auto" w:fill="auto"/>
          </w:tcPr>
          <w:p w14:paraId="0067FDB3" w14:textId="45A4475B" w:rsidR="008E1A39" w:rsidRPr="008E1A39" w:rsidRDefault="008E1A39" w:rsidP="008E1A39">
            <w:pPr>
              <w:autoSpaceDE w:val="0"/>
              <w:autoSpaceDN w:val="0"/>
              <w:adjustRightInd w:val="0"/>
              <w:jc w:val="both"/>
              <w:rPr>
                <w:rFonts w:ascii="Calibri" w:eastAsia="SimSun" w:hAnsi="Calibri"/>
                <w:color w:val="000000"/>
                <w:sz w:val="18"/>
                <w:szCs w:val="18"/>
              </w:rPr>
            </w:pPr>
            <w:r>
              <w:rPr>
                <w:rFonts w:ascii="Calibri" w:hAnsi="Calibri"/>
                <w:color w:val="000000"/>
                <w:sz w:val="18"/>
              </w:rPr>
              <w:t>316.858</w:t>
            </w:r>
          </w:p>
        </w:tc>
      </w:tr>
      <w:tr w:rsidR="008E1A39" w:rsidRPr="00966EF0" w14:paraId="31A5C27B" w14:textId="77777777" w:rsidTr="00536058">
        <w:tc>
          <w:tcPr>
            <w:tcW w:w="2875" w:type="dxa"/>
            <w:shd w:val="clear" w:color="auto" w:fill="auto"/>
          </w:tcPr>
          <w:p w14:paraId="39C3A00F" w14:textId="3EB4CB71" w:rsidR="008E1A39" w:rsidRPr="00966EF0" w:rsidRDefault="008E1A39" w:rsidP="008E1A39">
            <w:pPr>
              <w:autoSpaceDE w:val="0"/>
              <w:autoSpaceDN w:val="0"/>
              <w:adjustRightInd w:val="0"/>
              <w:jc w:val="both"/>
              <w:rPr>
                <w:rFonts w:ascii="Calibri" w:eastAsia="SimSun" w:hAnsi="Calibri"/>
                <w:color w:val="000000"/>
                <w:sz w:val="20"/>
                <w:szCs w:val="20"/>
              </w:rPr>
            </w:pPr>
            <w:r>
              <w:rPr>
                <w:rFonts w:ascii="Calibri" w:hAnsi="Calibri"/>
                <w:color w:val="000000"/>
                <w:sz w:val="20"/>
              </w:rPr>
              <w:t>Academia (UTMACH)</w:t>
            </w:r>
          </w:p>
        </w:tc>
        <w:tc>
          <w:tcPr>
            <w:tcW w:w="1715" w:type="dxa"/>
            <w:shd w:val="clear" w:color="auto" w:fill="auto"/>
          </w:tcPr>
          <w:p w14:paraId="20E02463" w14:textId="738513B4" w:rsidR="008E1A39" w:rsidRPr="00966EF0" w:rsidRDefault="008E1A39" w:rsidP="008E1A39">
            <w:pPr>
              <w:autoSpaceDE w:val="0"/>
              <w:autoSpaceDN w:val="0"/>
              <w:adjustRightInd w:val="0"/>
              <w:jc w:val="both"/>
              <w:rPr>
                <w:rFonts w:ascii="Calibri" w:eastAsia="SimSun" w:hAnsi="Calibri"/>
                <w:color w:val="000000"/>
                <w:sz w:val="20"/>
                <w:szCs w:val="20"/>
              </w:rPr>
            </w:pPr>
            <w:r>
              <w:rPr>
                <w:rFonts w:ascii="Calibri" w:hAnsi="Calibri"/>
                <w:color w:val="000000"/>
                <w:sz w:val="18"/>
              </w:rPr>
              <w:t>En especie</w:t>
            </w:r>
          </w:p>
        </w:tc>
        <w:tc>
          <w:tcPr>
            <w:tcW w:w="1170" w:type="dxa"/>
            <w:shd w:val="clear" w:color="auto" w:fill="auto"/>
          </w:tcPr>
          <w:p w14:paraId="51E0A1A3" w14:textId="62A7017F" w:rsidR="008E1A39" w:rsidRPr="008E1A39" w:rsidRDefault="008E1A39" w:rsidP="008E1A39">
            <w:pPr>
              <w:autoSpaceDE w:val="0"/>
              <w:autoSpaceDN w:val="0"/>
              <w:adjustRightInd w:val="0"/>
              <w:jc w:val="both"/>
              <w:rPr>
                <w:rFonts w:ascii="Calibri" w:eastAsia="SimSun" w:hAnsi="Calibri"/>
                <w:color w:val="000000"/>
                <w:sz w:val="18"/>
                <w:szCs w:val="18"/>
              </w:rPr>
            </w:pPr>
            <w:r>
              <w:rPr>
                <w:rFonts w:ascii="Calibri" w:hAnsi="Calibri"/>
                <w:color w:val="000000"/>
                <w:sz w:val="18"/>
              </w:rPr>
              <w:t>2.250.000</w:t>
            </w:r>
          </w:p>
        </w:tc>
      </w:tr>
      <w:tr w:rsidR="00FB1F9F" w:rsidRPr="00966EF0" w14:paraId="7F07CEF2" w14:textId="77777777" w:rsidTr="00536058">
        <w:tc>
          <w:tcPr>
            <w:tcW w:w="2875" w:type="dxa"/>
            <w:shd w:val="clear" w:color="auto" w:fill="auto"/>
          </w:tcPr>
          <w:p w14:paraId="570D21DF" w14:textId="34E77B95" w:rsidR="00FB1F9F" w:rsidRDefault="00FB1F9F" w:rsidP="008E1A39">
            <w:pPr>
              <w:autoSpaceDE w:val="0"/>
              <w:autoSpaceDN w:val="0"/>
              <w:adjustRightInd w:val="0"/>
              <w:jc w:val="both"/>
              <w:rPr>
                <w:rFonts w:ascii="Calibri" w:eastAsia="SimSun" w:hAnsi="Calibri"/>
                <w:color w:val="000000"/>
                <w:sz w:val="20"/>
                <w:szCs w:val="20"/>
              </w:rPr>
            </w:pPr>
            <w:r>
              <w:rPr>
                <w:rFonts w:ascii="Calibri" w:hAnsi="Calibri"/>
                <w:color w:val="000000"/>
                <w:sz w:val="20"/>
              </w:rPr>
              <w:t>Agencia del FMAM (PNUD)</w:t>
            </w:r>
          </w:p>
        </w:tc>
        <w:tc>
          <w:tcPr>
            <w:tcW w:w="1715" w:type="dxa"/>
            <w:shd w:val="clear" w:color="auto" w:fill="auto"/>
          </w:tcPr>
          <w:p w14:paraId="2DD94766" w14:textId="75F6E560" w:rsidR="00FB1F9F" w:rsidRPr="00355507" w:rsidRDefault="00FB1F9F" w:rsidP="008E1A39">
            <w:pPr>
              <w:autoSpaceDE w:val="0"/>
              <w:autoSpaceDN w:val="0"/>
              <w:adjustRightInd w:val="0"/>
              <w:jc w:val="both"/>
              <w:rPr>
                <w:rFonts w:ascii="Calibri" w:eastAsia="SimSun" w:hAnsi="Calibri"/>
                <w:color w:val="000000"/>
                <w:sz w:val="18"/>
                <w:szCs w:val="18"/>
              </w:rPr>
            </w:pPr>
            <w:r>
              <w:rPr>
                <w:rFonts w:ascii="Calibri" w:hAnsi="Calibri"/>
                <w:color w:val="000000"/>
                <w:sz w:val="18"/>
              </w:rPr>
              <w:t>Subvención</w:t>
            </w:r>
          </w:p>
        </w:tc>
        <w:tc>
          <w:tcPr>
            <w:tcW w:w="1170" w:type="dxa"/>
            <w:shd w:val="clear" w:color="auto" w:fill="auto"/>
          </w:tcPr>
          <w:p w14:paraId="0394D04D" w14:textId="0B4B1109" w:rsidR="00FB1F9F" w:rsidRPr="008E1A39" w:rsidRDefault="00FB1F9F" w:rsidP="008E1A39">
            <w:pPr>
              <w:autoSpaceDE w:val="0"/>
              <w:autoSpaceDN w:val="0"/>
              <w:adjustRightInd w:val="0"/>
              <w:jc w:val="both"/>
              <w:rPr>
                <w:rFonts w:ascii="Calibri" w:eastAsia="SimSun" w:hAnsi="Calibri"/>
                <w:color w:val="000000"/>
                <w:sz w:val="18"/>
                <w:szCs w:val="18"/>
              </w:rPr>
            </w:pPr>
            <w:r>
              <w:rPr>
                <w:rFonts w:ascii="Calibri" w:hAnsi="Calibri"/>
                <w:color w:val="000000"/>
                <w:sz w:val="18"/>
              </w:rPr>
              <w:t>30.000</w:t>
            </w:r>
          </w:p>
        </w:tc>
      </w:tr>
    </w:tbl>
    <w:p w14:paraId="72DF2138" w14:textId="77777777" w:rsidR="00966EF0" w:rsidRPr="00966EF0" w:rsidRDefault="00966EF0" w:rsidP="00966EF0">
      <w:pPr>
        <w:jc w:val="both"/>
        <w:rPr>
          <w:rFonts w:ascii="Calibri" w:eastAsia="SimSun" w:hAnsi="Calibri"/>
          <w:sz w:val="20"/>
          <w:szCs w:val="20"/>
          <w:u w:val="single"/>
        </w:rPr>
      </w:pPr>
    </w:p>
    <w:p w14:paraId="750A5315" w14:textId="15CE3181" w:rsidR="00966EF0" w:rsidRPr="006A315B" w:rsidRDefault="00966EF0" w:rsidP="00536058">
      <w:pPr>
        <w:jc w:val="both"/>
        <w:rPr>
          <w:rFonts w:ascii="Calibri" w:eastAsia="SimSun" w:hAnsi="Calibri"/>
          <w:sz w:val="20"/>
          <w:szCs w:val="20"/>
        </w:rPr>
      </w:pPr>
      <w:r>
        <w:rPr>
          <w:rFonts w:ascii="Calibri" w:hAnsi="Calibri"/>
          <w:b/>
          <w:sz w:val="20"/>
          <w:u w:val="single"/>
        </w:rPr>
        <w:t>Revisión presupuestaria y tolerancia</w:t>
      </w:r>
      <w:r>
        <w:rPr>
          <w:rFonts w:ascii="Calibri" w:hAnsi="Calibri"/>
          <w:sz w:val="20"/>
        </w:rPr>
        <w:t xml:space="preserve">: </w:t>
      </w:r>
      <w:r w:rsidR="00707175">
        <w:rPr>
          <w:rFonts w:ascii="Calibri" w:hAnsi="Calibri"/>
          <w:sz w:val="20"/>
        </w:rPr>
        <w:t>s</w:t>
      </w:r>
      <w:r>
        <w:rPr>
          <w:rFonts w:ascii="Calibri" w:hAnsi="Calibri"/>
          <w:sz w:val="20"/>
        </w:rPr>
        <w:t xml:space="preserve">egún el POPP del PNUD, </w:t>
      </w:r>
      <w:r w:rsidR="00343360">
        <w:rPr>
          <w:rFonts w:ascii="Calibri" w:hAnsi="Calibri"/>
          <w:sz w:val="20"/>
        </w:rPr>
        <w:t>el Comité</w:t>
      </w:r>
      <w:r>
        <w:rPr>
          <w:rFonts w:ascii="Calibri" w:hAnsi="Calibri"/>
          <w:sz w:val="20"/>
        </w:rPr>
        <w:t xml:space="preserve"> del Proyecto puede acordar con el Coordinar del </w:t>
      </w:r>
      <w:r w:rsidR="00A92E93">
        <w:rPr>
          <w:rFonts w:ascii="Calibri" w:hAnsi="Calibri"/>
          <w:sz w:val="20"/>
        </w:rPr>
        <w:t>P</w:t>
      </w:r>
      <w:r>
        <w:rPr>
          <w:rFonts w:ascii="Calibri" w:hAnsi="Calibri"/>
          <w:sz w:val="20"/>
        </w:rPr>
        <w:t xml:space="preserve">royecto un nivel de tolerancia para cada plan detallado dentro del </w:t>
      </w:r>
      <w:r w:rsidR="00A92E93">
        <w:rPr>
          <w:rFonts w:ascii="Calibri" w:hAnsi="Calibri"/>
          <w:sz w:val="20"/>
        </w:rPr>
        <w:t>P</w:t>
      </w:r>
      <w:r>
        <w:rPr>
          <w:rFonts w:ascii="Calibri" w:hAnsi="Calibri"/>
          <w:sz w:val="20"/>
        </w:rPr>
        <w:t xml:space="preserve">lan de </w:t>
      </w:r>
      <w:r w:rsidR="00A92E93">
        <w:rPr>
          <w:rFonts w:ascii="Calibri" w:hAnsi="Calibri"/>
          <w:sz w:val="20"/>
        </w:rPr>
        <w:t>T</w:t>
      </w:r>
      <w:r>
        <w:rPr>
          <w:rFonts w:ascii="Calibri" w:hAnsi="Calibri"/>
          <w:sz w:val="20"/>
        </w:rPr>
        <w:t xml:space="preserve">rabajo </w:t>
      </w:r>
      <w:r w:rsidR="00A92E93">
        <w:rPr>
          <w:rFonts w:ascii="Calibri" w:hAnsi="Calibri"/>
          <w:sz w:val="20"/>
        </w:rPr>
        <w:t>P</w:t>
      </w:r>
      <w:r>
        <w:rPr>
          <w:rFonts w:ascii="Calibri" w:hAnsi="Calibri"/>
          <w:sz w:val="20"/>
        </w:rPr>
        <w:t xml:space="preserve">lurianual </w:t>
      </w:r>
      <w:r w:rsidR="00A92E93">
        <w:rPr>
          <w:rFonts w:ascii="Calibri" w:hAnsi="Calibri"/>
          <w:sz w:val="20"/>
        </w:rPr>
        <w:t>G</w:t>
      </w:r>
      <w:r>
        <w:rPr>
          <w:rFonts w:ascii="Calibri" w:hAnsi="Calibri"/>
          <w:sz w:val="20"/>
        </w:rPr>
        <w:t>eneral.</w:t>
      </w:r>
      <w:r>
        <w:t xml:space="preserve"> </w:t>
      </w:r>
      <w:r>
        <w:rPr>
          <w:rFonts w:ascii="Calibri" w:hAnsi="Calibri"/>
          <w:sz w:val="20"/>
        </w:rPr>
        <w:t xml:space="preserve">La tolerancia acordada debe constar por escrito en el </w:t>
      </w:r>
      <w:r w:rsidR="00A92E93">
        <w:rPr>
          <w:rFonts w:ascii="Calibri" w:hAnsi="Calibri"/>
          <w:sz w:val="20"/>
        </w:rPr>
        <w:t>D</w:t>
      </w:r>
      <w:r>
        <w:rPr>
          <w:rFonts w:ascii="Calibri" w:hAnsi="Calibri"/>
          <w:sz w:val="20"/>
        </w:rPr>
        <w:t xml:space="preserve">ocumento del </w:t>
      </w:r>
      <w:r w:rsidR="00A92E93">
        <w:rPr>
          <w:rFonts w:ascii="Calibri" w:hAnsi="Calibri"/>
          <w:sz w:val="20"/>
        </w:rPr>
        <w:t>P</w:t>
      </w:r>
      <w:r>
        <w:rPr>
          <w:rFonts w:ascii="Calibri" w:hAnsi="Calibri"/>
          <w:sz w:val="20"/>
        </w:rPr>
        <w:t>royecto o en el acta aprobada de la reunión d</w:t>
      </w:r>
      <w:r w:rsidR="00C67C5B">
        <w:rPr>
          <w:rFonts w:ascii="Calibri" w:hAnsi="Calibri"/>
          <w:sz w:val="20"/>
        </w:rPr>
        <w:t xml:space="preserve">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 xml:space="preserve">del </w:t>
      </w:r>
      <w:r w:rsidR="00A92E93">
        <w:rPr>
          <w:rFonts w:ascii="Calibri" w:hAnsi="Calibri"/>
          <w:sz w:val="20"/>
        </w:rPr>
        <w:t>P</w:t>
      </w:r>
      <w:r>
        <w:rPr>
          <w:rFonts w:ascii="Calibri" w:hAnsi="Calibri"/>
          <w:sz w:val="20"/>
        </w:rPr>
        <w:t xml:space="preserve">royecto. Normalmente no debería superar el 10% del presupuesto anual acordado a nivel de actividad, pero de estar dentro del </w:t>
      </w:r>
      <w:r w:rsidR="00A92E93">
        <w:rPr>
          <w:rFonts w:ascii="Calibri" w:hAnsi="Calibri"/>
          <w:sz w:val="20"/>
        </w:rPr>
        <w:t>P</w:t>
      </w:r>
      <w:r>
        <w:rPr>
          <w:rFonts w:ascii="Calibri" w:hAnsi="Calibri"/>
          <w:sz w:val="20"/>
        </w:rPr>
        <w:t xml:space="preserve">lan de </w:t>
      </w:r>
      <w:r w:rsidR="00A92E93">
        <w:rPr>
          <w:rFonts w:ascii="Calibri" w:hAnsi="Calibri"/>
          <w:sz w:val="20"/>
        </w:rPr>
        <w:t>T</w:t>
      </w:r>
      <w:r>
        <w:rPr>
          <w:rFonts w:ascii="Calibri" w:hAnsi="Calibri"/>
          <w:sz w:val="20"/>
        </w:rPr>
        <w:t xml:space="preserve">rabajo </w:t>
      </w:r>
      <w:r w:rsidR="00A92E93">
        <w:rPr>
          <w:rFonts w:ascii="Calibri" w:hAnsi="Calibri"/>
          <w:sz w:val="20"/>
        </w:rPr>
        <w:t>P</w:t>
      </w:r>
      <w:r>
        <w:rPr>
          <w:rFonts w:ascii="Calibri" w:hAnsi="Calibri"/>
          <w:sz w:val="20"/>
        </w:rPr>
        <w:t xml:space="preserve">lurianual </w:t>
      </w:r>
      <w:r w:rsidR="00A92E93">
        <w:rPr>
          <w:rFonts w:ascii="Calibri" w:hAnsi="Calibri"/>
          <w:sz w:val="20"/>
        </w:rPr>
        <w:t>G</w:t>
      </w:r>
      <w:r>
        <w:rPr>
          <w:rFonts w:ascii="Calibri" w:hAnsi="Calibri"/>
          <w:sz w:val="20"/>
        </w:rPr>
        <w:t xml:space="preserve">lobal aprobado a nivel de actividad. Dentro de las tolerancias acordadas, el </w:t>
      </w:r>
      <w:r w:rsidR="00A92E93">
        <w:rPr>
          <w:rFonts w:ascii="Calibri" w:hAnsi="Calibri"/>
          <w:sz w:val="20"/>
        </w:rPr>
        <w:t>D</w:t>
      </w:r>
      <w:r>
        <w:rPr>
          <w:rFonts w:ascii="Calibri" w:hAnsi="Calibri"/>
          <w:sz w:val="20"/>
        </w:rPr>
        <w:t xml:space="preserve">irector del </w:t>
      </w:r>
      <w:r w:rsidR="00A92E93">
        <w:rPr>
          <w:rFonts w:ascii="Calibri" w:hAnsi="Calibri"/>
          <w:sz w:val="20"/>
        </w:rPr>
        <w:t>P</w:t>
      </w:r>
      <w:r>
        <w:rPr>
          <w:rFonts w:ascii="Calibri" w:hAnsi="Calibri"/>
          <w:sz w:val="20"/>
        </w:rPr>
        <w:t>royecto puede actuar sin intervención de</w:t>
      </w:r>
      <w:r w:rsidR="00C67C5B">
        <w:rPr>
          <w:rFonts w:ascii="Calibri" w:hAnsi="Calibri"/>
          <w:sz w:val="20"/>
        </w:rPr>
        <w:t xml:space="preserv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 xml:space="preserve">del </w:t>
      </w:r>
      <w:r w:rsidR="00A92E93">
        <w:rPr>
          <w:rFonts w:ascii="Calibri" w:hAnsi="Calibri"/>
          <w:sz w:val="20"/>
        </w:rPr>
        <w:t>P</w:t>
      </w:r>
      <w:r>
        <w:rPr>
          <w:rFonts w:ascii="Calibri" w:hAnsi="Calibri"/>
          <w:sz w:val="20"/>
        </w:rPr>
        <w:t xml:space="preserve">royecto. Se aplican las siguientes restricciones: </w:t>
      </w:r>
    </w:p>
    <w:p w14:paraId="282242A5" w14:textId="77777777" w:rsidR="00966EF0" w:rsidRPr="002152FE" w:rsidRDefault="00966EF0" w:rsidP="00536058">
      <w:pPr>
        <w:jc w:val="both"/>
        <w:rPr>
          <w:rFonts w:ascii="Calibri" w:eastAsia="SimSun" w:hAnsi="Calibri"/>
          <w:sz w:val="20"/>
          <w:szCs w:val="20"/>
          <w:lang w:val="es-EC"/>
        </w:rPr>
      </w:pPr>
    </w:p>
    <w:p w14:paraId="45636AB7" w14:textId="2187DF0D" w:rsidR="00966EF0" w:rsidRPr="006A315B" w:rsidRDefault="00966EF0" w:rsidP="00536058">
      <w:pPr>
        <w:spacing w:after="60"/>
        <w:jc w:val="both"/>
        <w:rPr>
          <w:rFonts w:ascii="Calibri" w:eastAsia="SimSun" w:hAnsi="Calibri"/>
          <w:sz w:val="20"/>
          <w:szCs w:val="20"/>
        </w:rPr>
      </w:pPr>
      <w:r>
        <w:rPr>
          <w:rFonts w:ascii="Calibri" w:hAnsi="Calibri"/>
          <w:sz w:val="20"/>
        </w:rPr>
        <w:t xml:space="preserve">En caso de que se produzcan las siguientes desviaciones, el Director de Proyecto/IP a través de la Oficina de País del PNUD solicitará la aprobación del equipo BPPS/NCE-VF para garantizar la exactitud de los informes al FMAM.  Se </w:t>
      </w:r>
      <w:r>
        <w:rPr>
          <w:rFonts w:ascii="Calibri" w:hAnsi="Calibri"/>
          <w:b/>
          <w:sz w:val="20"/>
        </w:rPr>
        <w:t>recomienda encarecidamente</w:t>
      </w:r>
      <w:r>
        <w:rPr>
          <w:rFonts w:ascii="Calibri" w:hAnsi="Calibri"/>
          <w:sz w:val="20"/>
        </w:rPr>
        <w:t xml:space="preserve"> mantener los gastos dentro del presupuesto aprobado en la cuenta presupuestaria y a nivel de componente:</w:t>
      </w:r>
    </w:p>
    <w:p w14:paraId="1201BFDB" w14:textId="77777777" w:rsidR="00966EF0" w:rsidRPr="002152FE" w:rsidRDefault="00966EF0" w:rsidP="00536058">
      <w:pPr>
        <w:jc w:val="both"/>
        <w:rPr>
          <w:rFonts w:ascii="Calibri" w:eastAsia="SimSun" w:hAnsi="Calibri"/>
          <w:sz w:val="20"/>
          <w:szCs w:val="20"/>
          <w:lang w:val="es-EC"/>
        </w:rPr>
      </w:pPr>
    </w:p>
    <w:p w14:paraId="6829F213" w14:textId="1345B4FE" w:rsidR="00966EF0" w:rsidRPr="006A315B" w:rsidRDefault="00966EF0">
      <w:pPr>
        <w:numPr>
          <w:ilvl w:val="0"/>
          <w:numId w:val="19"/>
        </w:numPr>
        <w:jc w:val="both"/>
        <w:rPr>
          <w:rFonts w:ascii="Calibri" w:eastAsia="SimSun" w:hAnsi="Calibri"/>
          <w:sz w:val="20"/>
          <w:szCs w:val="20"/>
        </w:rPr>
      </w:pPr>
      <w:r>
        <w:rPr>
          <w:rFonts w:ascii="Calibri" w:hAnsi="Calibri"/>
          <w:sz w:val="20"/>
        </w:rPr>
        <w:t xml:space="preserve">Las reasignaciones presupuestarias deben demostrar que los cambios sugeridos en el presupuesto no darán lugar a cambios materiales en los resultados que debe alcanzar el proyecto. Se requiere una justificación sólida y se aprobará con carácter excepcional.  Reasignaciones presupuestarias entre los </w:t>
      </w:r>
      <w:r w:rsidR="00A92E93">
        <w:rPr>
          <w:rFonts w:ascii="Calibri" w:hAnsi="Calibri"/>
          <w:sz w:val="20"/>
        </w:rPr>
        <w:t>C</w:t>
      </w:r>
      <w:r>
        <w:rPr>
          <w:rFonts w:ascii="Calibri" w:hAnsi="Calibri"/>
          <w:sz w:val="20"/>
        </w:rPr>
        <w:t>omponentes (incluido el PMC) del Presupuesto Total y Planes de Trabajo (PTPT) aprobados que representen un valor superior al 10% de la subvención total del FMAM.</w:t>
      </w:r>
    </w:p>
    <w:p w14:paraId="2C38A19D" w14:textId="698F5DE5" w:rsidR="00966EF0" w:rsidRPr="006A315B" w:rsidRDefault="00966EF0">
      <w:pPr>
        <w:numPr>
          <w:ilvl w:val="0"/>
          <w:numId w:val="19"/>
        </w:numPr>
        <w:jc w:val="both"/>
        <w:rPr>
          <w:rFonts w:ascii="Calibri" w:eastAsia="SimSun" w:hAnsi="Calibri"/>
          <w:sz w:val="20"/>
          <w:szCs w:val="20"/>
        </w:rPr>
      </w:pPr>
      <w:r>
        <w:rPr>
          <w:rFonts w:ascii="Calibri" w:hAnsi="Calibri"/>
          <w:sz w:val="20"/>
        </w:rPr>
        <w:t>Introducción de nuevos productos/actividades (e</w:t>
      </w:r>
      <w:r w:rsidR="00A92E93">
        <w:rPr>
          <w:rFonts w:ascii="Calibri" w:hAnsi="Calibri"/>
          <w:sz w:val="20"/>
        </w:rPr>
        <w:t>j</w:t>
      </w:r>
      <w:r>
        <w:rPr>
          <w:rFonts w:ascii="Calibri" w:hAnsi="Calibri"/>
          <w:sz w:val="20"/>
        </w:rPr>
        <w:t>., partidas presupuestarias)</w:t>
      </w:r>
      <w:r>
        <w:t xml:space="preserve"> </w:t>
      </w:r>
      <w:r>
        <w:rPr>
          <w:rFonts w:ascii="Calibri" w:hAnsi="Calibri"/>
          <w:sz w:val="20"/>
        </w:rPr>
        <w:t xml:space="preserve">que no formaban parte del </w:t>
      </w:r>
      <w:r w:rsidR="00A92E93">
        <w:rPr>
          <w:rFonts w:ascii="Calibri" w:hAnsi="Calibri"/>
          <w:sz w:val="20"/>
        </w:rPr>
        <w:t>D</w:t>
      </w:r>
      <w:r>
        <w:rPr>
          <w:rFonts w:ascii="Calibri" w:hAnsi="Calibri"/>
          <w:sz w:val="20"/>
        </w:rPr>
        <w:t xml:space="preserve">ocumento de </w:t>
      </w:r>
      <w:r w:rsidR="00A92E93">
        <w:rPr>
          <w:rFonts w:ascii="Calibri" w:hAnsi="Calibri"/>
          <w:sz w:val="20"/>
        </w:rPr>
        <w:t>P</w:t>
      </w:r>
      <w:r>
        <w:rPr>
          <w:rFonts w:ascii="Calibri" w:hAnsi="Calibri"/>
          <w:sz w:val="20"/>
        </w:rPr>
        <w:t xml:space="preserve">royecto acordado ni del PTPT y que representan un valor superior al 5% de la subvención total del FMAM. Las nuevas partidas presupuestarias deben ser idóneas según las </w:t>
      </w:r>
      <w:hyperlink r:id="rId31" w:history="1">
        <w:r>
          <w:rPr>
            <w:rFonts w:ascii="Calibri" w:hAnsi="Calibri"/>
            <w:color w:val="0000FF"/>
            <w:sz w:val="20"/>
            <w:u w:val="single"/>
          </w:rPr>
          <w:t>Políticas del FMAM y del PNUD</w:t>
        </w:r>
      </w:hyperlink>
      <w:r>
        <w:rPr>
          <w:rFonts w:ascii="Calibri" w:hAnsi="Calibri"/>
          <w:sz w:val="20"/>
        </w:rPr>
        <w:t xml:space="preserve">. </w:t>
      </w:r>
    </w:p>
    <w:p w14:paraId="139CCE4B" w14:textId="41CB51F9" w:rsidR="00966EF0" w:rsidRPr="006A315B" w:rsidRDefault="00966EF0">
      <w:pPr>
        <w:numPr>
          <w:ilvl w:val="0"/>
          <w:numId w:val="19"/>
        </w:numPr>
        <w:jc w:val="both"/>
        <w:rPr>
          <w:rFonts w:ascii="Calibri" w:eastAsia="SimSun" w:hAnsi="Calibri"/>
          <w:sz w:val="20"/>
          <w:szCs w:val="20"/>
        </w:rPr>
      </w:pPr>
      <w:r>
        <w:rPr>
          <w:rFonts w:ascii="Calibri" w:hAnsi="Calibri"/>
          <w:sz w:val="20"/>
        </w:rPr>
        <w:t>Cost</w:t>
      </w:r>
      <w:r w:rsidR="00A92E93">
        <w:rPr>
          <w:rFonts w:ascii="Calibri" w:hAnsi="Calibri"/>
          <w:sz w:val="20"/>
        </w:rPr>
        <w:t>o</w:t>
      </w:r>
      <w:r>
        <w:rPr>
          <w:rFonts w:ascii="Calibri" w:hAnsi="Calibri"/>
          <w:sz w:val="20"/>
        </w:rPr>
        <w:t xml:space="preserve"> de </w:t>
      </w:r>
      <w:r w:rsidR="00A92E93">
        <w:rPr>
          <w:rFonts w:ascii="Calibri" w:hAnsi="Calibri"/>
          <w:sz w:val="20"/>
        </w:rPr>
        <w:t>G</w:t>
      </w:r>
      <w:r>
        <w:rPr>
          <w:rFonts w:ascii="Calibri" w:hAnsi="Calibri"/>
          <w:sz w:val="20"/>
        </w:rPr>
        <w:t xml:space="preserve">estión del </w:t>
      </w:r>
      <w:r w:rsidR="00A92E93">
        <w:rPr>
          <w:rFonts w:ascii="Calibri" w:hAnsi="Calibri"/>
          <w:sz w:val="20"/>
        </w:rPr>
        <w:t>P</w:t>
      </w:r>
      <w:r>
        <w:rPr>
          <w:rFonts w:ascii="Calibri" w:hAnsi="Calibri"/>
          <w:sz w:val="20"/>
        </w:rPr>
        <w:t>royecto (</w:t>
      </w:r>
      <w:r w:rsidR="00F317F2">
        <w:rPr>
          <w:rFonts w:ascii="Calibri" w:hAnsi="Calibri"/>
          <w:sz w:val="20"/>
        </w:rPr>
        <w:t>PMC</w:t>
      </w:r>
      <w:r>
        <w:rPr>
          <w:rFonts w:ascii="Calibri" w:hAnsi="Calibri"/>
          <w:sz w:val="20"/>
        </w:rPr>
        <w:t xml:space="preserve">): el presupuesto del </w:t>
      </w:r>
      <w:r w:rsidR="00A92E93">
        <w:rPr>
          <w:rFonts w:ascii="Calibri" w:hAnsi="Calibri"/>
          <w:sz w:val="20"/>
        </w:rPr>
        <w:t>C</w:t>
      </w:r>
      <w:r>
        <w:rPr>
          <w:rFonts w:ascii="Calibri" w:hAnsi="Calibri"/>
          <w:sz w:val="20"/>
        </w:rPr>
        <w:t xml:space="preserve">omponente </w:t>
      </w:r>
      <w:r w:rsidR="00F317F2">
        <w:rPr>
          <w:rFonts w:ascii="Calibri" w:hAnsi="Calibri"/>
          <w:sz w:val="20"/>
        </w:rPr>
        <w:t>PMC</w:t>
      </w:r>
      <w:r>
        <w:rPr>
          <w:rFonts w:ascii="Calibri" w:hAnsi="Calibri"/>
          <w:sz w:val="20"/>
        </w:rPr>
        <w:t xml:space="preserve"> está limitado y no puede aumentarse.</w:t>
      </w:r>
    </w:p>
    <w:p w14:paraId="01A2C6F3" w14:textId="77777777" w:rsidR="00966EF0" w:rsidRPr="002152FE" w:rsidRDefault="00966EF0" w:rsidP="00536058">
      <w:pPr>
        <w:jc w:val="both"/>
        <w:rPr>
          <w:rFonts w:ascii="Calibri" w:eastAsia="SimSun" w:hAnsi="Calibri"/>
          <w:szCs w:val="20"/>
          <w:lang w:val="es-EC"/>
        </w:rPr>
      </w:pPr>
    </w:p>
    <w:p w14:paraId="5CB7187D" w14:textId="77777777" w:rsidR="00966EF0" w:rsidRPr="00A562E4" w:rsidRDefault="00966EF0" w:rsidP="00536058">
      <w:pPr>
        <w:jc w:val="both"/>
        <w:rPr>
          <w:rFonts w:ascii="Calibri" w:eastAsia="SimSun" w:hAnsi="Calibri"/>
          <w:sz w:val="20"/>
          <w:szCs w:val="20"/>
          <w:u w:val="single"/>
        </w:rPr>
      </w:pPr>
      <w:r>
        <w:rPr>
          <w:rFonts w:ascii="Calibri" w:hAnsi="Calibri"/>
          <w:sz w:val="20"/>
        </w:rPr>
        <w:t>Todo gasto en que se incurra por encima del importe disponible de la subvención del FMAM deberá ser absorbido por recursos ajenos al FMAM (por ejemplo, TRAC del PNUD o cofinanciación en efectivo).</w:t>
      </w:r>
      <w:r>
        <w:rPr>
          <w:rFonts w:ascii="Calibri" w:hAnsi="Calibri"/>
          <w:sz w:val="20"/>
          <w:u w:val="single"/>
        </w:rPr>
        <w:t xml:space="preserve"> </w:t>
      </w:r>
    </w:p>
    <w:p w14:paraId="773366CC" w14:textId="77777777" w:rsidR="00966EF0" w:rsidRPr="002152FE" w:rsidRDefault="00966EF0" w:rsidP="00966EF0">
      <w:pPr>
        <w:rPr>
          <w:rFonts w:ascii="Calibri" w:eastAsia="SimSun" w:hAnsi="Calibri"/>
          <w:sz w:val="20"/>
          <w:szCs w:val="20"/>
          <w:u w:val="single"/>
          <w:lang w:val="es-EC"/>
        </w:rPr>
      </w:pPr>
    </w:p>
    <w:p w14:paraId="09FBA14A" w14:textId="70781136" w:rsidR="00966EF0" w:rsidRPr="006A315B" w:rsidRDefault="00966EF0" w:rsidP="00551987">
      <w:pPr>
        <w:jc w:val="both"/>
        <w:rPr>
          <w:rFonts w:ascii="Calibri" w:eastAsia="SimSun" w:hAnsi="Calibri"/>
          <w:sz w:val="20"/>
        </w:rPr>
      </w:pPr>
      <w:r>
        <w:rPr>
          <w:rFonts w:ascii="Calibri" w:hAnsi="Calibri"/>
          <w:b/>
          <w:sz w:val="20"/>
          <w:u w:val="single"/>
        </w:rPr>
        <w:t>Extensiones del proyecto</w:t>
      </w:r>
      <w:r>
        <w:rPr>
          <w:rFonts w:ascii="Calibri" w:hAnsi="Calibri"/>
          <w:b/>
          <w:sz w:val="20"/>
        </w:rPr>
        <w:t xml:space="preserve">: </w:t>
      </w:r>
      <w:r w:rsidR="00707175">
        <w:rPr>
          <w:rFonts w:ascii="Calibri" w:hAnsi="Calibri"/>
          <w:sz w:val="20"/>
        </w:rPr>
        <w:t>e</w:t>
      </w:r>
      <w:r>
        <w:rPr>
          <w:rFonts w:ascii="Calibri" w:hAnsi="Calibri"/>
          <w:sz w:val="20"/>
        </w:rPr>
        <w:t>l Representante Residente del PNUD y el Coordinador Ejecutivo del PNUD-FMAM deben aprobar todas las solicitudes de prórroga de proyectos. Tener en cuenta que todas las ampliaciones conllevan cost</w:t>
      </w:r>
      <w:r w:rsidR="00004239">
        <w:rPr>
          <w:rFonts w:ascii="Calibri" w:hAnsi="Calibri"/>
          <w:sz w:val="20"/>
        </w:rPr>
        <w:t>o</w:t>
      </w:r>
      <w:r>
        <w:rPr>
          <w:rFonts w:ascii="Calibri" w:hAnsi="Calibri"/>
          <w:sz w:val="20"/>
        </w:rPr>
        <w:t xml:space="preserve">s y que el presupuesto del proyecto del FMAM no puede incrementarse. Se podrá conceder una única prórroga con carácter excepcional y sujeta a las condiciones y duraciones máximas establecidas en </w:t>
      </w:r>
      <w:r w:rsidR="00343360">
        <w:rPr>
          <w:rFonts w:ascii="Calibri" w:hAnsi="Calibri"/>
          <w:sz w:val="20"/>
        </w:rPr>
        <w:t>las</w:t>
      </w:r>
      <w:r>
        <w:rPr>
          <w:rFonts w:ascii="Calibri" w:hAnsi="Calibri"/>
          <w:sz w:val="20"/>
        </w:rPr>
        <w:t xml:space="preserve"> POPP del PNUD; los cost</w:t>
      </w:r>
      <w:r w:rsidR="00004239">
        <w:rPr>
          <w:rFonts w:ascii="Calibri" w:hAnsi="Calibri"/>
          <w:sz w:val="20"/>
        </w:rPr>
        <w:t>o</w:t>
      </w:r>
      <w:r>
        <w:rPr>
          <w:rFonts w:ascii="Calibri" w:hAnsi="Calibri"/>
          <w:sz w:val="20"/>
        </w:rPr>
        <w:t>s de gestión del proyecto durante el período de prórroga deberán mantenerse dentro de la cantidad aprobada originalmente, y cualquier aumento de los cost</w:t>
      </w:r>
      <w:r w:rsidR="00004239">
        <w:rPr>
          <w:rFonts w:ascii="Calibri" w:hAnsi="Calibri"/>
          <w:sz w:val="20"/>
        </w:rPr>
        <w:t>o</w:t>
      </w:r>
      <w:r>
        <w:rPr>
          <w:rFonts w:ascii="Calibri" w:hAnsi="Calibri"/>
          <w:sz w:val="20"/>
        </w:rPr>
        <w:t>s de gestión del proyecto se cubrirá con recursos ajenos al FMAM; los cost</w:t>
      </w:r>
      <w:r w:rsidR="00004239">
        <w:rPr>
          <w:rFonts w:ascii="Calibri" w:hAnsi="Calibri"/>
          <w:sz w:val="20"/>
        </w:rPr>
        <w:t>o</w:t>
      </w:r>
      <w:r>
        <w:rPr>
          <w:rFonts w:ascii="Calibri" w:hAnsi="Calibri"/>
          <w:sz w:val="20"/>
        </w:rPr>
        <w:t xml:space="preserve">s adicionales de supervisión del PNUD durante el período de prórroga deberán cubrirse con recursos ajenos al FMAM, de conformidad con las orientaciones del PNUD establecidas en </w:t>
      </w:r>
      <w:r w:rsidR="00343360">
        <w:rPr>
          <w:rFonts w:ascii="Calibri" w:hAnsi="Calibri"/>
          <w:sz w:val="20"/>
        </w:rPr>
        <w:t>las</w:t>
      </w:r>
      <w:r>
        <w:rPr>
          <w:rFonts w:ascii="Calibri" w:hAnsi="Calibri"/>
          <w:sz w:val="20"/>
        </w:rPr>
        <w:t xml:space="preserve"> POPP del PNUD. </w:t>
      </w:r>
    </w:p>
    <w:p w14:paraId="15674D0E" w14:textId="77777777" w:rsidR="00966EF0" w:rsidRPr="002152FE" w:rsidRDefault="00966EF0" w:rsidP="00551987">
      <w:pPr>
        <w:jc w:val="both"/>
        <w:rPr>
          <w:rFonts w:ascii="Calibri" w:eastAsia="SimSun" w:hAnsi="Calibri" w:cs="Arial"/>
          <w:noProof/>
          <w:sz w:val="20"/>
          <w:szCs w:val="20"/>
          <w:lang w:val="es-EC" w:eastAsia="zh-CN"/>
        </w:rPr>
      </w:pPr>
    </w:p>
    <w:p w14:paraId="3703DC44" w14:textId="53319FED" w:rsidR="00966EF0" w:rsidRPr="006A315B" w:rsidRDefault="00966EF0" w:rsidP="00551987">
      <w:pPr>
        <w:jc w:val="both"/>
        <w:rPr>
          <w:rFonts w:ascii="Calibri" w:eastAsia="SimSun" w:hAnsi="Calibri" w:cs="Calibri"/>
          <w:sz w:val="20"/>
        </w:rPr>
      </w:pPr>
      <w:r>
        <w:rPr>
          <w:rFonts w:ascii="Calibri" w:hAnsi="Calibri"/>
          <w:sz w:val="20"/>
          <w:u w:val="single"/>
        </w:rPr>
        <w:t>Auditoría</w:t>
      </w:r>
      <w:r>
        <w:rPr>
          <w:rFonts w:ascii="Calibri" w:hAnsi="Calibri"/>
          <w:sz w:val="20"/>
        </w:rPr>
        <w:t xml:space="preserve">: </w:t>
      </w:r>
      <w:r w:rsidR="00707175">
        <w:rPr>
          <w:rFonts w:ascii="Calibri" w:hAnsi="Calibri"/>
          <w:sz w:val="20"/>
        </w:rPr>
        <w:t>e</w:t>
      </w:r>
      <w:r>
        <w:rPr>
          <w:rFonts w:ascii="Calibri" w:hAnsi="Calibri"/>
          <w:sz w:val="20"/>
        </w:rPr>
        <w:t xml:space="preserve">l proyecto será auditado de conformidad con el Reglamento Financiero y la </w:t>
      </w:r>
      <w:r w:rsidR="00B86232">
        <w:rPr>
          <w:rFonts w:ascii="Calibri" w:hAnsi="Calibri"/>
          <w:sz w:val="20"/>
        </w:rPr>
        <w:t>r</w:t>
      </w:r>
      <w:r>
        <w:rPr>
          <w:rFonts w:ascii="Calibri" w:hAnsi="Calibri"/>
          <w:sz w:val="20"/>
        </w:rPr>
        <w:t xml:space="preserve">eglamentación </w:t>
      </w:r>
      <w:r w:rsidR="00B86232">
        <w:rPr>
          <w:rFonts w:ascii="Calibri" w:hAnsi="Calibri"/>
          <w:sz w:val="20"/>
        </w:rPr>
        <w:t>f</w:t>
      </w:r>
      <w:r>
        <w:rPr>
          <w:rFonts w:ascii="Calibri" w:hAnsi="Calibri"/>
          <w:sz w:val="20"/>
        </w:rPr>
        <w:t xml:space="preserve">inanciera </w:t>
      </w:r>
      <w:r w:rsidR="00B86232">
        <w:rPr>
          <w:rFonts w:ascii="Calibri" w:hAnsi="Calibri"/>
          <w:sz w:val="20"/>
        </w:rPr>
        <w:t>d</w:t>
      </w:r>
      <w:r>
        <w:rPr>
          <w:rFonts w:ascii="Calibri" w:hAnsi="Calibri"/>
          <w:sz w:val="20"/>
        </w:rPr>
        <w:t xml:space="preserve">etallada del PNUD y las políticas de auditoría aplicables. El ciclo y el proceso de auditoría deben debatirse durante el Taller </w:t>
      </w:r>
      <w:r w:rsidR="00B86232">
        <w:rPr>
          <w:rFonts w:ascii="Calibri" w:hAnsi="Calibri"/>
          <w:sz w:val="20"/>
        </w:rPr>
        <w:t>I</w:t>
      </w:r>
      <w:r>
        <w:rPr>
          <w:rFonts w:ascii="Calibri" w:hAnsi="Calibri"/>
          <w:sz w:val="20"/>
        </w:rPr>
        <w:t>nicial. Si el Socio en la Implementación es un organismo de las Naciones Unidas, el proyecto será auditado de acuerdo con las políticas de auditoría aplicables de dicho organismo.</w:t>
      </w:r>
      <w:r>
        <w:rPr>
          <w:rFonts w:ascii="Calibri" w:hAnsi="Calibri"/>
          <w:i/>
          <w:sz w:val="20"/>
        </w:rPr>
        <w:t xml:space="preserve"> </w:t>
      </w:r>
    </w:p>
    <w:p w14:paraId="2A25EFCD" w14:textId="77777777" w:rsidR="00966EF0" w:rsidRPr="002152FE" w:rsidRDefault="00966EF0" w:rsidP="00551987">
      <w:pPr>
        <w:jc w:val="both"/>
        <w:rPr>
          <w:rFonts w:ascii="Calibri" w:eastAsia="SimSun" w:hAnsi="Calibri"/>
          <w:sz w:val="20"/>
          <w:szCs w:val="20"/>
          <w:u w:val="single"/>
          <w:lang w:val="es-EC"/>
        </w:rPr>
      </w:pPr>
    </w:p>
    <w:p w14:paraId="0C6D4FD0" w14:textId="0545047B" w:rsidR="00966EF0" w:rsidRPr="006A315B" w:rsidRDefault="00966EF0" w:rsidP="00551987">
      <w:pPr>
        <w:jc w:val="both"/>
        <w:rPr>
          <w:rFonts w:ascii="Calibri" w:eastAsia="SimSun" w:hAnsi="Calibri" w:cs="Calibri"/>
          <w:sz w:val="20"/>
          <w:szCs w:val="20"/>
        </w:rPr>
      </w:pPr>
      <w:r>
        <w:rPr>
          <w:rFonts w:ascii="Calibri" w:hAnsi="Calibri"/>
          <w:b/>
          <w:sz w:val="20"/>
          <w:u w:val="single"/>
        </w:rPr>
        <w:t>Cierre del proyecto</w:t>
      </w:r>
      <w:r>
        <w:rPr>
          <w:rFonts w:ascii="Calibri" w:hAnsi="Calibri"/>
          <w:sz w:val="20"/>
        </w:rPr>
        <w:t xml:space="preserve">: </w:t>
      </w:r>
      <w:r w:rsidR="00707175">
        <w:rPr>
          <w:rFonts w:ascii="Calibri" w:hAnsi="Calibri"/>
          <w:sz w:val="20"/>
        </w:rPr>
        <w:t>e</w:t>
      </w:r>
      <w:r>
        <w:rPr>
          <w:rFonts w:ascii="Calibri" w:hAnsi="Calibri"/>
          <w:sz w:val="20"/>
        </w:rPr>
        <w:t xml:space="preserve">l cierre del proyecto se llevará a cabo conforme a los requisitos del PNUD descritos en </w:t>
      </w:r>
      <w:r w:rsidR="00AE72DB">
        <w:rPr>
          <w:rFonts w:ascii="Calibri" w:hAnsi="Calibri"/>
          <w:sz w:val="20"/>
        </w:rPr>
        <w:t>las</w:t>
      </w:r>
      <w:r>
        <w:rPr>
          <w:rFonts w:ascii="Calibri" w:hAnsi="Calibri"/>
          <w:sz w:val="20"/>
        </w:rPr>
        <w:t xml:space="preserve"> POPP del PNUD. Todos los cost</w:t>
      </w:r>
      <w:r w:rsidR="00B86232">
        <w:rPr>
          <w:rFonts w:ascii="Calibri" w:hAnsi="Calibri"/>
          <w:sz w:val="20"/>
        </w:rPr>
        <w:t>o</w:t>
      </w:r>
      <w:r>
        <w:rPr>
          <w:rFonts w:ascii="Calibri" w:hAnsi="Calibri"/>
          <w:sz w:val="20"/>
        </w:rPr>
        <w:t>s incurridos para cerrar el proyecto deben incluirse en el presupuesto de cierre del proyecto y comunicarse como compromisos finales del proyecto presentados a</w:t>
      </w:r>
      <w:r w:rsidR="00C67C5B">
        <w:rPr>
          <w:rFonts w:ascii="Calibri" w:hAnsi="Calibri"/>
          <w:sz w:val="20"/>
        </w:rPr>
        <w:t xml:space="preserv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del Proyecto durante la revisión final del proyecto. Los únicos cost</w:t>
      </w:r>
      <w:r w:rsidR="00B86232">
        <w:rPr>
          <w:rFonts w:ascii="Calibri" w:hAnsi="Calibri"/>
          <w:sz w:val="20"/>
        </w:rPr>
        <w:t>o</w:t>
      </w:r>
      <w:r>
        <w:rPr>
          <w:rFonts w:ascii="Calibri" w:hAnsi="Calibri"/>
          <w:sz w:val="20"/>
        </w:rPr>
        <w:t xml:space="preserve">s en que puede incurrir un proyecto tras la revisión final son los incluidos en el presupuesto de cierre del proyecto. </w:t>
      </w:r>
    </w:p>
    <w:p w14:paraId="589B84DA" w14:textId="77777777" w:rsidR="00966EF0" w:rsidRPr="002152FE" w:rsidRDefault="00966EF0" w:rsidP="00551987">
      <w:pPr>
        <w:jc w:val="both"/>
        <w:rPr>
          <w:rFonts w:ascii="Calibri" w:eastAsia="SimSun" w:hAnsi="Calibri"/>
          <w:sz w:val="20"/>
          <w:szCs w:val="20"/>
          <w:u w:val="single"/>
          <w:lang w:val="es-EC"/>
        </w:rPr>
      </w:pPr>
    </w:p>
    <w:p w14:paraId="61447210" w14:textId="6F94388E" w:rsidR="00966EF0" w:rsidRPr="006A315B" w:rsidRDefault="00966EF0" w:rsidP="00551987">
      <w:pPr>
        <w:jc w:val="both"/>
        <w:rPr>
          <w:rFonts w:ascii="Calibri" w:eastAsia="SimSun" w:hAnsi="Calibri"/>
          <w:sz w:val="20"/>
        </w:rPr>
      </w:pPr>
      <w:r>
        <w:rPr>
          <w:rFonts w:ascii="Calibri" w:hAnsi="Calibri"/>
          <w:b/>
          <w:sz w:val="20"/>
          <w:u w:val="single"/>
        </w:rPr>
        <w:t>Finalización operativa</w:t>
      </w:r>
      <w:r>
        <w:rPr>
          <w:rFonts w:ascii="Calibri" w:hAnsi="Calibri"/>
          <w:sz w:val="20"/>
        </w:rPr>
        <w:t xml:space="preserve">: </w:t>
      </w:r>
      <w:r w:rsidR="00707175">
        <w:rPr>
          <w:rFonts w:ascii="Calibri" w:hAnsi="Calibri"/>
          <w:sz w:val="20"/>
        </w:rPr>
        <w:t>e</w:t>
      </w:r>
      <w:r>
        <w:rPr>
          <w:rFonts w:ascii="Calibri" w:hAnsi="Calibri"/>
          <w:sz w:val="20"/>
        </w:rPr>
        <w:t xml:space="preserve">l proyecto se habrá completado operativamente cuando se hayan proporcionado las últimas aportaciones financiadas por el PNUD y se hayan finalizado las actividades conexas. Esto incluye la aprobación final del Informe de Evaluación Final (que estará disponible en inglés) y la correspondiente respuesta de la </w:t>
      </w:r>
      <w:r w:rsidR="009007DC">
        <w:rPr>
          <w:rFonts w:ascii="Calibri" w:hAnsi="Calibri"/>
          <w:sz w:val="20"/>
        </w:rPr>
        <w:t>D</w:t>
      </w:r>
      <w:r>
        <w:rPr>
          <w:rFonts w:ascii="Calibri" w:hAnsi="Calibri"/>
          <w:sz w:val="20"/>
        </w:rPr>
        <w:t>irección, así como la reunión de</w:t>
      </w:r>
      <w:r w:rsidR="00C67C5B">
        <w:rPr>
          <w:rFonts w:ascii="Calibri" w:hAnsi="Calibri"/>
          <w:sz w:val="20"/>
        </w:rPr>
        <w:t xml:space="preserv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 xml:space="preserve">del Proyecto de revisión de fin de proyecto. </w:t>
      </w:r>
      <w:r>
        <w:rPr>
          <w:rFonts w:ascii="Calibri" w:hAnsi="Calibri"/>
          <w:b/>
          <w:sz w:val="20"/>
        </w:rPr>
        <w:t xml:space="preserve">El cierre operativo debe producirse en la fecha final calculada por la duración aprobada tras la firma del Documento de Proyecto o en la fecha revisada de cierre operativo aprobada en la prórroga del proyecto.  Cualquier actividad prevista después de la fecha operativa requiere la aprobación de prórroga del proyecto. </w:t>
      </w:r>
      <w:r>
        <w:rPr>
          <w:rFonts w:ascii="Calibri" w:hAnsi="Calibri"/>
          <w:sz w:val="20"/>
        </w:rPr>
        <w:t xml:space="preserve"> El Socio en la Implementación, mediante una decisión de</w:t>
      </w:r>
      <w:r w:rsidR="00C67C5B">
        <w:rPr>
          <w:rFonts w:ascii="Calibri" w:hAnsi="Calibri"/>
          <w:sz w:val="20"/>
        </w:rPr>
        <w:t xml:space="preserve">l </w:t>
      </w:r>
      <w:r w:rsidR="00C67C5B">
        <w:rPr>
          <w:rFonts w:ascii="Calibri" w:hAnsi="Calibri"/>
          <w:color w:val="000000" w:themeColor="text1"/>
          <w:sz w:val="20"/>
        </w:rPr>
        <w:t>Comité</w:t>
      </w:r>
      <w:r w:rsidR="00C67C5B">
        <w:rPr>
          <w:rFonts w:ascii="Calibri" w:hAnsi="Calibri"/>
          <w:sz w:val="20"/>
        </w:rPr>
        <w:t xml:space="preserve"> </w:t>
      </w:r>
      <w:r>
        <w:rPr>
          <w:rFonts w:ascii="Calibri" w:hAnsi="Calibri"/>
          <w:sz w:val="20"/>
        </w:rPr>
        <w:t xml:space="preserve">del Proyecto, notificará a la Oficina de País del PNUD cuando se haya completado el cierre operativo. En este momento, el proyecto debería haber completado la transferencia o disposición de cualquier equipo que siga siendo propiedad del PNUD. </w:t>
      </w:r>
    </w:p>
    <w:p w14:paraId="19D8CBF9" w14:textId="77777777" w:rsidR="00966EF0" w:rsidRPr="002152FE" w:rsidRDefault="00966EF0" w:rsidP="00551987">
      <w:pPr>
        <w:jc w:val="both"/>
        <w:rPr>
          <w:rFonts w:ascii="Calibri" w:eastAsia="SimSun" w:hAnsi="Calibri"/>
          <w:sz w:val="20"/>
          <w:szCs w:val="20"/>
          <w:u w:val="single"/>
          <w:lang w:val="es-EC"/>
        </w:rPr>
      </w:pPr>
    </w:p>
    <w:p w14:paraId="2D15C21C" w14:textId="2B5AA656" w:rsidR="00966EF0" w:rsidRPr="006A315B" w:rsidRDefault="00966EF0" w:rsidP="00551987">
      <w:pPr>
        <w:spacing w:after="60"/>
        <w:jc w:val="both"/>
        <w:rPr>
          <w:rFonts w:ascii="Calibri" w:eastAsia="SimSun" w:hAnsi="Calibri"/>
          <w:sz w:val="20"/>
          <w:szCs w:val="20"/>
        </w:rPr>
      </w:pPr>
      <w:r>
        <w:rPr>
          <w:rFonts w:ascii="Calibri" w:hAnsi="Calibri"/>
          <w:b/>
          <w:sz w:val="20"/>
          <w:u w:val="single"/>
        </w:rPr>
        <w:t>Transferencia o enajenación de activos</w:t>
      </w:r>
      <w:r>
        <w:rPr>
          <w:rFonts w:ascii="Calibri" w:hAnsi="Calibri"/>
          <w:sz w:val="20"/>
        </w:rPr>
        <w:t xml:space="preserve">: </w:t>
      </w:r>
      <w:r w:rsidR="00707175">
        <w:rPr>
          <w:rFonts w:ascii="Calibri" w:hAnsi="Calibri"/>
          <w:sz w:val="20"/>
        </w:rPr>
        <w:t>e</w:t>
      </w:r>
      <w:r>
        <w:rPr>
          <w:rFonts w:ascii="Calibri" w:hAnsi="Calibri"/>
          <w:sz w:val="20"/>
        </w:rPr>
        <w:t xml:space="preserve">n consulta con el Socio en la Implementación y otras partes del proyecto, el PNUD es responsable de decidir sobre la transferencia u otro tipo de enajenación de activos. Se recomienda que la transferencia o enajenación de activos sea revisada y aprobada por </w:t>
      </w:r>
      <w:r w:rsidR="00C67C5B">
        <w:rPr>
          <w:rFonts w:ascii="Calibri" w:hAnsi="Calibri"/>
          <w:sz w:val="20"/>
        </w:rPr>
        <w:t xml:space="preserve">el </w:t>
      </w:r>
      <w:r w:rsidR="00C67C5B">
        <w:rPr>
          <w:rFonts w:ascii="Calibri" w:hAnsi="Calibri"/>
          <w:color w:val="000000" w:themeColor="text1"/>
          <w:sz w:val="20"/>
        </w:rPr>
        <w:t>Comité</w:t>
      </w:r>
      <w:r>
        <w:rPr>
          <w:rFonts w:ascii="Calibri" w:hAnsi="Calibri"/>
          <w:sz w:val="20"/>
        </w:rPr>
        <w:t xml:space="preserve"> del </w:t>
      </w:r>
      <w:r w:rsidR="00B86232">
        <w:rPr>
          <w:rFonts w:ascii="Calibri" w:hAnsi="Calibri"/>
          <w:sz w:val="20"/>
        </w:rPr>
        <w:t>P</w:t>
      </w:r>
      <w:r>
        <w:rPr>
          <w:rFonts w:ascii="Calibri" w:hAnsi="Calibri"/>
          <w:sz w:val="20"/>
        </w:rPr>
        <w:t xml:space="preserve">royecto siguiendo las normas y reglamentos del PNUD. Los activos pueden transferirse al </w:t>
      </w:r>
      <w:r w:rsidR="00B86232">
        <w:rPr>
          <w:rFonts w:ascii="Calibri" w:hAnsi="Calibri"/>
          <w:sz w:val="20"/>
        </w:rPr>
        <w:t>G</w:t>
      </w:r>
      <w:r>
        <w:rPr>
          <w:rFonts w:ascii="Calibri" w:hAnsi="Calibri"/>
          <w:sz w:val="20"/>
        </w:rPr>
        <w:t xml:space="preserve">obierno para actividades de proyectos gestionados por una institución nacional en cualquier momento de la vida de un proyecto (se recomienda encarecidamente que se haga antes de la fecha de cierre operativo). En todos los casos de transferencia, debe prepararse y archivarse un </w:t>
      </w:r>
      <w:r w:rsidR="00B86232">
        <w:rPr>
          <w:rFonts w:ascii="Calibri" w:hAnsi="Calibri"/>
          <w:sz w:val="20"/>
        </w:rPr>
        <w:t>D</w:t>
      </w:r>
      <w:r>
        <w:rPr>
          <w:rFonts w:ascii="Calibri" w:hAnsi="Calibri"/>
          <w:sz w:val="20"/>
        </w:rPr>
        <w:t xml:space="preserve">ocumento de </w:t>
      </w:r>
      <w:r w:rsidR="00B86232">
        <w:rPr>
          <w:rFonts w:ascii="Calibri" w:hAnsi="Calibri"/>
          <w:sz w:val="20"/>
        </w:rPr>
        <w:t>T</w:t>
      </w:r>
      <w:r>
        <w:rPr>
          <w:rFonts w:ascii="Calibri" w:hAnsi="Calibri"/>
          <w:sz w:val="20"/>
        </w:rPr>
        <w:t>ransferencia</w:t>
      </w:r>
      <w:r w:rsidRPr="00966EF0">
        <w:rPr>
          <w:rFonts w:ascii="Calibri" w:eastAsia="SimSun" w:hAnsi="Calibri"/>
          <w:sz w:val="18"/>
          <w:szCs w:val="20"/>
          <w:vertAlign w:val="superscript"/>
        </w:rPr>
        <w:footnoteReference w:id="39"/>
      </w:r>
      <w:r>
        <w:rPr>
          <w:rFonts w:ascii="Calibri" w:hAnsi="Calibri"/>
          <w:sz w:val="20"/>
        </w:rPr>
        <w:t>. La transferencia debe realizarse antes de que la Unidad de Gestión de Proyecto finalice sus tareas.</w:t>
      </w:r>
    </w:p>
    <w:p w14:paraId="36C47DEB" w14:textId="77777777" w:rsidR="00966EF0" w:rsidRPr="002152FE" w:rsidRDefault="00966EF0" w:rsidP="00551987">
      <w:pPr>
        <w:jc w:val="both"/>
        <w:rPr>
          <w:rFonts w:ascii="Calibri" w:eastAsia="SimSun" w:hAnsi="Calibri"/>
          <w:sz w:val="20"/>
          <w:szCs w:val="20"/>
          <w:u w:val="single"/>
          <w:lang w:val="es-EC"/>
        </w:rPr>
      </w:pPr>
    </w:p>
    <w:p w14:paraId="2B1F80BB" w14:textId="0AC130CB" w:rsidR="00966EF0" w:rsidRPr="00A562E4" w:rsidRDefault="00966EF0" w:rsidP="00551987">
      <w:pPr>
        <w:jc w:val="both"/>
        <w:rPr>
          <w:rFonts w:ascii="Calibri" w:eastAsia="SimSun" w:hAnsi="Calibri"/>
          <w:sz w:val="20"/>
          <w:szCs w:val="20"/>
        </w:rPr>
      </w:pPr>
      <w:r>
        <w:rPr>
          <w:rFonts w:ascii="Calibri" w:hAnsi="Calibri"/>
          <w:b/>
          <w:sz w:val="20"/>
          <w:u w:val="single"/>
        </w:rPr>
        <w:t>Finalización financiera (cierre)</w:t>
      </w:r>
      <w:r>
        <w:rPr>
          <w:rFonts w:ascii="Calibri" w:hAnsi="Calibri"/>
          <w:b/>
          <w:sz w:val="20"/>
        </w:rPr>
        <w:t>:</w:t>
      </w:r>
      <w:r>
        <w:rPr>
          <w:rFonts w:ascii="Calibri" w:hAnsi="Calibri"/>
          <w:sz w:val="20"/>
        </w:rPr>
        <w:t xml:space="preserve">  </w:t>
      </w:r>
      <w:r w:rsidR="00707175">
        <w:rPr>
          <w:rFonts w:ascii="Calibri" w:hAnsi="Calibri"/>
          <w:sz w:val="20"/>
        </w:rPr>
        <w:t>e</w:t>
      </w:r>
      <w:r>
        <w:rPr>
          <w:rFonts w:ascii="Calibri" w:hAnsi="Calibri"/>
          <w:sz w:val="20"/>
        </w:rPr>
        <w:t xml:space="preserve">l proyecto se cerrará financieramente cuando se hayan cumplido las siguientes condiciones: a) el proyecto se ha completado operativamente o se ha cancelado; b) el Socio en la Implementación ha comunicado todas las transacciones financieras al PNUD; c) el PNUD ha cerrado las cuentas del proyecto; d) el PNUD y el Socio en la Implementación han certificado un Informe de Entrega Combinado final (que sirve como revisión presupuestaria final). </w:t>
      </w:r>
    </w:p>
    <w:p w14:paraId="729A5009" w14:textId="77777777" w:rsidR="00966EF0" w:rsidRPr="002152FE" w:rsidRDefault="00966EF0" w:rsidP="00551987">
      <w:pPr>
        <w:jc w:val="both"/>
        <w:rPr>
          <w:rFonts w:ascii="Calibri" w:eastAsia="SimSun" w:hAnsi="Calibri"/>
          <w:sz w:val="20"/>
          <w:szCs w:val="20"/>
          <w:lang w:val="es-EC"/>
        </w:rPr>
      </w:pPr>
    </w:p>
    <w:p w14:paraId="24FD5BC3" w14:textId="1C09C6BC" w:rsidR="00966EF0" w:rsidRPr="006A315B" w:rsidRDefault="00966EF0" w:rsidP="00551987">
      <w:pPr>
        <w:jc w:val="both"/>
        <w:rPr>
          <w:rFonts w:ascii="Calibri" w:eastAsia="SimSun" w:hAnsi="Calibri"/>
          <w:sz w:val="20"/>
        </w:rPr>
      </w:pPr>
      <w:r>
        <w:rPr>
          <w:rFonts w:ascii="Calibri" w:hAnsi="Calibri"/>
          <w:sz w:val="20"/>
        </w:rPr>
        <w:t xml:space="preserve">El proyecto se completará financieramente </w:t>
      </w:r>
      <w:r>
        <w:rPr>
          <w:rFonts w:ascii="Calibri" w:hAnsi="Calibri"/>
          <w:b/>
          <w:sz w:val="20"/>
        </w:rPr>
        <w:t>en un plazo de 6 meses a partir del cierre operativo o después de la fecha de cancelación</w:t>
      </w:r>
      <w:r>
        <w:rPr>
          <w:rFonts w:ascii="Calibri" w:hAnsi="Calibri"/>
          <w:sz w:val="20"/>
        </w:rPr>
        <w:t xml:space="preserve">. Si el </w:t>
      </w:r>
      <w:r w:rsidR="00B86232">
        <w:rPr>
          <w:rFonts w:ascii="Calibri" w:hAnsi="Calibri"/>
          <w:sz w:val="20"/>
        </w:rPr>
        <w:t>c</w:t>
      </w:r>
      <w:r>
        <w:rPr>
          <w:rFonts w:ascii="Calibri" w:hAnsi="Calibri"/>
          <w:sz w:val="20"/>
        </w:rPr>
        <w:t xml:space="preserve">ierre </w:t>
      </w:r>
      <w:r w:rsidR="00B86232">
        <w:rPr>
          <w:rFonts w:ascii="Calibri" w:hAnsi="Calibri"/>
          <w:sz w:val="20"/>
        </w:rPr>
        <w:t>o</w:t>
      </w:r>
      <w:r>
        <w:rPr>
          <w:rFonts w:ascii="Calibri" w:hAnsi="Calibri"/>
          <w:sz w:val="20"/>
        </w:rPr>
        <w:t xml:space="preserve">perativo se retrasa por cualquier motivo justificado y aprobado, la Oficina de País deberá hacer todo lo posible para </w:t>
      </w:r>
      <w:r w:rsidR="00B86232">
        <w:rPr>
          <w:rFonts w:ascii="Calibri" w:hAnsi="Calibri"/>
          <w:sz w:val="20"/>
        </w:rPr>
        <w:t>c</w:t>
      </w:r>
      <w:r>
        <w:rPr>
          <w:rFonts w:ascii="Calibri" w:hAnsi="Calibri"/>
          <w:sz w:val="20"/>
        </w:rPr>
        <w:t xml:space="preserve">errar </w:t>
      </w:r>
      <w:r w:rsidR="00B86232">
        <w:rPr>
          <w:rFonts w:ascii="Calibri" w:hAnsi="Calibri"/>
          <w:sz w:val="20"/>
        </w:rPr>
        <w:t>f</w:t>
      </w:r>
      <w:r>
        <w:rPr>
          <w:rFonts w:ascii="Calibri" w:hAnsi="Calibri"/>
          <w:sz w:val="20"/>
        </w:rPr>
        <w:t xml:space="preserve">inancieramente el proyecto en un plazo de 9 meses a partir de la finalización de la </w:t>
      </w:r>
      <w:r w:rsidR="0019735C">
        <w:rPr>
          <w:rFonts w:ascii="Calibri" w:hAnsi="Calibri"/>
          <w:sz w:val="20"/>
        </w:rPr>
        <w:t>TE</w:t>
      </w:r>
      <w:r>
        <w:rPr>
          <w:rFonts w:ascii="Calibri" w:hAnsi="Calibri"/>
          <w:sz w:val="20"/>
        </w:rPr>
        <w:t xml:space="preserve">.  Entre el cierre operativo y el financiero, el Socio en la Implementación identificará y liquidará todas las obligaciones financieras y preparará un </w:t>
      </w:r>
      <w:r w:rsidR="00B86232">
        <w:rPr>
          <w:rFonts w:ascii="Calibri" w:hAnsi="Calibri"/>
          <w:sz w:val="20"/>
        </w:rPr>
        <w:t>I</w:t>
      </w:r>
      <w:r>
        <w:rPr>
          <w:rFonts w:ascii="Calibri" w:hAnsi="Calibri"/>
          <w:sz w:val="20"/>
        </w:rPr>
        <w:t xml:space="preserve">nforme </w:t>
      </w:r>
      <w:r w:rsidR="00B86232">
        <w:rPr>
          <w:rFonts w:ascii="Calibri" w:hAnsi="Calibri"/>
          <w:sz w:val="20"/>
        </w:rPr>
        <w:t>F</w:t>
      </w:r>
      <w:r>
        <w:rPr>
          <w:rFonts w:ascii="Calibri" w:hAnsi="Calibri"/>
          <w:sz w:val="20"/>
        </w:rPr>
        <w:t xml:space="preserve">inal de gastos. La Oficina de País del PNUD enviará los documentos finales de cierre firmados, incluida la confirmación de los gastos acumulados finales y el saldo no utilizado, a la Unidad BPPS/NCE-VF para su confirmación antes de que la Oficina de País del PNUD proceda al cierre financiero del proyecto en Atlas. </w:t>
      </w:r>
    </w:p>
    <w:p w14:paraId="26B6104C" w14:textId="77777777" w:rsidR="00966EF0" w:rsidRPr="002152FE" w:rsidRDefault="00966EF0" w:rsidP="00551987">
      <w:pPr>
        <w:jc w:val="both"/>
        <w:rPr>
          <w:rFonts w:ascii="Calibri" w:eastAsia="SimSun" w:hAnsi="Calibri"/>
          <w:sz w:val="20"/>
          <w:szCs w:val="20"/>
          <w:lang w:val="es-EC"/>
        </w:rPr>
      </w:pPr>
    </w:p>
    <w:p w14:paraId="5D8FA225" w14:textId="039E0111" w:rsidR="00966EF0" w:rsidRPr="006A315B" w:rsidRDefault="00966EF0" w:rsidP="003D6F1F">
      <w:pPr>
        <w:jc w:val="both"/>
        <w:rPr>
          <w:rFonts w:ascii="Calibri" w:eastAsia="SimSun" w:hAnsi="Calibri"/>
          <w:sz w:val="20"/>
          <w:szCs w:val="20"/>
        </w:rPr>
      </w:pPr>
      <w:r>
        <w:rPr>
          <w:rFonts w:ascii="Calibri" w:hAnsi="Calibri"/>
          <w:sz w:val="20"/>
          <w:u w:val="single"/>
        </w:rPr>
        <w:t>Reembolso al FMAM:</w:t>
      </w:r>
      <w:r>
        <w:rPr>
          <w:rFonts w:ascii="Calibri" w:hAnsi="Calibri"/>
          <w:sz w:val="20"/>
        </w:rPr>
        <w:t xml:space="preserve">  </w:t>
      </w:r>
      <w:r w:rsidR="00707175">
        <w:rPr>
          <w:rFonts w:ascii="Calibri" w:hAnsi="Calibri"/>
          <w:sz w:val="20"/>
        </w:rPr>
        <w:t>e</w:t>
      </w:r>
      <w:r>
        <w:rPr>
          <w:rFonts w:ascii="Calibri" w:hAnsi="Calibri"/>
          <w:sz w:val="20"/>
        </w:rPr>
        <w:t>n caso de que sea necesario reembolsar al FMAM los fondos no utilizados, la Dirección BPPS/NCE-VF de Nueva York se encargará directamente de su gestión. No se requiere ninguna acción por parte de la Oficina de País del PNUD sobre el reembolso real del proyecto del PNUD al Depositario del FMAM.</w:t>
      </w:r>
    </w:p>
    <w:p w14:paraId="6A4C48CB" w14:textId="77777777" w:rsidR="00966EF0" w:rsidRPr="002152FE" w:rsidRDefault="00966EF0" w:rsidP="00966EF0">
      <w:pPr>
        <w:rPr>
          <w:rFonts w:ascii="Calibri" w:eastAsia="SimSun" w:hAnsi="Calibri"/>
          <w:b/>
          <w:smallCaps/>
          <w:spacing w:val="-2"/>
          <w:sz w:val="20"/>
          <w:szCs w:val="20"/>
          <w:lang w:val="es-EC"/>
        </w:rPr>
        <w:sectPr w:rsidR="00966EF0" w:rsidRPr="002152FE" w:rsidSect="00BA3DD6">
          <w:pgSz w:w="12240" w:h="15840" w:code="1"/>
          <w:pgMar w:top="1440" w:right="1440" w:bottom="1440" w:left="1440" w:header="720" w:footer="432" w:gutter="0"/>
          <w:cols w:space="708"/>
          <w:titlePg/>
          <w:docGrid w:linePitch="360"/>
        </w:sectPr>
      </w:pPr>
    </w:p>
    <w:p w14:paraId="6A10EC84" w14:textId="3282CAAD" w:rsidR="00966EF0" w:rsidRPr="006A315B" w:rsidRDefault="003D4BF1" w:rsidP="00966EF0">
      <w:pPr>
        <w:keepNext/>
        <w:pBdr>
          <w:top w:val="single" w:sz="4" w:space="1" w:color="auto"/>
        </w:pBdr>
        <w:tabs>
          <w:tab w:val="num" w:pos="720"/>
        </w:tabs>
        <w:suppressAutoHyphens/>
        <w:spacing w:after="60"/>
        <w:ind w:left="720" w:hanging="720"/>
        <w:jc w:val="both"/>
        <w:outlineLvl w:val="0"/>
        <w:rPr>
          <w:rFonts w:ascii="Calibri" w:eastAsia="SimSun" w:hAnsi="Calibri"/>
          <w:b/>
          <w:smallCaps/>
          <w:spacing w:val="-2"/>
          <w:sz w:val="28"/>
          <w:szCs w:val="20"/>
        </w:rPr>
      </w:pPr>
      <w:bookmarkStart w:id="52" w:name="_Toc114650849"/>
      <w:bookmarkStart w:id="53" w:name="_Toc144822674"/>
      <w:r>
        <w:rPr>
          <w:rFonts w:ascii="Calibri" w:hAnsi="Calibri"/>
          <w:b/>
          <w:smallCaps/>
          <w:sz w:val="28"/>
        </w:rPr>
        <w:t>IX. Presupuesto total y Plan de trabajo</w:t>
      </w:r>
      <w:bookmarkEnd w:id="52"/>
      <w:bookmarkEnd w:id="53"/>
    </w:p>
    <w:p w14:paraId="386FAFED" w14:textId="77777777" w:rsidR="00966EF0" w:rsidRPr="002152FE" w:rsidRDefault="00966EF0" w:rsidP="00966EF0">
      <w:pPr>
        <w:spacing w:after="60"/>
        <w:jc w:val="both"/>
        <w:rPr>
          <w:rFonts w:ascii="Calibri" w:eastAsia="SimSun" w:hAnsi="Calibri" w:cs="Calibri"/>
          <w:i/>
          <w:noProof/>
          <w:sz w:val="18"/>
          <w:szCs w:val="18"/>
          <w:lang w:val="es-EC" w:eastAsia="zh-CN"/>
        </w:rPr>
      </w:pPr>
    </w:p>
    <w:tbl>
      <w:tblPr>
        <w:tblW w:w="14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083"/>
        <w:gridCol w:w="4140"/>
        <w:gridCol w:w="3645"/>
        <w:gridCol w:w="3645"/>
      </w:tblGrid>
      <w:tr w:rsidR="00966EF0" w:rsidRPr="001B17BF" w14:paraId="7B2F7E7D" w14:textId="77777777" w:rsidTr="00046990">
        <w:trPr>
          <w:cantSplit/>
          <w:trHeight w:val="280"/>
        </w:trPr>
        <w:tc>
          <w:tcPr>
            <w:tcW w:w="14513" w:type="dxa"/>
            <w:gridSpan w:val="4"/>
            <w:shd w:val="clear" w:color="auto" w:fill="D9D9D9"/>
            <w:noWrap/>
            <w:vAlign w:val="bottom"/>
          </w:tcPr>
          <w:p w14:paraId="2FBCDB22" w14:textId="52A527A8" w:rsidR="00966EF0" w:rsidRPr="00046990" w:rsidRDefault="00966EF0" w:rsidP="00376147">
            <w:pPr>
              <w:spacing w:after="60"/>
              <w:jc w:val="both"/>
              <w:rPr>
                <w:rFonts w:ascii="Calibri" w:eastAsia="SimSun" w:hAnsi="Calibri" w:cs="Calibri"/>
                <w:b/>
                <w:bCs/>
                <w:sz w:val="18"/>
                <w:szCs w:val="18"/>
              </w:rPr>
            </w:pPr>
            <w:r>
              <w:rPr>
                <w:rFonts w:ascii="Calibri" w:hAnsi="Calibri"/>
                <w:b/>
                <w:sz w:val="18"/>
              </w:rPr>
              <w:t xml:space="preserve">Presupuesto total y Plan de </w:t>
            </w:r>
            <w:r w:rsidR="00376147">
              <w:rPr>
                <w:rFonts w:ascii="Calibri" w:hAnsi="Calibri"/>
                <w:b/>
                <w:sz w:val="18"/>
              </w:rPr>
              <w:t>T</w:t>
            </w:r>
            <w:r>
              <w:rPr>
                <w:rFonts w:ascii="Calibri" w:hAnsi="Calibri"/>
                <w:b/>
                <w:sz w:val="18"/>
              </w:rPr>
              <w:t>rabajo</w:t>
            </w:r>
          </w:p>
        </w:tc>
      </w:tr>
      <w:tr w:rsidR="00966EF0" w:rsidRPr="00046990" w14:paraId="63C182E2" w14:textId="77777777" w:rsidTr="00046990">
        <w:trPr>
          <w:cantSplit/>
          <w:trHeight w:val="280"/>
        </w:trPr>
        <w:tc>
          <w:tcPr>
            <w:tcW w:w="3083" w:type="dxa"/>
            <w:shd w:val="clear" w:color="auto" w:fill="auto"/>
            <w:noWrap/>
            <w:vAlign w:val="bottom"/>
          </w:tcPr>
          <w:p w14:paraId="68148B20" w14:textId="6686D849" w:rsidR="00966EF0" w:rsidRPr="00046990" w:rsidRDefault="00966EF0" w:rsidP="00966EF0">
            <w:pPr>
              <w:spacing w:after="60"/>
              <w:jc w:val="both"/>
              <w:rPr>
                <w:rFonts w:ascii="Calibri" w:eastAsia="SimSun" w:hAnsi="Calibri" w:cs="Calibri"/>
                <w:b/>
                <w:bCs/>
                <w:sz w:val="18"/>
                <w:szCs w:val="18"/>
              </w:rPr>
            </w:pPr>
            <w:r>
              <w:rPr>
                <w:rFonts w:ascii="Calibri" w:hAnsi="Calibri"/>
                <w:color w:val="000000"/>
                <w:sz w:val="18"/>
              </w:rPr>
              <w:t xml:space="preserve">ID de adjudicación de Atlas </w:t>
            </w:r>
          </w:p>
        </w:tc>
        <w:tc>
          <w:tcPr>
            <w:tcW w:w="4140" w:type="dxa"/>
            <w:shd w:val="clear" w:color="auto" w:fill="auto"/>
            <w:vAlign w:val="bottom"/>
          </w:tcPr>
          <w:p w14:paraId="772A456E" w14:textId="645183E6" w:rsidR="00966EF0" w:rsidRPr="00046990" w:rsidRDefault="00966EF0" w:rsidP="00966EF0">
            <w:pPr>
              <w:spacing w:after="60"/>
              <w:jc w:val="both"/>
              <w:rPr>
                <w:rFonts w:ascii="Calibri" w:eastAsia="SimSun" w:hAnsi="Calibri" w:cs="Calibri"/>
                <w:bCs/>
                <w:sz w:val="18"/>
                <w:szCs w:val="18"/>
              </w:rPr>
            </w:pPr>
            <w:r>
              <w:rPr>
                <w:rFonts w:ascii="Calibri" w:hAnsi="Calibri"/>
                <w:sz w:val="18"/>
              </w:rPr>
              <w:t>00131123</w:t>
            </w:r>
          </w:p>
        </w:tc>
        <w:tc>
          <w:tcPr>
            <w:tcW w:w="3645" w:type="dxa"/>
            <w:shd w:val="clear" w:color="auto" w:fill="auto"/>
            <w:vAlign w:val="center"/>
          </w:tcPr>
          <w:p w14:paraId="2BB68200" w14:textId="24EF3F22" w:rsidR="00966EF0" w:rsidRPr="00046990" w:rsidRDefault="00966EF0" w:rsidP="00376147">
            <w:pPr>
              <w:spacing w:after="60"/>
              <w:jc w:val="both"/>
              <w:rPr>
                <w:rFonts w:ascii="Calibri" w:eastAsia="SimSun" w:hAnsi="Calibri" w:cs="Calibri"/>
                <w:bCs/>
                <w:color w:val="000000"/>
                <w:sz w:val="18"/>
                <w:szCs w:val="18"/>
              </w:rPr>
            </w:pPr>
            <w:r>
              <w:rPr>
                <w:rFonts w:ascii="Calibri" w:hAnsi="Calibri"/>
                <w:color w:val="000000"/>
                <w:sz w:val="18"/>
              </w:rPr>
              <w:t xml:space="preserve"> ID de proyecto </w:t>
            </w:r>
            <w:r w:rsidR="00376147">
              <w:rPr>
                <w:rFonts w:ascii="Calibri" w:hAnsi="Calibri"/>
                <w:color w:val="000000"/>
                <w:sz w:val="18"/>
              </w:rPr>
              <w:t>r</w:t>
            </w:r>
            <w:r>
              <w:rPr>
                <w:rFonts w:ascii="Calibri" w:hAnsi="Calibri"/>
                <w:color w:val="000000"/>
                <w:sz w:val="18"/>
              </w:rPr>
              <w:t>esultado en Atlas:</w:t>
            </w:r>
          </w:p>
        </w:tc>
        <w:tc>
          <w:tcPr>
            <w:tcW w:w="3645" w:type="dxa"/>
            <w:shd w:val="clear" w:color="auto" w:fill="auto"/>
            <w:vAlign w:val="bottom"/>
          </w:tcPr>
          <w:p w14:paraId="13A6095A" w14:textId="64324A6A" w:rsidR="00966EF0" w:rsidRPr="00046990" w:rsidRDefault="00966EF0" w:rsidP="00966EF0">
            <w:pPr>
              <w:spacing w:after="60"/>
              <w:jc w:val="both"/>
              <w:rPr>
                <w:rFonts w:ascii="Calibri" w:eastAsia="SimSun" w:hAnsi="Calibri" w:cs="Calibri"/>
                <w:bCs/>
                <w:sz w:val="18"/>
                <w:szCs w:val="18"/>
              </w:rPr>
            </w:pPr>
            <w:r>
              <w:rPr>
                <w:rFonts w:ascii="Calibri" w:hAnsi="Calibri"/>
                <w:sz w:val="18"/>
              </w:rPr>
              <w:t>000124255</w:t>
            </w:r>
          </w:p>
        </w:tc>
      </w:tr>
      <w:tr w:rsidR="00046990" w:rsidRPr="00046990" w14:paraId="7FE3A024" w14:textId="77777777" w:rsidTr="00046990">
        <w:trPr>
          <w:cantSplit/>
          <w:trHeight w:val="280"/>
        </w:trPr>
        <w:tc>
          <w:tcPr>
            <w:tcW w:w="3083" w:type="dxa"/>
            <w:shd w:val="clear" w:color="auto" w:fill="auto"/>
            <w:noWrap/>
            <w:vAlign w:val="center"/>
          </w:tcPr>
          <w:p w14:paraId="11C6F2FE" w14:textId="0955D2CC" w:rsidR="00046990" w:rsidRPr="00046990" w:rsidRDefault="00046990" w:rsidP="00376147">
            <w:pPr>
              <w:spacing w:after="60"/>
              <w:jc w:val="both"/>
              <w:rPr>
                <w:rFonts w:ascii="Calibri" w:eastAsia="SimSun" w:hAnsi="Calibri" w:cs="Calibri"/>
                <w:bCs/>
                <w:color w:val="000000"/>
                <w:sz w:val="18"/>
                <w:szCs w:val="18"/>
              </w:rPr>
            </w:pPr>
            <w:r>
              <w:rPr>
                <w:rFonts w:ascii="Calibri" w:hAnsi="Calibri"/>
                <w:color w:val="000000"/>
                <w:sz w:val="18"/>
              </w:rPr>
              <w:t xml:space="preserve">Propuesta en Atlas o </w:t>
            </w:r>
            <w:r w:rsidR="00376147">
              <w:rPr>
                <w:rFonts w:ascii="Calibri" w:hAnsi="Calibri"/>
                <w:color w:val="000000"/>
                <w:sz w:val="18"/>
              </w:rPr>
              <w:t>t</w:t>
            </w:r>
            <w:r>
              <w:rPr>
                <w:rFonts w:ascii="Calibri" w:hAnsi="Calibri"/>
                <w:color w:val="000000"/>
                <w:sz w:val="18"/>
              </w:rPr>
              <w:t>ítulo de adjudicación:</w:t>
            </w:r>
          </w:p>
        </w:tc>
        <w:tc>
          <w:tcPr>
            <w:tcW w:w="11430" w:type="dxa"/>
            <w:gridSpan w:val="3"/>
            <w:shd w:val="clear" w:color="auto" w:fill="auto"/>
            <w:vAlign w:val="center"/>
          </w:tcPr>
          <w:p w14:paraId="6B503A90" w14:textId="0BEDEE4A" w:rsidR="00046990" w:rsidRPr="00046990" w:rsidRDefault="002D338A" w:rsidP="00966EF0">
            <w:pPr>
              <w:spacing w:after="60"/>
              <w:jc w:val="both"/>
              <w:rPr>
                <w:rFonts w:ascii="Calibri" w:eastAsia="SimSun" w:hAnsi="Calibri" w:cs="Calibri"/>
                <w:bCs/>
                <w:sz w:val="18"/>
                <w:szCs w:val="18"/>
              </w:rPr>
            </w:pPr>
            <w:r>
              <w:rPr>
                <w:rFonts w:ascii="Calibri" w:hAnsi="Calibri"/>
                <w:color w:val="000000"/>
                <w:sz w:val="18"/>
              </w:rPr>
              <w:t>FARM ECUADOR</w:t>
            </w:r>
          </w:p>
        </w:tc>
      </w:tr>
      <w:tr w:rsidR="00966EF0" w:rsidRPr="00046990" w14:paraId="62BBAE98" w14:textId="77777777" w:rsidTr="0004699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083" w:type="dxa"/>
            <w:tcBorders>
              <w:top w:val="nil"/>
              <w:left w:val="single" w:sz="4" w:space="0" w:color="auto"/>
              <w:bottom w:val="single" w:sz="4" w:space="0" w:color="auto"/>
              <w:right w:val="single" w:sz="4" w:space="0" w:color="auto"/>
            </w:tcBorders>
            <w:shd w:val="clear" w:color="auto" w:fill="auto"/>
            <w:noWrap/>
            <w:vAlign w:val="center"/>
            <w:hideMark/>
          </w:tcPr>
          <w:p w14:paraId="5A8392C4" w14:textId="77777777" w:rsidR="00966EF0" w:rsidRPr="00046990" w:rsidRDefault="00966EF0" w:rsidP="00966EF0">
            <w:pPr>
              <w:spacing w:after="60"/>
              <w:jc w:val="both"/>
              <w:rPr>
                <w:rFonts w:ascii="Calibri" w:eastAsia="SimSun" w:hAnsi="Calibri" w:cs="Calibri"/>
                <w:bCs/>
                <w:color w:val="000000"/>
                <w:sz w:val="18"/>
                <w:szCs w:val="18"/>
              </w:rPr>
            </w:pPr>
            <w:r>
              <w:rPr>
                <w:rFonts w:ascii="Calibri" w:hAnsi="Calibri"/>
                <w:color w:val="000000"/>
                <w:sz w:val="18"/>
              </w:rPr>
              <w:t>Unidad de Negocio Atlas</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A255A1" w14:textId="6F228133" w:rsidR="00966EF0" w:rsidRPr="00046990" w:rsidRDefault="00887AC2" w:rsidP="00966EF0">
            <w:pPr>
              <w:spacing w:after="60"/>
              <w:jc w:val="both"/>
              <w:rPr>
                <w:rFonts w:ascii="Calibri" w:eastAsia="SimSun" w:hAnsi="Calibri" w:cs="Calibri"/>
                <w:bCs/>
                <w:iCs/>
                <w:color w:val="000000"/>
                <w:sz w:val="18"/>
                <w:szCs w:val="18"/>
                <w:highlight w:val="yellow"/>
              </w:rPr>
            </w:pPr>
            <w:r>
              <w:rPr>
                <w:rFonts w:ascii="Calibri" w:hAnsi="Calibri"/>
                <w:color w:val="000000"/>
                <w:sz w:val="18"/>
              </w:rPr>
              <w:t>ECU10</w:t>
            </w:r>
          </w:p>
        </w:tc>
      </w:tr>
      <w:tr w:rsidR="00966EF0" w:rsidRPr="00046990" w14:paraId="0C771B31" w14:textId="77777777" w:rsidTr="0004699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083" w:type="dxa"/>
            <w:tcBorders>
              <w:top w:val="nil"/>
              <w:left w:val="single" w:sz="4" w:space="0" w:color="auto"/>
              <w:bottom w:val="single" w:sz="4" w:space="0" w:color="auto"/>
              <w:right w:val="single" w:sz="4" w:space="0" w:color="auto"/>
            </w:tcBorders>
            <w:shd w:val="clear" w:color="auto" w:fill="auto"/>
            <w:noWrap/>
            <w:vAlign w:val="center"/>
            <w:hideMark/>
          </w:tcPr>
          <w:p w14:paraId="5525E465" w14:textId="77777777" w:rsidR="00966EF0" w:rsidRPr="00046990" w:rsidRDefault="00966EF0" w:rsidP="00966EF0">
            <w:pPr>
              <w:spacing w:after="60"/>
              <w:jc w:val="both"/>
              <w:rPr>
                <w:rFonts w:ascii="Calibri" w:eastAsia="SimSun" w:hAnsi="Calibri" w:cs="Calibri"/>
                <w:bCs/>
                <w:color w:val="000000"/>
                <w:sz w:val="18"/>
                <w:szCs w:val="18"/>
              </w:rPr>
            </w:pPr>
            <w:r>
              <w:rPr>
                <w:rFonts w:ascii="Calibri" w:hAnsi="Calibri"/>
                <w:color w:val="000000"/>
                <w:sz w:val="18"/>
              </w:rPr>
              <w:t>Título del Producto Primario del Proyecto Atlas</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B7D51A" w14:textId="0B603EC4" w:rsidR="00966EF0" w:rsidRPr="00046990" w:rsidRDefault="00F03BFC" w:rsidP="00966EF0">
            <w:pPr>
              <w:spacing w:after="60"/>
              <w:jc w:val="both"/>
              <w:rPr>
                <w:rFonts w:ascii="Calibri" w:eastAsia="SimSun" w:hAnsi="Calibri" w:cs="Calibri"/>
                <w:bCs/>
                <w:color w:val="000000"/>
                <w:sz w:val="18"/>
                <w:szCs w:val="18"/>
              </w:rPr>
            </w:pPr>
            <w:r>
              <w:rPr>
                <w:rFonts w:ascii="Calibri" w:hAnsi="Calibri"/>
                <w:color w:val="000000"/>
                <w:sz w:val="18"/>
              </w:rPr>
              <w:t>FARM ECUADOR</w:t>
            </w:r>
          </w:p>
        </w:tc>
      </w:tr>
      <w:tr w:rsidR="00966EF0" w:rsidRPr="00046990" w14:paraId="4D9F973D" w14:textId="77777777" w:rsidTr="0004699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083" w:type="dxa"/>
            <w:tcBorders>
              <w:top w:val="nil"/>
              <w:left w:val="single" w:sz="4" w:space="0" w:color="auto"/>
              <w:bottom w:val="single" w:sz="4" w:space="0" w:color="auto"/>
              <w:right w:val="single" w:sz="4" w:space="0" w:color="auto"/>
            </w:tcBorders>
            <w:shd w:val="clear" w:color="auto" w:fill="auto"/>
            <w:noWrap/>
            <w:vAlign w:val="center"/>
            <w:hideMark/>
          </w:tcPr>
          <w:p w14:paraId="505AEAFC" w14:textId="6E13EDC6" w:rsidR="00966EF0" w:rsidRPr="00046990" w:rsidRDefault="00966EF0" w:rsidP="00966EF0">
            <w:pPr>
              <w:spacing w:after="60"/>
              <w:jc w:val="both"/>
              <w:rPr>
                <w:rFonts w:ascii="Calibri" w:eastAsia="SimSun" w:hAnsi="Calibri" w:cs="Calibri"/>
                <w:bCs/>
                <w:color w:val="000000"/>
                <w:sz w:val="18"/>
                <w:szCs w:val="18"/>
              </w:rPr>
            </w:pPr>
            <w:r>
              <w:rPr>
                <w:rFonts w:ascii="Calibri" w:hAnsi="Calibri"/>
                <w:color w:val="000000"/>
                <w:sz w:val="18"/>
              </w:rPr>
              <w:t xml:space="preserve">PNUD-FMAM PIMS No.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F5AAA0" w14:textId="69CC11D8" w:rsidR="00966EF0" w:rsidRPr="00046990" w:rsidRDefault="00887AC2" w:rsidP="00966EF0">
            <w:pPr>
              <w:spacing w:after="60"/>
              <w:jc w:val="both"/>
              <w:rPr>
                <w:rFonts w:ascii="Calibri" w:eastAsia="SimSun" w:hAnsi="Calibri" w:cs="Calibri"/>
                <w:bCs/>
                <w:color w:val="000000"/>
                <w:sz w:val="18"/>
                <w:szCs w:val="18"/>
              </w:rPr>
            </w:pPr>
            <w:r>
              <w:rPr>
                <w:rFonts w:ascii="Calibri" w:hAnsi="Calibri"/>
                <w:color w:val="000000"/>
                <w:sz w:val="18"/>
              </w:rPr>
              <w:t>10901</w:t>
            </w:r>
          </w:p>
        </w:tc>
      </w:tr>
      <w:tr w:rsidR="00966EF0" w:rsidRPr="001B17BF" w14:paraId="6E1A7505" w14:textId="77777777" w:rsidTr="0004699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083" w:type="dxa"/>
            <w:tcBorders>
              <w:top w:val="nil"/>
              <w:left w:val="single" w:sz="4" w:space="0" w:color="auto"/>
              <w:bottom w:val="single" w:sz="4" w:space="0" w:color="auto"/>
              <w:right w:val="single" w:sz="4" w:space="0" w:color="auto"/>
            </w:tcBorders>
            <w:shd w:val="clear" w:color="auto" w:fill="auto"/>
            <w:vAlign w:val="center"/>
            <w:hideMark/>
          </w:tcPr>
          <w:p w14:paraId="7E79D433" w14:textId="77777777" w:rsidR="00966EF0" w:rsidRPr="00046990" w:rsidRDefault="00966EF0" w:rsidP="00966EF0">
            <w:pPr>
              <w:spacing w:after="60"/>
              <w:jc w:val="both"/>
              <w:rPr>
                <w:rFonts w:ascii="Calibri" w:eastAsia="SimSun" w:hAnsi="Calibri" w:cs="Calibri"/>
                <w:bCs/>
                <w:color w:val="000000"/>
                <w:sz w:val="18"/>
                <w:szCs w:val="18"/>
              </w:rPr>
            </w:pPr>
            <w:r>
              <w:rPr>
                <w:rFonts w:ascii="Calibri" w:hAnsi="Calibri"/>
                <w:color w:val="000000"/>
                <w:sz w:val="18"/>
              </w:rPr>
              <w:t xml:space="preserve">Socio en la Implementación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CEAEF3" w14:textId="0084D661" w:rsidR="00966EF0" w:rsidRPr="00046990" w:rsidRDefault="00E76CCB" w:rsidP="00966EF0">
            <w:pPr>
              <w:spacing w:after="60"/>
              <w:jc w:val="both"/>
              <w:rPr>
                <w:rFonts w:ascii="Calibri" w:eastAsia="SimSun" w:hAnsi="Calibri" w:cs="Calibri"/>
                <w:bCs/>
                <w:i/>
                <w:color w:val="000000"/>
                <w:sz w:val="18"/>
                <w:szCs w:val="18"/>
              </w:rPr>
            </w:pPr>
            <w:r>
              <w:rPr>
                <w:rFonts w:asciiTheme="minorHAnsi" w:hAnsiTheme="minorHAnsi"/>
                <w:color w:val="000000"/>
                <w:sz w:val="18"/>
              </w:rPr>
              <w:t>Ministerio de Medio Ambiente, Agua y Transición Ecológica (MAATE)</w:t>
            </w:r>
          </w:p>
        </w:tc>
      </w:tr>
    </w:tbl>
    <w:p w14:paraId="7F7342C7" w14:textId="65E62478" w:rsidR="00F6232F" w:rsidRPr="002152FE" w:rsidRDefault="00F6232F" w:rsidP="00966EF0">
      <w:pPr>
        <w:spacing w:after="60"/>
        <w:jc w:val="both"/>
        <w:rPr>
          <w:rFonts w:ascii="Calibri" w:eastAsia="SimSun" w:hAnsi="Calibri" w:cs="Calibri"/>
          <w:sz w:val="18"/>
          <w:szCs w:val="18"/>
          <w:lang w:val="es-EC"/>
        </w:rPr>
      </w:pPr>
    </w:p>
    <w:tbl>
      <w:tblPr>
        <w:tblW w:w="14303" w:type="dxa"/>
        <w:tblLook w:val="04A0" w:firstRow="1" w:lastRow="0" w:firstColumn="1" w:lastColumn="0" w:noHBand="0" w:noVBand="1"/>
      </w:tblPr>
      <w:tblGrid>
        <w:gridCol w:w="1428"/>
        <w:gridCol w:w="913"/>
        <w:gridCol w:w="669"/>
        <w:gridCol w:w="775"/>
        <w:gridCol w:w="1214"/>
        <w:gridCol w:w="1982"/>
        <w:gridCol w:w="950"/>
        <w:gridCol w:w="1067"/>
        <w:gridCol w:w="950"/>
        <w:gridCol w:w="950"/>
        <w:gridCol w:w="950"/>
        <w:gridCol w:w="975"/>
        <w:gridCol w:w="1258"/>
        <w:gridCol w:w="222"/>
      </w:tblGrid>
      <w:tr w:rsidR="00055E12" w:rsidRPr="00055E12" w14:paraId="5AAFE279" w14:textId="77777777" w:rsidTr="00055E12">
        <w:trPr>
          <w:gridAfter w:val="1"/>
          <w:wAfter w:w="155" w:type="dxa"/>
          <w:trHeight w:val="990"/>
        </w:trPr>
        <w:tc>
          <w:tcPr>
            <w:tcW w:w="2356"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42B96641"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Actividad Atlas (Componente FMAM)</w:t>
            </w:r>
          </w:p>
        </w:tc>
        <w:tc>
          <w:tcPr>
            <w:tcW w:w="1009"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5D94B64F" w14:textId="4373C288" w:rsidR="00055E12" w:rsidRPr="00055E12" w:rsidRDefault="00000000" w:rsidP="00055E12">
            <w:pPr>
              <w:jc w:val="center"/>
              <w:rPr>
                <w:rFonts w:ascii="Calibri" w:hAnsi="Calibri" w:cs="Calibri"/>
                <w:b/>
                <w:bCs/>
                <w:color w:val="000000"/>
                <w:sz w:val="16"/>
                <w:szCs w:val="16"/>
              </w:rPr>
            </w:pPr>
            <w:hyperlink r:id="rId32" w:anchor="RANGE!#REF!" w:history="1">
              <w:r w:rsidR="001971F9">
                <w:rPr>
                  <w:rFonts w:ascii="Calibri" w:hAnsi="Calibri"/>
                  <w:b/>
                  <w:color w:val="000000"/>
                  <w:sz w:val="16"/>
                </w:rPr>
                <w:t xml:space="preserve">Agente Ejecutor de Atlas </w:t>
              </w:r>
            </w:hyperlink>
          </w:p>
        </w:tc>
        <w:tc>
          <w:tcPr>
            <w:tcW w:w="704"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2D22E7B7"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ID de Fondo Atlas</w:t>
            </w:r>
          </w:p>
        </w:tc>
        <w:tc>
          <w:tcPr>
            <w:tcW w:w="705"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2F202A5A" w14:textId="3C848E9D" w:rsidR="00055E12" w:rsidRPr="00055E12" w:rsidRDefault="00055E12" w:rsidP="00376147">
            <w:pPr>
              <w:jc w:val="center"/>
              <w:rPr>
                <w:rFonts w:ascii="Calibri" w:hAnsi="Calibri" w:cs="Calibri"/>
                <w:b/>
                <w:bCs/>
                <w:color w:val="000000"/>
                <w:sz w:val="16"/>
                <w:szCs w:val="16"/>
              </w:rPr>
            </w:pPr>
            <w:r>
              <w:rPr>
                <w:rFonts w:ascii="Calibri" w:hAnsi="Calibri"/>
                <w:b/>
                <w:color w:val="000000"/>
                <w:sz w:val="16"/>
              </w:rPr>
              <w:t xml:space="preserve">Nombre del </w:t>
            </w:r>
            <w:r w:rsidR="00376147">
              <w:rPr>
                <w:rFonts w:ascii="Calibri" w:hAnsi="Calibri"/>
                <w:b/>
                <w:color w:val="000000"/>
                <w:sz w:val="16"/>
              </w:rPr>
              <w:t>d</w:t>
            </w:r>
            <w:r>
              <w:rPr>
                <w:rFonts w:ascii="Calibri" w:hAnsi="Calibri"/>
                <w:b/>
                <w:color w:val="000000"/>
                <w:sz w:val="16"/>
              </w:rPr>
              <w:t>onante</w:t>
            </w:r>
          </w:p>
        </w:tc>
        <w:tc>
          <w:tcPr>
            <w:tcW w:w="865"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0005947E"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Código de Cuenta Presupuestaria Atlas</w:t>
            </w:r>
          </w:p>
        </w:tc>
        <w:tc>
          <w:tcPr>
            <w:tcW w:w="1982"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711E586C"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Descripción de Cuenta de Presupuesto </w:t>
            </w:r>
            <w:r>
              <w:rPr>
                <w:rFonts w:ascii="Calibri" w:hAnsi="Calibri"/>
                <w:b/>
                <w:bCs/>
                <w:color w:val="000000"/>
                <w:sz w:val="16"/>
              </w:rPr>
              <w:t xml:space="preserve">ATLAS </w:t>
            </w:r>
          </w:p>
        </w:tc>
        <w:tc>
          <w:tcPr>
            <w:tcW w:w="950"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34331F59"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Importe Año 1 (USD)</w:t>
            </w:r>
          </w:p>
        </w:tc>
        <w:tc>
          <w:tcPr>
            <w:tcW w:w="1067"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28466131"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Importe Año 2 (USD)</w:t>
            </w:r>
          </w:p>
        </w:tc>
        <w:tc>
          <w:tcPr>
            <w:tcW w:w="950"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2F0B4FB2"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Importe Año 3 (USD)</w:t>
            </w:r>
          </w:p>
        </w:tc>
        <w:tc>
          <w:tcPr>
            <w:tcW w:w="950"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5FFD30A9"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Importe Año 4 (USD)</w:t>
            </w:r>
          </w:p>
        </w:tc>
        <w:tc>
          <w:tcPr>
            <w:tcW w:w="950"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0F40AACD"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Importe Año 5 (USD)</w:t>
            </w:r>
          </w:p>
        </w:tc>
        <w:tc>
          <w:tcPr>
            <w:tcW w:w="975" w:type="dxa"/>
            <w:vMerge w:val="restart"/>
            <w:tcBorders>
              <w:top w:val="single" w:sz="8" w:space="0" w:color="auto"/>
              <w:left w:val="single" w:sz="8" w:space="0" w:color="auto"/>
              <w:bottom w:val="single" w:sz="8" w:space="0" w:color="000000"/>
              <w:right w:val="single" w:sz="8" w:space="0" w:color="auto"/>
            </w:tcBorders>
            <w:shd w:val="clear" w:color="000000" w:fill="FBE4D5"/>
            <w:noWrap/>
            <w:vAlign w:val="center"/>
            <w:hideMark/>
          </w:tcPr>
          <w:p w14:paraId="3EE52110"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Total (USD)</w:t>
            </w:r>
          </w:p>
        </w:tc>
        <w:tc>
          <w:tcPr>
            <w:tcW w:w="685" w:type="dxa"/>
            <w:vMerge w:val="restart"/>
            <w:tcBorders>
              <w:top w:val="single" w:sz="8" w:space="0" w:color="auto"/>
              <w:left w:val="single" w:sz="8" w:space="0" w:color="auto"/>
              <w:bottom w:val="single" w:sz="8" w:space="0" w:color="000000"/>
              <w:right w:val="single" w:sz="8" w:space="0" w:color="auto"/>
            </w:tcBorders>
            <w:shd w:val="clear" w:color="000000" w:fill="FBE4D5"/>
            <w:vAlign w:val="center"/>
            <w:hideMark/>
          </w:tcPr>
          <w:p w14:paraId="77322B31" w14:textId="77777777" w:rsidR="00055E12" w:rsidRPr="00055E12" w:rsidRDefault="00055E12" w:rsidP="00055E12">
            <w:pPr>
              <w:jc w:val="center"/>
              <w:rPr>
                <w:rFonts w:ascii="Calibri" w:hAnsi="Calibri" w:cs="Calibri"/>
                <w:b/>
                <w:bCs/>
                <w:i/>
                <w:iCs/>
                <w:color w:val="000000"/>
                <w:sz w:val="16"/>
                <w:szCs w:val="16"/>
              </w:rPr>
            </w:pPr>
            <w:r>
              <w:rPr>
                <w:rFonts w:ascii="Calibri" w:hAnsi="Calibri"/>
                <w:b/>
                <w:i/>
                <w:color w:val="000000"/>
                <w:sz w:val="16"/>
              </w:rPr>
              <w:t>Véase la nota presupuestaria:</w:t>
            </w:r>
          </w:p>
        </w:tc>
      </w:tr>
      <w:tr w:rsidR="00055E12" w:rsidRPr="00055E12" w14:paraId="77F2F5D0" w14:textId="77777777" w:rsidTr="00055E12">
        <w:trPr>
          <w:trHeight w:val="791"/>
        </w:trPr>
        <w:tc>
          <w:tcPr>
            <w:tcW w:w="2356" w:type="dxa"/>
            <w:vMerge/>
            <w:tcBorders>
              <w:top w:val="single" w:sz="8" w:space="0" w:color="auto"/>
              <w:left w:val="single" w:sz="8" w:space="0" w:color="auto"/>
              <w:bottom w:val="single" w:sz="8" w:space="0" w:color="000000"/>
              <w:right w:val="single" w:sz="8" w:space="0" w:color="auto"/>
            </w:tcBorders>
            <w:vAlign w:val="center"/>
            <w:hideMark/>
          </w:tcPr>
          <w:p w14:paraId="2890168C"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single" w:sz="8" w:space="0" w:color="auto"/>
              <w:left w:val="single" w:sz="8" w:space="0" w:color="auto"/>
              <w:bottom w:val="single" w:sz="8" w:space="0" w:color="000000"/>
              <w:right w:val="single" w:sz="8" w:space="0" w:color="auto"/>
            </w:tcBorders>
            <w:vAlign w:val="center"/>
            <w:hideMark/>
          </w:tcPr>
          <w:p w14:paraId="3ABDC37D" w14:textId="77777777" w:rsidR="00055E12" w:rsidRPr="00055E12" w:rsidRDefault="00055E12" w:rsidP="00055E12">
            <w:pPr>
              <w:rPr>
                <w:rFonts w:ascii="Calibri" w:hAnsi="Calibri" w:cs="Calibri"/>
                <w:b/>
                <w:bCs/>
                <w:color w:val="000000"/>
                <w:sz w:val="16"/>
                <w:szCs w:val="16"/>
                <w:lang w:val="en-US" w:eastAsia="zh-CN"/>
              </w:rPr>
            </w:pPr>
          </w:p>
        </w:tc>
        <w:tc>
          <w:tcPr>
            <w:tcW w:w="704" w:type="dxa"/>
            <w:vMerge/>
            <w:tcBorders>
              <w:top w:val="single" w:sz="8" w:space="0" w:color="auto"/>
              <w:left w:val="single" w:sz="8" w:space="0" w:color="auto"/>
              <w:bottom w:val="single" w:sz="8" w:space="0" w:color="000000"/>
              <w:right w:val="single" w:sz="8" w:space="0" w:color="auto"/>
            </w:tcBorders>
            <w:vAlign w:val="center"/>
            <w:hideMark/>
          </w:tcPr>
          <w:p w14:paraId="1D0168F4" w14:textId="77777777" w:rsidR="00055E12" w:rsidRPr="00055E12" w:rsidRDefault="00055E12" w:rsidP="00055E12">
            <w:pPr>
              <w:rPr>
                <w:rFonts w:ascii="Calibri" w:hAnsi="Calibri" w:cs="Calibri"/>
                <w:b/>
                <w:bCs/>
                <w:color w:val="000000"/>
                <w:sz w:val="16"/>
                <w:szCs w:val="16"/>
                <w:lang w:val="en-US" w:eastAsia="zh-CN"/>
              </w:rPr>
            </w:pPr>
          </w:p>
        </w:tc>
        <w:tc>
          <w:tcPr>
            <w:tcW w:w="705" w:type="dxa"/>
            <w:vMerge/>
            <w:tcBorders>
              <w:top w:val="single" w:sz="8" w:space="0" w:color="auto"/>
              <w:left w:val="single" w:sz="8" w:space="0" w:color="auto"/>
              <w:bottom w:val="single" w:sz="8" w:space="0" w:color="000000"/>
              <w:right w:val="single" w:sz="8" w:space="0" w:color="auto"/>
            </w:tcBorders>
            <w:vAlign w:val="center"/>
            <w:hideMark/>
          </w:tcPr>
          <w:p w14:paraId="5A242A9C" w14:textId="77777777" w:rsidR="00055E12" w:rsidRPr="00055E12" w:rsidRDefault="00055E12" w:rsidP="00055E12">
            <w:pPr>
              <w:rPr>
                <w:rFonts w:ascii="Calibri" w:hAnsi="Calibri" w:cs="Calibri"/>
                <w:b/>
                <w:bCs/>
                <w:color w:val="000000"/>
                <w:sz w:val="16"/>
                <w:szCs w:val="16"/>
                <w:lang w:val="en-US" w:eastAsia="zh-CN"/>
              </w:rPr>
            </w:pPr>
          </w:p>
        </w:tc>
        <w:tc>
          <w:tcPr>
            <w:tcW w:w="865" w:type="dxa"/>
            <w:vMerge/>
            <w:tcBorders>
              <w:top w:val="single" w:sz="8" w:space="0" w:color="auto"/>
              <w:left w:val="single" w:sz="8" w:space="0" w:color="auto"/>
              <w:bottom w:val="single" w:sz="8" w:space="0" w:color="000000"/>
              <w:right w:val="single" w:sz="8" w:space="0" w:color="auto"/>
            </w:tcBorders>
            <w:vAlign w:val="center"/>
            <w:hideMark/>
          </w:tcPr>
          <w:p w14:paraId="388397EF" w14:textId="77777777" w:rsidR="00055E12" w:rsidRPr="00055E12" w:rsidRDefault="00055E12" w:rsidP="00055E12">
            <w:pPr>
              <w:rPr>
                <w:rFonts w:ascii="Calibri" w:hAnsi="Calibri" w:cs="Calibri"/>
                <w:b/>
                <w:bCs/>
                <w:color w:val="000000"/>
                <w:sz w:val="16"/>
                <w:szCs w:val="16"/>
                <w:lang w:val="en-US" w:eastAsia="zh-CN"/>
              </w:rPr>
            </w:pPr>
          </w:p>
        </w:tc>
        <w:tc>
          <w:tcPr>
            <w:tcW w:w="1982" w:type="dxa"/>
            <w:vMerge/>
            <w:tcBorders>
              <w:top w:val="single" w:sz="8" w:space="0" w:color="auto"/>
              <w:left w:val="single" w:sz="8" w:space="0" w:color="auto"/>
              <w:bottom w:val="single" w:sz="8" w:space="0" w:color="000000"/>
              <w:right w:val="single" w:sz="8" w:space="0" w:color="auto"/>
            </w:tcBorders>
            <w:vAlign w:val="center"/>
            <w:hideMark/>
          </w:tcPr>
          <w:p w14:paraId="2B688FEE" w14:textId="77777777" w:rsidR="00055E12" w:rsidRPr="00055E12" w:rsidRDefault="00055E12" w:rsidP="00055E12">
            <w:pPr>
              <w:rPr>
                <w:rFonts w:ascii="Calibri" w:hAnsi="Calibri" w:cs="Calibri"/>
                <w:b/>
                <w:bCs/>
                <w:color w:val="000000"/>
                <w:sz w:val="16"/>
                <w:szCs w:val="16"/>
                <w:lang w:val="en-US" w:eastAsia="zh-CN"/>
              </w:rPr>
            </w:pPr>
          </w:p>
        </w:tc>
        <w:tc>
          <w:tcPr>
            <w:tcW w:w="950" w:type="dxa"/>
            <w:vMerge/>
            <w:tcBorders>
              <w:top w:val="single" w:sz="8" w:space="0" w:color="auto"/>
              <w:left w:val="single" w:sz="8" w:space="0" w:color="auto"/>
              <w:bottom w:val="single" w:sz="8" w:space="0" w:color="000000"/>
              <w:right w:val="single" w:sz="8" w:space="0" w:color="auto"/>
            </w:tcBorders>
            <w:vAlign w:val="center"/>
            <w:hideMark/>
          </w:tcPr>
          <w:p w14:paraId="65666AB6" w14:textId="77777777" w:rsidR="00055E12" w:rsidRPr="00055E12" w:rsidRDefault="00055E12" w:rsidP="00055E12">
            <w:pPr>
              <w:rPr>
                <w:rFonts w:ascii="Calibri" w:hAnsi="Calibri" w:cs="Calibri"/>
                <w:b/>
                <w:bCs/>
                <w:color w:val="000000"/>
                <w:sz w:val="16"/>
                <w:szCs w:val="16"/>
                <w:lang w:val="en-US" w:eastAsia="zh-CN"/>
              </w:rPr>
            </w:pPr>
          </w:p>
        </w:tc>
        <w:tc>
          <w:tcPr>
            <w:tcW w:w="1067" w:type="dxa"/>
            <w:vMerge/>
            <w:tcBorders>
              <w:top w:val="single" w:sz="8" w:space="0" w:color="auto"/>
              <w:left w:val="single" w:sz="8" w:space="0" w:color="auto"/>
              <w:bottom w:val="single" w:sz="8" w:space="0" w:color="000000"/>
              <w:right w:val="single" w:sz="8" w:space="0" w:color="auto"/>
            </w:tcBorders>
            <w:vAlign w:val="center"/>
            <w:hideMark/>
          </w:tcPr>
          <w:p w14:paraId="2518AC60" w14:textId="77777777" w:rsidR="00055E12" w:rsidRPr="00055E12" w:rsidRDefault="00055E12" w:rsidP="00055E12">
            <w:pPr>
              <w:rPr>
                <w:rFonts w:ascii="Calibri" w:hAnsi="Calibri" w:cs="Calibri"/>
                <w:b/>
                <w:bCs/>
                <w:color w:val="000000"/>
                <w:sz w:val="16"/>
                <w:szCs w:val="16"/>
                <w:lang w:val="en-US" w:eastAsia="zh-CN"/>
              </w:rPr>
            </w:pPr>
          </w:p>
        </w:tc>
        <w:tc>
          <w:tcPr>
            <w:tcW w:w="950" w:type="dxa"/>
            <w:vMerge/>
            <w:tcBorders>
              <w:top w:val="single" w:sz="8" w:space="0" w:color="auto"/>
              <w:left w:val="single" w:sz="8" w:space="0" w:color="auto"/>
              <w:bottom w:val="single" w:sz="8" w:space="0" w:color="000000"/>
              <w:right w:val="single" w:sz="8" w:space="0" w:color="auto"/>
            </w:tcBorders>
            <w:vAlign w:val="center"/>
            <w:hideMark/>
          </w:tcPr>
          <w:p w14:paraId="3E9993B3" w14:textId="77777777" w:rsidR="00055E12" w:rsidRPr="00055E12" w:rsidRDefault="00055E12" w:rsidP="00055E12">
            <w:pPr>
              <w:rPr>
                <w:rFonts w:ascii="Calibri" w:hAnsi="Calibri" w:cs="Calibri"/>
                <w:b/>
                <w:bCs/>
                <w:color w:val="000000"/>
                <w:sz w:val="16"/>
                <w:szCs w:val="16"/>
                <w:lang w:val="en-US" w:eastAsia="zh-CN"/>
              </w:rPr>
            </w:pPr>
          </w:p>
        </w:tc>
        <w:tc>
          <w:tcPr>
            <w:tcW w:w="950" w:type="dxa"/>
            <w:vMerge/>
            <w:tcBorders>
              <w:top w:val="single" w:sz="8" w:space="0" w:color="auto"/>
              <w:left w:val="single" w:sz="8" w:space="0" w:color="auto"/>
              <w:bottom w:val="single" w:sz="8" w:space="0" w:color="000000"/>
              <w:right w:val="single" w:sz="8" w:space="0" w:color="auto"/>
            </w:tcBorders>
            <w:vAlign w:val="center"/>
            <w:hideMark/>
          </w:tcPr>
          <w:p w14:paraId="24C4160B" w14:textId="77777777" w:rsidR="00055E12" w:rsidRPr="00055E12" w:rsidRDefault="00055E12" w:rsidP="00055E12">
            <w:pPr>
              <w:rPr>
                <w:rFonts w:ascii="Calibri" w:hAnsi="Calibri" w:cs="Calibri"/>
                <w:b/>
                <w:bCs/>
                <w:color w:val="000000"/>
                <w:sz w:val="16"/>
                <w:szCs w:val="16"/>
                <w:lang w:val="en-US" w:eastAsia="zh-CN"/>
              </w:rPr>
            </w:pPr>
          </w:p>
        </w:tc>
        <w:tc>
          <w:tcPr>
            <w:tcW w:w="950" w:type="dxa"/>
            <w:vMerge/>
            <w:tcBorders>
              <w:top w:val="single" w:sz="8" w:space="0" w:color="auto"/>
              <w:left w:val="single" w:sz="8" w:space="0" w:color="auto"/>
              <w:bottom w:val="single" w:sz="8" w:space="0" w:color="000000"/>
              <w:right w:val="single" w:sz="8" w:space="0" w:color="auto"/>
            </w:tcBorders>
            <w:vAlign w:val="center"/>
            <w:hideMark/>
          </w:tcPr>
          <w:p w14:paraId="118E5993" w14:textId="77777777" w:rsidR="00055E12" w:rsidRPr="00055E12" w:rsidRDefault="00055E12" w:rsidP="00055E12">
            <w:pPr>
              <w:rPr>
                <w:rFonts w:ascii="Calibri" w:hAnsi="Calibri" w:cs="Calibri"/>
                <w:b/>
                <w:bCs/>
                <w:color w:val="000000"/>
                <w:sz w:val="16"/>
                <w:szCs w:val="16"/>
                <w:lang w:val="en-US" w:eastAsia="zh-CN"/>
              </w:rPr>
            </w:pPr>
          </w:p>
        </w:tc>
        <w:tc>
          <w:tcPr>
            <w:tcW w:w="975" w:type="dxa"/>
            <w:vMerge/>
            <w:tcBorders>
              <w:top w:val="single" w:sz="8" w:space="0" w:color="auto"/>
              <w:left w:val="single" w:sz="8" w:space="0" w:color="auto"/>
              <w:bottom w:val="single" w:sz="8" w:space="0" w:color="000000"/>
              <w:right w:val="single" w:sz="8" w:space="0" w:color="auto"/>
            </w:tcBorders>
            <w:vAlign w:val="center"/>
            <w:hideMark/>
          </w:tcPr>
          <w:p w14:paraId="1D0F0B03" w14:textId="77777777" w:rsidR="00055E12" w:rsidRPr="00055E12" w:rsidRDefault="00055E12" w:rsidP="00055E12">
            <w:pPr>
              <w:rPr>
                <w:rFonts w:ascii="Calibri" w:hAnsi="Calibri" w:cs="Calibri"/>
                <w:b/>
                <w:bCs/>
                <w:color w:val="000000"/>
                <w:sz w:val="16"/>
                <w:szCs w:val="16"/>
                <w:lang w:val="en-US" w:eastAsia="zh-CN"/>
              </w:rPr>
            </w:pPr>
          </w:p>
        </w:tc>
        <w:tc>
          <w:tcPr>
            <w:tcW w:w="685" w:type="dxa"/>
            <w:vMerge/>
            <w:tcBorders>
              <w:top w:val="single" w:sz="8" w:space="0" w:color="auto"/>
              <w:left w:val="single" w:sz="8" w:space="0" w:color="auto"/>
              <w:bottom w:val="single" w:sz="8" w:space="0" w:color="000000"/>
              <w:right w:val="single" w:sz="8" w:space="0" w:color="auto"/>
            </w:tcBorders>
            <w:vAlign w:val="center"/>
            <w:hideMark/>
          </w:tcPr>
          <w:p w14:paraId="652624D0" w14:textId="77777777" w:rsidR="00055E12" w:rsidRPr="00055E12" w:rsidRDefault="00055E12" w:rsidP="00055E12">
            <w:pPr>
              <w:rPr>
                <w:rFonts w:ascii="Calibri" w:hAnsi="Calibri" w:cs="Calibri"/>
                <w:b/>
                <w:bCs/>
                <w:i/>
                <w:iCs/>
                <w:color w:val="000000"/>
                <w:sz w:val="16"/>
                <w:szCs w:val="16"/>
                <w:lang w:val="en-US" w:eastAsia="zh-CN"/>
              </w:rPr>
            </w:pPr>
          </w:p>
        </w:tc>
        <w:tc>
          <w:tcPr>
            <w:tcW w:w="155" w:type="dxa"/>
            <w:tcBorders>
              <w:top w:val="nil"/>
              <w:left w:val="nil"/>
              <w:bottom w:val="nil"/>
              <w:right w:val="nil"/>
            </w:tcBorders>
            <w:shd w:val="clear" w:color="auto" w:fill="auto"/>
            <w:noWrap/>
            <w:vAlign w:val="bottom"/>
            <w:hideMark/>
          </w:tcPr>
          <w:p w14:paraId="035F3EA5" w14:textId="77777777" w:rsidR="00055E12" w:rsidRPr="00055E12" w:rsidRDefault="00055E12" w:rsidP="00055E12">
            <w:pPr>
              <w:jc w:val="center"/>
              <w:rPr>
                <w:rFonts w:ascii="Calibri" w:hAnsi="Calibri" w:cs="Calibri"/>
                <w:b/>
                <w:bCs/>
                <w:i/>
                <w:iCs/>
                <w:color w:val="000000"/>
                <w:sz w:val="16"/>
                <w:szCs w:val="16"/>
                <w:lang w:val="en-US" w:eastAsia="zh-CN"/>
              </w:rPr>
            </w:pPr>
          </w:p>
        </w:tc>
      </w:tr>
      <w:tr w:rsidR="00055E12" w:rsidRPr="00055E12" w14:paraId="3624AD30" w14:textId="77777777" w:rsidTr="00055E12">
        <w:trPr>
          <w:trHeight w:val="295"/>
        </w:trPr>
        <w:tc>
          <w:tcPr>
            <w:tcW w:w="2356" w:type="dxa"/>
            <w:vMerge w:val="restart"/>
            <w:tcBorders>
              <w:top w:val="nil"/>
              <w:left w:val="single" w:sz="8" w:space="0" w:color="auto"/>
              <w:bottom w:val="double" w:sz="6" w:space="0" w:color="000000"/>
              <w:right w:val="single" w:sz="8" w:space="0" w:color="auto"/>
            </w:tcBorders>
            <w:shd w:val="clear" w:color="auto" w:fill="auto"/>
            <w:vAlign w:val="center"/>
            <w:hideMark/>
          </w:tcPr>
          <w:p w14:paraId="3ECD1D68"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1. Política gubernamental y ejecución</w:t>
            </w:r>
          </w:p>
        </w:tc>
        <w:tc>
          <w:tcPr>
            <w:tcW w:w="1009" w:type="dxa"/>
            <w:vMerge w:val="restart"/>
            <w:tcBorders>
              <w:top w:val="nil"/>
              <w:left w:val="single" w:sz="8" w:space="0" w:color="auto"/>
              <w:bottom w:val="double" w:sz="6" w:space="0" w:color="000000"/>
              <w:right w:val="single" w:sz="8" w:space="0" w:color="auto"/>
            </w:tcBorders>
            <w:shd w:val="clear" w:color="auto" w:fill="auto"/>
            <w:vAlign w:val="center"/>
            <w:hideMark/>
          </w:tcPr>
          <w:p w14:paraId="5DEDE789"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Ministerio de Medio Ambiente, Agua y Transición Ecológica (MAATE)</w:t>
            </w:r>
          </w:p>
        </w:tc>
        <w:tc>
          <w:tcPr>
            <w:tcW w:w="704" w:type="dxa"/>
            <w:vMerge w:val="restart"/>
            <w:tcBorders>
              <w:top w:val="nil"/>
              <w:left w:val="single" w:sz="8" w:space="0" w:color="auto"/>
              <w:bottom w:val="double" w:sz="6" w:space="0" w:color="000000"/>
              <w:right w:val="single" w:sz="8" w:space="0" w:color="auto"/>
            </w:tcBorders>
            <w:shd w:val="clear" w:color="auto" w:fill="auto"/>
            <w:vAlign w:val="center"/>
            <w:hideMark/>
          </w:tcPr>
          <w:p w14:paraId="0AD85AEC"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62.000</w:t>
            </w:r>
          </w:p>
        </w:tc>
        <w:tc>
          <w:tcPr>
            <w:tcW w:w="705" w:type="dxa"/>
            <w:vMerge w:val="restart"/>
            <w:tcBorders>
              <w:top w:val="nil"/>
              <w:left w:val="single" w:sz="8" w:space="0" w:color="auto"/>
              <w:bottom w:val="double" w:sz="6" w:space="0" w:color="000000"/>
              <w:right w:val="single" w:sz="8" w:space="0" w:color="auto"/>
            </w:tcBorders>
            <w:shd w:val="clear" w:color="auto" w:fill="auto"/>
            <w:vAlign w:val="center"/>
            <w:hideMark/>
          </w:tcPr>
          <w:p w14:paraId="2924D5A5"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FMAM</w:t>
            </w:r>
          </w:p>
        </w:tc>
        <w:tc>
          <w:tcPr>
            <w:tcW w:w="865" w:type="dxa"/>
            <w:tcBorders>
              <w:top w:val="nil"/>
              <w:left w:val="nil"/>
              <w:bottom w:val="nil"/>
              <w:right w:val="single" w:sz="8" w:space="0" w:color="auto"/>
            </w:tcBorders>
            <w:shd w:val="clear" w:color="auto" w:fill="auto"/>
            <w:noWrap/>
            <w:vAlign w:val="center"/>
            <w:hideMark/>
          </w:tcPr>
          <w:p w14:paraId="0524E07B"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71200</w:t>
            </w:r>
          </w:p>
        </w:tc>
        <w:tc>
          <w:tcPr>
            <w:tcW w:w="1982" w:type="dxa"/>
            <w:tcBorders>
              <w:top w:val="nil"/>
              <w:left w:val="nil"/>
              <w:bottom w:val="single" w:sz="8" w:space="0" w:color="auto"/>
              <w:right w:val="single" w:sz="8" w:space="0" w:color="auto"/>
            </w:tcBorders>
            <w:shd w:val="clear" w:color="auto" w:fill="auto"/>
            <w:noWrap/>
            <w:vAlign w:val="center"/>
            <w:hideMark/>
          </w:tcPr>
          <w:p w14:paraId="72C4715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Consultores internacionales </w:t>
            </w:r>
          </w:p>
        </w:tc>
        <w:tc>
          <w:tcPr>
            <w:tcW w:w="950" w:type="dxa"/>
            <w:tcBorders>
              <w:top w:val="nil"/>
              <w:left w:val="nil"/>
              <w:bottom w:val="single" w:sz="8" w:space="0" w:color="auto"/>
              <w:right w:val="single" w:sz="8" w:space="0" w:color="auto"/>
            </w:tcBorders>
            <w:shd w:val="clear" w:color="auto" w:fill="auto"/>
            <w:noWrap/>
            <w:vAlign w:val="center"/>
            <w:hideMark/>
          </w:tcPr>
          <w:p w14:paraId="753E4D8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72315CB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6ABE60C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2494523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6923F01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75" w:type="dxa"/>
            <w:tcBorders>
              <w:top w:val="nil"/>
              <w:left w:val="nil"/>
              <w:bottom w:val="single" w:sz="8" w:space="0" w:color="auto"/>
              <w:right w:val="single" w:sz="8" w:space="0" w:color="auto"/>
            </w:tcBorders>
            <w:shd w:val="clear" w:color="auto" w:fill="auto"/>
            <w:noWrap/>
            <w:vAlign w:val="center"/>
            <w:hideMark/>
          </w:tcPr>
          <w:p w14:paraId="22BE547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120.000 </w:t>
            </w:r>
          </w:p>
        </w:tc>
        <w:tc>
          <w:tcPr>
            <w:tcW w:w="685" w:type="dxa"/>
            <w:tcBorders>
              <w:top w:val="nil"/>
              <w:left w:val="nil"/>
              <w:bottom w:val="single" w:sz="8" w:space="0" w:color="auto"/>
              <w:right w:val="single" w:sz="8" w:space="0" w:color="auto"/>
            </w:tcBorders>
            <w:shd w:val="clear" w:color="auto" w:fill="auto"/>
            <w:noWrap/>
            <w:vAlign w:val="center"/>
            <w:hideMark/>
          </w:tcPr>
          <w:p w14:paraId="7ABBE060"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1 </w:t>
            </w:r>
          </w:p>
        </w:tc>
        <w:tc>
          <w:tcPr>
            <w:tcW w:w="155" w:type="dxa"/>
            <w:vAlign w:val="center"/>
            <w:hideMark/>
          </w:tcPr>
          <w:p w14:paraId="149BC015" w14:textId="77777777" w:rsidR="00055E12" w:rsidRPr="00055E12" w:rsidRDefault="00055E12" w:rsidP="00055E12">
            <w:pPr>
              <w:rPr>
                <w:sz w:val="20"/>
                <w:szCs w:val="20"/>
                <w:lang w:val="en-US" w:eastAsia="zh-CN"/>
              </w:rPr>
            </w:pPr>
          </w:p>
        </w:tc>
      </w:tr>
      <w:tr w:rsidR="00055E12" w:rsidRPr="00055E12" w14:paraId="3BCA6578"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3814CFD2"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1758CC6"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65A64778"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3710A1A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141591EE"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71300</w:t>
            </w:r>
          </w:p>
        </w:tc>
        <w:tc>
          <w:tcPr>
            <w:tcW w:w="1982" w:type="dxa"/>
            <w:tcBorders>
              <w:top w:val="nil"/>
              <w:left w:val="nil"/>
              <w:bottom w:val="single" w:sz="8" w:space="0" w:color="auto"/>
              <w:right w:val="single" w:sz="8" w:space="0" w:color="auto"/>
            </w:tcBorders>
            <w:shd w:val="clear" w:color="auto" w:fill="auto"/>
            <w:noWrap/>
            <w:vAlign w:val="center"/>
            <w:hideMark/>
          </w:tcPr>
          <w:p w14:paraId="1A8C154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Consultores locales </w:t>
            </w:r>
          </w:p>
        </w:tc>
        <w:tc>
          <w:tcPr>
            <w:tcW w:w="950" w:type="dxa"/>
            <w:tcBorders>
              <w:top w:val="nil"/>
              <w:left w:val="nil"/>
              <w:bottom w:val="single" w:sz="8" w:space="0" w:color="auto"/>
              <w:right w:val="single" w:sz="8" w:space="0" w:color="auto"/>
            </w:tcBorders>
            <w:shd w:val="clear" w:color="auto" w:fill="auto"/>
            <w:noWrap/>
            <w:vAlign w:val="center"/>
            <w:hideMark/>
          </w:tcPr>
          <w:p w14:paraId="0B19190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5CE1683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4E682E4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0DC3E58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2F4A664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75" w:type="dxa"/>
            <w:tcBorders>
              <w:top w:val="nil"/>
              <w:left w:val="nil"/>
              <w:bottom w:val="single" w:sz="8" w:space="0" w:color="auto"/>
              <w:right w:val="single" w:sz="8" w:space="0" w:color="auto"/>
            </w:tcBorders>
            <w:shd w:val="clear" w:color="auto" w:fill="auto"/>
            <w:noWrap/>
            <w:vAlign w:val="center"/>
            <w:hideMark/>
          </w:tcPr>
          <w:p w14:paraId="5442AEF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120.000 </w:t>
            </w:r>
          </w:p>
        </w:tc>
        <w:tc>
          <w:tcPr>
            <w:tcW w:w="685" w:type="dxa"/>
            <w:tcBorders>
              <w:top w:val="nil"/>
              <w:left w:val="nil"/>
              <w:bottom w:val="single" w:sz="8" w:space="0" w:color="auto"/>
              <w:right w:val="single" w:sz="8" w:space="0" w:color="auto"/>
            </w:tcBorders>
            <w:shd w:val="clear" w:color="auto" w:fill="auto"/>
            <w:noWrap/>
            <w:vAlign w:val="center"/>
            <w:hideMark/>
          </w:tcPr>
          <w:p w14:paraId="1D405A7C"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 </w:t>
            </w:r>
          </w:p>
        </w:tc>
        <w:tc>
          <w:tcPr>
            <w:tcW w:w="155" w:type="dxa"/>
            <w:vAlign w:val="center"/>
            <w:hideMark/>
          </w:tcPr>
          <w:p w14:paraId="48DC0576" w14:textId="77777777" w:rsidR="00055E12" w:rsidRPr="00055E12" w:rsidRDefault="00055E12" w:rsidP="00055E12">
            <w:pPr>
              <w:rPr>
                <w:sz w:val="20"/>
                <w:szCs w:val="20"/>
                <w:lang w:val="en-US" w:eastAsia="zh-CN"/>
              </w:rPr>
            </w:pPr>
          </w:p>
        </w:tc>
      </w:tr>
      <w:tr w:rsidR="00055E12" w:rsidRPr="00055E12" w14:paraId="3891DD97"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5EA3921F"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44298DD2"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93293F9"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74637366"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264EF5E2"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71400</w:t>
            </w:r>
          </w:p>
        </w:tc>
        <w:tc>
          <w:tcPr>
            <w:tcW w:w="1982" w:type="dxa"/>
            <w:tcBorders>
              <w:top w:val="nil"/>
              <w:left w:val="nil"/>
              <w:bottom w:val="single" w:sz="8" w:space="0" w:color="auto"/>
              <w:right w:val="single" w:sz="8" w:space="0" w:color="auto"/>
            </w:tcBorders>
            <w:shd w:val="clear" w:color="auto" w:fill="auto"/>
            <w:noWrap/>
            <w:vAlign w:val="center"/>
            <w:hideMark/>
          </w:tcPr>
          <w:p w14:paraId="3E3BB33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Servicios contractuales - particulares </w:t>
            </w:r>
          </w:p>
        </w:tc>
        <w:tc>
          <w:tcPr>
            <w:tcW w:w="950" w:type="dxa"/>
            <w:tcBorders>
              <w:top w:val="nil"/>
              <w:left w:val="nil"/>
              <w:bottom w:val="single" w:sz="8" w:space="0" w:color="auto"/>
              <w:right w:val="single" w:sz="8" w:space="0" w:color="auto"/>
            </w:tcBorders>
            <w:shd w:val="clear" w:color="auto" w:fill="auto"/>
            <w:noWrap/>
            <w:vAlign w:val="center"/>
            <w:hideMark/>
          </w:tcPr>
          <w:p w14:paraId="1358510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47.660 </w:t>
            </w:r>
          </w:p>
        </w:tc>
        <w:tc>
          <w:tcPr>
            <w:tcW w:w="1067" w:type="dxa"/>
            <w:tcBorders>
              <w:top w:val="nil"/>
              <w:left w:val="nil"/>
              <w:bottom w:val="single" w:sz="8" w:space="0" w:color="auto"/>
              <w:right w:val="single" w:sz="8" w:space="0" w:color="auto"/>
            </w:tcBorders>
            <w:shd w:val="clear" w:color="auto" w:fill="auto"/>
            <w:noWrap/>
            <w:vAlign w:val="center"/>
            <w:hideMark/>
          </w:tcPr>
          <w:p w14:paraId="3E2A3F6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47.660 </w:t>
            </w:r>
          </w:p>
        </w:tc>
        <w:tc>
          <w:tcPr>
            <w:tcW w:w="950" w:type="dxa"/>
            <w:tcBorders>
              <w:top w:val="nil"/>
              <w:left w:val="nil"/>
              <w:bottom w:val="single" w:sz="8" w:space="0" w:color="auto"/>
              <w:right w:val="single" w:sz="8" w:space="0" w:color="auto"/>
            </w:tcBorders>
            <w:shd w:val="clear" w:color="auto" w:fill="auto"/>
            <w:noWrap/>
            <w:vAlign w:val="center"/>
            <w:hideMark/>
          </w:tcPr>
          <w:p w14:paraId="75CF50E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47.660 </w:t>
            </w:r>
          </w:p>
        </w:tc>
        <w:tc>
          <w:tcPr>
            <w:tcW w:w="950" w:type="dxa"/>
            <w:tcBorders>
              <w:top w:val="nil"/>
              <w:left w:val="nil"/>
              <w:bottom w:val="single" w:sz="8" w:space="0" w:color="auto"/>
              <w:right w:val="single" w:sz="8" w:space="0" w:color="auto"/>
            </w:tcBorders>
            <w:shd w:val="clear" w:color="auto" w:fill="auto"/>
            <w:noWrap/>
            <w:vAlign w:val="center"/>
            <w:hideMark/>
          </w:tcPr>
          <w:p w14:paraId="2D5F526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47.660 </w:t>
            </w:r>
          </w:p>
        </w:tc>
        <w:tc>
          <w:tcPr>
            <w:tcW w:w="950" w:type="dxa"/>
            <w:tcBorders>
              <w:top w:val="nil"/>
              <w:left w:val="nil"/>
              <w:bottom w:val="single" w:sz="8" w:space="0" w:color="auto"/>
              <w:right w:val="single" w:sz="8" w:space="0" w:color="auto"/>
            </w:tcBorders>
            <w:shd w:val="clear" w:color="auto" w:fill="auto"/>
            <w:noWrap/>
            <w:vAlign w:val="center"/>
            <w:hideMark/>
          </w:tcPr>
          <w:p w14:paraId="3CE94B4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47.660 </w:t>
            </w:r>
          </w:p>
        </w:tc>
        <w:tc>
          <w:tcPr>
            <w:tcW w:w="975" w:type="dxa"/>
            <w:tcBorders>
              <w:top w:val="nil"/>
              <w:left w:val="nil"/>
              <w:bottom w:val="single" w:sz="8" w:space="0" w:color="auto"/>
              <w:right w:val="single" w:sz="8" w:space="0" w:color="auto"/>
            </w:tcBorders>
            <w:shd w:val="clear" w:color="auto" w:fill="auto"/>
            <w:noWrap/>
            <w:vAlign w:val="center"/>
            <w:hideMark/>
          </w:tcPr>
          <w:p w14:paraId="5CFABBE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238.300 </w:t>
            </w:r>
          </w:p>
        </w:tc>
        <w:tc>
          <w:tcPr>
            <w:tcW w:w="685" w:type="dxa"/>
            <w:tcBorders>
              <w:top w:val="nil"/>
              <w:left w:val="nil"/>
              <w:bottom w:val="single" w:sz="8" w:space="0" w:color="auto"/>
              <w:right w:val="single" w:sz="8" w:space="0" w:color="auto"/>
            </w:tcBorders>
            <w:shd w:val="clear" w:color="auto" w:fill="auto"/>
            <w:noWrap/>
            <w:vAlign w:val="center"/>
            <w:hideMark/>
          </w:tcPr>
          <w:p w14:paraId="1A07CBEA"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 </w:t>
            </w:r>
          </w:p>
        </w:tc>
        <w:tc>
          <w:tcPr>
            <w:tcW w:w="155" w:type="dxa"/>
            <w:vAlign w:val="center"/>
            <w:hideMark/>
          </w:tcPr>
          <w:p w14:paraId="3826838F" w14:textId="77777777" w:rsidR="00055E12" w:rsidRPr="00055E12" w:rsidRDefault="00055E12" w:rsidP="00055E12">
            <w:pPr>
              <w:rPr>
                <w:sz w:val="20"/>
                <w:szCs w:val="20"/>
                <w:lang w:val="en-US" w:eastAsia="zh-CN"/>
              </w:rPr>
            </w:pPr>
          </w:p>
        </w:tc>
      </w:tr>
      <w:tr w:rsidR="00055E12" w:rsidRPr="00055E12" w14:paraId="5690468F"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4EEEBF20"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3826FD3A"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ACD624D"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44101B5"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CEB5F83"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71600</w:t>
            </w:r>
          </w:p>
        </w:tc>
        <w:tc>
          <w:tcPr>
            <w:tcW w:w="1982" w:type="dxa"/>
            <w:tcBorders>
              <w:top w:val="nil"/>
              <w:left w:val="nil"/>
              <w:bottom w:val="single" w:sz="8" w:space="0" w:color="auto"/>
              <w:right w:val="single" w:sz="8" w:space="0" w:color="auto"/>
            </w:tcBorders>
            <w:shd w:val="clear" w:color="auto" w:fill="auto"/>
            <w:noWrap/>
            <w:vAlign w:val="center"/>
            <w:hideMark/>
          </w:tcPr>
          <w:p w14:paraId="3CBBE78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Viajes </w:t>
            </w:r>
          </w:p>
        </w:tc>
        <w:tc>
          <w:tcPr>
            <w:tcW w:w="950" w:type="dxa"/>
            <w:tcBorders>
              <w:top w:val="nil"/>
              <w:left w:val="nil"/>
              <w:bottom w:val="single" w:sz="8" w:space="0" w:color="auto"/>
              <w:right w:val="single" w:sz="8" w:space="0" w:color="auto"/>
            </w:tcBorders>
            <w:shd w:val="clear" w:color="auto" w:fill="auto"/>
            <w:noWrap/>
            <w:vAlign w:val="center"/>
            <w:hideMark/>
          </w:tcPr>
          <w:p w14:paraId="0FACFB3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1067" w:type="dxa"/>
            <w:tcBorders>
              <w:top w:val="nil"/>
              <w:left w:val="nil"/>
              <w:bottom w:val="single" w:sz="8" w:space="0" w:color="auto"/>
              <w:right w:val="single" w:sz="8" w:space="0" w:color="auto"/>
            </w:tcBorders>
            <w:shd w:val="clear" w:color="auto" w:fill="auto"/>
            <w:noWrap/>
            <w:vAlign w:val="center"/>
            <w:hideMark/>
          </w:tcPr>
          <w:p w14:paraId="7A2DF4B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501145B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41ABD9B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78CD0F3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12.500 </w:t>
            </w:r>
          </w:p>
        </w:tc>
        <w:tc>
          <w:tcPr>
            <w:tcW w:w="975" w:type="dxa"/>
            <w:tcBorders>
              <w:top w:val="nil"/>
              <w:left w:val="nil"/>
              <w:bottom w:val="single" w:sz="8" w:space="0" w:color="auto"/>
              <w:right w:val="single" w:sz="8" w:space="0" w:color="auto"/>
            </w:tcBorders>
            <w:shd w:val="clear" w:color="auto" w:fill="auto"/>
            <w:noWrap/>
            <w:vAlign w:val="center"/>
            <w:hideMark/>
          </w:tcPr>
          <w:p w14:paraId="6DCD658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52.500 </w:t>
            </w:r>
          </w:p>
        </w:tc>
        <w:tc>
          <w:tcPr>
            <w:tcW w:w="685" w:type="dxa"/>
            <w:tcBorders>
              <w:top w:val="nil"/>
              <w:left w:val="nil"/>
              <w:bottom w:val="single" w:sz="8" w:space="0" w:color="auto"/>
              <w:right w:val="single" w:sz="8" w:space="0" w:color="auto"/>
            </w:tcBorders>
            <w:shd w:val="clear" w:color="auto" w:fill="auto"/>
            <w:noWrap/>
            <w:vAlign w:val="center"/>
            <w:hideMark/>
          </w:tcPr>
          <w:p w14:paraId="7BBBEC70"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4 </w:t>
            </w:r>
          </w:p>
        </w:tc>
        <w:tc>
          <w:tcPr>
            <w:tcW w:w="155" w:type="dxa"/>
            <w:vAlign w:val="center"/>
            <w:hideMark/>
          </w:tcPr>
          <w:p w14:paraId="736A7826" w14:textId="77777777" w:rsidR="00055E12" w:rsidRPr="00055E12" w:rsidRDefault="00055E12" w:rsidP="00055E12">
            <w:pPr>
              <w:rPr>
                <w:sz w:val="20"/>
                <w:szCs w:val="20"/>
                <w:lang w:val="en-US" w:eastAsia="zh-CN"/>
              </w:rPr>
            </w:pPr>
          </w:p>
        </w:tc>
      </w:tr>
      <w:tr w:rsidR="00055E12" w:rsidRPr="00055E12" w14:paraId="71DE6143"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7EFC66B"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449BFB58"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2F063E34"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D8D2590"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4AE6C287"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72100</w:t>
            </w:r>
          </w:p>
        </w:tc>
        <w:tc>
          <w:tcPr>
            <w:tcW w:w="1982" w:type="dxa"/>
            <w:tcBorders>
              <w:top w:val="nil"/>
              <w:left w:val="nil"/>
              <w:bottom w:val="single" w:sz="8" w:space="0" w:color="auto"/>
              <w:right w:val="single" w:sz="8" w:space="0" w:color="auto"/>
            </w:tcBorders>
            <w:shd w:val="clear" w:color="auto" w:fill="auto"/>
            <w:noWrap/>
            <w:vAlign w:val="center"/>
            <w:hideMark/>
          </w:tcPr>
          <w:p w14:paraId="11C19E3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Servicios contractuales - empresas </w:t>
            </w:r>
          </w:p>
        </w:tc>
        <w:tc>
          <w:tcPr>
            <w:tcW w:w="950" w:type="dxa"/>
            <w:tcBorders>
              <w:top w:val="nil"/>
              <w:left w:val="nil"/>
              <w:bottom w:val="single" w:sz="8" w:space="0" w:color="auto"/>
              <w:right w:val="single" w:sz="8" w:space="0" w:color="auto"/>
            </w:tcBorders>
            <w:shd w:val="clear" w:color="auto" w:fill="auto"/>
            <w:noWrap/>
            <w:vAlign w:val="center"/>
            <w:hideMark/>
          </w:tcPr>
          <w:p w14:paraId="4BE08B4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004B61E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17.000 </w:t>
            </w:r>
          </w:p>
        </w:tc>
        <w:tc>
          <w:tcPr>
            <w:tcW w:w="950" w:type="dxa"/>
            <w:tcBorders>
              <w:top w:val="nil"/>
              <w:left w:val="nil"/>
              <w:bottom w:val="single" w:sz="8" w:space="0" w:color="auto"/>
              <w:right w:val="single" w:sz="8" w:space="0" w:color="auto"/>
            </w:tcBorders>
            <w:shd w:val="clear" w:color="auto" w:fill="auto"/>
            <w:noWrap/>
            <w:vAlign w:val="center"/>
            <w:hideMark/>
          </w:tcPr>
          <w:p w14:paraId="66F7CF9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35.000 </w:t>
            </w:r>
          </w:p>
        </w:tc>
        <w:tc>
          <w:tcPr>
            <w:tcW w:w="950" w:type="dxa"/>
            <w:tcBorders>
              <w:top w:val="nil"/>
              <w:left w:val="nil"/>
              <w:bottom w:val="single" w:sz="8" w:space="0" w:color="auto"/>
              <w:right w:val="single" w:sz="8" w:space="0" w:color="auto"/>
            </w:tcBorders>
            <w:shd w:val="clear" w:color="auto" w:fill="auto"/>
            <w:noWrap/>
            <w:vAlign w:val="center"/>
            <w:hideMark/>
          </w:tcPr>
          <w:p w14:paraId="4BE359D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35.000 </w:t>
            </w:r>
          </w:p>
        </w:tc>
        <w:tc>
          <w:tcPr>
            <w:tcW w:w="950" w:type="dxa"/>
            <w:tcBorders>
              <w:top w:val="nil"/>
              <w:left w:val="nil"/>
              <w:bottom w:val="single" w:sz="8" w:space="0" w:color="auto"/>
              <w:right w:val="single" w:sz="8" w:space="0" w:color="auto"/>
            </w:tcBorders>
            <w:shd w:val="clear" w:color="auto" w:fill="auto"/>
            <w:noWrap/>
            <w:vAlign w:val="center"/>
            <w:hideMark/>
          </w:tcPr>
          <w:p w14:paraId="6BFAD66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29.200 </w:t>
            </w:r>
          </w:p>
        </w:tc>
        <w:tc>
          <w:tcPr>
            <w:tcW w:w="975" w:type="dxa"/>
            <w:tcBorders>
              <w:top w:val="nil"/>
              <w:left w:val="nil"/>
              <w:bottom w:val="single" w:sz="8" w:space="0" w:color="auto"/>
              <w:right w:val="single" w:sz="8" w:space="0" w:color="auto"/>
            </w:tcBorders>
            <w:shd w:val="clear" w:color="auto" w:fill="auto"/>
            <w:noWrap/>
            <w:vAlign w:val="center"/>
            <w:hideMark/>
          </w:tcPr>
          <w:p w14:paraId="1101632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116.200 </w:t>
            </w:r>
          </w:p>
        </w:tc>
        <w:tc>
          <w:tcPr>
            <w:tcW w:w="685" w:type="dxa"/>
            <w:tcBorders>
              <w:top w:val="nil"/>
              <w:left w:val="nil"/>
              <w:bottom w:val="single" w:sz="8" w:space="0" w:color="auto"/>
              <w:right w:val="single" w:sz="8" w:space="0" w:color="auto"/>
            </w:tcBorders>
            <w:shd w:val="clear" w:color="auto" w:fill="auto"/>
            <w:noWrap/>
            <w:vAlign w:val="center"/>
            <w:hideMark/>
          </w:tcPr>
          <w:p w14:paraId="7D458856"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5 </w:t>
            </w:r>
          </w:p>
        </w:tc>
        <w:tc>
          <w:tcPr>
            <w:tcW w:w="155" w:type="dxa"/>
            <w:vAlign w:val="center"/>
            <w:hideMark/>
          </w:tcPr>
          <w:p w14:paraId="6F8C3BC8" w14:textId="77777777" w:rsidR="00055E12" w:rsidRPr="00055E12" w:rsidRDefault="00055E12" w:rsidP="00055E12">
            <w:pPr>
              <w:rPr>
                <w:sz w:val="20"/>
                <w:szCs w:val="20"/>
                <w:lang w:val="en-US" w:eastAsia="zh-CN"/>
              </w:rPr>
            </w:pPr>
          </w:p>
        </w:tc>
      </w:tr>
      <w:tr w:rsidR="00055E12" w:rsidRPr="00055E12" w14:paraId="2841A110"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B46400C"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113FE2D"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70ADAE5"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67C2ECD"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251C3D60"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72100</w:t>
            </w:r>
          </w:p>
        </w:tc>
        <w:tc>
          <w:tcPr>
            <w:tcW w:w="1982" w:type="dxa"/>
            <w:tcBorders>
              <w:top w:val="nil"/>
              <w:left w:val="nil"/>
              <w:bottom w:val="single" w:sz="8" w:space="0" w:color="auto"/>
              <w:right w:val="single" w:sz="8" w:space="0" w:color="auto"/>
            </w:tcBorders>
            <w:shd w:val="clear" w:color="auto" w:fill="auto"/>
            <w:noWrap/>
            <w:vAlign w:val="center"/>
            <w:hideMark/>
          </w:tcPr>
          <w:p w14:paraId="476B499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Servicios contractuales - empresas </w:t>
            </w:r>
          </w:p>
        </w:tc>
        <w:tc>
          <w:tcPr>
            <w:tcW w:w="950" w:type="dxa"/>
            <w:tcBorders>
              <w:top w:val="nil"/>
              <w:left w:val="nil"/>
              <w:bottom w:val="single" w:sz="8" w:space="0" w:color="auto"/>
              <w:right w:val="single" w:sz="8" w:space="0" w:color="auto"/>
            </w:tcBorders>
            <w:shd w:val="clear" w:color="auto" w:fill="auto"/>
            <w:noWrap/>
            <w:vAlign w:val="center"/>
            <w:hideMark/>
          </w:tcPr>
          <w:p w14:paraId="79F3FFA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20A3679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37C8B44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29B93E7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429E554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75" w:type="dxa"/>
            <w:tcBorders>
              <w:top w:val="nil"/>
              <w:left w:val="nil"/>
              <w:bottom w:val="single" w:sz="8" w:space="0" w:color="auto"/>
              <w:right w:val="single" w:sz="8" w:space="0" w:color="auto"/>
            </w:tcBorders>
            <w:shd w:val="clear" w:color="auto" w:fill="auto"/>
            <w:noWrap/>
            <w:vAlign w:val="center"/>
            <w:hideMark/>
          </w:tcPr>
          <w:p w14:paraId="4F3ACD9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50.000 </w:t>
            </w:r>
          </w:p>
        </w:tc>
        <w:tc>
          <w:tcPr>
            <w:tcW w:w="685" w:type="dxa"/>
            <w:tcBorders>
              <w:top w:val="nil"/>
              <w:left w:val="nil"/>
              <w:bottom w:val="single" w:sz="8" w:space="0" w:color="auto"/>
              <w:right w:val="single" w:sz="8" w:space="0" w:color="auto"/>
            </w:tcBorders>
            <w:shd w:val="clear" w:color="auto" w:fill="auto"/>
            <w:noWrap/>
            <w:vAlign w:val="center"/>
            <w:hideMark/>
          </w:tcPr>
          <w:p w14:paraId="1DEE5EFF"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6 </w:t>
            </w:r>
          </w:p>
        </w:tc>
        <w:tc>
          <w:tcPr>
            <w:tcW w:w="155" w:type="dxa"/>
            <w:vAlign w:val="center"/>
            <w:hideMark/>
          </w:tcPr>
          <w:p w14:paraId="5CBF0C24" w14:textId="77777777" w:rsidR="00055E12" w:rsidRPr="00055E12" w:rsidRDefault="00055E12" w:rsidP="00055E12">
            <w:pPr>
              <w:rPr>
                <w:sz w:val="20"/>
                <w:szCs w:val="20"/>
                <w:lang w:val="en-US" w:eastAsia="zh-CN"/>
              </w:rPr>
            </w:pPr>
          </w:p>
        </w:tc>
      </w:tr>
      <w:tr w:rsidR="00055E12" w:rsidRPr="00055E12" w14:paraId="4042BBBB"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8CCB06F"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F99996B"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229F8AE5"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5DA031AE"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659ECCC8"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74200</w:t>
            </w:r>
          </w:p>
        </w:tc>
        <w:tc>
          <w:tcPr>
            <w:tcW w:w="1982" w:type="dxa"/>
            <w:tcBorders>
              <w:top w:val="nil"/>
              <w:left w:val="nil"/>
              <w:bottom w:val="single" w:sz="8" w:space="0" w:color="auto"/>
              <w:right w:val="single" w:sz="8" w:space="0" w:color="auto"/>
            </w:tcBorders>
            <w:shd w:val="clear" w:color="auto" w:fill="auto"/>
            <w:noWrap/>
            <w:vAlign w:val="center"/>
            <w:hideMark/>
          </w:tcPr>
          <w:p w14:paraId="1822F61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Costes audiovisuales y de impresión </w:t>
            </w:r>
          </w:p>
        </w:tc>
        <w:tc>
          <w:tcPr>
            <w:tcW w:w="950" w:type="dxa"/>
            <w:tcBorders>
              <w:top w:val="nil"/>
              <w:left w:val="nil"/>
              <w:bottom w:val="single" w:sz="8" w:space="0" w:color="auto"/>
              <w:right w:val="single" w:sz="8" w:space="0" w:color="auto"/>
            </w:tcBorders>
            <w:shd w:val="clear" w:color="auto" w:fill="auto"/>
            <w:noWrap/>
            <w:vAlign w:val="center"/>
            <w:hideMark/>
          </w:tcPr>
          <w:p w14:paraId="1046A2C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 </w:t>
            </w:r>
          </w:p>
        </w:tc>
        <w:tc>
          <w:tcPr>
            <w:tcW w:w="1067" w:type="dxa"/>
            <w:tcBorders>
              <w:top w:val="nil"/>
              <w:left w:val="nil"/>
              <w:bottom w:val="single" w:sz="8" w:space="0" w:color="auto"/>
              <w:right w:val="single" w:sz="8" w:space="0" w:color="auto"/>
            </w:tcBorders>
            <w:shd w:val="clear" w:color="auto" w:fill="auto"/>
            <w:noWrap/>
            <w:vAlign w:val="center"/>
            <w:hideMark/>
          </w:tcPr>
          <w:p w14:paraId="00DE588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6CF7C08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77A315A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468275A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75" w:type="dxa"/>
            <w:tcBorders>
              <w:top w:val="nil"/>
              <w:left w:val="nil"/>
              <w:bottom w:val="single" w:sz="8" w:space="0" w:color="auto"/>
              <w:right w:val="single" w:sz="8" w:space="0" w:color="auto"/>
            </w:tcBorders>
            <w:shd w:val="clear" w:color="auto" w:fill="auto"/>
            <w:noWrap/>
            <w:vAlign w:val="center"/>
            <w:hideMark/>
          </w:tcPr>
          <w:p w14:paraId="15E8FE6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45.000 </w:t>
            </w:r>
          </w:p>
        </w:tc>
        <w:tc>
          <w:tcPr>
            <w:tcW w:w="685" w:type="dxa"/>
            <w:tcBorders>
              <w:top w:val="nil"/>
              <w:left w:val="nil"/>
              <w:bottom w:val="single" w:sz="8" w:space="0" w:color="auto"/>
              <w:right w:val="single" w:sz="8" w:space="0" w:color="auto"/>
            </w:tcBorders>
            <w:shd w:val="clear" w:color="auto" w:fill="auto"/>
            <w:noWrap/>
            <w:vAlign w:val="center"/>
            <w:hideMark/>
          </w:tcPr>
          <w:p w14:paraId="2674BB18"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7 </w:t>
            </w:r>
          </w:p>
        </w:tc>
        <w:tc>
          <w:tcPr>
            <w:tcW w:w="155" w:type="dxa"/>
            <w:vAlign w:val="center"/>
            <w:hideMark/>
          </w:tcPr>
          <w:p w14:paraId="673A3CFE" w14:textId="77777777" w:rsidR="00055E12" w:rsidRPr="00055E12" w:rsidRDefault="00055E12" w:rsidP="00055E12">
            <w:pPr>
              <w:rPr>
                <w:sz w:val="20"/>
                <w:szCs w:val="20"/>
                <w:lang w:val="en-US" w:eastAsia="zh-CN"/>
              </w:rPr>
            </w:pPr>
          </w:p>
        </w:tc>
      </w:tr>
      <w:tr w:rsidR="00055E12" w:rsidRPr="00055E12" w14:paraId="404DFCB0"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5B28DE82"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49ECF871"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2303F160"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694FC00C"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338773D6"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75700</w:t>
            </w:r>
          </w:p>
        </w:tc>
        <w:tc>
          <w:tcPr>
            <w:tcW w:w="1982" w:type="dxa"/>
            <w:tcBorders>
              <w:top w:val="nil"/>
              <w:left w:val="nil"/>
              <w:bottom w:val="single" w:sz="8" w:space="0" w:color="auto"/>
              <w:right w:val="single" w:sz="8" w:space="0" w:color="auto"/>
            </w:tcBorders>
            <w:shd w:val="clear" w:color="auto" w:fill="auto"/>
            <w:noWrap/>
            <w:vAlign w:val="center"/>
            <w:hideMark/>
          </w:tcPr>
          <w:p w14:paraId="6E73ACA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Formación, talleres y conferencias </w:t>
            </w:r>
          </w:p>
        </w:tc>
        <w:tc>
          <w:tcPr>
            <w:tcW w:w="950" w:type="dxa"/>
            <w:tcBorders>
              <w:top w:val="nil"/>
              <w:left w:val="nil"/>
              <w:bottom w:val="single" w:sz="8" w:space="0" w:color="auto"/>
              <w:right w:val="single" w:sz="8" w:space="0" w:color="auto"/>
            </w:tcBorders>
            <w:shd w:val="clear" w:color="auto" w:fill="auto"/>
            <w:noWrap/>
            <w:vAlign w:val="center"/>
            <w:hideMark/>
          </w:tcPr>
          <w:p w14:paraId="66B3BA0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1067" w:type="dxa"/>
            <w:tcBorders>
              <w:top w:val="nil"/>
              <w:left w:val="nil"/>
              <w:bottom w:val="single" w:sz="8" w:space="0" w:color="auto"/>
              <w:right w:val="single" w:sz="8" w:space="0" w:color="auto"/>
            </w:tcBorders>
            <w:shd w:val="clear" w:color="auto" w:fill="auto"/>
            <w:noWrap/>
            <w:vAlign w:val="center"/>
            <w:hideMark/>
          </w:tcPr>
          <w:p w14:paraId="17F4179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 </w:t>
            </w:r>
          </w:p>
        </w:tc>
        <w:tc>
          <w:tcPr>
            <w:tcW w:w="950" w:type="dxa"/>
            <w:tcBorders>
              <w:top w:val="nil"/>
              <w:left w:val="nil"/>
              <w:bottom w:val="single" w:sz="8" w:space="0" w:color="auto"/>
              <w:right w:val="single" w:sz="8" w:space="0" w:color="auto"/>
            </w:tcBorders>
            <w:shd w:val="clear" w:color="auto" w:fill="auto"/>
            <w:noWrap/>
            <w:vAlign w:val="center"/>
            <w:hideMark/>
          </w:tcPr>
          <w:p w14:paraId="0A39405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 </w:t>
            </w:r>
          </w:p>
        </w:tc>
        <w:tc>
          <w:tcPr>
            <w:tcW w:w="950" w:type="dxa"/>
            <w:tcBorders>
              <w:top w:val="nil"/>
              <w:left w:val="nil"/>
              <w:bottom w:val="single" w:sz="8" w:space="0" w:color="auto"/>
              <w:right w:val="single" w:sz="8" w:space="0" w:color="auto"/>
            </w:tcBorders>
            <w:shd w:val="clear" w:color="auto" w:fill="auto"/>
            <w:noWrap/>
            <w:vAlign w:val="center"/>
            <w:hideMark/>
          </w:tcPr>
          <w:p w14:paraId="5167011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 </w:t>
            </w:r>
          </w:p>
        </w:tc>
        <w:tc>
          <w:tcPr>
            <w:tcW w:w="950" w:type="dxa"/>
            <w:tcBorders>
              <w:top w:val="nil"/>
              <w:left w:val="nil"/>
              <w:bottom w:val="single" w:sz="8" w:space="0" w:color="auto"/>
              <w:right w:val="single" w:sz="8" w:space="0" w:color="auto"/>
            </w:tcBorders>
            <w:shd w:val="clear" w:color="auto" w:fill="auto"/>
            <w:noWrap/>
            <w:vAlign w:val="center"/>
            <w:hideMark/>
          </w:tcPr>
          <w:p w14:paraId="77A15F8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 </w:t>
            </w:r>
          </w:p>
        </w:tc>
        <w:tc>
          <w:tcPr>
            <w:tcW w:w="975" w:type="dxa"/>
            <w:tcBorders>
              <w:top w:val="nil"/>
              <w:left w:val="nil"/>
              <w:bottom w:val="single" w:sz="8" w:space="0" w:color="auto"/>
              <w:right w:val="single" w:sz="8" w:space="0" w:color="auto"/>
            </w:tcBorders>
            <w:shd w:val="clear" w:color="auto" w:fill="auto"/>
            <w:noWrap/>
            <w:vAlign w:val="center"/>
            <w:hideMark/>
          </w:tcPr>
          <w:p w14:paraId="04DB13F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58.000 </w:t>
            </w:r>
          </w:p>
        </w:tc>
        <w:tc>
          <w:tcPr>
            <w:tcW w:w="685" w:type="dxa"/>
            <w:tcBorders>
              <w:top w:val="nil"/>
              <w:left w:val="nil"/>
              <w:bottom w:val="single" w:sz="8" w:space="0" w:color="auto"/>
              <w:right w:val="single" w:sz="8" w:space="0" w:color="auto"/>
            </w:tcBorders>
            <w:shd w:val="clear" w:color="auto" w:fill="auto"/>
            <w:noWrap/>
            <w:vAlign w:val="center"/>
            <w:hideMark/>
          </w:tcPr>
          <w:p w14:paraId="6399B4AF"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8 </w:t>
            </w:r>
          </w:p>
        </w:tc>
        <w:tc>
          <w:tcPr>
            <w:tcW w:w="155" w:type="dxa"/>
            <w:vAlign w:val="center"/>
            <w:hideMark/>
          </w:tcPr>
          <w:p w14:paraId="1AB58221" w14:textId="77777777" w:rsidR="00055E12" w:rsidRPr="00055E12" w:rsidRDefault="00055E12" w:rsidP="00055E12">
            <w:pPr>
              <w:rPr>
                <w:sz w:val="20"/>
                <w:szCs w:val="20"/>
                <w:lang w:val="en-US" w:eastAsia="zh-CN"/>
              </w:rPr>
            </w:pPr>
          </w:p>
        </w:tc>
      </w:tr>
      <w:tr w:rsidR="00055E12" w:rsidRPr="00055E12" w14:paraId="30921F29"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0AE3B778"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D022DAA"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379EC001"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6038B9C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double" w:sz="6" w:space="0" w:color="auto"/>
              <w:left w:val="nil"/>
              <w:bottom w:val="double" w:sz="6" w:space="0" w:color="auto"/>
              <w:right w:val="single" w:sz="8" w:space="0" w:color="auto"/>
            </w:tcBorders>
            <w:shd w:val="clear" w:color="auto" w:fill="auto"/>
            <w:vAlign w:val="center"/>
            <w:hideMark/>
          </w:tcPr>
          <w:p w14:paraId="7B3B27AE"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w:t>
            </w:r>
          </w:p>
        </w:tc>
        <w:tc>
          <w:tcPr>
            <w:tcW w:w="1982" w:type="dxa"/>
            <w:tcBorders>
              <w:top w:val="nil"/>
              <w:left w:val="nil"/>
              <w:bottom w:val="double" w:sz="6" w:space="0" w:color="auto"/>
              <w:right w:val="single" w:sz="8" w:space="0" w:color="auto"/>
            </w:tcBorders>
            <w:shd w:val="clear" w:color="auto" w:fill="auto"/>
            <w:vAlign w:val="center"/>
            <w:hideMark/>
          </w:tcPr>
          <w:p w14:paraId="276E471B"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Total Componente 1</w:t>
            </w:r>
          </w:p>
        </w:tc>
        <w:tc>
          <w:tcPr>
            <w:tcW w:w="950" w:type="dxa"/>
            <w:tcBorders>
              <w:top w:val="nil"/>
              <w:left w:val="nil"/>
              <w:bottom w:val="single" w:sz="8" w:space="0" w:color="auto"/>
              <w:right w:val="single" w:sz="8" w:space="0" w:color="auto"/>
            </w:tcBorders>
            <w:shd w:val="clear" w:color="auto" w:fill="auto"/>
            <w:noWrap/>
            <w:vAlign w:val="center"/>
            <w:hideMark/>
          </w:tcPr>
          <w:p w14:paraId="4CAAAB41"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72.660 </w:t>
            </w:r>
          </w:p>
        </w:tc>
        <w:tc>
          <w:tcPr>
            <w:tcW w:w="1067" w:type="dxa"/>
            <w:tcBorders>
              <w:top w:val="nil"/>
              <w:left w:val="nil"/>
              <w:bottom w:val="single" w:sz="8" w:space="0" w:color="auto"/>
              <w:right w:val="single" w:sz="8" w:space="0" w:color="auto"/>
            </w:tcBorders>
            <w:shd w:val="clear" w:color="auto" w:fill="auto"/>
            <w:noWrap/>
            <w:vAlign w:val="center"/>
            <w:hideMark/>
          </w:tcPr>
          <w:p w14:paraId="4A78AB4A"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166.660 </w:t>
            </w:r>
          </w:p>
        </w:tc>
        <w:tc>
          <w:tcPr>
            <w:tcW w:w="950" w:type="dxa"/>
            <w:tcBorders>
              <w:top w:val="nil"/>
              <w:left w:val="nil"/>
              <w:bottom w:val="single" w:sz="8" w:space="0" w:color="auto"/>
              <w:right w:val="single" w:sz="8" w:space="0" w:color="auto"/>
            </w:tcBorders>
            <w:shd w:val="clear" w:color="auto" w:fill="auto"/>
            <w:noWrap/>
            <w:vAlign w:val="center"/>
            <w:hideMark/>
          </w:tcPr>
          <w:p w14:paraId="12500516"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194.660 </w:t>
            </w:r>
          </w:p>
        </w:tc>
        <w:tc>
          <w:tcPr>
            <w:tcW w:w="950" w:type="dxa"/>
            <w:tcBorders>
              <w:top w:val="nil"/>
              <w:left w:val="nil"/>
              <w:bottom w:val="single" w:sz="8" w:space="0" w:color="auto"/>
              <w:right w:val="single" w:sz="8" w:space="0" w:color="auto"/>
            </w:tcBorders>
            <w:shd w:val="clear" w:color="auto" w:fill="auto"/>
            <w:noWrap/>
            <w:vAlign w:val="center"/>
            <w:hideMark/>
          </w:tcPr>
          <w:p w14:paraId="22DFD03F"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184.660 </w:t>
            </w:r>
          </w:p>
        </w:tc>
        <w:tc>
          <w:tcPr>
            <w:tcW w:w="950" w:type="dxa"/>
            <w:tcBorders>
              <w:top w:val="nil"/>
              <w:left w:val="nil"/>
              <w:bottom w:val="single" w:sz="8" w:space="0" w:color="auto"/>
              <w:right w:val="single" w:sz="8" w:space="0" w:color="auto"/>
            </w:tcBorders>
            <w:shd w:val="clear" w:color="auto" w:fill="auto"/>
            <w:noWrap/>
            <w:vAlign w:val="center"/>
            <w:hideMark/>
          </w:tcPr>
          <w:p w14:paraId="7F44BDA6"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181.360 </w:t>
            </w:r>
          </w:p>
        </w:tc>
        <w:tc>
          <w:tcPr>
            <w:tcW w:w="975" w:type="dxa"/>
            <w:tcBorders>
              <w:top w:val="nil"/>
              <w:left w:val="nil"/>
              <w:bottom w:val="single" w:sz="8" w:space="0" w:color="auto"/>
              <w:right w:val="single" w:sz="8" w:space="0" w:color="auto"/>
            </w:tcBorders>
            <w:shd w:val="clear" w:color="auto" w:fill="auto"/>
            <w:noWrap/>
            <w:vAlign w:val="center"/>
            <w:hideMark/>
          </w:tcPr>
          <w:p w14:paraId="0B2C956D"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800.000 </w:t>
            </w:r>
          </w:p>
        </w:tc>
        <w:tc>
          <w:tcPr>
            <w:tcW w:w="685" w:type="dxa"/>
            <w:tcBorders>
              <w:top w:val="nil"/>
              <w:left w:val="nil"/>
              <w:bottom w:val="double" w:sz="6" w:space="0" w:color="auto"/>
              <w:right w:val="single" w:sz="8" w:space="0" w:color="auto"/>
            </w:tcBorders>
            <w:shd w:val="clear" w:color="auto" w:fill="auto"/>
            <w:vAlign w:val="center"/>
            <w:hideMark/>
          </w:tcPr>
          <w:p w14:paraId="486D1D7C" w14:textId="77777777" w:rsidR="00055E12" w:rsidRPr="00055E12" w:rsidRDefault="00055E12" w:rsidP="00055E12">
            <w:pPr>
              <w:jc w:val="center"/>
              <w:rPr>
                <w:rFonts w:ascii="Calibri" w:hAnsi="Calibri" w:cs="Calibri"/>
                <w:b/>
                <w:bCs/>
                <w:i/>
                <w:iCs/>
                <w:color w:val="000000"/>
                <w:sz w:val="16"/>
                <w:szCs w:val="16"/>
              </w:rPr>
            </w:pPr>
            <w:r>
              <w:rPr>
                <w:rFonts w:ascii="Calibri" w:hAnsi="Calibri"/>
                <w:b/>
                <w:i/>
                <w:color w:val="000000"/>
                <w:sz w:val="16"/>
              </w:rPr>
              <w:t> </w:t>
            </w:r>
          </w:p>
        </w:tc>
        <w:tc>
          <w:tcPr>
            <w:tcW w:w="155" w:type="dxa"/>
            <w:vAlign w:val="center"/>
            <w:hideMark/>
          </w:tcPr>
          <w:p w14:paraId="1D11024E" w14:textId="77777777" w:rsidR="00055E12" w:rsidRPr="00055E12" w:rsidRDefault="00055E12" w:rsidP="00055E12">
            <w:pPr>
              <w:rPr>
                <w:sz w:val="20"/>
                <w:szCs w:val="20"/>
                <w:lang w:val="en-US" w:eastAsia="zh-CN"/>
              </w:rPr>
            </w:pPr>
          </w:p>
        </w:tc>
      </w:tr>
      <w:tr w:rsidR="00055E12" w:rsidRPr="00055E12" w14:paraId="371BC36F" w14:textId="77777777" w:rsidTr="00055E12">
        <w:trPr>
          <w:trHeight w:val="295"/>
        </w:trPr>
        <w:tc>
          <w:tcPr>
            <w:tcW w:w="2356" w:type="dxa"/>
            <w:vMerge w:val="restart"/>
            <w:tcBorders>
              <w:top w:val="nil"/>
              <w:left w:val="single" w:sz="8" w:space="0" w:color="auto"/>
              <w:bottom w:val="double" w:sz="6" w:space="0" w:color="000000"/>
              <w:right w:val="single" w:sz="8" w:space="0" w:color="auto"/>
            </w:tcBorders>
            <w:shd w:val="clear" w:color="auto" w:fill="auto"/>
            <w:vAlign w:val="center"/>
            <w:hideMark/>
          </w:tcPr>
          <w:p w14:paraId="70C243E7"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2. Financiamiento e inversión</w:t>
            </w:r>
          </w:p>
        </w:tc>
        <w:tc>
          <w:tcPr>
            <w:tcW w:w="1009" w:type="dxa"/>
            <w:vMerge w:val="restart"/>
            <w:tcBorders>
              <w:top w:val="nil"/>
              <w:left w:val="single" w:sz="8" w:space="0" w:color="auto"/>
              <w:bottom w:val="double" w:sz="6" w:space="0" w:color="000000"/>
              <w:right w:val="single" w:sz="8" w:space="0" w:color="auto"/>
            </w:tcBorders>
            <w:shd w:val="clear" w:color="auto" w:fill="auto"/>
            <w:vAlign w:val="center"/>
            <w:hideMark/>
          </w:tcPr>
          <w:p w14:paraId="67B3F737"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Ministerio de Medio Ambiente, Agua y Transición Ecológica (MAATE)</w:t>
            </w:r>
          </w:p>
        </w:tc>
        <w:tc>
          <w:tcPr>
            <w:tcW w:w="704" w:type="dxa"/>
            <w:vMerge w:val="restart"/>
            <w:tcBorders>
              <w:top w:val="nil"/>
              <w:left w:val="single" w:sz="8" w:space="0" w:color="auto"/>
              <w:bottom w:val="double" w:sz="6" w:space="0" w:color="000000"/>
              <w:right w:val="single" w:sz="8" w:space="0" w:color="auto"/>
            </w:tcBorders>
            <w:shd w:val="clear" w:color="auto" w:fill="auto"/>
            <w:vAlign w:val="center"/>
            <w:hideMark/>
          </w:tcPr>
          <w:p w14:paraId="7E1FF462"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62000</w:t>
            </w:r>
          </w:p>
        </w:tc>
        <w:tc>
          <w:tcPr>
            <w:tcW w:w="705" w:type="dxa"/>
            <w:vMerge w:val="restart"/>
            <w:tcBorders>
              <w:top w:val="nil"/>
              <w:left w:val="single" w:sz="8" w:space="0" w:color="auto"/>
              <w:bottom w:val="double" w:sz="6" w:space="0" w:color="000000"/>
              <w:right w:val="single" w:sz="8" w:space="0" w:color="auto"/>
            </w:tcBorders>
            <w:shd w:val="clear" w:color="auto" w:fill="auto"/>
            <w:vAlign w:val="center"/>
            <w:hideMark/>
          </w:tcPr>
          <w:p w14:paraId="2AEF5A06"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FMAM</w:t>
            </w:r>
          </w:p>
        </w:tc>
        <w:tc>
          <w:tcPr>
            <w:tcW w:w="865" w:type="dxa"/>
            <w:tcBorders>
              <w:top w:val="single" w:sz="8" w:space="0" w:color="auto"/>
              <w:left w:val="nil"/>
              <w:bottom w:val="nil"/>
              <w:right w:val="single" w:sz="8" w:space="0" w:color="auto"/>
            </w:tcBorders>
            <w:shd w:val="clear" w:color="auto" w:fill="auto"/>
            <w:noWrap/>
            <w:vAlign w:val="center"/>
            <w:hideMark/>
          </w:tcPr>
          <w:p w14:paraId="3B5D6CED"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71200</w:t>
            </w:r>
          </w:p>
        </w:tc>
        <w:tc>
          <w:tcPr>
            <w:tcW w:w="1982" w:type="dxa"/>
            <w:tcBorders>
              <w:top w:val="single" w:sz="8" w:space="0" w:color="auto"/>
              <w:left w:val="nil"/>
              <w:bottom w:val="nil"/>
              <w:right w:val="single" w:sz="8" w:space="0" w:color="auto"/>
            </w:tcBorders>
            <w:shd w:val="clear" w:color="auto" w:fill="auto"/>
            <w:noWrap/>
            <w:vAlign w:val="center"/>
            <w:hideMark/>
          </w:tcPr>
          <w:p w14:paraId="0A288449" w14:textId="77777777" w:rsidR="00055E12" w:rsidRPr="00055E12" w:rsidRDefault="00055E12" w:rsidP="00055E12">
            <w:pPr>
              <w:rPr>
                <w:rFonts w:ascii="Calibri" w:hAnsi="Calibri" w:cs="Calibri"/>
                <w:color w:val="000000"/>
                <w:sz w:val="16"/>
                <w:szCs w:val="16"/>
              </w:rPr>
            </w:pPr>
            <w:r>
              <w:rPr>
                <w:rFonts w:ascii="Calibri" w:hAnsi="Calibri"/>
                <w:color w:val="000000"/>
                <w:sz w:val="16"/>
              </w:rPr>
              <w:t>Consultores internacionales</w:t>
            </w:r>
          </w:p>
        </w:tc>
        <w:tc>
          <w:tcPr>
            <w:tcW w:w="950" w:type="dxa"/>
            <w:tcBorders>
              <w:top w:val="nil"/>
              <w:left w:val="nil"/>
              <w:bottom w:val="single" w:sz="8" w:space="0" w:color="auto"/>
              <w:right w:val="single" w:sz="8" w:space="0" w:color="auto"/>
            </w:tcBorders>
            <w:shd w:val="clear" w:color="auto" w:fill="auto"/>
            <w:noWrap/>
            <w:vAlign w:val="center"/>
            <w:hideMark/>
          </w:tcPr>
          <w:p w14:paraId="4F67A33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55EE0FE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28E532B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7BD669F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17.500 </w:t>
            </w:r>
          </w:p>
        </w:tc>
        <w:tc>
          <w:tcPr>
            <w:tcW w:w="950" w:type="dxa"/>
            <w:tcBorders>
              <w:top w:val="nil"/>
              <w:left w:val="nil"/>
              <w:bottom w:val="single" w:sz="8" w:space="0" w:color="auto"/>
              <w:right w:val="single" w:sz="8" w:space="0" w:color="auto"/>
            </w:tcBorders>
            <w:shd w:val="clear" w:color="auto" w:fill="auto"/>
            <w:noWrap/>
            <w:vAlign w:val="center"/>
            <w:hideMark/>
          </w:tcPr>
          <w:p w14:paraId="6BAD303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75" w:type="dxa"/>
            <w:tcBorders>
              <w:top w:val="nil"/>
              <w:left w:val="nil"/>
              <w:bottom w:val="single" w:sz="8" w:space="0" w:color="auto"/>
              <w:right w:val="single" w:sz="8" w:space="0" w:color="auto"/>
            </w:tcBorders>
            <w:shd w:val="clear" w:color="auto" w:fill="auto"/>
            <w:noWrap/>
            <w:vAlign w:val="center"/>
            <w:hideMark/>
          </w:tcPr>
          <w:p w14:paraId="6E20241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62.500 </w:t>
            </w:r>
          </w:p>
        </w:tc>
        <w:tc>
          <w:tcPr>
            <w:tcW w:w="685" w:type="dxa"/>
            <w:tcBorders>
              <w:top w:val="single" w:sz="8" w:space="0" w:color="auto"/>
              <w:left w:val="nil"/>
              <w:bottom w:val="nil"/>
              <w:right w:val="single" w:sz="8" w:space="0" w:color="auto"/>
            </w:tcBorders>
            <w:shd w:val="clear" w:color="auto" w:fill="auto"/>
            <w:noWrap/>
            <w:vAlign w:val="center"/>
            <w:hideMark/>
          </w:tcPr>
          <w:p w14:paraId="62168743"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9 </w:t>
            </w:r>
          </w:p>
        </w:tc>
        <w:tc>
          <w:tcPr>
            <w:tcW w:w="155" w:type="dxa"/>
            <w:vAlign w:val="center"/>
            <w:hideMark/>
          </w:tcPr>
          <w:p w14:paraId="154FF2A1" w14:textId="77777777" w:rsidR="00055E12" w:rsidRPr="00055E12" w:rsidRDefault="00055E12" w:rsidP="00055E12">
            <w:pPr>
              <w:rPr>
                <w:sz w:val="20"/>
                <w:szCs w:val="20"/>
                <w:lang w:val="en-US" w:eastAsia="zh-CN"/>
              </w:rPr>
            </w:pPr>
          </w:p>
        </w:tc>
      </w:tr>
      <w:tr w:rsidR="00055E12" w:rsidRPr="00055E12" w14:paraId="0211BAAA"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3F2554F6"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63940D4"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2D78C83A"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0DA6304A"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3B974AD8"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71300</w:t>
            </w:r>
          </w:p>
        </w:tc>
        <w:tc>
          <w:tcPr>
            <w:tcW w:w="1982" w:type="dxa"/>
            <w:tcBorders>
              <w:top w:val="single" w:sz="8" w:space="0" w:color="auto"/>
              <w:left w:val="nil"/>
              <w:bottom w:val="nil"/>
              <w:right w:val="single" w:sz="8" w:space="0" w:color="auto"/>
            </w:tcBorders>
            <w:shd w:val="clear" w:color="auto" w:fill="auto"/>
            <w:noWrap/>
            <w:vAlign w:val="center"/>
            <w:hideMark/>
          </w:tcPr>
          <w:p w14:paraId="361F10A5" w14:textId="77777777" w:rsidR="00055E12" w:rsidRPr="00055E12" w:rsidRDefault="00055E12" w:rsidP="00055E12">
            <w:pPr>
              <w:rPr>
                <w:rFonts w:ascii="Calibri" w:hAnsi="Calibri" w:cs="Calibri"/>
                <w:color w:val="000000"/>
                <w:sz w:val="16"/>
                <w:szCs w:val="16"/>
              </w:rPr>
            </w:pPr>
            <w:r>
              <w:rPr>
                <w:rFonts w:ascii="Calibri" w:hAnsi="Calibri"/>
                <w:color w:val="000000"/>
                <w:sz w:val="16"/>
              </w:rPr>
              <w:t>Consultores locales</w:t>
            </w:r>
          </w:p>
        </w:tc>
        <w:tc>
          <w:tcPr>
            <w:tcW w:w="950" w:type="dxa"/>
            <w:tcBorders>
              <w:top w:val="nil"/>
              <w:left w:val="nil"/>
              <w:bottom w:val="single" w:sz="8" w:space="0" w:color="auto"/>
              <w:right w:val="single" w:sz="8" w:space="0" w:color="auto"/>
            </w:tcBorders>
            <w:shd w:val="clear" w:color="auto" w:fill="auto"/>
            <w:noWrap/>
            <w:vAlign w:val="center"/>
            <w:hideMark/>
          </w:tcPr>
          <w:p w14:paraId="60CE4B0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1067" w:type="dxa"/>
            <w:tcBorders>
              <w:top w:val="nil"/>
              <w:left w:val="nil"/>
              <w:bottom w:val="single" w:sz="8" w:space="0" w:color="auto"/>
              <w:right w:val="single" w:sz="8" w:space="0" w:color="auto"/>
            </w:tcBorders>
            <w:shd w:val="clear" w:color="auto" w:fill="auto"/>
            <w:noWrap/>
            <w:vAlign w:val="center"/>
            <w:hideMark/>
          </w:tcPr>
          <w:p w14:paraId="65222C0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6AFF0C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55A20B9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50" w:type="dxa"/>
            <w:tcBorders>
              <w:top w:val="nil"/>
              <w:left w:val="nil"/>
              <w:bottom w:val="single" w:sz="8" w:space="0" w:color="auto"/>
              <w:right w:val="single" w:sz="8" w:space="0" w:color="auto"/>
            </w:tcBorders>
            <w:shd w:val="clear" w:color="auto" w:fill="auto"/>
            <w:noWrap/>
            <w:vAlign w:val="center"/>
            <w:hideMark/>
          </w:tcPr>
          <w:p w14:paraId="44A39D5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30.000 </w:t>
            </w:r>
          </w:p>
        </w:tc>
        <w:tc>
          <w:tcPr>
            <w:tcW w:w="975" w:type="dxa"/>
            <w:tcBorders>
              <w:top w:val="nil"/>
              <w:left w:val="nil"/>
              <w:bottom w:val="single" w:sz="8" w:space="0" w:color="auto"/>
              <w:right w:val="single" w:sz="8" w:space="0" w:color="auto"/>
            </w:tcBorders>
            <w:shd w:val="clear" w:color="auto" w:fill="auto"/>
            <w:noWrap/>
            <w:vAlign w:val="center"/>
            <w:hideMark/>
          </w:tcPr>
          <w:p w14:paraId="53D8B5C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130.000 </w:t>
            </w:r>
          </w:p>
        </w:tc>
        <w:tc>
          <w:tcPr>
            <w:tcW w:w="685" w:type="dxa"/>
            <w:tcBorders>
              <w:top w:val="single" w:sz="8" w:space="0" w:color="auto"/>
              <w:left w:val="nil"/>
              <w:bottom w:val="nil"/>
              <w:right w:val="single" w:sz="8" w:space="0" w:color="auto"/>
            </w:tcBorders>
            <w:shd w:val="clear" w:color="auto" w:fill="auto"/>
            <w:noWrap/>
            <w:vAlign w:val="center"/>
            <w:hideMark/>
          </w:tcPr>
          <w:p w14:paraId="3BC26796"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10 </w:t>
            </w:r>
          </w:p>
        </w:tc>
        <w:tc>
          <w:tcPr>
            <w:tcW w:w="155" w:type="dxa"/>
            <w:vAlign w:val="center"/>
            <w:hideMark/>
          </w:tcPr>
          <w:p w14:paraId="2C0CCC98" w14:textId="77777777" w:rsidR="00055E12" w:rsidRPr="00055E12" w:rsidRDefault="00055E12" w:rsidP="00055E12">
            <w:pPr>
              <w:rPr>
                <w:sz w:val="20"/>
                <w:szCs w:val="20"/>
                <w:lang w:val="en-US" w:eastAsia="zh-CN"/>
              </w:rPr>
            </w:pPr>
          </w:p>
        </w:tc>
      </w:tr>
      <w:tr w:rsidR="00055E12" w:rsidRPr="00055E12" w14:paraId="08C348E6"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D32BE42"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EB9D428"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5A0CB568"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34983D6F"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4F799F51"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71400</w:t>
            </w:r>
          </w:p>
        </w:tc>
        <w:tc>
          <w:tcPr>
            <w:tcW w:w="1982" w:type="dxa"/>
            <w:tcBorders>
              <w:top w:val="single" w:sz="8" w:space="0" w:color="auto"/>
              <w:left w:val="nil"/>
              <w:bottom w:val="nil"/>
              <w:right w:val="single" w:sz="8" w:space="0" w:color="auto"/>
            </w:tcBorders>
            <w:shd w:val="clear" w:color="auto" w:fill="auto"/>
            <w:noWrap/>
            <w:vAlign w:val="center"/>
            <w:hideMark/>
          </w:tcPr>
          <w:p w14:paraId="07E1D805" w14:textId="77777777" w:rsidR="00055E12" w:rsidRPr="00055E12" w:rsidRDefault="00055E12" w:rsidP="00055E12">
            <w:pPr>
              <w:rPr>
                <w:rFonts w:ascii="Calibri" w:hAnsi="Calibri" w:cs="Calibri"/>
                <w:color w:val="000000"/>
                <w:sz w:val="16"/>
                <w:szCs w:val="16"/>
              </w:rPr>
            </w:pPr>
            <w:r>
              <w:rPr>
                <w:rFonts w:ascii="Calibri" w:hAnsi="Calibri"/>
                <w:color w:val="000000"/>
                <w:sz w:val="16"/>
              </w:rPr>
              <w:t>Servicios contractuales - particulares</w:t>
            </w:r>
          </w:p>
        </w:tc>
        <w:tc>
          <w:tcPr>
            <w:tcW w:w="950" w:type="dxa"/>
            <w:tcBorders>
              <w:top w:val="nil"/>
              <w:left w:val="nil"/>
              <w:bottom w:val="single" w:sz="8" w:space="0" w:color="auto"/>
              <w:right w:val="single" w:sz="8" w:space="0" w:color="auto"/>
            </w:tcBorders>
            <w:shd w:val="clear" w:color="auto" w:fill="auto"/>
            <w:noWrap/>
            <w:vAlign w:val="center"/>
            <w:hideMark/>
          </w:tcPr>
          <w:p w14:paraId="7E28F96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51.880 </w:t>
            </w:r>
          </w:p>
        </w:tc>
        <w:tc>
          <w:tcPr>
            <w:tcW w:w="1067" w:type="dxa"/>
            <w:tcBorders>
              <w:top w:val="nil"/>
              <w:left w:val="nil"/>
              <w:bottom w:val="single" w:sz="8" w:space="0" w:color="auto"/>
              <w:right w:val="single" w:sz="8" w:space="0" w:color="auto"/>
            </w:tcBorders>
            <w:shd w:val="clear" w:color="auto" w:fill="auto"/>
            <w:noWrap/>
            <w:vAlign w:val="center"/>
            <w:hideMark/>
          </w:tcPr>
          <w:p w14:paraId="04F3D59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51.880 </w:t>
            </w:r>
          </w:p>
        </w:tc>
        <w:tc>
          <w:tcPr>
            <w:tcW w:w="950" w:type="dxa"/>
            <w:tcBorders>
              <w:top w:val="nil"/>
              <w:left w:val="nil"/>
              <w:bottom w:val="single" w:sz="8" w:space="0" w:color="auto"/>
              <w:right w:val="single" w:sz="8" w:space="0" w:color="auto"/>
            </w:tcBorders>
            <w:shd w:val="clear" w:color="auto" w:fill="auto"/>
            <w:noWrap/>
            <w:vAlign w:val="center"/>
            <w:hideMark/>
          </w:tcPr>
          <w:p w14:paraId="19566D5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51.880 </w:t>
            </w:r>
          </w:p>
        </w:tc>
        <w:tc>
          <w:tcPr>
            <w:tcW w:w="950" w:type="dxa"/>
            <w:tcBorders>
              <w:top w:val="nil"/>
              <w:left w:val="nil"/>
              <w:bottom w:val="single" w:sz="8" w:space="0" w:color="auto"/>
              <w:right w:val="single" w:sz="8" w:space="0" w:color="auto"/>
            </w:tcBorders>
            <w:shd w:val="clear" w:color="auto" w:fill="auto"/>
            <w:noWrap/>
            <w:vAlign w:val="center"/>
            <w:hideMark/>
          </w:tcPr>
          <w:p w14:paraId="23AE11E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51.880 </w:t>
            </w:r>
          </w:p>
        </w:tc>
        <w:tc>
          <w:tcPr>
            <w:tcW w:w="950" w:type="dxa"/>
            <w:tcBorders>
              <w:top w:val="nil"/>
              <w:left w:val="nil"/>
              <w:bottom w:val="single" w:sz="8" w:space="0" w:color="auto"/>
              <w:right w:val="single" w:sz="8" w:space="0" w:color="auto"/>
            </w:tcBorders>
            <w:shd w:val="clear" w:color="auto" w:fill="auto"/>
            <w:noWrap/>
            <w:vAlign w:val="center"/>
            <w:hideMark/>
          </w:tcPr>
          <w:p w14:paraId="67F2911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51.880 </w:t>
            </w:r>
          </w:p>
        </w:tc>
        <w:tc>
          <w:tcPr>
            <w:tcW w:w="975" w:type="dxa"/>
            <w:tcBorders>
              <w:top w:val="nil"/>
              <w:left w:val="nil"/>
              <w:bottom w:val="single" w:sz="8" w:space="0" w:color="auto"/>
              <w:right w:val="single" w:sz="8" w:space="0" w:color="auto"/>
            </w:tcBorders>
            <w:shd w:val="clear" w:color="auto" w:fill="auto"/>
            <w:noWrap/>
            <w:vAlign w:val="center"/>
            <w:hideMark/>
          </w:tcPr>
          <w:p w14:paraId="5FB4A04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259.400 </w:t>
            </w:r>
          </w:p>
        </w:tc>
        <w:tc>
          <w:tcPr>
            <w:tcW w:w="685" w:type="dxa"/>
            <w:tcBorders>
              <w:top w:val="single" w:sz="8" w:space="0" w:color="auto"/>
              <w:left w:val="nil"/>
              <w:bottom w:val="nil"/>
              <w:right w:val="single" w:sz="8" w:space="0" w:color="auto"/>
            </w:tcBorders>
            <w:shd w:val="clear" w:color="auto" w:fill="auto"/>
            <w:noWrap/>
            <w:vAlign w:val="center"/>
            <w:hideMark/>
          </w:tcPr>
          <w:p w14:paraId="2F74BE59"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11 </w:t>
            </w:r>
          </w:p>
        </w:tc>
        <w:tc>
          <w:tcPr>
            <w:tcW w:w="155" w:type="dxa"/>
            <w:vAlign w:val="center"/>
            <w:hideMark/>
          </w:tcPr>
          <w:p w14:paraId="2CB722EA" w14:textId="77777777" w:rsidR="00055E12" w:rsidRPr="00055E12" w:rsidRDefault="00055E12" w:rsidP="00055E12">
            <w:pPr>
              <w:rPr>
                <w:sz w:val="20"/>
                <w:szCs w:val="20"/>
                <w:lang w:val="en-US" w:eastAsia="zh-CN"/>
              </w:rPr>
            </w:pPr>
          </w:p>
        </w:tc>
      </w:tr>
      <w:tr w:rsidR="00055E12" w:rsidRPr="00055E12" w14:paraId="74A9E250"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46D04385"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3EBB2659"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2CBB06CA"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E0040C9"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AC22ADA"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71600</w:t>
            </w:r>
          </w:p>
        </w:tc>
        <w:tc>
          <w:tcPr>
            <w:tcW w:w="1982" w:type="dxa"/>
            <w:tcBorders>
              <w:top w:val="single" w:sz="8" w:space="0" w:color="auto"/>
              <w:left w:val="nil"/>
              <w:bottom w:val="nil"/>
              <w:right w:val="single" w:sz="8" w:space="0" w:color="auto"/>
            </w:tcBorders>
            <w:shd w:val="clear" w:color="auto" w:fill="auto"/>
            <w:noWrap/>
            <w:vAlign w:val="center"/>
            <w:hideMark/>
          </w:tcPr>
          <w:p w14:paraId="55F299C7" w14:textId="77777777" w:rsidR="00055E12" w:rsidRPr="00055E12" w:rsidRDefault="00055E12" w:rsidP="00055E12">
            <w:pPr>
              <w:rPr>
                <w:rFonts w:ascii="Calibri" w:hAnsi="Calibri" w:cs="Calibri"/>
                <w:color w:val="000000"/>
                <w:sz w:val="16"/>
                <w:szCs w:val="16"/>
              </w:rPr>
            </w:pPr>
            <w:r>
              <w:rPr>
                <w:rFonts w:ascii="Calibri" w:hAnsi="Calibri"/>
                <w:color w:val="000000"/>
                <w:sz w:val="16"/>
              </w:rPr>
              <w:t>Viajes</w:t>
            </w:r>
          </w:p>
        </w:tc>
        <w:tc>
          <w:tcPr>
            <w:tcW w:w="950" w:type="dxa"/>
            <w:tcBorders>
              <w:top w:val="nil"/>
              <w:left w:val="nil"/>
              <w:bottom w:val="single" w:sz="8" w:space="0" w:color="auto"/>
              <w:right w:val="single" w:sz="8" w:space="0" w:color="auto"/>
            </w:tcBorders>
            <w:shd w:val="clear" w:color="auto" w:fill="auto"/>
            <w:noWrap/>
            <w:vAlign w:val="center"/>
            <w:hideMark/>
          </w:tcPr>
          <w:p w14:paraId="5702440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 </w:t>
            </w:r>
          </w:p>
        </w:tc>
        <w:tc>
          <w:tcPr>
            <w:tcW w:w="1067" w:type="dxa"/>
            <w:tcBorders>
              <w:top w:val="nil"/>
              <w:left w:val="nil"/>
              <w:bottom w:val="single" w:sz="8" w:space="0" w:color="auto"/>
              <w:right w:val="single" w:sz="8" w:space="0" w:color="auto"/>
            </w:tcBorders>
            <w:shd w:val="clear" w:color="auto" w:fill="auto"/>
            <w:noWrap/>
            <w:vAlign w:val="center"/>
            <w:hideMark/>
          </w:tcPr>
          <w:p w14:paraId="0CF9A1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5FC7EC4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13C1492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7920F8D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75" w:type="dxa"/>
            <w:tcBorders>
              <w:top w:val="nil"/>
              <w:left w:val="nil"/>
              <w:bottom w:val="single" w:sz="8" w:space="0" w:color="auto"/>
              <w:right w:val="single" w:sz="8" w:space="0" w:color="auto"/>
            </w:tcBorders>
            <w:shd w:val="clear" w:color="auto" w:fill="auto"/>
            <w:noWrap/>
            <w:vAlign w:val="center"/>
            <w:hideMark/>
          </w:tcPr>
          <w:p w14:paraId="00F76AD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45.000 </w:t>
            </w:r>
          </w:p>
        </w:tc>
        <w:tc>
          <w:tcPr>
            <w:tcW w:w="685" w:type="dxa"/>
            <w:tcBorders>
              <w:top w:val="single" w:sz="8" w:space="0" w:color="auto"/>
              <w:left w:val="nil"/>
              <w:bottom w:val="nil"/>
              <w:right w:val="single" w:sz="8" w:space="0" w:color="auto"/>
            </w:tcBorders>
            <w:shd w:val="clear" w:color="auto" w:fill="auto"/>
            <w:noWrap/>
            <w:vAlign w:val="center"/>
            <w:hideMark/>
          </w:tcPr>
          <w:p w14:paraId="2ECA4AAA"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12 </w:t>
            </w:r>
          </w:p>
        </w:tc>
        <w:tc>
          <w:tcPr>
            <w:tcW w:w="155" w:type="dxa"/>
            <w:vAlign w:val="center"/>
            <w:hideMark/>
          </w:tcPr>
          <w:p w14:paraId="219F3B12" w14:textId="77777777" w:rsidR="00055E12" w:rsidRPr="00055E12" w:rsidRDefault="00055E12" w:rsidP="00055E12">
            <w:pPr>
              <w:rPr>
                <w:sz w:val="20"/>
                <w:szCs w:val="20"/>
                <w:lang w:val="en-US" w:eastAsia="zh-CN"/>
              </w:rPr>
            </w:pPr>
          </w:p>
        </w:tc>
      </w:tr>
      <w:tr w:rsidR="00055E12" w:rsidRPr="00055E12" w14:paraId="46BDEE6C"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345C052C"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493F2CA5"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17A0909C"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05D85BE9"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584AA5B4"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72100</w:t>
            </w:r>
          </w:p>
        </w:tc>
        <w:tc>
          <w:tcPr>
            <w:tcW w:w="1982" w:type="dxa"/>
            <w:tcBorders>
              <w:top w:val="single" w:sz="8" w:space="0" w:color="auto"/>
              <w:left w:val="nil"/>
              <w:bottom w:val="nil"/>
              <w:right w:val="single" w:sz="8" w:space="0" w:color="auto"/>
            </w:tcBorders>
            <w:shd w:val="clear" w:color="auto" w:fill="auto"/>
            <w:noWrap/>
            <w:vAlign w:val="center"/>
            <w:hideMark/>
          </w:tcPr>
          <w:p w14:paraId="42C3BCBD" w14:textId="77777777" w:rsidR="00055E12" w:rsidRPr="00055E12" w:rsidRDefault="00055E12" w:rsidP="00055E12">
            <w:pPr>
              <w:rPr>
                <w:rFonts w:ascii="Calibri" w:hAnsi="Calibri" w:cs="Calibri"/>
                <w:color w:val="000000"/>
                <w:sz w:val="16"/>
                <w:szCs w:val="16"/>
              </w:rPr>
            </w:pPr>
            <w:r>
              <w:rPr>
                <w:rFonts w:ascii="Calibri" w:hAnsi="Calibri"/>
                <w:color w:val="000000"/>
                <w:sz w:val="16"/>
              </w:rPr>
              <w:t>Servicios contractuales - empresas</w:t>
            </w:r>
          </w:p>
        </w:tc>
        <w:tc>
          <w:tcPr>
            <w:tcW w:w="950" w:type="dxa"/>
            <w:tcBorders>
              <w:top w:val="nil"/>
              <w:left w:val="nil"/>
              <w:bottom w:val="single" w:sz="8" w:space="0" w:color="auto"/>
              <w:right w:val="single" w:sz="8" w:space="0" w:color="auto"/>
            </w:tcBorders>
            <w:shd w:val="clear" w:color="auto" w:fill="auto"/>
            <w:noWrap/>
            <w:vAlign w:val="center"/>
            <w:hideMark/>
          </w:tcPr>
          <w:p w14:paraId="6A2C6A0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16.000 </w:t>
            </w:r>
          </w:p>
        </w:tc>
        <w:tc>
          <w:tcPr>
            <w:tcW w:w="1067" w:type="dxa"/>
            <w:tcBorders>
              <w:top w:val="nil"/>
              <w:left w:val="nil"/>
              <w:bottom w:val="single" w:sz="8" w:space="0" w:color="auto"/>
              <w:right w:val="single" w:sz="8" w:space="0" w:color="auto"/>
            </w:tcBorders>
            <w:shd w:val="clear" w:color="auto" w:fill="auto"/>
            <w:noWrap/>
            <w:vAlign w:val="center"/>
            <w:hideMark/>
          </w:tcPr>
          <w:p w14:paraId="44ECD12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250.000 </w:t>
            </w:r>
          </w:p>
        </w:tc>
        <w:tc>
          <w:tcPr>
            <w:tcW w:w="950" w:type="dxa"/>
            <w:tcBorders>
              <w:top w:val="nil"/>
              <w:left w:val="nil"/>
              <w:bottom w:val="single" w:sz="8" w:space="0" w:color="auto"/>
              <w:right w:val="single" w:sz="8" w:space="0" w:color="auto"/>
            </w:tcBorders>
            <w:shd w:val="clear" w:color="auto" w:fill="auto"/>
            <w:noWrap/>
            <w:vAlign w:val="center"/>
            <w:hideMark/>
          </w:tcPr>
          <w:p w14:paraId="4C1FD47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250.000 </w:t>
            </w:r>
          </w:p>
        </w:tc>
        <w:tc>
          <w:tcPr>
            <w:tcW w:w="950" w:type="dxa"/>
            <w:tcBorders>
              <w:top w:val="nil"/>
              <w:left w:val="nil"/>
              <w:bottom w:val="single" w:sz="8" w:space="0" w:color="auto"/>
              <w:right w:val="single" w:sz="8" w:space="0" w:color="auto"/>
            </w:tcBorders>
            <w:shd w:val="clear" w:color="auto" w:fill="auto"/>
            <w:noWrap/>
            <w:vAlign w:val="center"/>
            <w:hideMark/>
          </w:tcPr>
          <w:p w14:paraId="7C271EF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250.000 </w:t>
            </w:r>
          </w:p>
        </w:tc>
        <w:tc>
          <w:tcPr>
            <w:tcW w:w="950" w:type="dxa"/>
            <w:tcBorders>
              <w:top w:val="nil"/>
              <w:left w:val="nil"/>
              <w:bottom w:val="single" w:sz="8" w:space="0" w:color="auto"/>
              <w:right w:val="single" w:sz="8" w:space="0" w:color="auto"/>
            </w:tcBorders>
            <w:shd w:val="clear" w:color="auto" w:fill="auto"/>
            <w:noWrap/>
            <w:vAlign w:val="center"/>
            <w:hideMark/>
          </w:tcPr>
          <w:p w14:paraId="03DBD0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250.000 </w:t>
            </w:r>
          </w:p>
        </w:tc>
        <w:tc>
          <w:tcPr>
            <w:tcW w:w="975" w:type="dxa"/>
            <w:tcBorders>
              <w:top w:val="nil"/>
              <w:left w:val="nil"/>
              <w:bottom w:val="single" w:sz="8" w:space="0" w:color="auto"/>
              <w:right w:val="single" w:sz="8" w:space="0" w:color="auto"/>
            </w:tcBorders>
            <w:shd w:val="clear" w:color="auto" w:fill="auto"/>
            <w:noWrap/>
            <w:vAlign w:val="center"/>
            <w:hideMark/>
          </w:tcPr>
          <w:p w14:paraId="22ED12B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1.016.000 </w:t>
            </w:r>
          </w:p>
        </w:tc>
        <w:tc>
          <w:tcPr>
            <w:tcW w:w="685" w:type="dxa"/>
            <w:tcBorders>
              <w:top w:val="single" w:sz="8" w:space="0" w:color="auto"/>
              <w:left w:val="nil"/>
              <w:bottom w:val="nil"/>
              <w:right w:val="single" w:sz="8" w:space="0" w:color="auto"/>
            </w:tcBorders>
            <w:shd w:val="clear" w:color="auto" w:fill="auto"/>
            <w:noWrap/>
            <w:vAlign w:val="center"/>
            <w:hideMark/>
          </w:tcPr>
          <w:p w14:paraId="7BF3AEAC"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13 </w:t>
            </w:r>
          </w:p>
        </w:tc>
        <w:tc>
          <w:tcPr>
            <w:tcW w:w="155" w:type="dxa"/>
            <w:vAlign w:val="center"/>
            <w:hideMark/>
          </w:tcPr>
          <w:p w14:paraId="4E810587" w14:textId="77777777" w:rsidR="00055E12" w:rsidRPr="00055E12" w:rsidRDefault="00055E12" w:rsidP="00055E12">
            <w:pPr>
              <w:rPr>
                <w:sz w:val="20"/>
                <w:szCs w:val="20"/>
                <w:lang w:val="en-US" w:eastAsia="zh-CN"/>
              </w:rPr>
            </w:pPr>
          </w:p>
        </w:tc>
      </w:tr>
      <w:tr w:rsidR="00055E12" w:rsidRPr="00055E12" w14:paraId="6F10BF5F"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F709207"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C9F0CDB"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1CBD0035"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9BDB225"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1D67F475"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72300</w:t>
            </w:r>
          </w:p>
        </w:tc>
        <w:tc>
          <w:tcPr>
            <w:tcW w:w="1982" w:type="dxa"/>
            <w:tcBorders>
              <w:top w:val="single" w:sz="8" w:space="0" w:color="auto"/>
              <w:left w:val="nil"/>
              <w:bottom w:val="nil"/>
              <w:right w:val="single" w:sz="8" w:space="0" w:color="auto"/>
            </w:tcBorders>
            <w:shd w:val="clear" w:color="auto" w:fill="auto"/>
            <w:noWrap/>
            <w:vAlign w:val="center"/>
            <w:hideMark/>
          </w:tcPr>
          <w:p w14:paraId="3819FD21" w14:textId="3E49A517" w:rsidR="00055E12" w:rsidRPr="00055E12" w:rsidRDefault="00055E12" w:rsidP="00C61EB0">
            <w:pPr>
              <w:rPr>
                <w:rFonts w:ascii="Calibri" w:hAnsi="Calibri" w:cs="Calibri"/>
                <w:color w:val="000000"/>
                <w:sz w:val="16"/>
                <w:szCs w:val="16"/>
              </w:rPr>
            </w:pPr>
            <w:r>
              <w:rPr>
                <w:rFonts w:ascii="Calibri" w:hAnsi="Calibri"/>
                <w:color w:val="000000"/>
                <w:sz w:val="16"/>
              </w:rPr>
              <w:t xml:space="preserve">Materiales y </w:t>
            </w:r>
            <w:r w:rsidR="00C61EB0">
              <w:rPr>
                <w:rFonts w:ascii="Calibri" w:hAnsi="Calibri"/>
                <w:color w:val="000000"/>
                <w:sz w:val="16"/>
              </w:rPr>
              <w:t>b</w:t>
            </w:r>
            <w:r>
              <w:rPr>
                <w:rFonts w:ascii="Calibri" w:hAnsi="Calibri"/>
                <w:color w:val="000000"/>
                <w:sz w:val="16"/>
              </w:rPr>
              <w:t>ienes</w:t>
            </w:r>
          </w:p>
        </w:tc>
        <w:tc>
          <w:tcPr>
            <w:tcW w:w="950" w:type="dxa"/>
            <w:tcBorders>
              <w:top w:val="nil"/>
              <w:left w:val="nil"/>
              <w:bottom w:val="single" w:sz="8" w:space="0" w:color="auto"/>
              <w:right w:val="single" w:sz="8" w:space="0" w:color="auto"/>
            </w:tcBorders>
            <w:shd w:val="clear" w:color="auto" w:fill="auto"/>
            <w:noWrap/>
            <w:vAlign w:val="center"/>
            <w:hideMark/>
          </w:tcPr>
          <w:p w14:paraId="58109F8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10C59F6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0881926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6DD96A2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48CA4EF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75" w:type="dxa"/>
            <w:tcBorders>
              <w:top w:val="nil"/>
              <w:left w:val="nil"/>
              <w:bottom w:val="single" w:sz="8" w:space="0" w:color="auto"/>
              <w:right w:val="single" w:sz="8" w:space="0" w:color="auto"/>
            </w:tcBorders>
            <w:shd w:val="clear" w:color="auto" w:fill="auto"/>
            <w:noWrap/>
            <w:vAlign w:val="center"/>
            <w:hideMark/>
          </w:tcPr>
          <w:p w14:paraId="1444D3E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80.000 </w:t>
            </w:r>
          </w:p>
        </w:tc>
        <w:tc>
          <w:tcPr>
            <w:tcW w:w="685" w:type="dxa"/>
            <w:tcBorders>
              <w:top w:val="single" w:sz="8" w:space="0" w:color="auto"/>
              <w:left w:val="nil"/>
              <w:bottom w:val="nil"/>
              <w:right w:val="single" w:sz="8" w:space="0" w:color="auto"/>
            </w:tcBorders>
            <w:shd w:val="clear" w:color="auto" w:fill="auto"/>
            <w:noWrap/>
            <w:vAlign w:val="center"/>
            <w:hideMark/>
          </w:tcPr>
          <w:p w14:paraId="2F82A4F4"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14 </w:t>
            </w:r>
          </w:p>
        </w:tc>
        <w:tc>
          <w:tcPr>
            <w:tcW w:w="155" w:type="dxa"/>
            <w:vAlign w:val="center"/>
            <w:hideMark/>
          </w:tcPr>
          <w:p w14:paraId="41FF0287" w14:textId="77777777" w:rsidR="00055E12" w:rsidRPr="00055E12" w:rsidRDefault="00055E12" w:rsidP="00055E12">
            <w:pPr>
              <w:rPr>
                <w:sz w:val="20"/>
                <w:szCs w:val="20"/>
                <w:lang w:val="en-US" w:eastAsia="zh-CN"/>
              </w:rPr>
            </w:pPr>
          </w:p>
        </w:tc>
      </w:tr>
      <w:tr w:rsidR="00055E12" w:rsidRPr="00055E12" w14:paraId="66CEC507"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08A808B"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0C723708"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14B5DBFD"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FC54796"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6E5814B0"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72600</w:t>
            </w:r>
          </w:p>
        </w:tc>
        <w:tc>
          <w:tcPr>
            <w:tcW w:w="1982" w:type="dxa"/>
            <w:tcBorders>
              <w:top w:val="single" w:sz="8" w:space="0" w:color="auto"/>
              <w:left w:val="nil"/>
              <w:bottom w:val="nil"/>
              <w:right w:val="single" w:sz="8" w:space="0" w:color="auto"/>
            </w:tcBorders>
            <w:shd w:val="clear" w:color="auto" w:fill="auto"/>
            <w:noWrap/>
            <w:vAlign w:val="center"/>
            <w:hideMark/>
          </w:tcPr>
          <w:p w14:paraId="441EA3EA" w14:textId="77777777" w:rsidR="00055E12" w:rsidRPr="00055E12" w:rsidRDefault="00055E12" w:rsidP="00055E12">
            <w:pPr>
              <w:rPr>
                <w:rFonts w:ascii="Calibri" w:hAnsi="Calibri" w:cs="Calibri"/>
                <w:color w:val="000000"/>
                <w:sz w:val="16"/>
                <w:szCs w:val="16"/>
              </w:rPr>
            </w:pPr>
            <w:r>
              <w:rPr>
                <w:rFonts w:ascii="Calibri" w:hAnsi="Calibri"/>
                <w:color w:val="000000"/>
                <w:sz w:val="16"/>
              </w:rPr>
              <w:t>Subvenciones</w:t>
            </w:r>
          </w:p>
        </w:tc>
        <w:tc>
          <w:tcPr>
            <w:tcW w:w="950" w:type="dxa"/>
            <w:tcBorders>
              <w:top w:val="nil"/>
              <w:left w:val="nil"/>
              <w:bottom w:val="single" w:sz="8" w:space="0" w:color="auto"/>
              <w:right w:val="single" w:sz="8" w:space="0" w:color="auto"/>
            </w:tcBorders>
            <w:shd w:val="clear" w:color="auto" w:fill="auto"/>
            <w:noWrap/>
            <w:vAlign w:val="center"/>
            <w:hideMark/>
          </w:tcPr>
          <w:p w14:paraId="66832B2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511AC37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110.000 </w:t>
            </w:r>
          </w:p>
        </w:tc>
        <w:tc>
          <w:tcPr>
            <w:tcW w:w="950" w:type="dxa"/>
            <w:tcBorders>
              <w:top w:val="nil"/>
              <w:left w:val="nil"/>
              <w:bottom w:val="single" w:sz="8" w:space="0" w:color="auto"/>
              <w:right w:val="single" w:sz="8" w:space="0" w:color="auto"/>
            </w:tcBorders>
            <w:shd w:val="clear" w:color="auto" w:fill="auto"/>
            <w:noWrap/>
            <w:vAlign w:val="center"/>
            <w:hideMark/>
          </w:tcPr>
          <w:p w14:paraId="0AC99FB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110.000 </w:t>
            </w:r>
          </w:p>
        </w:tc>
        <w:tc>
          <w:tcPr>
            <w:tcW w:w="950" w:type="dxa"/>
            <w:tcBorders>
              <w:top w:val="nil"/>
              <w:left w:val="nil"/>
              <w:bottom w:val="single" w:sz="8" w:space="0" w:color="auto"/>
              <w:right w:val="single" w:sz="8" w:space="0" w:color="auto"/>
            </w:tcBorders>
            <w:shd w:val="clear" w:color="auto" w:fill="auto"/>
            <w:noWrap/>
            <w:vAlign w:val="center"/>
            <w:hideMark/>
          </w:tcPr>
          <w:p w14:paraId="740045F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119.100 </w:t>
            </w:r>
          </w:p>
        </w:tc>
        <w:tc>
          <w:tcPr>
            <w:tcW w:w="950" w:type="dxa"/>
            <w:tcBorders>
              <w:top w:val="nil"/>
              <w:left w:val="nil"/>
              <w:bottom w:val="single" w:sz="8" w:space="0" w:color="auto"/>
              <w:right w:val="single" w:sz="8" w:space="0" w:color="auto"/>
            </w:tcBorders>
            <w:shd w:val="clear" w:color="auto" w:fill="auto"/>
            <w:noWrap/>
            <w:vAlign w:val="center"/>
            <w:hideMark/>
          </w:tcPr>
          <w:p w14:paraId="4989919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120.000 </w:t>
            </w:r>
          </w:p>
        </w:tc>
        <w:tc>
          <w:tcPr>
            <w:tcW w:w="975" w:type="dxa"/>
            <w:tcBorders>
              <w:top w:val="nil"/>
              <w:left w:val="nil"/>
              <w:bottom w:val="single" w:sz="8" w:space="0" w:color="auto"/>
              <w:right w:val="single" w:sz="8" w:space="0" w:color="auto"/>
            </w:tcBorders>
            <w:shd w:val="clear" w:color="auto" w:fill="auto"/>
            <w:noWrap/>
            <w:vAlign w:val="center"/>
            <w:hideMark/>
          </w:tcPr>
          <w:p w14:paraId="3DA40F6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459.100 </w:t>
            </w:r>
          </w:p>
        </w:tc>
        <w:tc>
          <w:tcPr>
            <w:tcW w:w="685" w:type="dxa"/>
            <w:tcBorders>
              <w:top w:val="single" w:sz="8" w:space="0" w:color="auto"/>
              <w:left w:val="nil"/>
              <w:bottom w:val="nil"/>
              <w:right w:val="single" w:sz="8" w:space="0" w:color="auto"/>
            </w:tcBorders>
            <w:shd w:val="clear" w:color="auto" w:fill="auto"/>
            <w:noWrap/>
            <w:vAlign w:val="center"/>
            <w:hideMark/>
          </w:tcPr>
          <w:p w14:paraId="59EE9976"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15 </w:t>
            </w:r>
          </w:p>
        </w:tc>
        <w:tc>
          <w:tcPr>
            <w:tcW w:w="155" w:type="dxa"/>
            <w:vAlign w:val="center"/>
            <w:hideMark/>
          </w:tcPr>
          <w:p w14:paraId="31821790" w14:textId="77777777" w:rsidR="00055E12" w:rsidRPr="00055E12" w:rsidRDefault="00055E12" w:rsidP="00055E12">
            <w:pPr>
              <w:rPr>
                <w:sz w:val="20"/>
                <w:szCs w:val="20"/>
                <w:lang w:val="en-US" w:eastAsia="zh-CN"/>
              </w:rPr>
            </w:pPr>
          </w:p>
        </w:tc>
      </w:tr>
      <w:tr w:rsidR="00055E12" w:rsidRPr="00055E12" w14:paraId="08C6D44D"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256995F4"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EAA8782"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F1D6636"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35E6F33E"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780E7241"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74200</w:t>
            </w:r>
          </w:p>
        </w:tc>
        <w:tc>
          <w:tcPr>
            <w:tcW w:w="1982" w:type="dxa"/>
            <w:tcBorders>
              <w:top w:val="single" w:sz="8" w:space="0" w:color="auto"/>
              <w:left w:val="nil"/>
              <w:bottom w:val="nil"/>
              <w:right w:val="single" w:sz="8" w:space="0" w:color="auto"/>
            </w:tcBorders>
            <w:shd w:val="clear" w:color="auto" w:fill="auto"/>
            <w:noWrap/>
            <w:vAlign w:val="center"/>
            <w:hideMark/>
          </w:tcPr>
          <w:p w14:paraId="5D42148F" w14:textId="2A4F2BE3" w:rsidR="00055E12" w:rsidRPr="00055E12" w:rsidRDefault="00055E12" w:rsidP="00C61EB0">
            <w:pPr>
              <w:rPr>
                <w:rFonts w:ascii="Calibri" w:hAnsi="Calibri" w:cs="Calibri"/>
                <w:color w:val="000000"/>
                <w:sz w:val="16"/>
                <w:szCs w:val="16"/>
              </w:rPr>
            </w:pPr>
            <w:r>
              <w:rPr>
                <w:rFonts w:ascii="Calibri" w:hAnsi="Calibri"/>
                <w:color w:val="000000"/>
                <w:sz w:val="16"/>
              </w:rPr>
              <w:t>Cost</w:t>
            </w:r>
            <w:r w:rsidR="00C61EB0">
              <w:rPr>
                <w:rFonts w:ascii="Calibri" w:hAnsi="Calibri"/>
                <w:color w:val="000000"/>
                <w:sz w:val="16"/>
              </w:rPr>
              <w:t>o</w:t>
            </w:r>
            <w:r>
              <w:rPr>
                <w:rFonts w:ascii="Calibri" w:hAnsi="Calibri"/>
                <w:color w:val="000000"/>
                <w:sz w:val="16"/>
              </w:rPr>
              <w:t>s audiovisuales y de impresión</w:t>
            </w:r>
          </w:p>
        </w:tc>
        <w:tc>
          <w:tcPr>
            <w:tcW w:w="950" w:type="dxa"/>
            <w:tcBorders>
              <w:top w:val="nil"/>
              <w:left w:val="nil"/>
              <w:bottom w:val="single" w:sz="8" w:space="0" w:color="auto"/>
              <w:right w:val="single" w:sz="8" w:space="0" w:color="auto"/>
            </w:tcBorders>
            <w:shd w:val="clear" w:color="auto" w:fill="auto"/>
            <w:noWrap/>
            <w:vAlign w:val="center"/>
            <w:hideMark/>
          </w:tcPr>
          <w:p w14:paraId="4B1B8F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7B6F8EC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01C69A5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3B1C51F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single" w:sz="8" w:space="0" w:color="auto"/>
              <w:right w:val="single" w:sz="8" w:space="0" w:color="auto"/>
            </w:tcBorders>
            <w:shd w:val="clear" w:color="auto" w:fill="auto"/>
            <w:noWrap/>
            <w:vAlign w:val="center"/>
            <w:hideMark/>
          </w:tcPr>
          <w:p w14:paraId="4881B12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75" w:type="dxa"/>
            <w:tcBorders>
              <w:top w:val="nil"/>
              <w:left w:val="nil"/>
              <w:bottom w:val="single" w:sz="8" w:space="0" w:color="auto"/>
              <w:right w:val="single" w:sz="8" w:space="0" w:color="auto"/>
            </w:tcBorders>
            <w:shd w:val="clear" w:color="auto" w:fill="auto"/>
            <w:noWrap/>
            <w:vAlign w:val="center"/>
            <w:hideMark/>
          </w:tcPr>
          <w:p w14:paraId="3275DAA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40.000 </w:t>
            </w:r>
          </w:p>
        </w:tc>
        <w:tc>
          <w:tcPr>
            <w:tcW w:w="685" w:type="dxa"/>
            <w:tcBorders>
              <w:top w:val="single" w:sz="8" w:space="0" w:color="auto"/>
              <w:left w:val="nil"/>
              <w:bottom w:val="nil"/>
              <w:right w:val="single" w:sz="8" w:space="0" w:color="auto"/>
            </w:tcBorders>
            <w:shd w:val="clear" w:color="auto" w:fill="auto"/>
            <w:noWrap/>
            <w:vAlign w:val="center"/>
            <w:hideMark/>
          </w:tcPr>
          <w:p w14:paraId="6E52A01E"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16 </w:t>
            </w:r>
          </w:p>
        </w:tc>
        <w:tc>
          <w:tcPr>
            <w:tcW w:w="155" w:type="dxa"/>
            <w:vAlign w:val="center"/>
            <w:hideMark/>
          </w:tcPr>
          <w:p w14:paraId="72D5A278" w14:textId="77777777" w:rsidR="00055E12" w:rsidRPr="00055E12" w:rsidRDefault="00055E12" w:rsidP="00055E12">
            <w:pPr>
              <w:rPr>
                <w:sz w:val="20"/>
                <w:szCs w:val="20"/>
                <w:lang w:val="en-US" w:eastAsia="zh-CN"/>
              </w:rPr>
            </w:pPr>
          </w:p>
        </w:tc>
      </w:tr>
      <w:tr w:rsidR="00055E12" w:rsidRPr="00055E12" w14:paraId="251D79C4"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4ECB4771"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6780A01A"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C8AEE6B"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08E96B1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7DBD501A"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75700</w:t>
            </w:r>
          </w:p>
        </w:tc>
        <w:tc>
          <w:tcPr>
            <w:tcW w:w="1982" w:type="dxa"/>
            <w:tcBorders>
              <w:top w:val="single" w:sz="8" w:space="0" w:color="auto"/>
              <w:left w:val="nil"/>
              <w:bottom w:val="nil"/>
              <w:right w:val="single" w:sz="8" w:space="0" w:color="auto"/>
            </w:tcBorders>
            <w:shd w:val="clear" w:color="auto" w:fill="auto"/>
            <w:noWrap/>
            <w:vAlign w:val="center"/>
            <w:hideMark/>
          </w:tcPr>
          <w:p w14:paraId="62B6E8FC" w14:textId="77777777" w:rsidR="00055E12" w:rsidRPr="00055E12" w:rsidRDefault="00055E12" w:rsidP="00055E12">
            <w:pPr>
              <w:rPr>
                <w:rFonts w:ascii="Calibri" w:hAnsi="Calibri" w:cs="Calibri"/>
                <w:color w:val="000000"/>
                <w:sz w:val="16"/>
                <w:szCs w:val="16"/>
              </w:rPr>
            </w:pPr>
            <w:r>
              <w:rPr>
                <w:rFonts w:ascii="Calibri" w:hAnsi="Calibri"/>
                <w:color w:val="000000"/>
                <w:sz w:val="16"/>
              </w:rPr>
              <w:t>Formación, talleres y conferencias</w:t>
            </w:r>
          </w:p>
        </w:tc>
        <w:tc>
          <w:tcPr>
            <w:tcW w:w="950" w:type="dxa"/>
            <w:tcBorders>
              <w:top w:val="nil"/>
              <w:left w:val="nil"/>
              <w:bottom w:val="single" w:sz="8" w:space="0" w:color="auto"/>
              <w:right w:val="single" w:sz="8" w:space="0" w:color="auto"/>
            </w:tcBorders>
            <w:shd w:val="clear" w:color="auto" w:fill="auto"/>
            <w:noWrap/>
            <w:vAlign w:val="center"/>
            <w:hideMark/>
          </w:tcPr>
          <w:p w14:paraId="1E14E8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1067" w:type="dxa"/>
            <w:tcBorders>
              <w:top w:val="nil"/>
              <w:left w:val="nil"/>
              <w:bottom w:val="single" w:sz="8" w:space="0" w:color="auto"/>
              <w:right w:val="single" w:sz="8" w:space="0" w:color="auto"/>
            </w:tcBorders>
            <w:shd w:val="clear" w:color="auto" w:fill="auto"/>
            <w:noWrap/>
            <w:vAlign w:val="center"/>
            <w:hideMark/>
          </w:tcPr>
          <w:p w14:paraId="233AD26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13.000 </w:t>
            </w:r>
          </w:p>
        </w:tc>
        <w:tc>
          <w:tcPr>
            <w:tcW w:w="950" w:type="dxa"/>
            <w:tcBorders>
              <w:top w:val="nil"/>
              <w:left w:val="nil"/>
              <w:bottom w:val="single" w:sz="8" w:space="0" w:color="auto"/>
              <w:right w:val="single" w:sz="8" w:space="0" w:color="auto"/>
            </w:tcBorders>
            <w:shd w:val="clear" w:color="auto" w:fill="auto"/>
            <w:noWrap/>
            <w:vAlign w:val="center"/>
            <w:hideMark/>
          </w:tcPr>
          <w:p w14:paraId="22A7995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13.000 </w:t>
            </w:r>
          </w:p>
        </w:tc>
        <w:tc>
          <w:tcPr>
            <w:tcW w:w="950" w:type="dxa"/>
            <w:tcBorders>
              <w:top w:val="nil"/>
              <w:left w:val="nil"/>
              <w:bottom w:val="single" w:sz="8" w:space="0" w:color="auto"/>
              <w:right w:val="single" w:sz="8" w:space="0" w:color="auto"/>
            </w:tcBorders>
            <w:shd w:val="clear" w:color="auto" w:fill="auto"/>
            <w:noWrap/>
            <w:vAlign w:val="center"/>
            <w:hideMark/>
          </w:tcPr>
          <w:p w14:paraId="12B3184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13.000 </w:t>
            </w:r>
          </w:p>
        </w:tc>
        <w:tc>
          <w:tcPr>
            <w:tcW w:w="950" w:type="dxa"/>
            <w:tcBorders>
              <w:top w:val="nil"/>
              <w:left w:val="nil"/>
              <w:bottom w:val="single" w:sz="8" w:space="0" w:color="auto"/>
              <w:right w:val="single" w:sz="8" w:space="0" w:color="auto"/>
            </w:tcBorders>
            <w:shd w:val="clear" w:color="auto" w:fill="auto"/>
            <w:noWrap/>
            <w:vAlign w:val="center"/>
            <w:hideMark/>
          </w:tcPr>
          <w:p w14:paraId="7BB6CB3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13.524 </w:t>
            </w:r>
          </w:p>
        </w:tc>
        <w:tc>
          <w:tcPr>
            <w:tcW w:w="975" w:type="dxa"/>
            <w:tcBorders>
              <w:top w:val="nil"/>
              <w:left w:val="nil"/>
              <w:bottom w:val="single" w:sz="8" w:space="0" w:color="auto"/>
              <w:right w:val="single" w:sz="8" w:space="0" w:color="auto"/>
            </w:tcBorders>
            <w:shd w:val="clear" w:color="auto" w:fill="auto"/>
            <w:noWrap/>
            <w:vAlign w:val="center"/>
            <w:hideMark/>
          </w:tcPr>
          <w:p w14:paraId="2E9F912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62.524 </w:t>
            </w:r>
          </w:p>
        </w:tc>
        <w:tc>
          <w:tcPr>
            <w:tcW w:w="685" w:type="dxa"/>
            <w:tcBorders>
              <w:top w:val="single" w:sz="8" w:space="0" w:color="auto"/>
              <w:left w:val="nil"/>
              <w:bottom w:val="nil"/>
              <w:right w:val="single" w:sz="8" w:space="0" w:color="auto"/>
            </w:tcBorders>
            <w:shd w:val="clear" w:color="auto" w:fill="auto"/>
            <w:noWrap/>
            <w:vAlign w:val="center"/>
            <w:hideMark/>
          </w:tcPr>
          <w:p w14:paraId="3A90E67A"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xml:space="preserve">                     17 </w:t>
            </w:r>
          </w:p>
        </w:tc>
        <w:tc>
          <w:tcPr>
            <w:tcW w:w="155" w:type="dxa"/>
            <w:vAlign w:val="center"/>
            <w:hideMark/>
          </w:tcPr>
          <w:p w14:paraId="63E6B793" w14:textId="77777777" w:rsidR="00055E12" w:rsidRPr="00055E12" w:rsidRDefault="00055E12" w:rsidP="00055E12">
            <w:pPr>
              <w:rPr>
                <w:sz w:val="20"/>
                <w:szCs w:val="20"/>
                <w:lang w:val="en-US" w:eastAsia="zh-CN"/>
              </w:rPr>
            </w:pPr>
          </w:p>
        </w:tc>
      </w:tr>
      <w:tr w:rsidR="00055E12" w:rsidRPr="00055E12" w14:paraId="5E9F53B6"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6D5153D"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679CB879"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25DE8C8"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67B7E691"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double" w:sz="6" w:space="0" w:color="auto"/>
              <w:left w:val="nil"/>
              <w:bottom w:val="double" w:sz="6" w:space="0" w:color="auto"/>
              <w:right w:val="single" w:sz="8" w:space="0" w:color="auto"/>
            </w:tcBorders>
            <w:shd w:val="clear" w:color="auto" w:fill="auto"/>
            <w:noWrap/>
            <w:vAlign w:val="center"/>
            <w:hideMark/>
          </w:tcPr>
          <w:p w14:paraId="15154570"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w:t>
            </w:r>
          </w:p>
        </w:tc>
        <w:tc>
          <w:tcPr>
            <w:tcW w:w="1982" w:type="dxa"/>
            <w:tcBorders>
              <w:top w:val="nil"/>
              <w:left w:val="nil"/>
              <w:bottom w:val="double" w:sz="6" w:space="0" w:color="auto"/>
              <w:right w:val="single" w:sz="8" w:space="0" w:color="auto"/>
            </w:tcBorders>
            <w:shd w:val="clear" w:color="auto" w:fill="auto"/>
            <w:noWrap/>
            <w:vAlign w:val="center"/>
            <w:hideMark/>
          </w:tcPr>
          <w:p w14:paraId="6C158E5C"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Total Componente 2</w:t>
            </w:r>
          </w:p>
        </w:tc>
        <w:tc>
          <w:tcPr>
            <w:tcW w:w="950" w:type="dxa"/>
            <w:tcBorders>
              <w:top w:val="nil"/>
              <w:left w:val="nil"/>
              <w:bottom w:val="single" w:sz="8" w:space="0" w:color="auto"/>
              <w:right w:val="single" w:sz="8" w:space="0" w:color="auto"/>
            </w:tcBorders>
            <w:shd w:val="clear" w:color="auto" w:fill="auto"/>
            <w:noWrap/>
            <w:vAlign w:val="center"/>
            <w:hideMark/>
          </w:tcPr>
          <w:p w14:paraId="120353DD"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92.880 </w:t>
            </w:r>
          </w:p>
        </w:tc>
        <w:tc>
          <w:tcPr>
            <w:tcW w:w="1067" w:type="dxa"/>
            <w:tcBorders>
              <w:top w:val="nil"/>
              <w:left w:val="nil"/>
              <w:bottom w:val="single" w:sz="8" w:space="0" w:color="auto"/>
              <w:right w:val="single" w:sz="8" w:space="0" w:color="auto"/>
            </w:tcBorders>
            <w:shd w:val="clear" w:color="auto" w:fill="auto"/>
            <w:noWrap/>
            <w:vAlign w:val="center"/>
            <w:hideMark/>
          </w:tcPr>
          <w:p w14:paraId="24B50341"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504.880 </w:t>
            </w:r>
          </w:p>
        </w:tc>
        <w:tc>
          <w:tcPr>
            <w:tcW w:w="950" w:type="dxa"/>
            <w:tcBorders>
              <w:top w:val="nil"/>
              <w:left w:val="nil"/>
              <w:bottom w:val="single" w:sz="8" w:space="0" w:color="auto"/>
              <w:right w:val="single" w:sz="8" w:space="0" w:color="auto"/>
            </w:tcBorders>
            <w:shd w:val="clear" w:color="auto" w:fill="auto"/>
            <w:noWrap/>
            <w:vAlign w:val="center"/>
            <w:hideMark/>
          </w:tcPr>
          <w:p w14:paraId="4F4A9068"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514.880 </w:t>
            </w:r>
          </w:p>
        </w:tc>
        <w:tc>
          <w:tcPr>
            <w:tcW w:w="950" w:type="dxa"/>
            <w:tcBorders>
              <w:top w:val="nil"/>
              <w:left w:val="nil"/>
              <w:bottom w:val="single" w:sz="8" w:space="0" w:color="auto"/>
              <w:right w:val="single" w:sz="8" w:space="0" w:color="auto"/>
            </w:tcBorders>
            <w:shd w:val="clear" w:color="auto" w:fill="auto"/>
            <w:noWrap/>
            <w:vAlign w:val="center"/>
            <w:hideMark/>
          </w:tcPr>
          <w:p w14:paraId="7A92BDAB"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521.480 </w:t>
            </w:r>
          </w:p>
        </w:tc>
        <w:tc>
          <w:tcPr>
            <w:tcW w:w="950" w:type="dxa"/>
            <w:tcBorders>
              <w:top w:val="nil"/>
              <w:left w:val="nil"/>
              <w:bottom w:val="single" w:sz="8" w:space="0" w:color="auto"/>
              <w:right w:val="single" w:sz="8" w:space="0" w:color="auto"/>
            </w:tcBorders>
            <w:shd w:val="clear" w:color="auto" w:fill="auto"/>
            <w:noWrap/>
            <w:vAlign w:val="center"/>
            <w:hideMark/>
          </w:tcPr>
          <w:p w14:paraId="6A834BCB"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520.404 </w:t>
            </w:r>
          </w:p>
        </w:tc>
        <w:tc>
          <w:tcPr>
            <w:tcW w:w="975" w:type="dxa"/>
            <w:tcBorders>
              <w:top w:val="nil"/>
              <w:left w:val="nil"/>
              <w:bottom w:val="single" w:sz="8" w:space="0" w:color="auto"/>
              <w:right w:val="single" w:sz="8" w:space="0" w:color="auto"/>
            </w:tcBorders>
            <w:shd w:val="clear" w:color="auto" w:fill="auto"/>
            <w:noWrap/>
            <w:vAlign w:val="center"/>
            <w:hideMark/>
          </w:tcPr>
          <w:p w14:paraId="49FFA28E"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2.154.524 </w:t>
            </w:r>
          </w:p>
        </w:tc>
        <w:tc>
          <w:tcPr>
            <w:tcW w:w="685" w:type="dxa"/>
            <w:tcBorders>
              <w:top w:val="nil"/>
              <w:left w:val="nil"/>
              <w:bottom w:val="double" w:sz="6" w:space="0" w:color="auto"/>
              <w:right w:val="single" w:sz="8" w:space="0" w:color="auto"/>
            </w:tcBorders>
            <w:shd w:val="clear" w:color="auto" w:fill="auto"/>
            <w:vAlign w:val="center"/>
            <w:hideMark/>
          </w:tcPr>
          <w:p w14:paraId="6F0C0C6E" w14:textId="77777777" w:rsidR="00055E12" w:rsidRPr="00055E12" w:rsidRDefault="00055E12" w:rsidP="00055E12">
            <w:pPr>
              <w:jc w:val="center"/>
              <w:rPr>
                <w:rFonts w:ascii="Calibri" w:hAnsi="Calibri" w:cs="Calibri"/>
                <w:b/>
                <w:bCs/>
                <w:i/>
                <w:iCs/>
                <w:color w:val="000000"/>
                <w:sz w:val="16"/>
                <w:szCs w:val="16"/>
              </w:rPr>
            </w:pPr>
            <w:r>
              <w:rPr>
                <w:rFonts w:ascii="Calibri" w:hAnsi="Calibri"/>
                <w:b/>
                <w:i/>
                <w:color w:val="000000"/>
                <w:sz w:val="16"/>
              </w:rPr>
              <w:t> </w:t>
            </w:r>
          </w:p>
        </w:tc>
        <w:tc>
          <w:tcPr>
            <w:tcW w:w="155" w:type="dxa"/>
            <w:vAlign w:val="center"/>
            <w:hideMark/>
          </w:tcPr>
          <w:p w14:paraId="3C45D8EA" w14:textId="77777777" w:rsidR="00055E12" w:rsidRPr="00055E12" w:rsidRDefault="00055E12" w:rsidP="00055E12">
            <w:pPr>
              <w:rPr>
                <w:sz w:val="20"/>
                <w:szCs w:val="20"/>
                <w:lang w:val="en-US" w:eastAsia="zh-CN"/>
              </w:rPr>
            </w:pPr>
          </w:p>
        </w:tc>
      </w:tr>
      <w:tr w:rsidR="00055E12" w:rsidRPr="00055E12" w14:paraId="531A4372" w14:textId="77777777" w:rsidTr="00055E12">
        <w:trPr>
          <w:trHeight w:val="295"/>
        </w:trPr>
        <w:tc>
          <w:tcPr>
            <w:tcW w:w="2356" w:type="dxa"/>
            <w:vMerge w:val="restart"/>
            <w:tcBorders>
              <w:top w:val="nil"/>
              <w:left w:val="single" w:sz="8" w:space="0" w:color="auto"/>
              <w:bottom w:val="double" w:sz="6" w:space="0" w:color="000000"/>
              <w:right w:val="single" w:sz="8" w:space="0" w:color="auto"/>
            </w:tcBorders>
            <w:shd w:val="clear" w:color="auto" w:fill="auto"/>
            <w:vAlign w:val="center"/>
            <w:hideMark/>
          </w:tcPr>
          <w:p w14:paraId="215B4AA1"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3. Desarrollo de capacidades y difusión de conocimientos</w:t>
            </w:r>
          </w:p>
        </w:tc>
        <w:tc>
          <w:tcPr>
            <w:tcW w:w="1009" w:type="dxa"/>
            <w:vMerge w:val="restart"/>
            <w:tcBorders>
              <w:top w:val="nil"/>
              <w:left w:val="single" w:sz="8" w:space="0" w:color="auto"/>
              <w:bottom w:val="double" w:sz="6" w:space="0" w:color="000000"/>
              <w:right w:val="single" w:sz="8" w:space="0" w:color="auto"/>
            </w:tcBorders>
            <w:shd w:val="clear" w:color="auto" w:fill="auto"/>
            <w:vAlign w:val="center"/>
            <w:hideMark/>
          </w:tcPr>
          <w:p w14:paraId="464AD057"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Ministerio de Medio Ambiente, Agua y Transición Ecológica (MAATE)</w:t>
            </w:r>
          </w:p>
        </w:tc>
        <w:tc>
          <w:tcPr>
            <w:tcW w:w="704" w:type="dxa"/>
            <w:vMerge w:val="restart"/>
            <w:tcBorders>
              <w:top w:val="nil"/>
              <w:left w:val="single" w:sz="8" w:space="0" w:color="auto"/>
              <w:bottom w:val="double" w:sz="6" w:space="0" w:color="000000"/>
              <w:right w:val="single" w:sz="8" w:space="0" w:color="auto"/>
            </w:tcBorders>
            <w:shd w:val="clear" w:color="auto" w:fill="auto"/>
            <w:vAlign w:val="center"/>
            <w:hideMark/>
          </w:tcPr>
          <w:p w14:paraId="3F2768E1"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62000</w:t>
            </w:r>
          </w:p>
        </w:tc>
        <w:tc>
          <w:tcPr>
            <w:tcW w:w="705" w:type="dxa"/>
            <w:vMerge w:val="restart"/>
            <w:tcBorders>
              <w:top w:val="nil"/>
              <w:left w:val="single" w:sz="8" w:space="0" w:color="auto"/>
              <w:bottom w:val="double" w:sz="6" w:space="0" w:color="000000"/>
              <w:right w:val="single" w:sz="8" w:space="0" w:color="auto"/>
            </w:tcBorders>
            <w:shd w:val="clear" w:color="auto" w:fill="auto"/>
            <w:vAlign w:val="center"/>
            <w:hideMark/>
          </w:tcPr>
          <w:p w14:paraId="65EF6052"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FMAM</w:t>
            </w:r>
          </w:p>
        </w:tc>
        <w:tc>
          <w:tcPr>
            <w:tcW w:w="865" w:type="dxa"/>
            <w:tcBorders>
              <w:top w:val="single" w:sz="8" w:space="0" w:color="auto"/>
              <w:left w:val="nil"/>
              <w:bottom w:val="nil"/>
              <w:right w:val="single" w:sz="8" w:space="0" w:color="auto"/>
            </w:tcBorders>
            <w:shd w:val="clear" w:color="auto" w:fill="auto"/>
            <w:noWrap/>
            <w:vAlign w:val="center"/>
            <w:hideMark/>
          </w:tcPr>
          <w:p w14:paraId="2B4F08CD"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71300</w:t>
            </w:r>
          </w:p>
        </w:tc>
        <w:tc>
          <w:tcPr>
            <w:tcW w:w="1982" w:type="dxa"/>
            <w:tcBorders>
              <w:top w:val="single" w:sz="8" w:space="0" w:color="auto"/>
              <w:left w:val="nil"/>
              <w:bottom w:val="nil"/>
              <w:right w:val="single" w:sz="8" w:space="0" w:color="auto"/>
            </w:tcBorders>
            <w:shd w:val="clear" w:color="auto" w:fill="auto"/>
            <w:noWrap/>
            <w:vAlign w:val="center"/>
            <w:hideMark/>
          </w:tcPr>
          <w:p w14:paraId="1211603D" w14:textId="77777777" w:rsidR="00055E12" w:rsidRPr="00055E12" w:rsidRDefault="00055E12" w:rsidP="00055E12">
            <w:pPr>
              <w:rPr>
                <w:rFonts w:ascii="Calibri" w:hAnsi="Calibri" w:cs="Calibri"/>
                <w:color w:val="000000"/>
                <w:sz w:val="16"/>
                <w:szCs w:val="16"/>
              </w:rPr>
            </w:pPr>
            <w:r>
              <w:rPr>
                <w:rFonts w:ascii="Calibri" w:hAnsi="Calibri"/>
                <w:color w:val="000000"/>
                <w:sz w:val="16"/>
              </w:rPr>
              <w:t>Consultores locales</w:t>
            </w:r>
          </w:p>
        </w:tc>
        <w:tc>
          <w:tcPr>
            <w:tcW w:w="950" w:type="dxa"/>
            <w:tcBorders>
              <w:top w:val="nil"/>
              <w:left w:val="nil"/>
              <w:bottom w:val="single" w:sz="8" w:space="0" w:color="auto"/>
              <w:right w:val="single" w:sz="8" w:space="0" w:color="auto"/>
            </w:tcBorders>
            <w:shd w:val="clear" w:color="auto" w:fill="auto"/>
            <w:noWrap/>
            <w:vAlign w:val="center"/>
            <w:hideMark/>
          </w:tcPr>
          <w:p w14:paraId="3FA5CDB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 </w:t>
            </w:r>
          </w:p>
        </w:tc>
        <w:tc>
          <w:tcPr>
            <w:tcW w:w="1067" w:type="dxa"/>
            <w:tcBorders>
              <w:top w:val="nil"/>
              <w:left w:val="nil"/>
              <w:bottom w:val="single" w:sz="8" w:space="0" w:color="auto"/>
              <w:right w:val="single" w:sz="8" w:space="0" w:color="auto"/>
            </w:tcBorders>
            <w:shd w:val="clear" w:color="auto" w:fill="auto"/>
            <w:noWrap/>
            <w:vAlign w:val="center"/>
            <w:hideMark/>
          </w:tcPr>
          <w:p w14:paraId="56D2B3B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6C46189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582A959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50" w:type="dxa"/>
            <w:tcBorders>
              <w:top w:val="nil"/>
              <w:left w:val="nil"/>
              <w:bottom w:val="single" w:sz="8" w:space="0" w:color="auto"/>
              <w:right w:val="single" w:sz="8" w:space="0" w:color="auto"/>
            </w:tcBorders>
            <w:shd w:val="clear" w:color="auto" w:fill="auto"/>
            <w:noWrap/>
            <w:vAlign w:val="center"/>
            <w:hideMark/>
          </w:tcPr>
          <w:p w14:paraId="74B9FDB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975" w:type="dxa"/>
            <w:tcBorders>
              <w:top w:val="nil"/>
              <w:left w:val="nil"/>
              <w:bottom w:val="single" w:sz="8" w:space="0" w:color="auto"/>
              <w:right w:val="single" w:sz="8" w:space="0" w:color="auto"/>
            </w:tcBorders>
            <w:shd w:val="clear" w:color="auto" w:fill="auto"/>
            <w:noWrap/>
            <w:vAlign w:val="center"/>
            <w:hideMark/>
          </w:tcPr>
          <w:p w14:paraId="1E46A42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85.000 </w:t>
            </w:r>
          </w:p>
        </w:tc>
        <w:tc>
          <w:tcPr>
            <w:tcW w:w="685" w:type="dxa"/>
            <w:tcBorders>
              <w:top w:val="nil"/>
              <w:left w:val="nil"/>
              <w:bottom w:val="single" w:sz="8" w:space="0" w:color="auto"/>
              <w:right w:val="single" w:sz="8" w:space="0" w:color="auto"/>
            </w:tcBorders>
            <w:shd w:val="clear" w:color="auto" w:fill="auto"/>
            <w:noWrap/>
            <w:vAlign w:val="center"/>
            <w:hideMark/>
          </w:tcPr>
          <w:p w14:paraId="17153EC6"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18 </w:t>
            </w:r>
          </w:p>
        </w:tc>
        <w:tc>
          <w:tcPr>
            <w:tcW w:w="155" w:type="dxa"/>
            <w:vAlign w:val="center"/>
            <w:hideMark/>
          </w:tcPr>
          <w:p w14:paraId="2515DF0A" w14:textId="77777777" w:rsidR="00055E12" w:rsidRPr="00055E12" w:rsidRDefault="00055E12" w:rsidP="00055E12">
            <w:pPr>
              <w:rPr>
                <w:sz w:val="20"/>
                <w:szCs w:val="20"/>
                <w:lang w:val="en-US" w:eastAsia="zh-CN"/>
              </w:rPr>
            </w:pPr>
          </w:p>
        </w:tc>
      </w:tr>
      <w:tr w:rsidR="00055E12" w:rsidRPr="00055E12" w14:paraId="68FEC000"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319A4AD3"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07355566"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2419EE3E"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1D57F3E"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467F2246"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71400</w:t>
            </w:r>
          </w:p>
        </w:tc>
        <w:tc>
          <w:tcPr>
            <w:tcW w:w="1982" w:type="dxa"/>
            <w:tcBorders>
              <w:top w:val="single" w:sz="8" w:space="0" w:color="auto"/>
              <w:left w:val="nil"/>
              <w:bottom w:val="nil"/>
              <w:right w:val="single" w:sz="8" w:space="0" w:color="auto"/>
            </w:tcBorders>
            <w:shd w:val="clear" w:color="auto" w:fill="auto"/>
            <w:noWrap/>
            <w:vAlign w:val="center"/>
            <w:hideMark/>
          </w:tcPr>
          <w:p w14:paraId="1652AC7A" w14:textId="77777777" w:rsidR="00055E12" w:rsidRPr="00055E12" w:rsidRDefault="00055E12" w:rsidP="00055E12">
            <w:pPr>
              <w:rPr>
                <w:rFonts w:ascii="Calibri" w:hAnsi="Calibri" w:cs="Calibri"/>
                <w:color w:val="000000"/>
                <w:sz w:val="16"/>
                <w:szCs w:val="16"/>
              </w:rPr>
            </w:pPr>
            <w:r>
              <w:rPr>
                <w:rFonts w:ascii="Calibri" w:hAnsi="Calibri"/>
                <w:color w:val="000000"/>
                <w:sz w:val="16"/>
              </w:rPr>
              <w:t>Servicios contractuales - particulares</w:t>
            </w:r>
          </w:p>
        </w:tc>
        <w:tc>
          <w:tcPr>
            <w:tcW w:w="950" w:type="dxa"/>
            <w:tcBorders>
              <w:top w:val="nil"/>
              <w:left w:val="nil"/>
              <w:bottom w:val="single" w:sz="8" w:space="0" w:color="auto"/>
              <w:right w:val="single" w:sz="8" w:space="0" w:color="auto"/>
            </w:tcBorders>
            <w:shd w:val="clear" w:color="auto" w:fill="auto"/>
            <w:noWrap/>
            <w:vAlign w:val="center"/>
            <w:hideMark/>
          </w:tcPr>
          <w:p w14:paraId="7CAF7E0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27.660 </w:t>
            </w:r>
          </w:p>
        </w:tc>
        <w:tc>
          <w:tcPr>
            <w:tcW w:w="1067" w:type="dxa"/>
            <w:tcBorders>
              <w:top w:val="nil"/>
              <w:left w:val="nil"/>
              <w:bottom w:val="single" w:sz="8" w:space="0" w:color="auto"/>
              <w:right w:val="single" w:sz="8" w:space="0" w:color="auto"/>
            </w:tcBorders>
            <w:shd w:val="clear" w:color="auto" w:fill="auto"/>
            <w:noWrap/>
            <w:vAlign w:val="center"/>
            <w:hideMark/>
          </w:tcPr>
          <w:p w14:paraId="7382340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27.660 </w:t>
            </w:r>
          </w:p>
        </w:tc>
        <w:tc>
          <w:tcPr>
            <w:tcW w:w="950" w:type="dxa"/>
            <w:tcBorders>
              <w:top w:val="nil"/>
              <w:left w:val="nil"/>
              <w:bottom w:val="single" w:sz="8" w:space="0" w:color="auto"/>
              <w:right w:val="single" w:sz="8" w:space="0" w:color="auto"/>
            </w:tcBorders>
            <w:shd w:val="clear" w:color="auto" w:fill="auto"/>
            <w:noWrap/>
            <w:vAlign w:val="center"/>
            <w:hideMark/>
          </w:tcPr>
          <w:p w14:paraId="65138D0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27.660 </w:t>
            </w:r>
          </w:p>
        </w:tc>
        <w:tc>
          <w:tcPr>
            <w:tcW w:w="950" w:type="dxa"/>
            <w:tcBorders>
              <w:top w:val="nil"/>
              <w:left w:val="nil"/>
              <w:bottom w:val="single" w:sz="8" w:space="0" w:color="auto"/>
              <w:right w:val="single" w:sz="8" w:space="0" w:color="auto"/>
            </w:tcBorders>
            <w:shd w:val="clear" w:color="auto" w:fill="auto"/>
            <w:noWrap/>
            <w:vAlign w:val="center"/>
            <w:hideMark/>
          </w:tcPr>
          <w:p w14:paraId="3A16D35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27.660 </w:t>
            </w:r>
          </w:p>
        </w:tc>
        <w:tc>
          <w:tcPr>
            <w:tcW w:w="950" w:type="dxa"/>
            <w:tcBorders>
              <w:top w:val="nil"/>
              <w:left w:val="nil"/>
              <w:bottom w:val="single" w:sz="8" w:space="0" w:color="auto"/>
              <w:right w:val="single" w:sz="8" w:space="0" w:color="auto"/>
            </w:tcBorders>
            <w:shd w:val="clear" w:color="auto" w:fill="auto"/>
            <w:noWrap/>
            <w:vAlign w:val="center"/>
            <w:hideMark/>
          </w:tcPr>
          <w:p w14:paraId="18B74DA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27.660 </w:t>
            </w:r>
          </w:p>
        </w:tc>
        <w:tc>
          <w:tcPr>
            <w:tcW w:w="975" w:type="dxa"/>
            <w:tcBorders>
              <w:top w:val="nil"/>
              <w:left w:val="nil"/>
              <w:bottom w:val="single" w:sz="8" w:space="0" w:color="auto"/>
              <w:right w:val="single" w:sz="8" w:space="0" w:color="auto"/>
            </w:tcBorders>
            <w:shd w:val="clear" w:color="auto" w:fill="auto"/>
            <w:noWrap/>
            <w:vAlign w:val="center"/>
            <w:hideMark/>
          </w:tcPr>
          <w:p w14:paraId="4B2A183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138.300 </w:t>
            </w:r>
          </w:p>
        </w:tc>
        <w:tc>
          <w:tcPr>
            <w:tcW w:w="685" w:type="dxa"/>
            <w:tcBorders>
              <w:top w:val="nil"/>
              <w:left w:val="nil"/>
              <w:bottom w:val="single" w:sz="8" w:space="0" w:color="auto"/>
              <w:right w:val="single" w:sz="8" w:space="0" w:color="auto"/>
            </w:tcBorders>
            <w:shd w:val="clear" w:color="auto" w:fill="auto"/>
            <w:noWrap/>
            <w:vAlign w:val="center"/>
            <w:hideMark/>
          </w:tcPr>
          <w:p w14:paraId="28EEEF90"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19 </w:t>
            </w:r>
          </w:p>
        </w:tc>
        <w:tc>
          <w:tcPr>
            <w:tcW w:w="155" w:type="dxa"/>
            <w:vAlign w:val="center"/>
            <w:hideMark/>
          </w:tcPr>
          <w:p w14:paraId="71692008" w14:textId="77777777" w:rsidR="00055E12" w:rsidRPr="00055E12" w:rsidRDefault="00055E12" w:rsidP="00055E12">
            <w:pPr>
              <w:rPr>
                <w:sz w:val="20"/>
                <w:szCs w:val="20"/>
                <w:lang w:val="en-US" w:eastAsia="zh-CN"/>
              </w:rPr>
            </w:pPr>
          </w:p>
        </w:tc>
      </w:tr>
      <w:tr w:rsidR="00055E12" w:rsidRPr="00055E12" w14:paraId="7FC81DDF"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1018ABD3"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D847FBE"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7F255770"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56986576"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2F7950C9"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71600</w:t>
            </w:r>
          </w:p>
        </w:tc>
        <w:tc>
          <w:tcPr>
            <w:tcW w:w="1982" w:type="dxa"/>
            <w:tcBorders>
              <w:top w:val="single" w:sz="8" w:space="0" w:color="auto"/>
              <w:left w:val="nil"/>
              <w:bottom w:val="nil"/>
              <w:right w:val="single" w:sz="8" w:space="0" w:color="auto"/>
            </w:tcBorders>
            <w:shd w:val="clear" w:color="auto" w:fill="auto"/>
            <w:noWrap/>
            <w:vAlign w:val="center"/>
            <w:hideMark/>
          </w:tcPr>
          <w:p w14:paraId="5C1CFE98" w14:textId="77777777" w:rsidR="00055E12" w:rsidRPr="00055E12" w:rsidRDefault="00055E12" w:rsidP="00055E12">
            <w:pPr>
              <w:rPr>
                <w:rFonts w:ascii="Calibri" w:hAnsi="Calibri" w:cs="Calibri"/>
                <w:color w:val="000000"/>
                <w:sz w:val="16"/>
                <w:szCs w:val="16"/>
              </w:rPr>
            </w:pPr>
            <w:r>
              <w:rPr>
                <w:rFonts w:ascii="Calibri" w:hAnsi="Calibri"/>
                <w:color w:val="000000"/>
                <w:sz w:val="16"/>
              </w:rPr>
              <w:t>Viajes</w:t>
            </w:r>
          </w:p>
        </w:tc>
        <w:tc>
          <w:tcPr>
            <w:tcW w:w="950" w:type="dxa"/>
            <w:tcBorders>
              <w:top w:val="nil"/>
              <w:left w:val="nil"/>
              <w:bottom w:val="single" w:sz="8" w:space="0" w:color="auto"/>
              <w:right w:val="single" w:sz="8" w:space="0" w:color="auto"/>
            </w:tcBorders>
            <w:shd w:val="clear" w:color="auto" w:fill="auto"/>
            <w:noWrap/>
            <w:vAlign w:val="center"/>
            <w:hideMark/>
          </w:tcPr>
          <w:p w14:paraId="5F5FE34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1067" w:type="dxa"/>
            <w:tcBorders>
              <w:top w:val="nil"/>
              <w:left w:val="nil"/>
              <w:bottom w:val="single" w:sz="8" w:space="0" w:color="auto"/>
              <w:right w:val="single" w:sz="8" w:space="0" w:color="auto"/>
            </w:tcBorders>
            <w:shd w:val="clear" w:color="auto" w:fill="auto"/>
            <w:noWrap/>
            <w:vAlign w:val="center"/>
            <w:hideMark/>
          </w:tcPr>
          <w:p w14:paraId="7CA0429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2B275C1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2005CCD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198FCA5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11.700 </w:t>
            </w:r>
          </w:p>
        </w:tc>
        <w:tc>
          <w:tcPr>
            <w:tcW w:w="975" w:type="dxa"/>
            <w:tcBorders>
              <w:top w:val="nil"/>
              <w:left w:val="nil"/>
              <w:bottom w:val="single" w:sz="8" w:space="0" w:color="auto"/>
              <w:right w:val="single" w:sz="8" w:space="0" w:color="auto"/>
            </w:tcBorders>
            <w:shd w:val="clear" w:color="auto" w:fill="auto"/>
            <w:noWrap/>
            <w:vAlign w:val="center"/>
            <w:hideMark/>
          </w:tcPr>
          <w:p w14:paraId="3C533A7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66.700 </w:t>
            </w:r>
          </w:p>
        </w:tc>
        <w:tc>
          <w:tcPr>
            <w:tcW w:w="685" w:type="dxa"/>
            <w:tcBorders>
              <w:top w:val="nil"/>
              <w:left w:val="nil"/>
              <w:bottom w:val="single" w:sz="8" w:space="0" w:color="auto"/>
              <w:right w:val="single" w:sz="8" w:space="0" w:color="auto"/>
            </w:tcBorders>
            <w:shd w:val="clear" w:color="auto" w:fill="auto"/>
            <w:noWrap/>
            <w:vAlign w:val="center"/>
            <w:hideMark/>
          </w:tcPr>
          <w:p w14:paraId="5FF69130"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20 </w:t>
            </w:r>
          </w:p>
        </w:tc>
        <w:tc>
          <w:tcPr>
            <w:tcW w:w="155" w:type="dxa"/>
            <w:vAlign w:val="center"/>
            <w:hideMark/>
          </w:tcPr>
          <w:p w14:paraId="112CD3DA" w14:textId="77777777" w:rsidR="00055E12" w:rsidRPr="00055E12" w:rsidRDefault="00055E12" w:rsidP="00055E12">
            <w:pPr>
              <w:rPr>
                <w:sz w:val="20"/>
                <w:szCs w:val="20"/>
                <w:lang w:val="en-US" w:eastAsia="zh-CN"/>
              </w:rPr>
            </w:pPr>
          </w:p>
        </w:tc>
      </w:tr>
      <w:tr w:rsidR="00055E12" w:rsidRPr="00055E12" w14:paraId="4FA2B55B"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3B2EDF62"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03C97AF"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7F93C952"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639F4A3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70EE404B"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72100</w:t>
            </w:r>
          </w:p>
        </w:tc>
        <w:tc>
          <w:tcPr>
            <w:tcW w:w="1982" w:type="dxa"/>
            <w:tcBorders>
              <w:top w:val="single" w:sz="8" w:space="0" w:color="auto"/>
              <w:left w:val="nil"/>
              <w:bottom w:val="nil"/>
              <w:right w:val="single" w:sz="8" w:space="0" w:color="auto"/>
            </w:tcBorders>
            <w:shd w:val="clear" w:color="auto" w:fill="auto"/>
            <w:noWrap/>
            <w:vAlign w:val="center"/>
            <w:hideMark/>
          </w:tcPr>
          <w:p w14:paraId="7F257F2B" w14:textId="77777777" w:rsidR="00055E12" w:rsidRPr="00055E12" w:rsidRDefault="00055E12" w:rsidP="00055E12">
            <w:pPr>
              <w:rPr>
                <w:rFonts w:ascii="Calibri" w:hAnsi="Calibri" w:cs="Calibri"/>
                <w:color w:val="000000"/>
                <w:sz w:val="16"/>
                <w:szCs w:val="16"/>
              </w:rPr>
            </w:pPr>
            <w:r>
              <w:rPr>
                <w:rFonts w:ascii="Calibri" w:hAnsi="Calibri"/>
                <w:color w:val="000000"/>
                <w:sz w:val="16"/>
              </w:rPr>
              <w:t>Servicios contractuales - empresas</w:t>
            </w:r>
          </w:p>
        </w:tc>
        <w:tc>
          <w:tcPr>
            <w:tcW w:w="950" w:type="dxa"/>
            <w:tcBorders>
              <w:top w:val="nil"/>
              <w:left w:val="nil"/>
              <w:bottom w:val="single" w:sz="8" w:space="0" w:color="auto"/>
              <w:right w:val="single" w:sz="8" w:space="0" w:color="auto"/>
            </w:tcBorders>
            <w:shd w:val="clear" w:color="auto" w:fill="auto"/>
            <w:noWrap/>
            <w:vAlign w:val="center"/>
            <w:hideMark/>
          </w:tcPr>
          <w:p w14:paraId="5C8C93A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1808367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60.000 </w:t>
            </w:r>
          </w:p>
        </w:tc>
        <w:tc>
          <w:tcPr>
            <w:tcW w:w="950" w:type="dxa"/>
            <w:tcBorders>
              <w:top w:val="nil"/>
              <w:left w:val="nil"/>
              <w:bottom w:val="single" w:sz="8" w:space="0" w:color="auto"/>
              <w:right w:val="single" w:sz="8" w:space="0" w:color="auto"/>
            </w:tcBorders>
            <w:shd w:val="clear" w:color="auto" w:fill="auto"/>
            <w:noWrap/>
            <w:vAlign w:val="center"/>
            <w:hideMark/>
          </w:tcPr>
          <w:p w14:paraId="0E1E6F2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60.000 </w:t>
            </w:r>
          </w:p>
        </w:tc>
        <w:tc>
          <w:tcPr>
            <w:tcW w:w="950" w:type="dxa"/>
            <w:tcBorders>
              <w:top w:val="nil"/>
              <w:left w:val="nil"/>
              <w:bottom w:val="single" w:sz="8" w:space="0" w:color="auto"/>
              <w:right w:val="single" w:sz="8" w:space="0" w:color="auto"/>
            </w:tcBorders>
            <w:shd w:val="clear" w:color="auto" w:fill="auto"/>
            <w:noWrap/>
            <w:vAlign w:val="center"/>
            <w:hideMark/>
          </w:tcPr>
          <w:p w14:paraId="409B625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60.000 </w:t>
            </w:r>
          </w:p>
        </w:tc>
        <w:tc>
          <w:tcPr>
            <w:tcW w:w="950" w:type="dxa"/>
            <w:tcBorders>
              <w:top w:val="nil"/>
              <w:left w:val="nil"/>
              <w:bottom w:val="single" w:sz="8" w:space="0" w:color="auto"/>
              <w:right w:val="single" w:sz="8" w:space="0" w:color="auto"/>
            </w:tcBorders>
            <w:shd w:val="clear" w:color="auto" w:fill="auto"/>
            <w:noWrap/>
            <w:vAlign w:val="center"/>
            <w:hideMark/>
          </w:tcPr>
          <w:p w14:paraId="24198E4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60.000 </w:t>
            </w:r>
          </w:p>
        </w:tc>
        <w:tc>
          <w:tcPr>
            <w:tcW w:w="975" w:type="dxa"/>
            <w:tcBorders>
              <w:top w:val="nil"/>
              <w:left w:val="nil"/>
              <w:bottom w:val="single" w:sz="8" w:space="0" w:color="auto"/>
              <w:right w:val="single" w:sz="8" w:space="0" w:color="auto"/>
            </w:tcBorders>
            <w:shd w:val="clear" w:color="auto" w:fill="auto"/>
            <w:noWrap/>
            <w:vAlign w:val="center"/>
            <w:hideMark/>
          </w:tcPr>
          <w:p w14:paraId="0373593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240.000 </w:t>
            </w:r>
          </w:p>
        </w:tc>
        <w:tc>
          <w:tcPr>
            <w:tcW w:w="685" w:type="dxa"/>
            <w:tcBorders>
              <w:top w:val="nil"/>
              <w:left w:val="nil"/>
              <w:bottom w:val="single" w:sz="8" w:space="0" w:color="auto"/>
              <w:right w:val="single" w:sz="8" w:space="0" w:color="auto"/>
            </w:tcBorders>
            <w:shd w:val="clear" w:color="auto" w:fill="auto"/>
            <w:noWrap/>
            <w:vAlign w:val="center"/>
            <w:hideMark/>
          </w:tcPr>
          <w:p w14:paraId="7B324148"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21 </w:t>
            </w:r>
          </w:p>
        </w:tc>
        <w:tc>
          <w:tcPr>
            <w:tcW w:w="155" w:type="dxa"/>
            <w:vAlign w:val="center"/>
            <w:hideMark/>
          </w:tcPr>
          <w:p w14:paraId="51FF7119" w14:textId="77777777" w:rsidR="00055E12" w:rsidRPr="00055E12" w:rsidRDefault="00055E12" w:rsidP="00055E12">
            <w:pPr>
              <w:rPr>
                <w:sz w:val="20"/>
                <w:szCs w:val="20"/>
                <w:lang w:val="en-US" w:eastAsia="zh-CN"/>
              </w:rPr>
            </w:pPr>
          </w:p>
        </w:tc>
      </w:tr>
      <w:tr w:rsidR="00055E12" w:rsidRPr="00055E12" w14:paraId="37166960"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301445C4"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4C544A6"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6EE762FA"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3DCD066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7D7AB74A"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74200</w:t>
            </w:r>
          </w:p>
        </w:tc>
        <w:tc>
          <w:tcPr>
            <w:tcW w:w="1982" w:type="dxa"/>
            <w:tcBorders>
              <w:top w:val="single" w:sz="8" w:space="0" w:color="auto"/>
              <w:left w:val="nil"/>
              <w:bottom w:val="nil"/>
              <w:right w:val="single" w:sz="8" w:space="0" w:color="auto"/>
            </w:tcBorders>
            <w:shd w:val="clear" w:color="auto" w:fill="auto"/>
            <w:noWrap/>
            <w:vAlign w:val="center"/>
            <w:hideMark/>
          </w:tcPr>
          <w:p w14:paraId="67D67BFB" w14:textId="3A5376B6" w:rsidR="00055E12" w:rsidRPr="00055E12" w:rsidRDefault="00055E12" w:rsidP="00C61EB0">
            <w:pPr>
              <w:rPr>
                <w:rFonts w:ascii="Calibri" w:hAnsi="Calibri" w:cs="Calibri"/>
                <w:color w:val="000000"/>
                <w:sz w:val="16"/>
                <w:szCs w:val="16"/>
              </w:rPr>
            </w:pPr>
            <w:r>
              <w:rPr>
                <w:rFonts w:ascii="Calibri" w:hAnsi="Calibri"/>
                <w:color w:val="000000"/>
                <w:sz w:val="16"/>
              </w:rPr>
              <w:t>Cost</w:t>
            </w:r>
            <w:r w:rsidR="00C61EB0">
              <w:rPr>
                <w:rFonts w:ascii="Calibri" w:hAnsi="Calibri"/>
                <w:color w:val="000000"/>
                <w:sz w:val="16"/>
              </w:rPr>
              <w:t>o</w:t>
            </w:r>
            <w:r>
              <w:rPr>
                <w:rFonts w:ascii="Calibri" w:hAnsi="Calibri"/>
                <w:color w:val="000000"/>
                <w:sz w:val="16"/>
              </w:rPr>
              <w:t>s audiovisuales y de impresión</w:t>
            </w:r>
          </w:p>
        </w:tc>
        <w:tc>
          <w:tcPr>
            <w:tcW w:w="950" w:type="dxa"/>
            <w:tcBorders>
              <w:top w:val="nil"/>
              <w:left w:val="nil"/>
              <w:bottom w:val="single" w:sz="8" w:space="0" w:color="auto"/>
              <w:right w:val="single" w:sz="8" w:space="0" w:color="auto"/>
            </w:tcBorders>
            <w:shd w:val="clear" w:color="auto" w:fill="auto"/>
            <w:noWrap/>
            <w:vAlign w:val="center"/>
            <w:hideMark/>
          </w:tcPr>
          <w:p w14:paraId="2A5F2DD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single" w:sz="8" w:space="0" w:color="auto"/>
              <w:right w:val="single" w:sz="8" w:space="0" w:color="auto"/>
            </w:tcBorders>
            <w:shd w:val="clear" w:color="auto" w:fill="auto"/>
            <w:noWrap/>
            <w:vAlign w:val="center"/>
            <w:hideMark/>
          </w:tcPr>
          <w:p w14:paraId="206D786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22B0DA3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75B03EC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056641F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75" w:type="dxa"/>
            <w:tcBorders>
              <w:top w:val="nil"/>
              <w:left w:val="nil"/>
              <w:bottom w:val="single" w:sz="8" w:space="0" w:color="auto"/>
              <w:right w:val="single" w:sz="8" w:space="0" w:color="auto"/>
            </w:tcBorders>
            <w:shd w:val="clear" w:color="auto" w:fill="auto"/>
            <w:noWrap/>
            <w:vAlign w:val="center"/>
            <w:hideMark/>
          </w:tcPr>
          <w:p w14:paraId="3EFDBEE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60.000 </w:t>
            </w:r>
          </w:p>
        </w:tc>
        <w:tc>
          <w:tcPr>
            <w:tcW w:w="685" w:type="dxa"/>
            <w:tcBorders>
              <w:top w:val="nil"/>
              <w:left w:val="nil"/>
              <w:bottom w:val="single" w:sz="8" w:space="0" w:color="auto"/>
              <w:right w:val="single" w:sz="8" w:space="0" w:color="auto"/>
            </w:tcBorders>
            <w:shd w:val="clear" w:color="auto" w:fill="auto"/>
            <w:noWrap/>
            <w:vAlign w:val="center"/>
            <w:hideMark/>
          </w:tcPr>
          <w:p w14:paraId="27918EC4"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22 </w:t>
            </w:r>
          </w:p>
        </w:tc>
        <w:tc>
          <w:tcPr>
            <w:tcW w:w="155" w:type="dxa"/>
            <w:vAlign w:val="center"/>
            <w:hideMark/>
          </w:tcPr>
          <w:p w14:paraId="161ECFCB" w14:textId="77777777" w:rsidR="00055E12" w:rsidRPr="00055E12" w:rsidRDefault="00055E12" w:rsidP="00055E12">
            <w:pPr>
              <w:rPr>
                <w:sz w:val="20"/>
                <w:szCs w:val="20"/>
                <w:lang w:val="en-US" w:eastAsia="zh-CN"/>
              </w:rPr>
            </w:pPr>
          </w:p>
        </w:tc>
      </w:tr>
      <w:tr w:rsidR="00055E12" w:rsidRPr="00055E12" w14:paraId="51BACD2B"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1D55E6A"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219400D8"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5F12D85"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506C12FE"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5D2185A5"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75700</w:t>
            </w:r>
          </w:p>
        </w:tc>
        <w:tc>
          <w:tcPr>
            <w:tcW w:w="1982" w:type="dxa"/>
            <w:tcBorders>
              <w:top w:val="single" w:sz="8" w:space="0" w:color="auto"/>
              <w:left w:val="nil"/>
              <w:bottom w:val="nil"/>
              <w:right w:val="single" w:sz="8" w:space="0" w:color="auto"/>
            </w:tcBorders>
            <w:shd w:val="clear" w:color="auto" w:fill="auto"/>
            <w:noWrap/>
            <w:vAlign w:val="center"/>
            <w:hideMark/>
          </w:tcPr>
          <w:p w14:paraId="6A10EFF1" w14:textId="77777777" w:rsidR="00055E12" w:rsidRPr="00055E12" w:rsidRDefault="00055E12" w:rsidP="00055E12">
            <w:pPr>
              <w:rPr>
                <w:rFonts w:ascii="Calibri" w:hAnsi="Calibri" w:cs="Calibri"/>
                <w:color w:val="000000"/>
                <w:sz w:val="16"/>
                <w:szCs w:val="16"/>
              </w:rPr>
            </w:pPr>
            <w:r>
              <w:rPr>
                <w:rFonts w:ascii="Calibri" w:hAnsi="Calibri"/>
                <w:color w:val="000000"/>
                <w:sz w:val="16"/>
              </w:rPr>
              <w:t>Formación, talleres y conferencias</w:t>
            </w:r>
          </w:p>
        </w:tc>
        <w:tc>
          <w:tcPr>
            <w:tcW w:w="950" w:type="dxa"/>
            <w:tcBorders>
              <w:top w:val="nil"/>
              <w:left w:val="nil"/>
              <w:bottom w:val="single" w:sz="8" w:space="0" w:color="auto"/>
              <w:right w:val="single" w:sz="8" w:space="0" w:color="auto"/>
            </w:tcBorders>
            <w:shd w:val="clear" w:color="auto" w:fill="auto"/>
            <w:noWrap/>
            <w:vAlign w:val="center"/>
            <w:hideMark/>
          </w:tcPr>
          <w:p w14:paraId="26D1EB0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1067" w:type="dxa"/>
            <w:tcBorders>
              <w:top w:val="nil"/>
              <w:left w:val="nil"/>
              <w:bottom w:val="single" w:sz="8" w:space="0" w:color="auto"/>
              <w:right w:val="single" w:sz="8" w:space="0" w:color="auto"/>
            </w:tcBorders>
            <w:shd w:val="clear" w:color="auto" w:fill="auto"/>
            <w:noWrap/>
            <w:vAlign w:val="center"/>
            <w:hideMark/>
          </w:tcPr>
          <w:p w14:paraId="5E33779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7780A1B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1CC8E7F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50" w:type="dxa"/>
            <w:tcBorders>
              <w:top w:val="nil"/>
              <w:left w:val="nil"/>
              <w:bottom w:val="single" w:sz="8" w:space="0" w:color="auto"/>
              <w:right w:val="single" w:sz="8" w:space="0" w:color="auto"/>
            </w:tcBorders>
            <w:shd w:val="clear" w:color="auto" w:fill="auto"/>
            <w:noWrap/>
            <w:vAlign w:val="center"/>
            <w:hideMark/>
          </w:tcPr>
          <w:p w14:paraId="6277933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15.000 </w:t>
            </w:r>
          </w:p>
        </w:tc>
        <w:tc>
          <w:tcPr>
            <w:tcW w:w="975" w:type="dxa"/>
            <w:tcBorders>
              <w:top w:val="nil"/>
              <w:left w:val="nil"/>
              <w:bottom w:val="single" w:sz="8" w:space="0" w:color="auto"/>
              <w:right w:val="single" w:sz="8" w:space="0" w:color="auto"/>
            </w:tcBorders>
            <w:shd w:val="clear" w:color="auto" w:fill="auto"/>
            <w:noWrap/>
            <w:vAlign w:val="center"/>
            <w:hideMark/>
          </w:tcPr>
          <w:p w14:paraId="2057B6C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75.000 </w:t>
            </w:r>
          </w:p>
        </w:tc>
        <w:tc>
          <w:tcPr>
            <w:tcW w:w="685" w:type="dxa"/>
            <w:tcBorders>
              <w:top w:val="nil"/>
              <w:left w:val="nil"/>
              <w:bottom w:val="single" w:sz="8" w:space="0" w:color="auto"/>
              <w:right w:val="single" w:sz="8" w:space="0" w:color="auto"/>
            </w:tcBorders>
            <w:shd w:val="clear" w:color="auto" w:fill="auto"/>
            <w:noWrap/>
            <w:vAlign w:val="center"/>
            <w:hideMark/>
          </w:tcPr>
          <w:p w14:paraId="600C4F5A"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23 </w:t>
            </w:r>
          </w:p>
        </w:tc>
        <w:tc>
          <w:tcPr>
            <w:tcW w:w="155" w:type="dxa"/>
            <w:vAlign w:val="center"/>
            <w:hideMark/>
          </w:tcPr>
          <w:p w14:paraId="534D2615" w14:textId="77777777" w:rsidR="00055E12" w:rsidRPr="00055E12" w:rsidRDefault="00055E12" w:rsidP="00055E12">
            <w:pPr>
              <w:rPr>
                <w:sz w:val="20"/>
                <w:szCs w:val="20"/>
                <w:lang w:val="en-US" w:eastAsia="zh-CN"/>
              </w:rPr>
            </w:pPr>
          </w:p>
        </w:tc>
      </w:tr>
      <w:tr w:rsidR="00055E12" w:rsidRPr="00055E12" w14:paraId="4B3F05BD"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065DC6C9"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69FD087"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C0FBE22"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2FDF83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double" w:sz="6" w:space="0" w:color="auto"/>
              <w:left w:val="nil"/>
              <w:bottom w:val="double" w:sz="6" w:space="0" w:color="auto"/>
              <w:right w:val="single" w:sz="8" w:space="0" w:color="auto"/>
            </w:tcBorders>
            <w:shd w:val="clear" w:color="auto" w:fill="auto"/>
            <w:noWrap/>
            <w:vAlign w:val="center"/>
            <w:hideMark/>
          </w:tcPr>
          <w:p w14:paraId="34274179"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w:t>
            </w:r>
          </w:p>
        </w:tc>
        <w:tc>
          <w:tcPr>
            <w:tcW w:w="1982" w:type="dxa"/>
            <w:tcBorders>
              <w:top w:val="nil"/>
              <w:left w:val="nil"/>
              <w:bottom w:val="double" w:sz="6" w:space="0" w:color="auto"/>
              <w:right w:val="single" w:sz="8" w:space="0" w:color="auto"/>
            </w:tcBorders>
            <w:shd w:val="clear" w:color="auto" w:fill="auto"/>
            <w:noWrap/>
            <w:vAlign w:val="center"/>
            <w:hideMark/>
          </w:tcPr>
          <w:p w14:paraId="61079858" w14:textId="5C6A09CA"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Total Componente 3</w:t>
            </w:r>
          </w:p>
        </w:tc>
        <w:tc>
          <w:tcPr>
            <w:tcW w:w="950" w:type="dxa"/>
            <w:tcBorders>
              <w:top w:val="nil"/>
              <w:left w:val="nil"/>
              <w:bottom w:val="single" w:sz="8" w:space="0" w:color="auto"/>
              <w:right w:val="single" w:sz="8" w:space="0" w:color="auto"/>
            </w:tcBorders>
            <w:shd w:val="clear" w:color="auto" w:fill="auto"/>
            <w:noWrap/>
            <w:vAlign w:val="center"/>
            <w:hideMark/>
          </w:tcPr>
          <w:p w14:paraId="7B6C5C8E"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57.660 </w:t>
            </w:r>
          </w:p>
        </w:tc>
        <w:tc>
          <w:tcPr>
            <w:tcW w:w="1067" w:type="dxa"/>
            <w:tcBorders>
              <w:top w:val="nil"/>
              <w:left w:val="nil"/>
              <w:bottom w:val="single" w:sz="8" w:space="0" w:color="auto"/>
              <w:right w:val="single" w:sz="8" w:space="0" w:color="auto"/>
            </w:tcBorders>
            <w:shd w:val="clear" w:color="auto" w:fill="auto"/>
            <w:noWrap/>
            <w:vAlign w:val="center"/>
            <w:hideMark/>
          </w:tcPr>
          <w:p w14:paraId="0727A5B5"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152.660 </w:t>
            </w:r>
          </w:p>
        </w:tc>
        <w:tc>
          <w:tcPr>
            <w:tcW w:w="950" w:type="dxa"/>
            <w:tcBorders>
              <w:top w:val="nil"/>
              <w:left w:val="nil"/>
              <w:bottom w:val="single" w:sz="8" w:space="0" w:color="auto"/>
              <w:right w:val="single" w:sz="8" w:space="0" w:color="auto"/>
            </w:tcBorders>
            <w:shd w:val="clear" w:color="auto" w:fill="auto"/>
            <w:noWrap/>
            <w:vAlign w:val="center"/>
            <w:hideMark/>
          </w:tcPr>
          <w:p w14:paraId="170CB672"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152.660 </w:t>
            </w:r>
          </w:p>
        </w:tc>
        <w:tc>
          <w:tcPr>
            <w:tcW w:w="950" w:type="dxa"/>
            <w:tcBorders>
              <w:top w:val="nil"/>
              <w:left w:val="nil"/>
              <w:bottom w:val="single" w:sz="8" w:space="0" w:color="auto"/>
              <w:right w:val="single" w:sz="8" w:space="0" w:color="auto"/>
            </w:tcBorders>
            <w:shd w:val="clear" w:color="auto" w:fill="auto"/>
            <w:noWrap/>
            <w:vAlign w:val="center"/>
            <w:hideMark/>
          </w:tcPr>
          <w:p w14:paraId="5DBFF4E6"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152.660 </w:t>
            </w:r>
          </w:p>
        </w:tc>
        <w:tc>
          <w:tcPr>
            <w:tcW w:w="950" w:type="dxa"/>
            <w:tcBorders>
              <w:top w:val="nil"/>
              <w:left w:val="nil"/>
              <w:bottom w:val="single" w:sz="8" w:space="0" w:color="auto"/>
              <w:right w:val="single" w:sz="8" w:space="0" w:color="auto"/>
            </w:tcBorders>
            <w:shd w:val="clear" w:color="auto" w:fill="auto"/>
            <w:noWrap/>
            <w:vAlign w:val="center"/>
            <w:hideMark/>
          </w:tcPr>
          <w:p w14:paraId="28231251"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149.360 </w:t>
            </w:r>
          </w:p>
        </w:tc>
        <w:tc>
          <w:tcPr>
            <w:tcW w:w="975" w:type="dxa"/>
            <w:tcBorders>
              <w:top w:val="nil"/>
              <w:left w:val="nil"/>
              <w:bottom w:val="single" w:sz="8" w:space="0" w:color="auto"/>
              <w:right w:val="single" w:sz="8" w:space="0" w:color="auto"/>
            </w:tcBorders>
            <w:shd w:val="clear" w:color="auto" w:fill="auto"/>
            <w:noWrap/>
            <w:vAlign w:val="center"/>
            <w:hideMark/>
          </w:tcPr>
          <w:p w14:paraId="64828371"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665.000 </w:t>
            </w:r>
          </w:p>
        </w:tc>
        <w:tc>
          <w:tcPr>
            <w:tcW w:w="685" w:type="dxa"/>
            <w:tcBorders>
              <w:top w:val="nil"/>
              <w:left w:val="nil"/>
              <w:bottom w:val="double" w:sz="6" w:space="0" w:color="auto"/>
              <w:right w:val="single" w:sz="8" w:space="0" w:color="auto"/>
            </w:tcBorders>
            <w:shd w:val="clear" w:color="auto" w:fill="auto"/>
            <w:vAlign w:val="center"/>
            <w:hideMark/>
          </w:tcPr>
          <w:p w14:paraId="7DF973F8"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w:t>
            </w:r>
          </w:p>
        </w:tc>
        <w:tc>
          <w:tcPr>
            <w:tcW w:w="155" w:type="dxa"/>
            <w:vAlign w:val="center"/>
            <w:hideMark/>
          </w:tcPr>
          <w:p w14:paraId="65E2DCD7" w14:textId="77777777" w:rsidR="00055E12" w:rsidRPr="00055E12" w:rsidRDefault="00055E12" w:rsidP="00055E12">
            <w:pPr>
              <w:rPr>
                <w:sz w:val="20"/>
                <w:szCs w:val="20"/>
                <w:lang w:val="en-US" w:eastAsia="zh-CN"/>
              </w:rPr>
            </w:pPr>
          </w:p>
        </w:tc>
      </w:tr>
      <w:tr w:rsidR="00055E12" w:rsidRPr="00055E12" w14:paraId="0EE3F37F" w14:textId="77777777" w:rsidTr="00055E12">
        <w:trPr>
          <w:trHeight w:val="295"/>
        </w:trPr>
        <w:tc>
          <w:tcPr>
            <w:tcW w:w="2356" w:type="dxa"/>
            <w:vMerge w:val="restart"/>
            <w:tcBorders>
              <w:top w:val="nil"/>
              <w:left w:val="single" w:sz="8" w:space="0" w:color="auto"/>
              <w:bottom w:val="double" w:sz="6" w:space="0" w:color="000000"/>
              <w:right w:val="single" w:sz="8" w:space="0" w:color="auto"/>
            </w:tcBorders>
            <w:shd w:val="clear" w:color="auto" w:fill="auto"/>
            <w:vAlign w:val="center"/>
            <w:hideMark/>
          </w:tcPr>
          <w:p w14:paraId="4BCBF123" w14:textId="2EFDF664" w:rsidR="00055E12" w:rsidRPr="00055E12" w:rsidRDefault="00055E12" w:rsidP="00C61EB0">
            <w:pPr>
              <w:jc w:val="center"/>
              <w:rPr>
                <w:rFonts w:ascii="Calibri" w:hAnsi="Calibri" w:cs="Calibri"/>
                <w:b/>
                <w:bCs/>
                <w:color w:val="000000"/>
                <w:sz w:val="16"/>
                <w:szCs w:val="16"/>
              </w:rPr>
            </w:pPr>
            <w:r>
              <w:rPr>
                <w:rFonts w:ascii="Calibri" w:hAnsi="Calibri"/>
                <w:b/>
                <w:color w:val="000000"/>
                <w:sz w:val="16"/>
              </w:rPr>
              <w:t xml:space="preserve">4. Monitoreo y </w:t>
            </w:r>
            <w:r w:rsidR="00C61EB0">
              <w:rPr>
                <w:rFonts w:ascii="Calibri" w:hAnsi="Calibri"/>
                <w:b/>
                <w:color w:val="000000"/>
                <w:sz w:val="16"/>
              </w:rPr>
              <w:t>E</w:t>
            </w:r>
            <w:r>
              <w:rPr>
                <w:rFonts w:ascii="Calibri" w:hAnsi="Calibri"/>
                <w:b/>
                <w:color w:val="000000"/>
                <w:sz w:val="16"/>
              </w:rPr>
              <w:t>valuación</w:t>
            </w:r>
          </w:p>
        </w:tc>
        <w:tc>
          <w:tcPr>
            <w:tcW w:w="1009" w:type="dxa"/>
            <w:vMerge w:val="restart"/>
            <w:tcBorders>
              <w:top w:val="nil"/>
              <w:left w:val="single" w:sz="8" w:space="0" w:color="auto"/>
              <w:bottom w:val="double" w:sz="6" w:space="0" w:color="000000"/>
              <w:right w:val="single" w:sz="8" w:space="0" w:color="auto"/>
            </w:tcBorders>
            <w:shd w:val="clear" w:color="auto" w:fill="auto"/>
            <w:vAlign w:val="center"/>
            <w:hideMark/>
          </w:tcPr>
          <w:p w14:paraId="69EE9E82"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Ministerio de Medio Ambiente, Agua y Transición Ecológica (MAATE)</w:t>
            </w:r>
          </w:p>
        </w:tc>
        <w:tc>
          <w:tcPr>
            <w:tcW w:w="704" w:type="dxa"/>
            <w:vMerge w:val="restart"/>
            <w:tcBorders>
              <w:top w:val="nil"/>
              <w:left w:val="single" w:sz="8" w:space="0" w:color="auto"/>
              <w:bottom w:val="double" w:sz="6" w:space="0" w:color="000000"/>
              <w:right w:val="single" w:sz="8" w:space="0" w:color="auto"/>
            </w:tcBorders>
            <w:shd w:val="clear" w:color="auto" w:fill="auto"/>
            <w:vAlign w:val="center"/>
            <w:hideMark/>
          </w:tcPr>
          <w:p w14:paraId="0243D66B"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62000</w:t>
            </w:r>
          </w:p>
        </w:tc>
        <w:tc>
          <w:tcPr>
            <w:tcW w:w="705" w:type="dxa"/>
            <w:vMerge w:val="restart"/>
            <w:tcBorders>
              <w:top w:val="nil"/>
              <w:left w:val="single" w:sz="8" w:space="0" w:color="auto"/>
              <w:bottom w:val="double" w:sz="6" w:space="0" w:color="000000"/>
              <w:right w:val="single" w:sz="8" w:space="0" w:color="auto"/>
            </w:tcBorders>
            <w:shd w:val="clear" w:color="auto" w:fill="auto"/>
            <w:vAlign w:val="center"/>
            <w:hideMark/>
          </w:tcPr>
          <w:p w14:paraId="7F857DA4"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FMAM</w:t>
            </w:r>
          </w:p>
        </w:tc>
        <w:tc>
          <w:tcPr>
            <w:tcW w:w="865" w:type="dxa"/>
            <w:tcBorders>
              <w:top w:val="single" w:sz="8" w:space="0" w:color="auto"/>
              <w:left w:val="nil"/>
              <w:bottom w:val="nil"/>
              <w:right w:val="single" w:sz="8" w:space="0" w:color="auto"/>
            </w:tcBorders>
            <w:shd w:val="clear" w:color="auto" w:fill="auto"/>
            <w:noWrap/>
            <w:vAlign w:val="center"/>
            <w:hideMark/>
          </w:tcPr>
          <w:p w14:paraId="3F31F451"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71200</w:t>
            </w:r>
          </w:p>
        </w:tc>
        <w:tc>
          <w:tcPr>
            <w:tcW w:w="1982" w:type="dxa"/>
            <w:tcBorders>
              <w:top w:val="single" w:sz="8" w:space="0" w:color="auto"/>
              <w:left w:val="nil"/>
              <w:bottom w:val="nil"/>
              <w:right w:val="single" w:sz="8" w:space="0" w:color="auto"/>
            </w:tcBorders>
            <w:shd w:val="clear" w:color="auto" w:fill="auto"/>
            <w:noWrap/>
            <w:vAlign w:val="center"/>
            <w:hideMark/>
          </w:tcPr>
          <w:p w14:paraId="7A769C04" w14:textId="77777777" w:rsidR="00055E12" w:rsidRPr="00055E12" w:rsidRDefault="00055E12" w:rsidP="00055E12">
            <w:pPr>
              <w:rPr>
                <w:rFonts w:ascii="Calibri" w:hAnsi="Calibri" w:cs="Calibri"/>
                <w:color w:val="000000"/>
                <w:sz w:val="16"/>
                <w:szCs w:val="16"/>
              </w:rPr>
            </w:pPr>
            <w:r>
              <w:rPr>
                <w:rFonts w:ascii="Calibri" w:hAnsi="Calibri"/>
                <w:color w:val="000000"/>
                <w:sz w:val="16"/>
              </w:rPr>
              <w:t>Consultores internacionales</w:t>
            </w:r>
          </w:p>
        </w:tc>
        <w:tc>
          <w:tcPr>
            <w:tcW w:w="950" w:type="dxa"/>
            <w:tcBorders>
              <w:top w:val="nil"/>
              <w:left w:val="nil"/>
              <w:bottom w:val="nil"/>
              <w:right w:val="single" w:sz="8" w:space="0" w:color="auto"/>
            </w:tcBorders>
            <w:shd w:val="clear" w:color="auto" w:fill="auto"/>
            <w:noWrap/>
            <w:vAlign w:val="center"/>
            <w:hideMark/>
          </w:tcPr>
          <w:p w14:paraId="334C486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nil"/>
              <w:left w:val="nil"/>
              <w:bottom w:val="nil"/>
              <w:right w:val="single" w:sz="8" w:space="0" w:color="auto"/>
            </w:tcBorders>
            <w:shd w:val="clear" w:color="auto" w:fill="auto"/>
            <w:noWrap/>
            <w:vAlign w:val="center"/>
            <w:hideMark/>
          </w:tcPr>
          <w:p w14:paraId="10836AE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nil"/>
              <w:left w:val="nil"/>
              <w:bottom w:val="nil"/>
              <w:right w:val="single" w:sz="8" w:space="0" w:color="auto"/>
            </w:tcBorders>
            <w:shd w:val="clear" w:color="auto" w:fill="auto"/>
            <w:noWrap/>
            <w:vAlign w:val="center"/>
            <w:hideMark/>
          </w:tcPr>
          <w:p w14:paraId="1CA993B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25.000 </w:t>
            </w:r>
          </w:p>
        </w:tc>
        <w:tc>
          <w:tcPr>
            <w:tcW w:w="950" w:type="dxa"/>
            <w:tcBorders>
              <w:top w:val="nil"/>
              <w:left w:val="nil"/>
              <w:bottom w:val="nil"/>
              <w:right w:val="single" w:sz="8" w:space="0" w:color="auto"/>
            </w:tcBorders>
            <w:shd w:val="clear" w:color="auto" w:fill="auto"/>
            <w:noWrap/>
            <w:vAlign w:val="center"/>
            <w:hideMark/>
          </w:tcPr>
          <w:p w14:paraId="30956F6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nil"/>
              <w:left w:val="nil"/>
              <w:bottom w:val="nil"/>
              <w:right w:val="single" w:sz="8" w:space="0" w:color="auto"/>
            </w:tcBorders>
            <w:shd w:val="clear" w:color="auto" w:fill="auto"/>
            <w:noWrap/>
            <w:vAlign w:val="center"/>
            <w:hideMark/>
          </w:tcPr>
          <w:p w14:paraId="6FDEE58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25.000 </w:t>
            </w:r>
          </w:p>
        </w:tc>
        <w:tc>
          <w:tcPr>
            <w:tcW w:w="975" w:type="dxa"/>
            <w:tcBorders>
              <w:top w:val="nil"/>
              <w:left w:val="nil"/>
              <w:bottom w:val="nil"/>
              <w:right w:val="single" w:sz="8" w:space="0" w:color="auto"/>
            </w:tcBorders>
            <w:shd w:val="clear" w:color="auto" w:fill="auto"/>
            <w:noWrap/>
            <w:vAlign w:val="center"/>
            <w:hideMark/>
          </w:tcPr>
          <w:p w14:paraId="55177D1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50.000 </w:t>
            </w:r>
          </w:p>
        </w:tc>
        <w:tc>
          <w:tcPr>
            <w:tcW w:w="685" w:type="dxa"/>
            <w:tcBorders>
              <w:top w:val="nil"/>
              <w:left w:val="nil"/>
              <w:bottom w:val="single" w:sz="8" w:space="0" w:color="auto"/>
              <w:right w:val="single" w:sz="8" w:space="0" w:color="auto"/>
            </w:tcBorders>
            <w:shd w:val="clear" w:color="auto" w:fill="auto"/>
            <w:noWrap/>
            <w:vAlign w:val="center"/>
            <w:hideMark/>
          </w:tcPr>
          <w:p w14:paraId="01261B72"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24 </w:t>
            </w:r>
          </w:p>
        </w:tc>
        <w:tc>
          <w:tcPr>
            <w:tcW w:w="155" w:type="dxa"/>
            <w:vAlign w:val="center"/>
            <w:hideMark/>
          </w:tcPr>
          <w:p w14:paraId="2DF79A37" w14:textId="77777777" w:rsidR="00055E12" w:rsidRPr="00055E12" w:rsidRDefault="00055E12" w:rsidP="00055E12">
            <w:pPr>
              <w:rPr>
                <w:sz w:val="20"/>
                <w:szCs w:val="20"/>
                <w:lang w:val="en-US" w:eastAsia="zh-CN"/>
              </w:rPr>
            </w:pPr>
          </w:p>
        </w:tc>
      </w:tr>
      <w:tr w:rsidR="00055E12" w:rsidRPr="00055E12" w14:paraId="5E72E229"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5A010100"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7390457C"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0C69E89"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5EBCA43E"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5F5BA64"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71300</w:t>
            </w:r>
          </w:p>
        </w:tc>
        <w:tc>
          <w:tcPr>
            <w:tcW w:w="1982" w:type="dxa"/>
            <w:tcBorders>
              <w:top w:val="single" w:sz="8" w:space="0" w:color="auto"/>
              <w:left w:val="nil"/>
              <w:bottom w:val="nil"/>
              <w:right w:val="single" w:sz="8" w:space="0" w:color="auto"/>
            </w:tcBorders>
            <w:shd w:val="clear" w:color="auto" w:fill="auto"/>
            <w:noWrap/>
            <w:vAlign w:val="center"/>
            <w:hideMark/>
          </w:tcPr>
          <w:p w14:paraId="3EFC416E" w14:textId="77777777" w:rsidR="00055E12" w:rsidRPr="00055E12" w:rsidRDefault="00055E12" w:rsidP="00055E12">
            <w:pPr>
              <w:rPr>
                <w:rFonts w:ascii="Calibri" w:hAnsi="Calibri" w:cs="Calibri"/>
                <w:color w:val="000000"/>
                <w:sz w:val="16"/>
                <w:szCs w:val="16"/>
              </w:rPr>
            </w:pPr>
            <w:r>
              <w:rPr>
                <w:rFonts w:ascii="Calibri" w:hAnsi="Calibri"/>
                <w:color w:val="000000"/>
                <w:sz w:val="16"/>
              </w:rPr>
              <w:t>Consultores locales</w:t>
            </w:r>
          </w:p>
        </w:tc>
        <w:tc>
          <w:tcPr>
            <w:tcW w:w="950" w:type="dxa"/>
            <w:tcBorders>
              <w:top w:val="single" w:sz="8" w:space="0" w:color="auto"/>
              <w:left w:val="nil"/>
              <w:bottom w:val="nil"/>
              <w:right w:val="single" w:sz="8" w:space="0" w:color="auto"/>
            </w:tcBorders>
            <w:shd w:val="clear" w:color="auto" w:fill="auto"/>
            <w:noWrap/>
            <w:vAlign w:val="center"/>
            <w:hideMark/>
          </w:tcPr>
          <w:p w14:paraId="6E66EE2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single" w:sz="8" w:space="0" w:color="auto"/>
              <w:left w:val="nil"/>
              <w:bottom w:val="nil"/>
              <w:right w:val="single" w:sz="8" w:space="0" w:color="auto"/>
            </w:tcBorders>
            <w:shd w:val="clear" w:color="auto" w:fill="auto"/>
            <w:noWrap/>
            <w:vAlign w:val="center"/>
            <w:hideMark/>
          </w:tcPr>
          <w:p w14:paraId="7DCB3C2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78CFE39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single" w:sz="8" w:space="0" w:color="auto"/>
              <w:left w:val="nil"/>
              <w:bottom w:val="nil"/>
              <w:right w:val="single" w:sz="8" w:space="0" w:color="auto"/>
            </w:tcBorders>
            <w:shd w:val="clear" w:color="auto" w:fill="auto"/>
            <w:noWrap/>
            <w:vAlign w:val="center"/>
            <w:hideMark/>
          </w:tcPr>
          <w:p w14:paraId="5A5BB51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0B3FBA2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75" w:type="dxa"/>
            <w:tcBorders>
              <w:top w:val="single" w:sz="8" w:space="0" w:color="auto"/>
              <w:left w:val="nil"/>
              <w:bottom w:val="nil"/>
              <w:right w:val="single" w:sz="8" w:space="0" w:color="auto"/>
            </w:tcBorders>
            <w:shd w:val="clear" w:color="auto" w:fill="auto"/>
            <w:noWrap/>
            <w:vAlign w:val="center"/>
            <w:hideMark/>
          </w:tcPr>
          <w:p w14:paraId="26D45E5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685" w:type="dxa"/>
            <w:tcBorders>
              <w:top w:val="nil"/>
              <w:left w:val="nil"/>
              <w:bottom w:val="single" w:sz="8" w:space="0" w:color="auto"/>
              <w:right w:val="single" w:sz="8" w:space="0" w:color="auto"/>
            </w:tcBorders>
            <w:shd w:val="clear" w:color="auto" w:fill="auto"/>
            <w:noWrap/>
            <w:vAlign w:val="center"/>
            <w:hideMark/>
          </w:tcPr>
          <w:p w14:paraId="3C347EC8"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25 </w:t>
            </w:r>
          </w:p>
        </w:tc>
        <w:tc>
          <w:tcPr>
            <w:tcW w:w="155" w:type="dxa"/>
            <w:vAlign w:val="center"/>
            <w:hideMark/>
          </w:tcPr>
          <w:p w14:paraId="44F0A190" w14:textId="77777777" w:rsidR="00055E12" w:rsidRPr="00055E12" w:rsidRDefault="00055E12" w:rsidP="00055E12">
            <w:pPr>
              <w:rPr>
                <w:sz w:val="20"/>
                <w:szCs w:val="20"/>
                <w:lang w:val="en-US" w:eastAsia="zh-CN"/>
              </w:rPr>
            </w:pPr>
          </w:p>
        </w:tc>
      </w:tr>
      <w:tr w:rsidR="00055E12" w:rsidRPr="00055E12" w14:paraId="4B7B4903"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85B185B"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9C2569D"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F81B31C"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7DC0E620"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6C49593A"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71400</w:t>
            </w:r>
          </w:p>
        </w:tc>
        <w:tc>
          <w:tcPr>
            <w:tcW w:w="1982" w:type="dxa"/>
            <w:tcBorders>
              <w:top w:val="single" w:sz="8" w:space="0" w:color="auto"/>
              <w:left w:val="nil"/>
              <w:bottom w:val="nil"/>
              <w:right w:val="single" w:sz="8" w:space="0" w:color="auto"/>
            </w:tcBorders>
            <w:shd w:val="clear" w:color="auto" w:fill="auto"/>
            <w:noWrap/>
            <w:vAlign w:val="center"/>
            <w:hideMark/>
          </w:tcPr>
          <w:p w14:paraId="54F0ECCC" w14:textId="77777777" w:rsidR="00055E12" w:rsidRPr="00055E12" w:rsidRDefault="00055E12" w:rsidP="00055E12">
            <w:pPr>
              <w:rPr>
                <w:rFonts w:ascii="Calibri" w:hAnsi="Calibri" w:cs="Calibri"/>
                <w:color w:val="000000"/>
                <w:sz w:val="16"/>
                <w:szCs w:val="16"/>
              </w:rPr>
            </w:pPr>
            <w:r>
              <w:rPr>
                <w:rFonts w:ascii="Calibri" w:hAnsi="Calibri"/>
                <w:color w:val="000000"/>
                <w:sz w:val="16"/>
              </w:rPr>
              <w:t>Servicios contractuales - particulares</w:t>
            </w:r>
          </w:p>
        </w:tc>
        <w:tc>
          <w:tcPr>
            <w:tcW w:w="950" w:type="dxa"/>
            <w:tcBorders>
              <w:top w:val="single" w:sz="8" w:space="0" w:color="auto"/>
              <w:left w:val="nil"/>
              <w:bottom w:val="nil"/>
              <w:right w:val="single" w:sz="8" w:space="0" w:color="auto"/>
            </w:tcBorders>
            <w:shd w:val="clear" w:color="auto" w:fill="auto"/>
            <w:noWrap/>
            <w:vAlign w:val="center"/>
            <w:hideMark/>
          </w:tcPr>
          <w:p w14:paraId="39B9292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16.000 </w:t>
            </w:r>
          </w:p>
        </w:tc>
        <w:tc>
          <w:tcPr>
            <w:tcW w:w="1067" w:type="dxa"/>
            <w:tcBorders>
              <w:top w:val="single" w:sz="8" w:space="0" w:color="auto"/>
              <w:left w:val="nil"/>
              <w:bottom w:val="nil"/>
              <w:right w:val="single" w:sz="8" w:space="0" w:color="auto"/>
            </w:tcBorders>
            <w:shd w:val="clear" w:color="auto" w:fill="auto"/>
            <w:noWrap/>
            <w:vAlign w:val="center"/>
            <w:hideMark/>
          </w:tcPr>
          <w:p w14:paraId="0F6C64E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16.000 </w:t>
            </w:r>
          </w:p>
        </w:tc>
        <w:tc>
          <w:tcPr>
            <w:tcW w:w="950" w:type="dxa"/>
            <w:tcBorders>
              <w:top w:val="single" w:sz="8" w:space="0" w:color="auto"/>
              <w:left w:val="nil"/>
              <w:bottom w:val="nil"/>
              <w:right w:val="single" w:sz="8" w:space="0" w:color="auto"/>
            </w:tcBorders>
            <w:shd w:val="clear" w:color="auto" w:fill="auto"/>
            <w:noWrap/>
            <w:vAlign w:val="center"/>
            <w:hideMark/>
          </w:tcPr>
          <w:p w14:paraId="4C66EFE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16.000 </w:t>
            </w:r>
          </w:p>
        </w:tc>
        <w:tc>
          <w:tcPr>
            <w:tcW w:w="950" w:type="dxa"/>
            <w:tcBorders>
              <w:top w:val="single" w:sz="8" w:space="0" w:color="auto"/>
              <w:left w:val="nil"/>
              <w:bottom w:val="nil"/>
              <w:right w:val="single" w:sz="8" w:space="0" w:color="auto"/>
            </w:tcBorders>
            <w:shd w:val="clear" w:color="auto" w:fill="auto"/>
            <w:noWrap/>
            <w:vAlign w:val="center"/>
            <w:hideMark/>
          </w:tcPr>
          <w:p w14:paraId="240EDE9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16.000 </w:t>
            </w:r>
          </w:p>
        </w:tc>
        <w:tc>
          <w:tcPr>
            <w:tcW w:w="950" w:type="dxa"/>
            <w:tcBorders>
              <w:top w:val="single" w:sz="8" w:space="0" w:color="auto"/>
              <w:left w:val="nil"/>
              <w:bottom w:val="nil"/>
              <w:right w:val="single" w:sz="8" w:space="0" w:color="auto"/>
            </w:tcBorders>
            <w:shd w:val="clear" w:color="auto" w:fill="auto"/>
            <w:noWrap/>
            <w:vAlign w:val="center"/>
            <w:hideMark/>
          </w:tcPr>
          <w:p w14:paraId="697E26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16.000 </w:t>
            </w:r>
          </w:p>
        </w:tc>
        <w:tc>
          <w:tcPr>
            <w:tcW w:w="975" w:type="dxa"/>
            <w:tcBorders>
              <w:top w:val="single" w:sz="8" w:space="0" w:color="auto"/>
              <w:left w:val="nil"/>
              <w:bottom w:val="nil"/>
              <w:right w:val="single" w:sz="8" w:space="0" w:color="auto"/>
            </w:tcBorders>
            <w:shd w:val="clear" w:color="auto" w:fill="auto"/>
            <w:noWrap/>
            <w:vAlign w:val="center"/>
            <w:hideMark/>
          </w:tcPr>
          <w:p w14:paraId="27AA937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80.000 </w:t>
            </w:r>
          </w:p>
        </w:tc>
        <w:tc>
          <w:tcPr>
            <w:tcW w:w="685" w:type="dxa"/>
            <w:tcBorders>
              <w:top w:val="nil"/>
              <w:left w:val="nil"/>
              <w:bottom w:val="single" w:sz="8" w:space="0" w:color="auto"/>
              <w:right w:val="single" w:sz="8" w:space="0" w:color="auto"/>
            </w:tcBorders>
            <w:shd w:val="clear" w:color="auto" w:fill="auto"/>
            <w:noWrap/>
            <w:vAlign w:val="center"/>
            <w:hideMark/>
          </w:tcPr>
          <w:p w14:paraId="55E86172"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26 </w:t>
            </w:r>
          </w:p>
        </w:tc>
        <w:tc>
          <w:tcPr>
            <w:tcW w:w="155" w:type="dxa"/>
            <w:vAlign w:val="center"/>
            <w:hideMark/>
          </w:tcPr>
          <w:p w14:paraId="4EEF401C" w14:textId="77777777" w:rsidR="00055E12" w:rsidRPr="00055E12" w:rsidRDefault="00055E12" w:rsidP="00055E12">
            <w:pPr>
              <w:rPr>
                <w:sz w:val="20"/>
                <w:szCs w:val="20"/>
                <w:lang w:val="en-US" w:eastAsia="zh-CN"/>
              </w:rPr>
            </w:pPr>
          </w:p>
        </w:tc>
      </w:tr>
      <w:tr w:rsidR="00055E12" w:rsidRPr="00055E12" w14:paraId="3BB5CB26"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53ACE5EF"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2AFDE69B"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6984878C"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C50EB64"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67631386"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71600</w:t>
            </w:r>
          </w:p>
        </w:tc>
        <w:tc>
          <w:tcPr>
            <w:tcW w:w="1982" w:type="dxa"/>
            <w:tcBorders>
              <w:top w:val="single" w:sz="8" w:space="0" w:color="auto"/>
              <w:left w:val="nil"/>
              <w:bottom w:val="nil"/>
              <w:right w:val="single" w:sz="8" w:space="0" w:color="auto"/>
            </w:tcBorders>
            <w:shd w:val="clear" w:color="auto" w:fill="auto"/>
            <w:noWrap/>
            <w:vAlign w:val="center"/>
            <w:hideMark/>
          </w:tcPr>
          <w:p w14:paraId="5EF0DE5C" w14:textId="77777777" w:rsidR="00055E12" w:rsidRPr="00055E12" w:rsidRDefault="00055E12" w:rsidP="00055E12">
            <w:pPr>
              <w:rPr>
                <w:rFonts w:ascii="Calibri" w:hAnsi="Calibri" w:cs="Calibri"/>
                <w:color w:val="000000"/>
                <w:sz w:val="16"/>
                <w:szCs w:val="16"/>
              </w:rPr>
            </w:pPr>
            <w:r>
              <w:rPr>
                <w:rFonts w:ascii="Calibri" w:hAnsi="Calibri"/>
                <w:color w:val="000000"/>
                <w:sz w:val="16"/>
              </w:rPr>
              <w:t>Viajes</w:t>
            </w:r>
          </w:p>
        </w:tc>
        <w:tc>
          <w:tcPr>
            <w:tcW w:w="950" w:type="dxa"/>
            <w:tcBorders>
              <w:top w:val="single" w:sz="8" w:space="0" w:color="auto"/>
              <w:left w:val="nil"/>
              <w:bottom w:val="nil"/>
              <w:right w:val="single" w:sz="8" w:space="0" w:color="auto"/>
            </w:tcBorders>
            <w:shd w:val="clear" w:color="auto" w:fill="auto"/>
            <w:noWrap/>
            <w:vAlign w:val="center"/>
            <w:hideMark/>
          </w:tcPr>
          <w:p w14:paraId="598F51B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4.000 </w:t>
            </w:r>
          </w:p>
        </w:tc>
        <w:tc>
          <w:tcPr>
            <w:tcW w:w="1067" w:type="dxa"/>
            <w:tcBorders>
              <w:top w:val="single" w:sz="8" w:space="0" w:color="auto"/>
              <w:left w:val="nil"/>
              <w:bottom w:val="nil"/>
              <w:right w:val="single" w:sz="8" w:space="0" w:color="auto"/>
            </w:tcBorders>
            <w:shd w:val="clear" w:color="auto" w:fill="auto"/>
            <w:noWrap/>
            <w:vAlign w:val="center"/>
            <w:hideMark/>
          </w:tcPr>
          <w:p w14:paraId="6A3F326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4.000 </w:t>
            </w:r>
          </w:p>
        </w:tc>
        <w:tc>
          <w:tcPr>
            <w:tcW w:w="950" w:type="dxa"/>
            <w:tcBorders>
              <w:top w:val="single" w:sz="8" w:space="0" w:color="auto"/>
              <w:left w:val="nil"/>
              <w:bottom w:val="nil"/>
              <w:right w:val="single" w:sz="8" w:space="0" w:color="auto"/>
            </w:tcBorders>
            <w:shd w:val="clear" w:color="auto" w:fill="auto"/>
            <w:noWrap/>
            <w:vAlign w:val="center"/>
            <w:hideMark/>
          </w:tcPr>
          <w:p w14:paraId="157D472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4.000 </w:t>
            </w:r>
          </w:p>
        </w:tc>
        <w:tc>
          <w:tcPr>
            <w:tcW w:w="950" w:type="dxa"/>
            <w:tcBorders>
              <w:top w:val="single" w:sz="8" w:space="0" w:color="auto"/>
              <w:left w:val="nil"/>
              <w:bottom w:val="nil"/>
              <w:right w:val="single" w:sz="8" w:space="0" w:color="auto"/>
            </w:tcBorders>
            <w:shd w:val="clear" w:color="auto" w:fill="auto"/>
            <w:noWrap/>
            <w:vAlign w:val="center"/>
            <w:hideMark/>
          </w:tcPr>
          <w:p w14:paraId="021E68D3"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4.000 </w:t>
            </w:r>
          </w:p>
        </w:tc>
        <w:tc>
          <w:tcPr>
            <w:tcW w:w="950" w:type="dxa"/>
            <w:tcBorders>
              <w:top w:val="single" w:sz="8" w:space="0" w:color="auto"/>
              <w:left w:val="nil"/>
              <w:bottom w:val="nil"/>
              <w:right w:val="single" w:sz="8" w:space="0" w:color="auto"/>
            </w:tcBorders>
            <w:shd w:val="clear" w:color="auto" w:fill="auto"/>
            <w:noWrap/>
            <w:vAlign w:val="center"/>
            <w:hideMark/>
          </w:tcPr>
          <w:p w14:paraId="63A8241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4.000 </w:t>
            </w:r>
          </w:p>
        </w:tc>
        <w:tc>
          <w:tcPr>
            <w:tcW w:w="975" w:type="dxa"/>
            <w:tcBorders>
              <w:top w:val="single" w:sz="8" w:space="0" w:color="auto"/>
              <w:left w:val="nil"/>
              <w:bottom w:val="nil"/>
              <w:right w:val="single" w:sz="8" w:space="0" w:color="auto"/>
            </w:tcBorders>
            <w:shd w:val="clear" w:color="auto" w:fill="auto"/>
            <w:noWrap/>
            <w:vAlign w:val="center"/>
            <w:hideMark/>
          </w:tcPr>
          <w:p w14:paraId="447D847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20.000 </w:t>
            </w:r>
          </w:p>
        </w:tc>
        <w:tc>
          <w:tcPr>
            <w:tcW w:w="685" w:type="dxa"/>
            <w:tcBorders>
              <w:top w:val="nil"/>
              <w:left w:val="nil"/>
              <w:bottom w:val="single" w:sz="8" w:space="0" w:color="auto"/>
              <w:right w:val="single" w:sz="8" w:space="0" w:color="auto"/>
            </w:tcBorders>
            <w:shd w:val="clear" w:color="auto" w:fill="auto"/>
            <w:noWrap/>
            <w:vAlign w:val="center"/>
            <w:hideMark/>
          </w:tcPr>
          <w:p w14:paraId="1E4F883F"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27 </w:t>
            </w:r>
          </w:p>
        </w:tc>
        <w:tc>
          <w:tcPr>
            <w:tcW w:w="155" w:type="dxa"/>
            <w:vAlign w:val="center"/>
            <w:hideMark/>
          </w:tcPr>
          <w:p w14:paraId="6C2AA982" w14:textId="77777777" w:rsidR="00055E12" w:rsidRPr="00055E12" w:rsidRDefault="00055E12" w:rsidP="00055E12">
            <w:pPr>
              <w:rPr>
                <w:sz w:val="20"/>
                <w:szCs w:val="20"/>
                <w:lang w:val="en-US" w:eastAsia="zh-CN"/>
              </w:rPr>
            </w:pPr>
          </w:p>
        </w:tc>
      </w:tr>
      <w:tr w:rsidR="00055E12" w:rsidRPr="00055E12" w14:paraId="2EB2AC66"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483F5270"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404A602A"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057FE0F"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ABA2DE9"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638020C8"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74200</w:t>
            </w:r>
          </w:p>
        </w:tc>
        <w:tc>
          <w:tcPr>
            <w:tcW w:w="1982" w:type="dxa"/>
            <w:tcBorders>
              <w:top w:val="single" w:sz="8" w:space="0" w:color="auto"/>
              <w:left w:val="nil"/>
              <w:bottom w:val="nil"/>
              <w:right w:val="single" w:sz="8" w:space="0" w:color="auto"/>
            </w:tcBorders>
            <w:shd w:val="clear" w:color="auto" w:fill="auto"/>
            <w:noWrap/>
            <w:vAlign w:val="center"/>
            <w:hideMark/>
          </w:tcPr>
          <w:p w14:paraId="4576786A" w14:textId="77777777" w:rsidR="00055E12" w:rsidRPr="00055E12" w:rsidRDefault="00055E12" w:rsidP="00055E12">
            <w:pPr>
              <w:rPr>
                <w:rFonts w:ascii="Calibri" w:hAnsi="Calibri" w:cs="Calibri"/>
                <w:color w:val="000000"/>
                <w:sz w:val="16"/>
                <w:szCs w:val="16"/>
              </w:rPr>
            </w:pPr>
            <w:r>
              <w:rPr>
                <w:rFonts w:ascii="Calibri" w:hAnsi="Calibri"/>
                <w:color w:val="000000"/>
                <w:sz w:val="16"/>
              </w:rPr>
              <w:t>Costes audiovisuales y de impresión</w:t>
            </w:r>
          </w:p>
        </w:tc>
        <w:tc>
          <w:tcPr>
            <w:tcW w:w="950" w:type="dxa"/>
            <w:tcBorders>
              <w:top w:val="single" w:sz="8" w:space="0" w:color="auto"/>
              <w:left w:val="nil"/>
              <w:bottom w:val="nil"/>
              <w:right w:val="single" w:sz="8" w:space="0" w:color="auto"/>
            </w:tcBorders>
            <w:shd w:val="clear" w:color="auto" w:fill="auto"/>
            <w:noWrap/>
            <w:vAlign w:val="center"/>
            <w:hideMark/>
          </w:tcPr>
          <w:p w14:paraId="6CF6599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single" w:sz="8" w:space="0" w:color="auto"/>
              <w:left w:val="nil"/>
              <w:bottom w:val="nil"/>
              <w:right w:val="single" w:sz="8" w:space="0" w:color="auto"/>
            </w:tcBorders>
            <w:shd w:val="clear" w:color="auto" w:fill="auto"/>
            <w:noWrap/>
            <w:vAlign w:val="center"/>
            <w:hideMark/>
          </w:tcPr>
          <w:p w14:paraId="41D7E2F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122A701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 </w:t>
            </w:r>
          </w:p>
        </w:tc>
        <w:tc>
          <w:tcPr>
            <w:tcW w:w="950" w:type="dxa"/>
            <w:tcBorders>
              <w:top w:val="single" w:sz="8" w:space="0" w:color="auto"/>
              <w:left w:val="nil"/>
              <w:bottom w:val="nil"/>
              <w:right w:val="single" w:sz="8" w:space="0" w:color="auto"/>
            </w:tcBorders>
            <w:shd w:val="clear" w:color="auto" w:fill="auto"/>
            <w:noWrap/>
            <w:vAlign w:val="center"/>
            <w:hideMark/>
          </w:tcPr>
          <w:p w14:paraId="011B578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10F9DE3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5.000 </w:t>
            </w:r>
          </w:p>
        </w:tc>
        <w:tc>
          <w:tcPr>
            <w:tcW w:w="975" w:type="dxa"/>
            <w:tcBorders>
              <w:top w:val="single" w:sz="8" w:space="0" w:color="auto"/>
              <w:left w:val="nil"/>
              <w:bottom w:val="nil"/>
              <w:right w:val="single" w:sz="8" w:space="0" w:color="auto"/>
            </w:tcBorders>
            <w:shd w:val="clear" w:color="auto" w:fill="auto"/>
            <w:noWrap/>
            <w:vAlign w:val="center"/>
            <w:hideMark/>
          </w:tcPr>
          <w:p w14:paraId="5CCDB2D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685" w:type="dxa"/>
            <w:tcBorders>
              <w:top w:val="nil"/>
              <w:left w:val="nil"/>
              <w:bottom w:val="single" w:sz="8" w:space="0" w:color="auto"/>
              <w:right w:val="single" w:sz="8" w:space="0" w:color="auto"/>
            </w:tcBorders>
            <w:shd w:val="clear" w:color="auto" w:fill="auto"/>
            <w:noWrap/>
            <w:vAlign w:val="center"/>
            <w:hideMark/>
          </w:tcPr>
          <w:p w14:paraId="5A532B40"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28 </w:t>
            </w:r>
          </w:p>
        </w:tc>
        <w:tc>
          <w:tcPr>
            <w:tcW w:w="155" w:type="dxa"/>
            <w:vAlign w:val="center"/>
            <w:hideMark/>
          </w:tcPr>
          <w:p w14:paraId="43AF1483" w14:textId="77777777" w:rsidR="00055E12" w:rsidRPr="00055E12" w:rsidRDefault="00055E12" w:rsidP="00055E12">
            <w:pPr>
              <w:rPr>
                <w:sz w:val="20"/>
                <w:szCs w:val="20"/>
                <w:lang w:val="en-US" w:eastAsia="zh-CN"/>
              </w:rPr>
            </w:pPr>
          </w:p>
        </w:tc>
      </w:tr>
      <w:tr w:rsidR="00055E12" w:rsidRPr="00055E12" w14:paraId="4D70EAD5"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178C917C"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06B60004"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F2B5540"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0C7229C8"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12B9939C"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75700</w:t>
            </w:r>
          </w:p>
        </w:tc>
        <w:tc>
          <w:tcPr>
            <w:tcW w:w="1982" w:type="dxa"/>
            <w:tcBorders>
              <w:top w:val="single" w:sz="8" w:space="0" w:color="auto"/>
              <w:left w:val="nil"/>
              <w:bottom w:val="single" w:sz="8" w:space="0" w:color="auto"/>
              <w:right w:val="single" w:sz="8" w:space="0" w:color="auto"/>
            </w:tcBorders>
            <w:shd w:val="clear" w:color="auto" w:fill="auto"/>
            <w:noWrap/>
            <w:vAlign w:val="center"/>
            <w:hideMark/>
          </w:tcPr>
          <w:p w14:paraId="746072C1" w14:textId="77777777" w:rsidR="00055E12" w:rsidRPr="00055E12" w:rsidRDefault="00055E12" w:rsidP="00055E12">
            <w:pPr>
              <w:rPr>
                <w:rFonts w:ascii="Calibri" w:hAnsi="Calibri" w:cs="Calibri"/>
                <w:color w:val="000000"/>
                <w:sz w:val="16"/>
                <w:szCs w:val="16"/>
              </w:rPr>
            </w:pPr>
            <w:r>
              <w:rPr>
                <w:rFonts w:ascii="Calibri" w:hAnsi="Calibri"/>
                <w:color w:val="000000"/>
                <w:sz w:val="16"/>
              </w:rPr>
              <w:t>Formación, talleres y conferencias</w:t>
            </w:r>
          </w:p>
        </w:tc>
        <w:tc>
          <w:tcPr>
            <w:tcW w:w="950" w:type="dxa"/>
            <w:tcBorders>
              <w:top w:val="single" w:sz="8" w:space="0" w:color="auto"/>
              <w:left w:val="nil"/>
              <w:bottom w:val="nil"/>
              <w:right w:val="single" w:sz="8" w:space="0" w:color="auto"/>
            </w:tcBorders>
            <w:shd w:val="clear" w:color="auto" w:fill="auto"/>
            <w:noWrap/>
            <w:vAlign w:val="center"/>
            <w:hideMark/>
          </w:tcPr>
          <w:p w14:paraId="331F40F6"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1067" w:type="dxa"/>
            <w:tcBorders>
              <w:top w:val="single" w:sz="8" w:space="0" w:color="auto"/>
              <w:left w:val="nil"/>
              <w:bottom w:val="nil"/>
              <w:right w:val="single" w:sz="8" w:space="0" w:color="auto"/>
            </w:tcBorders>
            <w:shd w:val="clear" w:color="auto" w:fill="auto"/>
            <w:noWrap/>
            <w:vAlign w:val="center"/>
            <w:hideMark/>
          </w:tcPr>
          <w:p w14:paraId="510BF81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5339FC5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7293BD2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28CD3A1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75" w:type="dxa"/>
            <w:tcBorders>
              <w:top w:val="single" w:sz="8" w:space="0" w:color="auto"/>
              <w:left w:val="nil"/>
              <w:bottom w:val="nil"/>
              <w:right w:val="single" w:sz="8" w:space="0" w:color="auto"/>
            </w:tcBorders>
            <w:shd w:val="clear" w:color="auto" w:fill="auto"/>
            <w:noWrap/>
            <w:vAlign w:val="center"/>
            <w:hideMark/>
          </w:tcPr>
          <w:p w14:paraId="64398C6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685" w:type="dxa"/>
            <w:tcBorders>
              <w:top w:val="nil"/>
              <w:left w:val="nil"/>
              <w:bottom w:val="single" w:sz="8" w:space="0" w:color="auto"/>
              <w:right w:val="single" w:sz="8" w:space="0" w:color="auto"/>
            </w:tcBorders>
            <w:shd w:val="clear" w:color="auto" w:fill="auto"/>
            <w:noWrap/>
            <w:vAlign w:val="center"/>
            <w:hideMark/>
          </w:tcPr>
          <w:p w14:paraId="0ECBDFF4"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29 </w:t>
            </w:r>
          </w:p>
        </w:tc>
        <w:tc>
          <w:tcPr>
            <w:tcW w:w="155" w:type="dxa"/>
            <w:vAlign w:val="center"/>
            <w:hideMark/>
          </w:tcPr>
          <w:p w14:paraId="3E5B3E46" w14:textId="77777777" w:rsidR="00055E12" w:rsidRPr="00055E12" w:rsidRDefault="00055E12" w:rsidP="00055E12">
            <w:pPr>
              <w:rPr>
                <w:sz w:val="20"/>
                <w:szCs w:val="20"/>
                <w:lang w:val="en-US" w:eastAsia="zh-CN"/>
              </w:rPr>
            </w:pPr>
          </w:p>
        </w:tc>
      </w:tr>
      <w:tr w:rsidR="00055E12" w:rsidRPr="00055E12" w14:paraId="6A40E046"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FEDBA54"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E121742"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77132ACC"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355DBC8F"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double" w:sz="6" w:space="0" w:color="auto"/>
              <w:left w:val="nil"/>
              <w:bottom w:val="double" w:sz="6" w:space="0" w:color="auto"/>
              <w:right w:val="single" w:sz="8" w:space="0" w:color="auto"/>
            </w:tcBorders>
            <w:shd w:val="clear" w:color="auto" w:fill="auto"/>
            <w:noWrap/>
            <w:vAlign w:val="center"/>
            <w:hideMark/>
          </w:tcPr>
          <w:p w14:paraId="68179BE1"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 </w:t>
            </w:r>
          </w:p>
        </w:tc>
        <w:tc>
          <w:tcPr>
            <w:tcW w:w="1982" w:type="dxa"/>
            <w:tcBorders>
              <w:top w:val="nil"/>
              <w:left w:val="nil"/>
              <w:bottom w:val="double" w:sz="6" w:space="0" w:color="auto"/>
              <w:right w:val="single" w:sz="8" w:space="0" w:color="auto"/>
            </w:tcBorders>
            <w:shd w:val="clear" w:color="auto" w:fill="auto"/>
            <w:noWrap/>
            <w:vAlign w:val="center"/>
            <w:hideMark/>
          </w:tcPr>
          <w:p w14:paraId="6CC3F016"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 xml:space="preserve"> Total Componente 4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33DE64AB"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30.000 </w:t>
            </w:r>
          </w:p>
        </w:tc>
        <w:tc>
          <w:tcPr>
            <w:tcW w:w="1067" w:type="dxa"/>
            <w:tcBorders>
              <w:top w:val="single" w:sz="8" w:space="0" w:color="auto"/>
              <w:left w:val="nil"/>
              <w:bottom w:val="single" w:sz="8" w:space="0" w:color="auto"/>
              <w:right w:val="single" w:sz="8" w:space="0" w:color="auto"/>
            </w:tcBorders>
            <w:shd w:val="clear" w:color="auto" w:fill="auto"/>
            <w:noWrap/>
            <w:vAlign w:val="center"/>
            <w:hideMark/>
          </w:tcPr>
          <w:p w14:paraId="75C8C484"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20.000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3227F856"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60.000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426EC2CD"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20.000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2E33F7DC"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60.000 </w:t>
            </w:r>
          </w:p>
        </w:tc>
        <w:tc>
          <w:tcPr>
            <w:tcW w:w="975" w:type="dxa"/>
            <w:tcBorders>
              <w:top w:val="single" w:sz="8" w:space="0" w:color="auto"/>
              <w:left w:val="nil"/>
              <w:bottom w:val="single" w:sz="8" w:space="0" w:color="auto"/>
              <w:right w:val="single" w:sz="8" w:space="0" w:color="auto"/>
            </w:tcBorders>
            <w:shd w:val="clear" w:color="auto" w:fill="auto"/>
            <w:noWrap/>
            <w:vAlign w:val="center"/>
            <w:hideMark/>
          </w:tcPr>
          <w:p w14:paraId="1AB86E0B"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190.000 </w:t>
            </w:r>
          </w:p>
        </w:tc>
        <w:tc>
          <w:tcPr>
            <w:tcW w:w="685" w:type="dxa"/>
            <w:tcBorders>
              <w:top w:val="nil"/>
              <w:left w:val="nil"/>
              <w:bottom w:val="double" w:sz="6" w:space="0" w:color="auto"/>
              <w:right w:val="single" w:sz="8" w:space="0" w:color="auto"/>
            </w:tcBorders>
            <w:shd w:val="clear" w:color="auto" w:fill="auto"/>
            <w:vAlign w:val="center"/>
            <w:hideMark/>
          </w:tcPr>
          <w:p w14:paraId="30625B89"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w:t>
            </w:r>
          </w:p>
        </w:tc>
        <w:tc>
          <w:tcPr>
            <w:tcW w:w="155" w:type="dxa"/>
            <w:vAlign w:val="center"/>
            <w:hideMark/>
          </w:tcPr>
          <w:p w14:paraId="485E71CF" w14:textId="77777777" w:rsidR="00055E12" w:rsidRPr="00055E12" w:rsidRDefault="00055E12" w:rsidP="00055E12">
            <w:pPr>
              <w:rPr>
                <w:sz w:val="20"/>
                <w:szCs w:val="20"/>
                <w:lang w:val="en-US" w:eastAsia="zh-CN"/>
              </w:rPr>
            </w:pPr>
          </w:p>
        </w:tc>
      </w:tr>
      <w:tr w:rsidR="00055E12" w:rsidRPr="00055E12" w14:paraId="09BE8250" w14:textId="77777777" w:rsidTr="00055E12">
        <w:trPr>
          <w:trHeight w:val="295"/>
        </w:trPr>
        <w:tc>
          <w:tcPr>
            <w:tcW w:w="2356" w:type="dxa"/>
            <w:vMerge w:val="restart"/>
            <w:tcBorders>
              <w:top w:val="nil"/>
              <w:left w:val="single" w:sz="8" w:space="0" w:color="auto"/>
              <w:bottom w:val="double" w:sz="6" w:space="0" w:color="000000"/>
              <w:right w:val="single" w:sz="8" w:space="0" w:color="auto"/>
            </w:tcBorders>
            <w:shd w:val="clear" w:color="auto" w:fill="auto"/>
            <w:vAlign w:val="center"/>
            <w:hideMark/>
          </w:tcPr>
          <w:p w14:paraId="55E8C19C" w14:textId="5FE21EBC" w:rsidR="00055E12" w:rsidRPr="00055E12" w:rsidRDefault="00055E12" w:rsidP="00C61EB0">
            <w:pPr>
              <w:jc w:val="center"/>
              <w:rPr>
                <w:rFonts w:ascii="Calibri" w:hAnsi="Calibri" w:cs="Calibri"/>
                <w:b/>
                <w:bCs/>
                <w:color w:val="000000"/>
                <w:sz w:val="16"/>
                <w:szCs w:val="16"/>
              </w:rPr>
            </w:pPr>
            <w:bookmarkStart w:id="54" w:name="RANGE!A45"/>
            <w:r>
              <w:rPr>
                <w:rFonts w:ascii="Calibri" w:hAnsi="Calibri"/>
                <w:b/>
                <w:color w:val="000000"/>
                <w:sz w:val="16"/>
              </w:rPr>
              <w:t xml:space="preserve">Gestión de </w:t>
            </w:r>
            <w:r w:rsidR="00C61EB0">
              <w:rPr>
                <w:rFonts w:ascii="Calibri" w:hAnsi="Calibri"/>
                <w:b/>
                <w:color w:val="000000"/>
                <w:sz w:val="16"/>
              </w:rPr>
              <w:t>P</w:t>
            </w:r>
            <w:r>
              <w:rPr>
                <w:rFonts w:ascii="Calibri" w:hAnsi="Calibri"/>
                <w:b/>
                <w:color w:val="000000"/>
                <w:sz w:val="16"/>
              </w:rPr>
              <w:t>royecto</w:t>
            </w:r>
            <w:bookmarkEnd w:id="54"/>
          </w:p>
        </w:tc>
        <w:tc>
          <w:tcPr>
            <w:tcW w:w="1009" w:type="dxa"/>
            <w:vMerge w:val="restart"/>
            <w:tcBorders>
              <w:top w:val="nil"/>
              <w:left w:val="single" w:sz="8" w:space="0" w:color="auto"/>
              <w:bottom w:val="double" w:sz="6" w:space="0" w:color="000000"/>
              <w:right w:val="single" w:sz="8" w:space="0" w:color="auto"/>
            </w:tcBorders>
            <w:shd w:val="clear" w:color="auto" w:fill="auto"/>
            <w:vAlign w:val="center"/>
            <w:hideMark/>
          </w:tcPr>
          <w:p w14:paraId="5D5851E4"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Ministerio de Medio Ambiente, Agua y Transición Ecológica (MAATE)</w:t>
            </w:r>
          </w:p>
        </w:tc>
        <w:tc>
          <w:tcPr>
            <w:tcW w:w="704" w:type="dxa"/>
            <w:vMerge w:val="restart"/>
            <w:tcBorders>
              <w:top w:val="nil"/>
              <w:left w:val="single" w:sz="8" w:space="0" w:color="auto"/>
              <w:bottom w:val="double" w:sz="6" w:space="0" w:color="000000"/>
              <w:right w:val="single" w:sz="8" w:space="0" w:color="auto"/>
            </w:tcBorders>
            <w:shd w:val="clear" w:color="auto" w:fill="auto"/>
            <w:vAlign w:val="center"/>
            <w:hideMark/>
          </w:tcPr>
          <w:p w14:paraId="204A77F7"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62000</w:t>
            </w:r>
          </w:p>
        </w:tc>
        <w:tc>
          <w:tcPr>
            <w:tcW w:w="705" w:type="dxa"/>
            <w:vMerge w:val="restart"/>
            <w:tcBorders>
              <w:top w:val="nil"/>
              <w:left w:val="single" w:sz="8" w:space="0" w:color="auto"/>
              <w:bottom w:val="double" w:sz="6" w:space="0" w:color="000000"/>
              <w:right w:val="single" w:sz="8" w:space="0" w:color="auto"/>
            </w:tcBorders>
            <w:shd w:val="clear" w:color="auto" w:fill="auto"/>
            <w:vAlign w:val="center"/>
            <w:hideMark/>
          </w:tcPr>
          <w:p w14:paraId="63E8F3ED" w14:textId="77777777" w:rsidR="00055E12" w:rsidRPr="00055E12" w:rsidRDefault="00055E12" w:rsidP="00055E12">
            <w:pPr>
              <w:jc w:val="center"/>
              <w:rPr>
                <w:rFonts w:ascii="Calibri" w:hAnsi="Calibri" w:cs="Calibri"/>
                <w:color w:val="000000"/>
                <w:sz w:val="16"/>
                <w:szCs w:val="16"/>
              </w:rPr>
            </w:pPr>
            <w:r>
              <w:rPr>
                <w:rFonts w:ascii="Calibri" w:hAnsi="Calibri"/>
                <w:color w:val="000000"/>
                <w:sz w:val="16"/>
              </w:rPr>
              <w:t>FMAM</w:t>
            </w:r>
          </w:p>
        </w:tc>
        <w:tc>
          <w:tcPr>
            <w:tcW w:w="865" w:type="dxa"/>
            <w:tcBorders>
              <w:top w:val="single" w:sz="8" w:space="0" w:color="auto"/>
              <w:left w:val="nil"/>
              <w:bottom w:val="nil"/>
              <w:right w:val="single" w:sz="8" w:space="0" w:color="auto"/>
            </w:tcBorders>
            <w:shd w:val="clear" w:color="auto" w:fill="auto"/>
            <w:noWrap/>
            <w:vAlign w:val="center"/>
            <w:hideMark/>
          </w:tcPr>
          <w:p w14:paraId="7AE2C9F3"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71400</w:t>
            </w:r>
          </w:p>
        </w:tc>
        <w:tc>
          <w:tcPr>
            <w:tcW w:w="1982" w:type="dxa"/>
            <w:tcBorders>
              <w:top w:val="single" w:sz="8" w:space="0" w:color="auto"/>
              <w:left w:val="nil"/>
              <w:bottom w:val="nil"/>
              <w:right w:val="single" w:sz="8" w:space="0" w:color="auto"/>
            </w:tcBorders>
            <w:shd w:val="clear" w:color="auto" w:fill="auto"/>
            <w:noWrap/>
            <w:vAlign w:val="center"/>
            <w:hideMark/>
          </w:tcPr>
          <w:p w14:paraId="696A5CF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Servicios contractuales - particulares </w:t>
            </w:r>
          </w:p>
        </w:tc>
        <w:tc>
          <w:tcPr>
            <w:tcW w:w="950" w:type="dxa"/>
            <w:tcBorders>
              <w:top w:val="nil"/>
              <w:left w:val="nil"/>
              <w:bottom w:val="nil"/>
              <w:right w:val="single" w:sz="8" w:space="0" w:color="auto"/>
            </w:tcBorders>
            <w:shd w:val="clear" w:color="auto" w:fill="auto"/>
            <w:noWrap/>
            <w:vAlign w:val="center"/>
            <w:hideMark/>
          </w:tcPr>
          <w:p w14:paraId="307D934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9.000 </w:t>
            </w:r>
          </w:p>
        </w:tc>
        <w:tc>
          <w:tcPr>
            <w:tcW w:w="1067" w:type="dxa"/>
            <w:tcBorders>
              <w:top w:val="nil"/>
              <w:left w:val="nil"/>
              <w:bottom w:val="nil"/>
              <w:right w:val="single" w:sz="8" w:space="0" w:color="auto"/>
            </w:tcBorders>
            <w:shd w:val="clear" w:color="auto" w:fill="auto"/>
            <w:noWrap/>
            <w:vAlign w:val="center"/>
            <w:hideMark/>
          </w:tcPr>
          <w:p w14:paraId="5C88B87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nil"/>
              <w:right w:val="single" w:sz="8" w:space="0" w:color="auto"/>
            </w:tcBorders>
            <w:shd w:val="clear" w:color="auto" w:fill="auto"/>
            <w:noWrap/>
            <w:vAlign w:val="center"/>
            <w:hideMark/>
          </w:tcPr>
          <w:p w14:paraId="04191EE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nil"/>
              <w:right w:val="single" w:sz="8" w:space="0" w:color="auto"/>
            </w:tcBorders>
            <w:shd w:val="clear" w:color="auto" w:fill="auto"/>
            <w:noWrap/>
            <w:vAlign w:val="center"/>
            <w:hideMark/>
          </w:tcPr>
          <w:p w14:paraId="52C402F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950" w:type="dxa"/>
            <w:tcBorders>
              <w:top w:val="nil"/>
              <w:left w:val="nil"/>
              <w:bottom w:val="nil"/>
              <w:right w:val="single" w:sz="8" w:space="0" w:color="auto"/>
            </w:tcBorders>
            <w:shd w:val="clear" w:color="auto" w:fill="auto"/>
            <w:noWrap/>
            <w:vAlign w:val="center"/>
            <w:hideMark/>
          </w:tcPr>
          <w:p w14:paraId="44B2EFF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8.976 </w:t>
            </w:r>
          </w:p>
        </w:tc>
        <w:tc>
          <w:tcPr>
            <w:tcW w:w="975" w:type="dxa"/>
            <w:tcBorders>
              <w:top w:val="nil"/>
              <w:left w:val="nil"/>
              <w:bottom w:val="nil"/>
              <w:right w:val="single" w:sz="8" w:space="0" w:color="auto"/>
            </w:tcBorders>
            <w:shd w:val="clear" w:color="auto" w:fill="auto"/>
            <w:noWrap/>
            <w:vAlign w:val="center"/>
            <w:hideMark/>
          </w:tcPr>
          <w:p w14:paraId="1FAD751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47.976 </w:t>
            </w:r>
          </w:p>
        </w:tc>
        <w:tc>
          <w:tcPr>
            <w:tcW w:w="685" w:type="dxa"/>
            <w:tcBorders>
              <w:top w:val="nil"/>
              <w:left w:val="nil"/>
              <w:bottom w:val="single" w:sz="8" w:space="0" w:color="auto"/>
              <w:right w:val="single" w:sz="8" w:space="0" w:color="auto"/>
            </w:tcBorders>
            <w:shd w:val="clear" w:color="auto" w:fill="auto"/>
            <w:noWrap/>
            <w:vAlign w:val="center"/>
            <w:hideMark/>
          </w:tcPr>
          <w:p w14:paraId="5C726F7D"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30 </w:t>
            </w:r>
          </w:p>
        </w:tc>
        <w:tc>
          <w:tcPr>
            <w:tcW w:w="155" w:type="dxa"/>
            <w:vAlign w:val="center"/>
            <w:hideMark/>
          </w:tcPr>
          <w:p w14:paraId="2D2BF0B8" w14:textId="77777777" w:rsidR="00055E12" w:rsidRPr="00055E12" w:rsidRDefault="00055E12" w:rsidP="00055E12">
            <w:pPr>
              <w:rPr>
                <w:sz w:val="20"/>
                <w:szCs w:val="20"/>
                <w:lang w:val="en-US" w:eastAsia="zh-CN"/>
              </w:rPr>
            </w:pPr>
          </w:p>
        </w:tc>
      </w:tr>
      <w:tr w:rsidR="00055E12" w:rsidRPr="00055E12" w14:paraId="09DE00FF"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6C99E4C4"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66EA2BC3"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09DBBB8"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7E37608D"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2D7FF1D7"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72200</w:t>
            </w:r>
          </w:p>
        </w:tc>
        <w:tc>
          <w:tcPr>
            <w:tcW w:w="1982" w:type="dxa"/>
            <w:tcBorders>
              <w:top w:val="single" w:sz="8" w:space="0" w:color="auto"/>
              <w:left w:val="nil"/>
              <w:bottom w:val="nil"/>
              <w:right w:val="single" w:sz="8" w:space="0" w:color="auto"/>
            </w:tcBorders>
            <w:shd w:val="clear" w:color="auto" w:fill="auto"/>
            <w:noWrap/>
            <w:vAlign w:val="center"/>
            <w:hideMark/>
          </w:tcPr>
          <w:p w14:paraId="206D9F3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Equipamiento y mobiliario </w:t>
            </w:r>
          </w:p>
        </w:tc>
        <w:tc>
          <w:tcPr>
            <w:tcW w:w="950" w:type="dxa"/>
            <w:tcBorders>
              <w:top w:val="single" w:sz="8" w:space="0" w:color="auto"/>
              <w:left w:val="nil"/>
              <w:bottom w:val="nil"/>
              <w:right w:val="single" w:sz="8" w:space="0" w:color="auto"/>
            </w:tcBorders>
            <w:shd w:val="clear" w:color="auto" w:fill="auto"/>
            <w:noWrap/>
            <w:vAlign w:val="center"/>
            <w:hideMark/>
          </w:tcPr>
          <w:p w14:paraId="2882FB1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1067" w:type="dxa"/>
            <w:tcBorders>
              <w:top w:val="single" w:sz="8" w:space="0" w:color="auto"/>
              <w:left w:val="nil"/>
              <w:bottom w:val="nil"/>
              <w:right w:val="single" w:sz="8" w:space="0" w:color="auto"/>
            </w:tcBorders>
            <w:shd w:val="clear" w:color="auto" w:fill="auto"/>
            <w:noWrap/>
            <w:vAlign w:val="center"/>
            <w:hideMark/>
          </w:tcPr>
          <w:p w14:paraId="43E6AA7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0325A72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5689CDB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7FA6DEA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75" w:type="dxa"/>
            <w:tcBorders>
              <w:top w:val="single" w:sz="8" w:space="0" w:color="auto"/>
              <w:left w:val="nil"/>
              <w:bottom w:val="nil"/>
              <w:right w:val="single" w:sz="8" w:space="0" w:color="auto"/>
            </w:tcBorders>
            <w:shd w:val="clear" w:color="auto" w:fill="auto"/>
            <w:noWrap/>
            <w:vAlign w:val="center"/>
            <w:hideMark/>
          </w:tcPr>
          <w:p w14:paraId="3FB9458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 </w:t>
            </w:r>
          </w:p>
        </w:tc>
        <w:tc>
          <w:tcPr>
            <w:tcW w:w="685" w:type="dxa"/>
            <w:tcBorders>
              <w:top w:val="nil"/>
              <w:left w:val="nil"/>
              <w:bottom w:val="single" w:sz="8" w:space="0" w:color="auto"/>
              <w:right w:val="single" w:sz="8" w:space="0" w:color="auto"/>
            </w:tcBorders>
            <w:shd w:val="clear" w:color="auto" w:fill="auto"/>
            <w:noWrap/>
            <w:vAlign w:val="center"/>
            <w:hideMark/>
          </w:tcPr>
          <w:p w14:paraId="41AC113F"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31 </w:t>
            </w:r>
          </w:p>
        </w:tc>
        <w:tc>
          <w:tcPr>
            <w:tcW w:w="155" w:type="dxa"/>
            <w:vAlign w:val="center"/>
            <w:hideMark/>
          </w:tcPr>
          <w:p w14:paraId="011E7E40" w14:textId="77777777" w:rsidR="00055E12" w:rsidRPr="00055E12" w:rsidRDefault="00055E12" w:rsidP="00055E12">
            <w:pPr>
              <w:rPr>
                <w:sz w:val="20"/>
                <w:szCs w:val="20"/>
                <w:lang w:val="en-US" w:eastAsia="zh-CN"/>
              </w:rPr>
            </w:pPr>
          </w:p>
        </w:tc>
      </w:tr>
      <w:tr w:rsidR="00055E12" w:rsidRPr="00055E12" w14:paraId="372B7462"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24D8DC67"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2E8C2F60"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530250CD"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AE29F48"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3053E03"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72500</w:t>
            </w:r>
          </w:p>
        </w:tc>
        <w:tc>
          <w:tcPr>
            <w:tcW w:w="1982" w:type="dxa"/>
            <w:tcBorders>
              <w:top w:val="single" w:sz="8" w:space="0" w:color="auto"/>
              <w:left w:val="nil"/>
              <w:bottom w:val="nil"/>
              <w:right w:val="single" w:sz="8" w:space="0" w:color="auto"/>
            </w:tcBorders>
            <w:shd w:val="clear" w:color="auto" w:fill="auto"/>
            <w:noWrap/>
            <w:vAlign w:val="center"/>
            <w:hideMark/>
          </w:tcPr>
          <w:p w14:paraId="7B28BD0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Suministros </w:t>
            </w:r>
          </w:p>
        </w:tc>
        <w:tc>
          <w:tcPr>
            <w:tcW w:w="950" w:type="dxa"/>
            <w:tcBorders>
              <w:top w:val="single" w:sz="8" w:space="0" w:color="auto"/>
              <w:left w:val="nil"/>
              <w:bottom w:val="nil"/>
              <w:right w:val="single" w:sz="8" w:space="0" w:color="auto"/>
            </w:tcBorders>
            <w:shd w:val="clear" w:color="auto" w:fill="auto"/>
            <w:noWrap/>
            <w:vAlign w:val="center"/>
            <w:hideMark/>
          </w:tcPr>
          <w:p w14:paraId="64E96BE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1067" w:type="dxa"/>
            <w:tcBorders>
              <w:top w:val="single" w:sz="8" w:space="0" w:color="auto"/>
              <w:left w:val="nil"/>
              <w:bottom w:val="nil"/>
              <w:right w:val="single" w:sz="8" w:space="0" w:color="auto"/>
            </w:tcBorders>
            <w:shd w:val="clear" w:color="auto" w:fill="auto"/>
            <w:noWrap/>
            <w:vAlign w:val="center"/>
            <w:hideMark/>
          </w:tcPr>
          <w:p w14:paraId="69DD2EB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6557273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5B88039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0BFE311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75" w:type="dxa"/>
            <w:tcBorders>
              <w:top w:val="single" w:sz="8" w:space="0" w:color="auto"/>
              <w:left w:val="nil"/>
              <w:bottom w:val="nil"/>
              <w:right w:val="single" w:sz="8" w:space="0" w:color="auto"/>
            </w:tcBorders>
            <w:shd w:val="clear" w:color="auto" w:fill="auto"/>
            <w:noWrap/>
            <w:vAlign w:val="center"/>
            <w:hideMark/>
          </w:tcPr>
          <w:p w14:paraId="31AEF20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500 </w:t>
            </w:r>
          </w:p>
        </w:tc>
        <w:tc>
          <w:tcPr>
            <w:tcW w:w="685" w:type="dxa"/>
            <w:tcBorders>
              <w:top w:val="nil"/>
              <w:left w:val="nil"/>
              <w:bottom w:val="single" w:sz="8" w:space="0" w:color="auto"/>
              <w:right w:val="single" w:sz="8" w:space="0" w:color="auto"/>
            </w:tcBorders>
            <w:shd w:val="clear" w:color="auto" w:fill="auto"/>
            <w:noWrap/>
            <w:vAlign w:val="center"/>
            <w:hideMark/>
          </w:tcPr>
          <w:p w14:paraId="1F882E92"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32 </w:t>
            </w:r>
          </w:p>
        </w:tc>
        <w:tc>
          <w:tcPr>
            <w:tcW w:w="155" w:type="dxa"/>
            <w:vAlign w:val="center"/>
            <w:hideMark/>
          </w:tcPr>
          <w:p w14:paraId="466F4EB6" w14:textId="77777777" w:rsidR="00055E12" w:rsidRPr="00055E12" w:rsidRDefault="00055E12" w:rsidP="00055E12">
            <w:pPr>
              <w:rPr>
                <w:sz w:val="20"/>
                <w:szCs w:val="20"/>
                <w:lang w:val="en-US" w:eastAsia="zh-CN"/>
              </w:rPr>
            </w:pPr>
          </w:p>
        </w:tc>
      </w:tr>
      <w:tr w:rsidR="00055E12" w:rsidRPr="00055E12" w14:paraId="2A8FC815" w14:textId="77777777" w:rsidTr="00055E12">
        <w:trPr>
          <w:trHeight w:val="310"/>
        </w:trPr>
        <w:tc>
          <w:tcPr>
            <w:tcW w:w="2356" w:type="dxa"/>
            <w:vMerge/>
            <w:tcBorders>
              <w:top w:val="nil"/>
              <w:left w:val="single" w:sz="8" w:space="0" w:color="auto"/>
              <w:bottom w:val="double" w:sz="6" w:space="0" w:color="000000"/>
              <w:right w:val="single" w:sz="8" w:space="0" w:color="auto"/>
            </w:tcBorders>
            <w:vAlign w:val="center"/>
            <w:hideMark/>
          </w:tcPr>
          <w:p w14:paraId="191CAC65"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7C0E5B88"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4DDA5D20"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D33840B"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4C5D77A8"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72800</w:t>
            </w:r>
          </w:p>
        </w:tc>
        <w:tc>
          <w:tcPr>
            <w:tcW w:w="1982" w:type="dxa"/>
            <w:tcBorders>
              <w:top w:val="single" w:sz="8" w:space="0" w:color="auto"/>
              <w:left w:val="nil"/>
              <w:bottom w:val="nil"/>
              <w:right w:val="single" w:sz="8" w:space="0" w:color="auto"/>
            </w:tcBorders>
            <w:shd w:val="clear" w:color="auto" w:fill="auto"/>
            <w:noWrap/>
            <w:vAlign w:val="center"/>
            <w:hideMark/>
          </w:tcPr>
          <w:p w14:paraId="38C443D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Equipos informáticos </w:t>
            </w:r>
          </w:p>
        </w:tc>
        <w:tc>
          <w:tcPr>
            <w:tcW w:w="950" w:type="dxa"/>
            <w:tcBorders>
              <w:top w:val="single" w:sz="8" w:space="0" w:color="auto"/>
              <w:left w:val="nil"/>
              <w:bottom w:val="nil"/>
              <w:right w:val="single" w:sz="8" w:space="0" w:color="auto"/>
            </w:tcBorders>
            <w:shd w:val="clear" w:color="auto" w:fill="auto"/>
            <w:noWrap/>
            <w:vAlign w:val="center"/>
            <w:hideMark/>
          </w:tcPr>
          <w:p w14:paraId="5C6A965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1185 </w:t>
            </w:r>
          </w:p>
        </w:tc>
        <w:tc>
          <w:tcPr>
            <w:tcW w:w="1067" w:type="dxa"/>
            <w:tcBorders>
              <w:top w:val="single" w:sz="8" w:space="0" w:color="auto"/>
              <w:left w:val="nil"/>
              <w:bottom w:val="nil"/>
              <w:right w:val="single" w:sz="8" w:space="0" w:color="auto"/>
            </w:tcBorders>
            <w:shd w:val="clear" w:color="auto" w:fill="auto"/>
            <w:noWrap/>
            <w:vAlign w:val="center"/>
            <w:hideMark/>
          </w:tcPr>
          <w:p w14:paraId="0015A92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5A05E23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2EC4AE5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50" w:type="dxa"/>
            <w:tcBorders>
              <w:top w:val="single" w:sz="8" w:space="0" w:color="auto"/>
              <w:left w:val="nil"/>
              <w:bottom w:val="nil"/>
              <w:right w:val="single" w:sz="8" w:space="0" w:color="auto"/>
            </w:tcBorders>
            <w:shd w:val="clear" w:color="auto" w:fill="auto"/>
            <w:noWrap/>
            <w:vAlign w:val="center"/>
            <w:hideMark/>
          </w:tcPr>
          <w:p w14:paraId="4A618DA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975" w:type="dxa"/>
            <w:tcBorders>
              <w:top w:val="single" w:sz="8" w:space="0" w:color="auto"/>
              <w:left w:val="nil"/>
              <w:bottom w:val="nil"/>
              <w:right w:val="single" w:sz="8" w:space="0" w:color="auto"/>
            </w:tcBorders>
            <w:shd w:val="clear" w:color="auto" w:fill="auto"/>
            <w:noWrap/>
            <w:vAlign w:val="center"/>
            <w:hideMark/>
          </w:tcPr>
          <w:p w14:paraId="1B84538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1185 </w:t>
            </w:r>
          </w:p>
        </w:tc>
        <w:tc>
          <w:tcPr>
            <w:tcW w:w="685" w:type="dxa"/>
            <w:tcBorders>
              <w:top w:val="nil"/>
              <w:left w:val="nil"/>
              <w:bottom w:val="single" w:sz="8" w:space="0" w:color="auto"/>
              <w:right w:val="single" w:sz="8" w:space="0" w:color="auto"/>
            </w:tcBorders>
            <w:shd w:val="clear" w:color="auto" w:fill="auto"/>
            <w:noWrap/>
            <w:vAlign w:val="center"/>
            <w:hideMark/>
          </w:tcPr>
          <w:p w14:paraId="3E843DCD"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33 </w:t>
            </w:r>
          </w:p>
        </w:tc>
        <w:tc>
          <w:tcPr>
            <w:tcW w:w="155" w:type="dxa"/>
            <w:vAlign w:val="center"/>
            <w:hideMark/>
          </w:tcPr>
          <w:p w14:paraId="7243B551" w14:textId="77777777" w:rsidR="00055E12" w:rsidRPr="00055E12" w:rsidRDefault="00055E12" w:rsidP="00055E12">
            <w:pPr>
              <w:rPr>
                <w:sz w:val="20"/>
                <w:szCs w:val="20"/>
                <w:lang w:val="en-US" w:eastAsia="zh-CN"/>
              </w:rPr>
            </w:pPr>
          </w:p>
        </w:tc>
      </w:tr>
      <w:tr w:rsidR="00055E12" w:rsidRPr="00055E12" w14:paraId="3E601499" w14:textId="77777777" w:rsidTr="00055E12">
        <w:trPr>
          <w:trHeight w:val="259"/>
        </w:trPr>
        <w:tc>
          <w:tcPr>
            <w:tcW w:w="2356" w:type="dxa"/>
            <w:vMerge/>
            <w:tcBorders>
              <w:top w:val="nil"/>
              <w:left w:val="single" w:sz="8" w:space="0" w:color="auto"/>
              <w:bottom w:val="double" w:sz="6" w:space="0" w:color="000000"/>
              <w:right w:val="single" w:sz="8" w:space="0" w:color="auto"/>
            </w:tcBorders>
            <w:vAlign w:val="center"/>
            <w:hideMark/>
          </w:tcPr>
          <w:p w14:paraId="68FB9795"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6F313AF"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646F147"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6AA2D5F5"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3F6F572"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73100</w:t>
            </w:r>
          </w:p>
        </w:tc>
        <w:tc>
          <w:tcPr>
            <w:tcW w:w="1982" w:type="dxa"/>
            <w:tcBorders>
              <w:top w:val="single" w:sz="8" w:space="0" w:color="auto"/>
              <w:left w:val="nil"/>
              <w:bottom w:val="nil"/>
              <w:right w:val="single" w:sz="8" w:space="0" w:color="auto"/>
            </w:tcBorders>
            <w:shd w:val="clear" w:color="auto" w:fill="auto"/>
            <w:noWrap/>
            <w:vAlign w:val="center"/>
            <w:hideMark/>
          </w:tcPr>
          <w:p w14:paraId="3432B6E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Alquiler y mantenimiento de locales/instalaciones </w:t>
            </w:r>
          </w:p>
        </w:tc>
        <w:tc>
          <w:tcPr>
            <w:tcW w:w="950" w:type="dxa"/>
            <w:tcBorders>
              <w:top w:val="single" w:sz="8" w:space="0" w:color="auto"/>
              <w:left w:val="nil"/>
              <w:bottom w:val="nil"/>
              <w:right w:val="single" w:sz="8" w:space="0" w:color="auto"/>
            </w:tcBorders>
            <w:shd w:val="clear" w:color="auto" w:fill="auto"/>
            <w:noWrap/>
            <w:vAlign w:val="center"/>
            <w:hideMark/>
          </w:tcPr>
          <w:p w14:paraId="18A0C23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 </w:t>
            </w:r>
          </w:p>
        </w:tc>
        <w:tc>
          <w:tcPr>
            <w:tcW w:w="1067" w:type="dxa"/>
            <w:tcBorders>
              <w:top w:val="single" w:sz="8" w:space="0" w:color="auto"/>
              <w:left w:val="nil"/>
              <w:bottom w:val="nil"/>
              <w:right w:val="single" w:sz="8" w:space="0" w:color="auto"/>
            </w:tcBorders>
            <w:shd w:val="clear" w:color="auto" w:fill="auto"/>
            <w:noWrap/>
            <w:vAlign w:val="center"/>
            <w:hideMark/>
          </w:tcPr>
          <w:p w14:paraId="6A47BE8D"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 </w:t>
            </w:r>
          </w:p>
        </w:tc>
        <w:tc>
          <w:tcPr>
            <w:tcW w:w="950" w:type="dxa"/>
            <w:tcBorders>
              <w:top w:val="single" w:sz="8" w:space="0" w:color="auto"/>
              <w:left w:val="nil"/>
              <w:bottom w:val="nil"/>
              <w:right w:val="single" w:sz="8" w:space="0" w:color="auto"/>
            </w:tcBorders>
            <w:shd w:val="clear" w:color="auto" w:fill="auto"/>
            <w:noWrap/>
            <w:vAlign w:val="center"/>
            <w:hideMark/>
          </w:tcPr>
          <w:p w14:paraId="5D6609C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 </w:t>
            </w:r>
          </w:p>
        </w:tc>
        <w:tc>
          <w:tcPr>
            <w:tcW w:w="950" w:type="dxa"/>
            <w:tcBorders>
              <w:top w:val="single" w:sz="8" w:space="0" w:color="auto"/>
              <w:left w:val="nil"/>
              <w:bottom w:val="nil"/>
              <w:right w:val="single" w:sz="8" w:space="0" w:color="auto"/>
            </w:tcBorders>
            <w:shd w:val="clear" w:color="auto" w:fill="auto"/>
            <w:noWrap/>
            <w:vAlign w:val="center"/>
            <w:hideMark/>
          </w:tcPr>
          <w:p w14:paraId="2E91057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 </w:t>
            </w:r>
          </w:p>
        </w:tc>
        <w:tc>
          <w:tcPr>
            <w:tcW w:w="950" w:type="dxa"/>
            <w:tcBorders>
              <w:top w:val="single" w:sz="8" w:space="0" w:color="auto"/>
              <w:left w:val="nil"/>
              <w:bottom w:val="nil"/>
              <w:right w:val="single" w:sz="8" w:space="0" w:color="auto"/>
            </w:tcBorders>
            <w:shd w:val="clear" w:color="auto" w:fill="auto"/>
            <w:noWrap/>
            <w:vAlign w:val="center"/>
            <w:hideMark/>
          </w:tcPr>
          <w:p w14:paraId="0C8C2DC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2.000 </w:t>
            </w:r>
          </w:p>
        </w:tc>
        <w:tc>
          <w:tcPr>
            <w:tcW w:w="975" w:type="dxa"/>
            <w:tcBorders>
              <w:top w:val="single" w:sz="8" w:space="0" w:color="auto"/>
              <w:left w:val="nil"/>
              <w:bottom w:val="nil"/>
              <w:right w:val="single" w:sz="8" w:space="0" w:color="auto"/>
            </w:tcBorders>
            <w:shd w:val="clear" w:color="auto" w:fill="auto"/>
            <w:noWrap/>
            <w:vAlign w:val="center"/>
            <w:hideMark/>
          </w:tcPr>
          <w:p w14:paraId="78C4186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685" w:type="dxa"/>
            <w:tcBorders>
              <w:top w:val="nil"/>
              <w:left w:val="nil"/>
              <w:bottom w:val="single" w:sz="8" w:space="0" w:color="auto"/>
              <w:right w:val="single" w:sz="8" w:space="0" w:color="auto"/>
            </w:tcBorders>
            <w:shd w:val="clear" w:color="auto" w:fill="auto"/>
            <w:noWrap/>
            <w:vAlign w:val="center"/>
            <w:hideMark/>
          </w:tcPr>
          <w:p w14:paraId="15EA3391"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34 </w:t>
            </w:r>
          </w:p>
        </w:tc>
        <w:tc>
          <w:tcPr>
            <w:tcW w:w="155" w:type="dxa"/>
            <w:vAlign w:val="center"/>
            <w:hideMark/>
          </w:tcPr>
          <w:p w14:paraId="54C9020A" w14:textId="77777777" w:rsidR="00055E12" w:rsidRPr="00055E12" w:rsidRDefault="00055E12" w:rsidP="00055E12">
            <w:pPr>
              <w:rPr>
                <w:sz w:val="20"/>
                <w:szCs w:val="20"/>
                <w:lang w:val="en-US" w:eastAsia="zh-CN"/>
              </w:rPr>
            </w:pPr>
          </w:p>
        </w:tc>
      </w:tr>
      <w:tr w:rsidR="00055E12" w:rsidRPr="00055E12" w14:paraId="46C87BA2"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0702F8B1"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180B603E"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0777D802"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1BA68205"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5DD6C39F"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74100</w:t>
            </w:r>
          </w:p>
        </w:tc>
        <w:tc>
          <w:tcPr>
            <w:tcW w:w="1982" w:type="dxa"/>
            <w:tcBorders>
              <w:top w:val="single" w:sz="8" w:space="0" w:color="auto"/>
              <w:left w:val="nil"/>
              <w:bottom w:val="nil"/>
              <w:right w:val="single" w:sz="8" w:space="0" w:color="auto"/>
            </w:tcBorders>
            <w:shd w:val="clear" w:color="auto" w:fill="auto"/>
            <w:noWrap/>
            <w:vAlign w:val="center"/>
            <w:hideMark/>
          </w:tcPr>
          <w:p w14:paraId="131B8162"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Servicios profesionales  </w:t>
            </w:r>
          </w:p>
        </w:tc>
        <w:tc>
          <w:tcPr>
            <w:tcW w:w="950" w:type="dxa"/>
            <w:tcBorders>
              <w:top w:val="single" w:sz="8" w:space="0" w:color="auto"/>
              <w:left w:val="nil"/>
              <w:bottom w:val="nil"/>
              <w:right w:val="single" w:sz="8" w:space="0" w:color="auto"/>
            </w:tcBorders>
            <w:shd w:val="clear" w:color="auto" w:fill="auto"/>
            <w:noWrap/>
            <w:vAlign w:val="center"/>
            <w:hideMark/>
          </w:tcPr>
          <w:p w14:paraId="213F3F2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single" w:sz="8" w:space="0" w:color="auto"/>
              <w:left w:val="nil"/>
              <w:bottom w:val="nil"/>
              <w:right w:val="single" w:sz="8" w:space="0" w:color="auto"/>
            </w:tcBorders>
            <w:shd w:val="clear" w:color="auto" w:fill="auto"/>
            <w:noWrap/>
            <w:vAlign w:val="center"/>
            <w:hideMark/>
          </w:tcPr>
          <w:p w14:paraId="1267927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 </w:t>
            </w:r>
          </w:p>
        </w:tc>
        <w:tc>
          <w:tcPr>
            <w:tcW w:w="950" w:type="dxa"/>
            <w:tcBorders>
              <w:top w:val="single" w:sz="8" w:space="0" w:color="auto"/>
              <w:left w:val="nil"/>
              <w:bottom w:val="nil"/>
              <w:right w:val="single" w:sz="8" w:space="0" w:color="auto"/>
            </w:tcBorders>
            <w:shd w:val="clear" w:color="auto" w:fill="auto"/>
            <w:noWrap/>
            <w:vAlign w:val="center"/>
            <w:hideMark/>
          </w:tcPr>
          <w:p w14:paraId="2A6BA9E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 </w:t>
            </w:r>
          </w:p>
        </w:tc>
        <w:tc>
          <w:tcPr>
            <w:tcW w:w="950" w:type="dxa"/>
            <w:tcBorders>
              <w:top w:val="single" w:sz="8" w:space="0" w:color="auto"/>
              <w:left w:val="nil"/>
              <w:bottom w:val="nil"/>
              <w:right w:val="single" w:sz="8" w:space="0" w:color="auto"/>
            </w:tcBorders>
            <w:shd w:val="clear" w:color="auto" w:fill="auto"/>
            <w:noWrap/>
            <w:vAlign w:val="center"/>
            <w:hideMark/>
          </w:tcPr>
          <w:p w14:paraId="7F61598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 </w:t>
            </w:r>
          </w:p>
        </w:tc>
        <w:tc>
          <w:tcPr>
            <w:tcW w:w="950" w:type="dxa"/>
            <w:tcBorders>
              <w:top w:val="single" w:sz="8" w:space="0" w:color="auto"/>
              <w:left w:val="nil"/>
              <w:bottom w:val="nil"/>
              <w:right w:val="single" w:sz="8" w:space="0" w:color="auto"/>
            </w:tcBorders>
            <w:shd w:val="clear" w:color="auto" w:fill="auto"/>
            <w:noWrap/>
            <w:vAlign w:val="center"/>
            <w:hideMark/>
          </w:tcPr>
          <w:p w14:paraId="54B59299"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2.500 </w:t>
            </w:r>
          </w:p>
        </w:tc>
        <w:tc>
          <w:tcPr>
            <w:tcW w:w="975" w:type="dxa"/>
            <w:tcBorders>
              <w:top w:val="single" w:sz="8" w:space="0" w:color="auto"/>
              <w:left w:val="nil"/>
              <w:bottom w:val="nil"/>
              <w:right w:val="single" w:sz="8" w:space="0" w:color="auto"/>
            </w:tcBorders>
            <w:shd w:val="clear" w:color="auto" w:fill="auto"/>
            <w:noWrap/>
            <w:vAlign w:val="center"/>
            <w:hideMark/>
          </w:tcPr>
          <w:p w14:paraId="54C5D4B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10.000 </w:t>
            </w:r>
          </w:p>
        </w:tc>
        <w:tc>
          <w:tcPr>
            <w:tcW w:w="685" w:type="dxa"/>
            <w:tcBorders>
              <w:top w:val="nil"/>
              <w:left w:val="nil"/>
              <w:bottom w:val="single" w:sz="8" w:space="0" w:color="auto"/>
              <w:right w:val="single" w:sz="8" w:space="0" w:color="auto"/>
            </w:tcBorders>
            <w:shd w:val="clear" w:color="auto" w:fill="auto"/>
            <w:noWrap/>
            <w:vAlign w:val="center"/>
            <w:hideMark/>
          </w:tcPr>
          <w:p w14:paraId="447E6837"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35 </w:t>
            </w:r>
          </w:p>
        </w:tc>
        <w:tc>
          <w:tcPr>
            <w:tcW w:w="155" w:type="dxa"/>
            <w:vAlign w:val="center"/>
            <w:hideMark/>
          </w:tcPr>
          <w:p w14:paraId="4070E9DC" w14:textId="77777777" w:rsidR="00055E12" w:rsidRPr="00055E12" w:rsidRDefault="00055E12" w:rsidP="00055E12">
            <w:pPr>
              <w:rPr>
                <w:sz w:val="20"/>
                <w:szCs w:val="20"/>
                <w:lang w:val="en-US" w:eastAsia="zh-CN"/>
              </w:rPr>
            </w:pPr>
          </w:p>
        </w:tc>
      </w:tr>
      <w:tr w:rsidR="00055E12" w:rsidRPr="00055E12" w14:paraId="02683859"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143BC01C"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345A5DF"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31F94297"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27C67E2"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39AA1874"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74500</w:t>
            </w:r>
          </w:p>
        </w:tc>
        <w:tc>
          <w:tcPr>
            <w:tcW w:w="1982" w:type="dxa"/>
            <w:tcBorders>
              <w:top w:val="single" w:sz="8" w:space="0" w:color="auto"/>
              <w:left w:val="nil"/>
              <w:bottom w:val="nil"/>
              <w:right w:val="single" w:sz="8" w:space="0" w:color="auto"/>
            </w:tcBorders>
            <w:shd w:val="clear" w:color="auto" w:fill="auto"/>
            <w:noWrap/>
            <w:vAlign w:val="center"/>
            <w:hideMark/>
          </w:tcPr>
          <w:p w14:paraId="4D78DB54"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Misceláneos </w:t>
            </w:r>
          </w:p>
        </w:tc>
        <w:tc>
          <w:tcPr>
            <w:tcW w:w="950" w:type="dxa"/>
            <w:tcBorders>
              <w:top w:val="single" w:sz="8" w:space="0" w:color="auto"/>
              <w:left w:val="nil"/>
              <w:bottom w:val="nil"/>
              <w:right w:val="single" w:sz="8" w:space="0" w:color="auto"/>
            </w:tcBorders>
            <w:shd w:val="clear" w:color="auto" w:fill="auto"/>
            <w:noWrap/>
            <w:vAlign w:val="center"/>
            <w:hideMark/>
          </w:tcPr>
          <w:p w14:paraId="3083006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single" w:sz="8" w:space="0" w:color="auto"/>
              <w:left w:val="nil"/>
              <w:bottom w:val="nil"/>
              <w:right w:val="single" w:sz="8" w:space="0" w:color="auto"/>
            </w:tcBorders>
            <w:shd w:val="clear" w:color="auto" w:fill="auto"/>
            <w:noWrap/>
            <w:vAlign w:val="center"/>
            <w:hideMark/>
          </w:tcPr>
          <w:p w14:paraId="2CB355EC"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76F404C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0A68B33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50" w:type="dxa"/>
            <w:tcBorders>
              <w:top w:val="single" w:sz="8" w:space="0" w:color="auto"/>
              <w:left w:val="nil"/>
              <w:bottom w:val="nil"/>
              <w:right w:val="single" w:sz="8" w:space="0" w:color="auto"/>
            </w:tcBorders>
            <w:shd w:val="clear" w:color="auto" w:fill="auto"/>
            <w:noWrap/>
            <w:vAlign w:val="center"/>
            <w:hideMark/>
          </w:tcPr>
          <w:p w14:paraId="6DB02C4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100 </w:t>
            </w:r>
          </w:p>
        </w:tc>
        <w:tc>
          <w:tcPr>
            <w:tcW w:w="975" w:type="dxa"/>
            <w:tcBorders>
              <w:top w:val="single" w:sz="8" w:space="0" w:color="auto"/>
              <w:left w:val="nil"/>
              <w:bottom w:val="nil"/>
              <w:right w:val="single" w:sz="8" w:space="0" w:color="auto"/>
            </w:tcBorders>
            <w:shd w:val="clear" w:color="auto" w:fill="auto"/>
            <w:noWrap/>
            <w:vAlign w:val="center"/>
            <w:hideMark/>
          </w:tcPr>
          <w:p w14:paraId="1AA098AF"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400 </w:t>
            </w:r>
          </w:p>
        </w:tc>
        <w:tc>
          <w:tcPr>
            <w:tcW w:w="685" w:type="dxa"/>
            <w:tcBorders>
              <w:top w:val="nil"/>
              <w:left w:val="nil"/>
              <w:bottom w:val="single" w:sz="8" w:space="0" w:color="auto"/>
              <w:right w:val="single" w:sz="8" w:space="0" w:color="auto"/>
            </w:tcBorders>
            <w:shd w:val="clear" w:color="auto" w:fill="auto"/>
            <w:noWrap/>
            <w:vAlign w:val="center"/>
            <w:hideMark/>
          </w:tcPr>
          <w:p w14:paraId="1E0E3E3A"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36 </w:t>
            </w:r>
          </w:p>
        </w:tc>
        <w:tc>
          <w:tcPr>
            <w:tcW w:w="155" w:type="dxa"/>
            <w:vAlign w:val="center"/>
            <w:hideMark/>
          </w:tcPr>
          <w:p w14:paraId="237609F1" w14:textId="77777777" w:rsidR="00055E12" w:rsidRPr="00055E12" w:rsidRDefault="00055E12" w:rsidP="00055E12">
            <w:pPr>
              <w:rPr>
                <w:sz w:val="20"/>
                <w:szCs w:val="20"/>
                <w:lang w:val="en-US" w:eastAsia="zh-CN"/>
              </w:rPr>
            </w:pPr>
          </w:p>
        </w:tc>
      </w:tr>
      <w:tr w:rsidR="00055E12" w:rsidRPr="00055E12" w14:paraId="64806395"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734660FB"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6E03754B"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15B7B59C"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3BEE2C9"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D0F0CF1"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74596</w:t>
            </w:r>
          </w:p>
        </w:tc>
        <w:tc>
          <w:tcPr>
            <w:tcW w:w="1982" w:type="dxa"/>
            <w:tcBorders>
              <w:top w:val="single" w:sz="8" w:space="0" w:color="auto"/>
              <w:left w:val="nil"/>
              <w:bottom w:val="nil"/>
              <w:right w:val="single" w:sz="8" w:space="0" w:color="auto"/>
            </w:tcBorders>
            <w:shd w:val="clear" w:color="auto" w:fill="auto"/>
            <w:noWrap/>
            <w:vAlign w:val="center"/>
            <w:hideMark/>
          </w:tcPr>
          <w:p w14:paraId="15703DD0" w14:textId="51B299B5" w:rsidR="00055E12" w:rsidRPr="00055E12" w:rsidRDefault="00055E12" w:rsidP="00055E12">
            <w:pPr>
              <w:rPr>
                <w:rFonts w:ascii="Calibri" w:hAnsi="Calibri" w:cs="Calibri"/>
                <w:color w:val="000000"/>
                <w:sz w:val="16"/>
                <w:szCs w:val="16"/>
              </w:rPr>
            </w:pPr>
            <w:r>
              <w:rPr>
                <w:rFonts w:ascii="Calibri" w:hAnsi="Calibri"/>
                <w:color w:val="000000"/>
                <w:sz w:val="16"/>
              </w:rPr>
              <w:t xml:space="preserve"> Servicios a los proyectos G</w:t>
            </w:r>
            <w:r w:rsidR="00AE72DB">
              <w:rPr>
                <w:rFonts w:ascii="Calibri" w:hAnsi="Calibri"/>
                <w:color w:val="000000"/>
                <w:sz w:val="16"/>
              </w:rPr>
              <w:t>dE</w:t>
            </w:r>
          </w:p>
        </w:tc>
        <w:tc>
          <w:tcPr>
            <w:tcW w:w="950" w:type="dxa"/>
            <w:tcBorders>
              <w:top w:val="single" w:sz="8" w:space="0" w:color="auto"/>
              <w:left w:val="nil"/>
              <w:bottom w:val="nil"/>
              <w:right w:val="single" w:sz="8" w:space="0" w:color="auto"/>
            </w:tcBorders>
            <w:shd w:val="clear" w:color="auto" w:fill="auto"/>
            <w:noWrap/>
            <w:vAlign w:val="center"/>
            <w:hideMark/>
          </w:tcPr>
          <w:p w14:paraId="0E001A4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10.555 </w:t>
            </w:r>
          </w:p>
        </w:tc>
        <w:tc>
          <w:tcPr>
            <w:tcW w:w="1067" w:type="dxa"/>
            <w:tcBorders>
              <w:top w:val="single" w:sz="8" w:space="0" w:color="auto"/>
              <w:left w:val="nil"/>
              <w:bottom w:val="nil"/>
              <w:right w:val="single" w:sz="8" w:space="0" w:color="auto"/>
            </w:tcBorders>
            <w:shd w:val="clear" w:color="auto" w:fill="auto"/>
            <w:noWrap/>
            <w:vAlign w:val="center"/>
            <w:hideMark/>
          </w:tcPr>
          <w:p w14:paraId="34FBB9E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22.856 </w:t>
            </w:r>
          </w:p>
        </w:tc>
        <w:tc>
          <w:tcPr>
            <w:tcW w:w="950" w:type="dxa"/>
            <w:tcBorders>
              <w:top w:val="single" w:sz="8" w:space="0" w:color="auto"/>
              <w:left w:val="nil"/>
              <w:bottom w:val="nil"/>
              <w:right w:val="single" w:sz="8" w:space="0" w:color="auto"/>
            </w:tcBorders>
            <w:shd w:val="clear" w:color="auto" w:fill="auto"/>
            <w:noWrap/>
            <w:vAlign w:val="center"/>
            <w:hideMark/>
          </w:tcPr>
          <w:p w14:paraId="3816C22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21.011 </w:t>
            </w:r>
          </w:p>
        </w:tc>
        <w:tc>
          <w:tcPr>
            <w:tcW w:w="950" w:type="dxa"/>
            <w:tcBorders>
              <w:top w:val="single" w:sz="8" w:space="0" w:color="auto"/>
              <w:left w:val="nil"/>
              <w:bottom w:val="nil"/>
              <w:right w:val="single" w:sz="8" w:space="0" w:color="auto"/>
            </w:tcBorders>
            <w:shd w:val="clear" w:color="auto" w:fill="auto"/>
            <w:noWrap/>
            <w:vAlign w:val="center"/>
            <w:hideMark/>
          </w:tcPr>
          <w:p w14:paraId="5C235511"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20.089 </w:t>
            </w:r>
          </w:p>
        </w:tc>
        <w:tc>
          <w:tcPr>
            <w:tcW w:w="950" w:type="dxa"/>
            <w:tcBorders>
              <w:top w:val="single" w:sz="8" w:space="0" w:color="auto"/>
              <w:left w:val="nil"/>
              <w:bottom w:val="nil"/>
              <w:right w:val="single" w:sz="8" w:space="0" w:color="auto"/>
            </w:tcBorders>
            <w:shd w:val="clear" w:color="auto" w:fill="auto"/>
            <w:noWrap/>
            <w:vAlign w:val="center"/>
            <w:hideMark/>
          </w:tcPr>
          <w:p w14:paraId="5283538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44.804 </w:t>
            </w:r>
          </w:p>
        </w:tc>
        <w:tc>
          <w:tcPr>
            <w:tcW w:w="975" w:type="dxa"/>
            <w:tcBorders>
              <w:top w:val="single" w:sz="8" w:space="0" w:color="auto"/>
              <w:left w:val="nil"/>
              <w:bottom w:val="nil"/>
              <w:right w:val="single" w:sz="8" w:space="0" w:color="auto"/>
            </w:tcBorders>
            <w:shd w:val="clear" w:color="auto" w:fill="auto"/>
            <w:noWrap/>
            <w:vAlign w:val="center"/>
            <w:hideMark/>
          </w:tcPr>
          <w:p w14:paraId="13284088"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119.315 </w:t>
            </w:r>
          </w:p>
        </w:tc>
        <w:tc>
          <w:tcPr>
            <w:tcW w:w="685" w:type="dxa"/>
            <w:tcBorders>
              <w:top w:val="nil"/>
              <w:left w:val="nil"/>
              <w:bottom w:val="single" w:sz="8" w:space="0" w:color="auto"/>
              <w:right w:val="single" w:sz="8" w:space="0" w:color="auto"/>
            </w:tcBorders>
            <w:shd w:val="clear" w:color="auto" w:fill="auto"/>
            <w:noWrap/>
            <w:vAlign w:val="center"/>
            <w:hideMark/>
          </w:tcPr>
          <w:p w14:paraId="0A4056C2"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37 </w:t>
            </w:r>
          </w:p>
        </w:tc>
        <w:tc>
          <w:tcPr>
            <w:tcW w:w="155" w:type="dxa"/>
            <w:vAlign w:val="center"/>
            <w:hideMark/>
          </w:tcPr>
          <w:p w14:paraId="614D108A" w14:textId="77777777" w:rsidR="00055E12" w:rsidRPr="00055E12" w:rsidRDefault="00055E12" w:rsidP="00055E12">
            <w:pPr>
              <w:rPr>
                <w:sz w:val="20"/>
                <w:szCs w:val="20"/>
                <w:lang w:val="en-US" w:eastAsia="zh-CN"/>
              </w:rPr>
            </w:pPr>
          </w:p>
        </w:tc>
      </w:tr>
      <w:tr w:rsidR="00055E12" w:rsidRPr="00055E12" w14:paraId="6050CB22"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2C794916"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43F5916E"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3ED90AE5"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2783B62E"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02F0C507" w14:textId="77777777" w:rsidR="00055E12" w:rsidRPr="00055E12" w:rsidRDefault="00055E12" w:rsidP="00055E12">
            <w:pPr>
              <w:jc w:val="right"/>
              <w:rPr>
                <w:rFonts w:ascii="Calibri" w:hAnsi="Calibri" w:cs="Calibri"/>
                <w:color w:val="000000"/>
                <w:sz w:val="16"/>
                <w:szCs w:val="16"/>
              </w:rPr>
            </w:pPr>
            <w:r>
              <w:rPr>
                <w:rFonts w:ascii="Calibri" w:hAnsi="Calibri"/>
                <w:color w:val="000000"/>
                <w:sz w:val="16"/>
              </w:rPr>
              <w:t>75700</w:t>
            </w:r>
          </w:p>
        </w:tc>
        <w:tc>
          <w:tcPr>
            <w:tcW w:w="1982" w:type="dxa"/>
            <w:tcBorders>
              <w:top w:val="single" w:sz="8" w:space="0" w:color="auto"/>
              <w:left w:val="nil"/>
              <w:bottom w:val="nil"/>
              <w:right w:val="single" w:sz="8" w:space="0" w:color="auto"/>
            </w:tcBorders>
            <w:shd w:val="clear" w:color="auto" w:fill="auto"/>
            <w:noWrap/>
            <w:vAlign w:val="center"/>
            <w:hideMark/>
          </w:tcPr>
          <w:p w14:paraId="69C3478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Formación, talleres y conferencias </w:t>
            </w:r>
          </w:p>
        </w:tc>
        <w:tc>
          <w:tcPr>
            <w:tcW w:w="950" w:type="dxa"/>
            <w:tcBorders>
              <w:top w:val="single" w:sz="8" w:space="0" w:color="auto"/>
              <w:left w:val="nil"/>
              <w:bottom w:val="nil"/>
              <w:right w:val="single" w:sz="8" w:space="0" w:color="auto"/>
            </w:tcBorders>
            <w:shd w:val="clear" w:color="auto" w:fill="auto"/>
            <w:noWrap/>
            <w:vAlign w:val="center"/>
            <w:hideMark/>
          </w:tcPr>
          <w:p w14:paraId="039AEEEB"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   </w:t>
            </w:r>
          </w:p>
        </w:tc>
        <w:tc>
          <w:tcPr>
            <w:tcW w:w="1067" w:type="dxa"/>
            <w:tcBorders>
              <w:top w:val="single" w:sz="8" w:space="0" w:color="auto"/>
              <w:left w:val="nil"/>
              <w:bottom w:val="nil"/>
              <w:right w:val="single" w:sz="8" w:space="0" w:color="auto"/>
            </w:tcBorders>
            <w:shd w:val="clear" w:color="auto" w:fill="auto"/>
            <w:noWrap/>
            <w:vAlign w:val="center"/>
            <w:hideMark/>
          </w:tcPr>
          <w:p w14:paraId="69CC69B0"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 </w:t>
            </w:r>
          </w:p>
        </w:tc>
        <w:tc>
          <w:tcPr>
            <w:tcW w:w="950" w:type="dxa"/>
            <w:tcBorders>
              <w:top w:val="single" w:sz="8" w:space="0" w:color="auto"/>
              <w:left w:val="nil"/>
              <w:bottom w:val="nil"/>
              <w:right w:val="single" w:sz="8" w:space="0" w:color="auto"/>
            </w:tcBorders>
            <w:shd w:val="clear" w:color="auto" w:fill="auto"/>
            <w:noWrap/>
            <w:vAlign w:val="center"/>
            <w:hideMark/>
          </w:tcPr>
          <w:p w14:paraId="61FF673E"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 </w:t>
            </w:r>
          </w:p>
        </w:tc>
        <w:tc>
          <w:tcPr>
            <w:tcW w:w="950" w:type="dxa"/>
            <w:tcBorders>
              <w:top w:val="single" w:sz="8" w:space="0" w:color="auto"/>
              <w:left w:val="nil"/>
              <w:bottom w:val="nil"/>
              <w:right w:val="single" w:sz="8" w:space="0" w:color="auto"/>
            </w:tcBorders>
            <w:shd w:val="clear" w:color="auto" w:fill="auto"/>
            <w:noWrap/>
            <w:vAlign w:val="center"/>
            <w:hideMark/>
          </w:tcPr>
          <w:p w14:paraId="1E289B5A"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 </w:t>
            </w:r>
          </w:p>
        </w:tc>
        <w:tc>
          <w:tcPr>
            <w:tcW w:w="950" w:type="dxa"/>
            <w:tcBorders>
              <w:top w:val="single" w:sz="8" w:space="0" w:color="auto"/>
              <w:left w:val="nil"/>
              <w:bottom w:val="nil"/>
              <w:right w:val="single" w:sz="8" w:space="0" w:color="auto"/>
            </w:tcBorders>
            <w:shd w:val="clear" w:color="auto" w:fill="auto"/>
            <w:noWrap/>
            <w:vAlign w:val="center"/>
            <w:hideMark/>
          </w:tcPr>
          <w:p w14:paraId="16DC9FC5"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150 </w:t>
            </w:r>
          </w:p>
        </w:tc>
        <w:tc>
          <w:tcPr>
            <w:tcW w:w="975" w:type="dxa"/>
            <w:tcBorders>
              <w:top w:val="single" w:sz="8" w:space="0" w:color="auto"/>
              <w:left w:val="nil"/>
              <w:bottom w:val="nil"/>
              <w:right w:val="single" w:sz="8" w:space="0" w:color="auto"/>
            </w:tcBorders>
            <w:shd w:val="clear" w:color="auto" w:fill="auto"/>
            <w:noWrap/>
            <w:vAlign w:val="center"/>
            <w:hideMark/>
          </w:tcPr>
          <w:p w14:paraId="28E9F467" w14:textId="77777777" w:rsidR="00055E12" w:rsidRPr="00055E12" w:rsidRDefault="00055E12" w:rsidP="00055E12">
            <w:pPr>
              <w:rPr>
                <w:rFonts w:ascii="Calibri" w:hAnsi="Calibri" w:cs="Calibri"/>
                <w:color w:val="000000"/>
                <w:sz w:val="16"/>
                <w:szCs w:val="16"/>
              </w:rPr>
            </w:pPr>
            <w:r>
              <w:rPr>
                <w:rFonts w:ascii="Calibri" w:hAnsi="Calibri"/>
                <w:color w:val="000000"/>
                <w:sz w:val="16"/>
              </w:rPr>
              <w:t xml:space="preserve">                               600 </w:t>
            </w:r>
          </w:p>
        </w:tc>
        <w:tc>
          <w:tcPr>
            <w:tcW w:w="685" w:type="dxa"/>
            <w:tcBorders>
              <w:top w:val="nil"/>
              <w:left w:val="nil"/>
              <w:bottom w:val="single" w:sz="8" w:space="0" w:color="auto"/>
              <w:right w:val="single" w:sz="8" w:space="0" w:color="auto"/>
            </w:tcBorders>
            <w:shd w:val="clear" w:color="auto" w:fill="auto"/>
            <w:noWrap/>
            <w:vAlign w:val="center"/>
            <w:hideMark/>
          </w:tcPr>
          <w:p w14:paraId="3251D0DC"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xml:space="preserve">                    38 </w:t>
            </w:r>
          </w:p>
        </w:tc>
        <w:tc>
          <w:tcPr>
            <w:tcW w:w="155" w:type="dxa"/>
            <w:vAlign w:val="center"/>
            <w:hideMark/>
          </w:tcPr>
          <w:p w14:paraId="07C65FAB" w14:textId="77777777" w:rsidR="00055E12" w:rsidRPr="00055E12" w:rsidRDefault="00055E12" w:rsidP="00055E12">
            <w:pPr>
              <w:rPr>
                <w:sz w:val="20"/>
                <w:szCs w:val="20"/>
                <w:lang w:val="en-US" w:eastAsia="zh-CN"/>
              </w:rPr>
            </w:pPr>
          </w:p>
        </w:tc>
      </w:tr>
      <w:tr w:rsidR="00055E12" w:rsidRPr="00055E12" w14:paraId="1F01DCFE" w14:textId="77777777" w:rsidTr="00055E12">
        <w:trPr>
          <w:trHeight w:val="295"/>
        </w:trPr>
        <w:tc>
          <w:tcPr>
            <w:tcW w:w="2356" w:type="dxa"/>
            <w:vMerge/>
            <w:tcBorders>
              <w:top w:val="nil"/>
              <w:left w:val="single" w:sz="8" w:space="0" w:color="auto"/>
              <w:bottom w:val="double" w:sz="6" w:space="0" w:color="000000"/>
              <w:right w:val="single" w:sz="8" w:space="0" w:color="auto"/>
            </w:tcBorders>
            <w:vAlign w:val="center"/>
            <w:hideMark/>
          </w:tcPr>
          <w:p w14:paraId="168DB10B" w14:textId="77777777" w:rsidR="00055E12" w:rsidRPr="00055E12" w:rsidRDefault="00055E12" w:rsidP="00055E12">
            <w:pPr>
              <w:rPr>
                <w:rFonts w:ascii="Calibri" w:hAnsi="Calibri" w:cs="Calibri"/>
                <w:b/>
                <w:bCs/>
                <w:color w:val="000000"/>
                <w:sz w:val="16"/>
                <w:szCs w:val="16"/>
                <w:lang w:val="en-US" w:eastAsia="zh-CN"/>
              </w:rPr>
            </w:pPr>
          </w:p>
        </w:tc>
        <w:tc>
          <w:tcPr>
            <w:tcW w:w="1009" w:type="dxa"/>
            <w:vMerge/>
            <w:tcBorders>
              <w:top w:val="nil"/>
              <w:left w:val="single" w:sz="8" w:space="0" w:color="auto"/>
              <w:bottom w:val="double" w:sz="6" w:space="0" w:color="000000"/>
              <w:right w:val="single" w:sz="8" w:space="0" w:color="auto"/>
            </w:tcBorders>
            <w:vAlign w:val="center"/>
            <w:hideMark/>
          </w:tcPr>
          <w:p w14:paraId="54CDB6BB" w14:textId="77777777" w:rsidR="00055E12" w:rsidRPr="00055E12" w:rsidRDefault="00055E12" w:rsidP="00055E12">
            <w:pPr>
              <w:rPr>
                <w:rFonts w:ascii="Calibri" w:hAnsi="Calibri" w:cs="Calibri"/>
                <w:color w:val="000000"/>
                <w:sz w:val="16"/>
                <w:szCs w:val="16"/>
                <w:lang w:val="en-US" w:eastAsia="zh-CN"/>
              </w:rPr>
            </w:pPr>
          </w:p>
        </w:tc>
        <w:tc>
          <w:tcPr>
            <w:tcW w:w="704" w:type="dxa"/>
            <w:vMerge/>
            <w:tcBorders>
              <w:top w:val="nil"/>
              <w:left w:val="single" w:sz="8" w:space="0" w:color="auto"/>
              <w:bottom w:val="double" w:sz="6" w:space="0" w:color="000000"/>
              <w:right w:val="single" w:sz="8" w:space="0" w:color="auto"/>
            </w:tcBorders>
            <w:vAlign w:val="center"/>
            <w:hideMark/>
          </w:tcPr>
          <w:p w14:paraId="72E80590" w14:textId="77777777" w:rsidR="00055E12" w:rsidRPr="00055E12" w:rsidRDefault="00055E12" w:rsidP="00055E12">
            <w:pPr>
              <w:rPr>
                <w:rFonts w:ascii="Calibri" w:hAnsi="Calibri" w:cs="Calibri"/>
                <w:color w:val="000000"/>
                <w:sz w:val="16"/>
                <w:szCs w:val="16"/>
                <w:lang w:val="en-US" w:eastAsia="zh-CN"/>
              </w:rPr>
            </w:pPr>
          </w:p>
        </w:tc>
        <w:tc>
          <w:tcPr>
            <w:tcW w:w="705" w:type="dxa"/>
            <w:vMerge/>
            <w:tcBorders>
              <w:top w:val="nil"/>
              <w:left w:val="single" w:sz="8" w:space="0" w:color="auto"/>
              <w:bottom w:val="double" w:sz="6" w:space="0" w:color="000000"/>
              <w:right w:val="single" w:sz="8" w:space="0" w:color="auto"/>
            </w:tcBorders>
            <w:vAlign w:val="center"/>
            <w:hideMark/>
          </w:tcPr>
          <w:p w14:paraId="4A2A5927" w14:textId="77777777" w:rsidR="00055E12" w:rsidRPr="00055E12" w:rsidRDefault="00055E12" w:rsidP="00055E12">
            <w:pPr>
              <w:rPr>
                <w:rFonts w:ascii="Calibri" w:hAnsi="Calibri" w:cs="Calibri"/>
                <w:color w:val="000000"/>
                <w:sz w:val="16"/>
                <w:szCs w:val="16"/>
                <w:lang w:val="en-US" w:eastAsia="zh-CN"/>
              </w:rPr>
            </w:pPr>
          </w:p>
        </w:tc>
        <w:tc>
          <w:tcPr>
            <w:tcW w:w="865" w:type="dxa"/>
            <w:tcBorders>
              <w:top w:val="single" w:sz="8" w:space="0" w:color="auto"/>
              <w:left w:val="nil"/>
              <w:bottom w:val="nil"/>
              <w:right w:val="single" w:sz="8" w:space="0" w:color="auto"/>
            </w:tcBorders>
            <w:shd w:val="clear" w:color="auto" w:fill="auto"/>
            <w:noWrap/>
            <w:vAlign w:val="center"/>
            <w:hideMark/>
          </w:tcPr>
          <w:p w14:paraId="55AB001D" w14:textId="77777777" w:rsidR="00055E12" w:rsidRPr="00055E12" w:rsidRDefault="00055E12" w:rsidP="00055E12">
            <w:pPr>
              <w:rPr>
                <w:rFonts w:ascii="Calibri" w:hAnsi="Calibri" w:cs="Calibri"/>
                <w:color w:val="000000"/>
                <w:sz w:val="16"/>
                <w:szCs w:val="16"/>
              </w:rPr>
            </w:pPr>
            <w:r>
              <w:rPr>
                <w:rFonts w:ascii="Calibri" w:hAnsi="Calibri"/>
                <w:color w:val="000000"/>
                <w:sz w:val="16"/>
              </w:rPr>
              <w:t> </w:t>
            </w:r>
          </w:p>
        </w:tc>
        <w:tc>
          <w:tcPr>
            <w:tcW w:w="1982" w:type="dxa"/>
            <w:tcBorders>
              <w:top w:val="single" w:sz="8" w:space="0" w:color="auto"/>
              <w:left w:val="nil"/>
              <w:bottom w:val="nil"/>
              <w:right w:val="single" w:sz="8" w:space="0" w:color="auto"/>
            </w:tcBorders>
            <w:shd w:val="clear" w:color="auto" w:fill="auto"/>
            <w:noWrap/>
            <w:vAlign w:val="center"/>
            <w:hideMark/>
          </w:tcPr>
          <w:p w14:paraId="1C30354D" w14:textId="00C20C49" w:rsidR="00055E12" w:rsidRPr="00055E12" w:rsidRDefault="00055E12" w:rsidP="00C61EB0">
            <w:pPr>
              <w:rPr>
                <w:rFonts w:ascii="Calibri" w:hAnsi="Calibri" w:cs="Calibri"/>
                <w:b/>
                <w:bCs/>
                <w:color w:val="000000"/>
                <w:sz w:val="16"/>
                <w:szCs w:val="16"/>
              </w:rPr>
            </w:pPr>
            <w:r>
              <w:rPr>
                <w:rFonts w:ascii="Calibri" w:hAnsi="Calibri"/>
                <w:b/>
                <w:color w:val="000000"/>
                <w:sz w:val="16"/>
              </w:rPr>
              <w:t xml:space="preserve"> Total Gestión de </w:t>
            </w:r>
            <w:r w:rsidR="00C61EB0">
              <w:rPr>
                <w:rFonts w:ascii="Calibri" w:hAnsi="Calibri"/>
                <w:b/>
                <w:color w:val="000000"/>
                <w:sz w:val="16"/>
              </w:rPr>
              <w:t>P</w:t>
            </w:r>
            <w:r>
              <w:rPr>
                <w:rFonts w:ascii="Calibri" w:hAnsi="Calibri"/>
                <w:b/>
                <w:color w:val="000000"/>
                <w:sz w:val="16"/>
              </w:rPr>
              <w:t xml:space="preserve">royecto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00797982"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22.940 </w:t>
            </w:r>
          </w:p>
        </w:tc>
        <w:tc>
          <w:tcPr>
            <w:tcW w:w="1067" w:type="dxa"/>
            <w:tcBorders>
              <w:top w:val="single" w:sz="8" w:space="0" w:color="auto"/>
              <w:left w:val="nil"/>
              <w:bottom w:val="single" w:sz="8" w:space="0" w:color="auto"/>
              <w:right w:val="single" w:sz="8" w:space="0" w:color="auto"/>
            </w:tcBorders>
            <w:shd w:val="clear" w:color="auto" w:fill="auto"/>
            <w:noWrap/>
            <w:vAlign w:val="center"/>
            <w:hideMark/>
          </w:tcPr>
          <w:p w14:paraId="4F371BFC"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37.806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10396F63"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35.961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0672E9EE"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35.039 </w:t>
            </w:r>
          </w:p>
        </w:tc>
        <w:tc>
          <w:tcPr>
            <w:tcW w:w="950" w:type="dxa"/>
            <w:tcBorders>
              <w:top w:val="single" w:sz="8" w:space="0" w:color="auto"/>
              <w:left w:val="nil"/>
              <w:bottom w:val="single" w:sz="8" w:space="0" w:color="auto"/>
              <w:right w:val="single" w:sz="8" w:space="0" w:color="auto"/>
            </w:tcBorders>
            <w:shd w:val="clear" w:color="auto" w:fill="auto"/>
            <w:noWrap/>
            <w:vAlign w:val="center"/>
            <w:hideMark/>
          </w:tcPr>
          <w:p w14:paraId="01851573"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58.730 </w:t>
            </w:r>
          </w:p>
        </w:tc>
        <w:tc>
          <w:tcPr>
            <w:tcW w:w="975" w:type="dxa"/>
            <w:tcBorders>
              <w:top w:val="single" w:sz="8" w:space="0" w:color="auto"/>
              <w:left w:val="nil"/>
              <w:bottom w:val="single" w:sz="8" w:space="0" w:color="auto"/>
              <w:right w:val="single" w:sz="8" w:space="0" w:color="auto"/>
            </w:tcBorders>
            <w:shd w:val="clear" w:color="auto" w:fill="auto"/>
            <w:noWrap/>
            <w:vAlign w:val="center"/>
            <w:hideMark/>
          </w:tcPr>
          <w:p w14:paraId="699482EA" w14:textId="77777777" w:rsidR="00055E12" w:rsidRPr="00055E12" w:rsidRDefault="00055E12" w:rsidP="00055E12">
            <w:pPr>
              <w:rPr>
                <w:rFonts w:ascii="Calibri" w:hAnsi="Calibri" w:cs="Calibri"/>
                <w:b/>
                <w:bCs/>
                <w:color w:val="000000"/>
                <w:sz w:val="16"/>
                <w:szCs w:val="16"/>
              </w:rPr>
            </w:pPr>
            <w:r>
              <w:rPr>
                <w:rFonts w:ascii="Calibri" w:hAnsi="Calibri"/>
                <w:b/>
                <w:color w:val="000000"/>
                <w:sz w:val="16"/>
              </w:rPr>
              <w:t xml:space="preserve">                    190.476 </w:t>
            </w:r>
          </w:p>
        </w:tc>
        <w:tc>
          <w:tcPr>
            <w:tcW w:w="685" w:type="dxa"/>
            <w:tcBorders>
              <w:top w:val="nil"/>
              <w:left w:val="nil"/>
              <w:bottom w:val="double" w:sz="6" w:space="0" w:color="auto"/>
              <w:right w:val="single" w:sz="8" w:space="0" w:color="auto"/>
            </w:tcBorders>
            <w:shd w:val="clear" w:color="auto" w:fill="auto"/>
            <w:vAlign w:val="center"/>
            <w:hideMark/>
          </w:tcPr>
          <w:p w14:paraId="016F364F"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w:t>
            </w:r>
          </w:p>
        </w:tc>
        <w:tc>
          <w:tcPr>
            <w:tcW w:w="155" w:type="dxa"/>
            <w:vAlign w:val="center"/>
            <w:hideMark/>
          </w:tcPr>
          <w:p w14:paraId="228337D6" w14:textId="77777777" w:rsidR="00055E12" w:rsidRPr="00055E12" w:rsidRDefault="00055E12" w:rsidP="00055E12">
            <w:pPr>
              <w:rPr>
                <w:sz w:val="20"/>
                <w:szCs w:val="20"/>
                <w:lang w:val="en-US" w:eastAsia="zh-CN"/>
              </w:rPr>
            </w:pPr>
          </w:p>
        </w:tc>
      </w:tr>
      <w:tr w:rsidR="00055E12" w:rsidRPr="00055E12" w14:paraId="4F8639A6" w14:textId="77777777" w:rsidTr="00055E12">
        <w:trPr>
          <w:trHeight w:val="295"/>
        </w:trPr>
        <w:tc>
          <w:tcPr>
            <w:tcW w:w="2356" w:type="dxa"/>
            <w:tcBorders>
              <w:top w:val="nil"/>
              <w:left w:val="single" w:sz="8" w:space="0" w:color="auto"/>
              <w:bottom w:val="single" w:sz="8" w:space="0" w:color="auto"/>
              <w:right w:val="nil"/>
            </w:tcBorders>
            <w:shd w:val="clear" w:color="auto" w:fill="auto"/>
            <w:vAlign w:val="center"/>
            <w:hideMark/>
          </w:tcPr>
          <w:p w14:paraId="2587CFDC"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 </w:t>
            </w:r>
          </w:p>
        </w:tc>
        <w:tc>
          <w:tcPr>
            <w:tcW w:w="1009" w:type="dxa"/>
            <w:tcBorders>
              <w:top w:val="nil"/>
              <w:left w:val="nil"/>
              <w:bottom w:val="single" w:sz="8" w:space="0" w:color="auto"/>
              <w:right w:val="nil"/>
            </w:tcBorders>
            <w:shd w:val="clear" w:color="auto" w:fill="auto"/>
            <w:vAlign w:val="center"/>
            <w:hideMark/>
          </w:tcPr>
          <w:p w14:paraId="663DE301"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 </w:t>
            </w:r>
          </w:p>
        </w:tc>
        <w:tc>
          <w:tcPr>
            <w:tcW w:w="704" w:type="dxa"/>
            <w:tcBorders>
              <w:top w:val="nil"/>
              <w:left w:val="nil"/>
              <w:bottom w:val="single" w:sz="8" w:space="0" w:color="auto"/>
              <w:right w:val="nil"/>
            </w:tcBorders>
            <w:shd w:val="clear" w:color="auto" w:fill="auto"/>
            <w:vAlign w:val="center"/>
            <w:hideMark/>
          </w:tcPr>
          <w:p w14:paraId="6F3A88C5"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 </w:t>
            </w:r>
          </w:p>
        </w:tc>
        <w:tc>
          <w:tcPr>
            <w:tcW w:w="705" w:type="dxa"/>
            <w:tcBorders>
              <w:top w:val="nil"/>
              <w:left w:val="nil"/>
              <w:bottom w:val="single" w:sz="8" w:space="0" w:color="auto"/>
              <w:right w:val="nil"/>
            </w:tcBorders>
            <w:shd w:val="clear" w:color="auto" w:fill="auto"/>
            <w:vAlign w:val="center"/>
            <w:hideMark/>
          </w:tcPr>
          <w:p w14:paraId="339DE933" w14:textId="77777777" w:rsidR="00055E12" w:rsidRPr="00055E12" w:rsidRDefault="00055E12" w:rsidP="00055E12">
            <w:pPr>
              <w:jc w:val="both"/>
              <w:rPr>
                <w:rFonts w:ascii="Calibri" w:hAnsi="Calibri" w:cs="Calibri"/>
                <w:b/>
                <w:bCs/>
                <w:color w:val="000000"/>
                <w:sz w:val="16"/>
                <w:szCs w:val="16"/>
              </w:rPr>
            </w:pPr>
            <w:r>
              <w:rPr>
                <w:rFonts w:ascii="Calibri" w:hAnsi="Calibri"/>
                <w:b/>
                <w:color w:val="000000"/>
                <w:sz w:val="16"/>
              </w:rPr>
              <w:t> </w:t>
            </w:r>
          </w:p>
        </w:tc>
        <w:tc>
          <w:tcPr>
            <w:tcW w:w="2847" w:type="dxa"/>
            <w:gridSpan w:val="2"/>
            <w:tcBorders>
              <w:top w:val="double" w:sz="6" w:space="0" w:color="auto"/>
              <w:left w:val="nil"/>
              <w:bottom w:val="single" w:sz="8" w:space="0" w:color="auto"/>
              <w:right w:val="single" w:sz="8" w:space="0" w:color="000000"/>
            </w:tcBorders>
            <w:shd w:val="clear" w:color="auto" w:fill="auto"/>
            <w:noWrap/>
            <w:vAlign w:val="center"/>
            <w:hideMark/>
          </w:tcPr>
          <w:p w14:paraId="4C081847" w14:textId="77777777" w:rsidR="00055E12" w:rsidRPr="00055E12" w:rsidRDefault="00055E12" w:rsidP="00055E12">
            <w:pPr>
              <w:jc w:val="right"/>
              <w:rPr>
                <w:rFonts w:ascii="Calibri" w:hAnsi="Calibri" w:cs="Calibri"/>
                <w:b/>
                <w:bCs/>
                <w:color w:val="000000"/>
                <w:sz w:val="16"/>
                <w:szCs w:val="16"/>
              </w:rPr>
            </w:pPr>
            <w:r>
              <w:rPr>
                <w:rFonts w:ascii="Calibri" w:hAnsi="Calibri"/>
                <w:b/>
                <w:color w:val="000000"/>
                <w:sz w:val="16"/>
              </w:rPr>
              <w:t>TOTAL DE PROYECTO</w:t>
            </w:r>
          </w:p>
        </w:tc>
        <w:tc>
          <w:tcPr>
            <w:tcW w:w="950" w:type="dxa"/>
            <w:tcBorders>
              <w:top w:val="nil"/>
              <w:left w:val="nil"/>
              <w:bottom w:val="double" w:sz="6" w:space="0" w:color="auto"/>
              <w:right w:val="single" w:sz="8" w:space="0" w:color="auto"/>
            </w:tcBorders>
            <w:shd w:val="clear" w:color="auto" w:fill="auto"/>
            <w:noWrap/>
            <w:vAlign w:val="center"/>
            <w:hideMark/>
          </w:tcPr>
          <w:p w14:paraId="6D9831F5"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276.140 </w:t>
            </w:r>
          </w:p>
        </w:tc>
        <w:tc>
          <w:tcPr>
            <w:tcW w:w="1067" w:type="dxa"/>
            <w:tcBorders>
              <w:top w:val="nil"/>
              <w:left w:val="nil"/>
              <w:bottom w:val="double" w:sz="6" w:space="0" w:color="auto"/>
              <w:right w:val="single" w:sz="8" w:space="0" w:color="auto"/>
            </w:tcBorders>
            <w:shd w:val="clear" w:color="auto" w:fill="auto"/>
            <w:noWrap/>
            <w:vAlign w:val="center"/>
            <w:hideMark/>
          </w:tcPr>
          <w:p w14:paraId="02C17FDD"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882.006 </w:t>
            </w:r>
          </w:p>
        </w:tc>
        <w:tc>
          <w:tcPr>
            <w:tcW w:w="950" w:type="dxa"/>
            <w:tcBorders>
              <w:top w:val="nil"/>
              <w:left w:val="nil"/>
              <w:bottom w:val="double" w:sz="6" w:space="0" w:color="auto"/>
              <w:right w:val="single" w:sz="8" w:space="0" w:color="auto"/>
            </w:tcBorders>
            <w:shd w:val="clear" w:color="auto" w:fill="auto"/>
            <w:noWrap/>
            <w:vAlign w:val="center"/>
            <w:hideMark/>
          </w:tcPr>
          <w:p w14:paraId="5452FE80"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958.161 </w:t>
            </w:r>
          </w:p>
        </w:tc>
        <w:tc>
          <w:tcPr>
            <w:tcW w:w="950" w:type="dxa"/>
            <w:tcBorders>
              <w:top w:val="nil"/>
              <w:left w:val="nil"/>
              <w:bottom w:val="double" w:sz="6" w:space="0" w:color="auto"/>
              <w:right w:val="single" w:sz="8" w:space="0" w:color="auto"/>
            </w:tcBorders>
            <w:shd w:val="clear" w:color="auto" w:fill="auto"/>
            <w:noWrap/>
            <w:vAlign w:val="center"/>
            <w:hideMark/>
          </w:tcPr>
          <w:p w14:paraId="0EFA5DB4"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913.839 </w:t>
            </w:r>
          </w:p>
        </w:tc>
        <w:tc>
          <w:tcPr>
            <w:tcW w:w="950" w:type="dxa"/>
            <w:tcBorders>
              <w:top w:val="nil"/>
              <w:left w:val="nil"/>
              <w:bottom w:val="double" w:sz="6" w:space="0" w:color="auto"/>
              <w:right w:val="single" w:sz="8" w:space="0" w:color="auto"/>
            </w:tcBorders>
            <w:shd w:val="clear" w:color="auto" w:fill="auto"/>
            <w:noWrap/>
            <w:vAlign w:val="center"/>
            <w:hideMark/>
          </w:tcPr>
          <w:p w14:paraId="35E98DC5"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969.854 </w:t>
            </w:r>
          </w:p>
        </w:tc>
        <w:tc>
          <w:tcPr>
            <w:tcW w:w="975" w:type="dxa"/>
            <w:tcBorders>
              <w:top w:val="nil"/>
              <w:left w:val="nil"/>
              <w:bottom w:val="double" w:sz="6" w:space="0" w:color="auto"/>
              <w:right w:val="single" w:sz="8" w:space="0" w:color="auto"/>
            </w:tcBorders>
            <w:shd w:val="clear" w:color="auto" w:fill="auto"/>
            <w:noWrap/>
            <w:vAlign w:val="center"/>
            <w:hideMark/>
          </w:tcPr>
          <w:p w14:paraId="5BF08E10" w14:textId="77777777" w:rsidR="00055E12" w:rsidRPr="00055E12" w:rsidRDefault="00055E12" w:rsidP="00055E12">
            <w:pPr>
              <w:jc w:val="center"/>
              <w:rPr>
                <w:rFonts w:ascii="Calibri" w:hAnsi="Calibri" w:cs="Calibri"/>
                <w:b/>
                <w:bCs/>
                <w:color w:val="000000"/>
                <w:sz w:val="16"/>
                <w:szCs w:val="16"/>
              </w:rPr>
            </w:pPr>
            <w:r>
              <w:rPr>
                <w:rFonts w:ascii="Calibri" w:hAnsi="Calibri"/>
                <w:b/>
                <w:color w:val="000000"/>
                <w:sz w:val="16"/>
              </w:rPr>
              <w:t xml:space="preserve">                4.000.000 </w:t>
            </w:r>
          </w:p>
        </w:tc>
        <w:tc>
          <w:tcPr>
            <w:tcW w:w="685" w:type="dxa"/>
            <w:tcBorders>
              <w:top w:val="nil"/>
              <w:left w:val="nil"/>
              <w:bottom w:val="single" w:sz="8" w:space="0" w:color="auto"/>
              <w:right w:val="single" w:sz="8" w:space="0" w:color="auto"/>
            </w:tcBorders>
            <w:shd w:val="clear" w:color="auto" w:fill="auto"/>
            <w:vAlign w:val="center"/>
            <w:hideMark/>
          </w:tcPr>
          <w:p w14:paraId="3686F14D" w14:textId="77777777" w:rsidR="00055E12" w:rsidRPr="00055E12" w:rsidRDefault="00055E12" w:rsidP="00055E12">
            <w:pPr>
              <w:jc w:val="center"/>
              <w:rPr>
                <w:rFonts w:ascii="Calibri" w:hAnsi="Calibri" w:cs="Calibri"/>
                <w:i/>
                <w:iCs/>
                <w:color w:val="000000"/>
                <w:sz w:val="16"/>
                <w:szCs w:val="16"/>
              </w:rPr>
            </w:pPr>
            <w:r>
              <w:rPr>
                <w:rFonts w:ascii="Calibri" w:hAnsi="Calibri"/>
                <w:i/>
                <w:color w:val="000000"/>
                <w:sz w:val="16"/>
              </w:rPr>
              <w:t> </w:t>
            </w:r>
          </w:p>
        </w:tc>
        <w:tc>
          <w:tcPr>
            <w:tcW w:w="155" w:type="dxa"/>
            <w:vAlign w:val="center"/>
            <w:hideMark/>
          </w:tcPr>
          <w:p w14:paraId="71E3E99E" w14:textId="77777777" w:rsidR="00055E12" w:rsidRPr="00055E12" w:rsidRDefault="00055E12" w:rsidP="00055E12">
            <w:pPr>
              <w:rPr>
                <w:sz w:val="20"/>
                <w:szCs w:val="20"/>
                <w:lang w:val="en-US" w:eastAsia="zh-CN"/>
              </w:rPr>
            </w:pPr>
          </w:p>
        </w:tc>
      </w:tr>
    </w:tbl>
    <w:p w14:paraId="49120DEC" w14:textId="54ACFA03" w:rsidR="0056003F" w:rsidRDefault="0056003F" w:rsidP="00966EF0">
      <w:pPr>
        <w:spacing w:after="60"/>
        <w:jc w:val="both"/>
        <w:rPr>
          <w:rFonts w:ascii="Calibri" w:eastAsia="SimSun" w:hAnsi="Calibri" w:cs="Calibri"/>
          <w:sz w:val="18"/>
          <w:szCs w:val="18"/>
          <w:lang w:val="en-US"/>
        </w:rPr>
      </w:pPr>
    </w:p>
    <w:p w14:paraId="6FE2C403" w14:textId="0D372DEC" w:rsidR="00966EF0" w:rsidRDefault="00966EF0" w:rsidP="00D92DBA">
      <w:pPr>
        <w:spacing w:after="60"/>
        <w:jc w:val="both"/>
        <w:rPr>
          <w:rFonts w:ascii="Calibri" w:eastAsia="SimSun" w:hAnsi="Calibri" w:cs="Calibri"/>
          <w:b/>
          <w:sz w:val="18"/>
          <w:szCs w:val="18"/>
        </w:rPr>
      </w:pPr>
      <w:r>
        <w:rPr>
          <w:rFonts w:ascii="Calibri" w:hAnsi="Calibri"/>
          <w:b/>
          <w:sz w:val="18"/>
        </w:rPr>
        <w:t>Notas presupuestarias</w:t>
      </w:r>
    </w:p>
    <w:p w14:paraId="18E97EE5" w14:textId="64E4E2C5" w:rsidR="00055E12" w:rsidRDefault="00055E12" w:rsidP="00D92DBA">
      <w:pPr>
        <w:spacing w:after="60"/>
        <w:jc w:val="both"/>
        <w:rPr>
          <w:rFonts w:ascii="Calibri" w:eastAsia="SimSun" w:hAnsi="Calibri" w:cs="Calibri"/>
          <w:b/>
          <w:sz w:val="18"/>
          <w:szCs w:val="18"/>
          <w:lang w:val="en-US"/>
        </w:rPr>
      </w:pPr>
    </w:p>
    <w:tbl>
      <w:tblPr>
        <w:tblW w:w="14411" w:type="dxa"/>
        <w:tblLook w:val="04A0" w:firstRow="1" w:lastRow="0" w:firstColumn="1" w:lastColumn="0" w:noHBand="0" w:noVBand="1"/>
      </w:tblPr>
      <w:tblGrid>
        <w:gridCol w:w="674"/>
        <w:gridCol w:w="13737"/>
      </w:tblGrid>
      <w:tr w:rsidR="000C52F9" w:rsidRPr="001B17BF" w14:paraId="2B99602D"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000000" w:fill="F2DBDB"/>
            <w:vAlign w:val="center"/>
            <w:hideMark/>
          </w:tcPr>
          <w:p w14:paraId="42DD379B" w14:textId="77777777" w:rsidR="000C52F9" w:rsidRDefault="000C52F9">
            <w:pPr>
              <w:jc w:val="center"/>
              <w:rPr>
                <w:rFonts w:ascii="Arial Narrow" w:hAnsi="Arial Narrow" w:cs="Calibri"/>
                <w:b/>
                <w:bCs/>
                <w:color w:val="000000"/>
                <w:sz w:val="18"/>
                <w:szCs w:val="18"/>
              </w:rPr>
            </w:pPr>
            <w:r>
              <w:rPr>
                <w:rFonts w:ascii="Arial Narrow" w:hAnsi="Arial Narrow"/>
                <w:b/>
                <w:color w:val="000000"/>
                <w:sz w:val="18"/>
              </w:rPr>
              <w:t>No.</w:t>
            </w:r>
          </w:p>
        </w:tc>
        <w:tc>
          <w:tcPr>
            <w:tcW w:w="13737" w:type="dxa"/>
            <w:tcBorders>
              <w:top w:val="single" w:sz="4" w:space="0" w:color="auto"/>
              <w:left w:val="single" w:sz="4" w:space="0" w:color="auto"/>
              <w:bottom w:val="single" w:sz="4" w:space="0" w:color="auto"/>
              <w:right w:val="single" w:sz="4" w:space="0" w:color="auto"/>
            </w:tcBorders>
            <w:shd w:val="clear" w:color="000000" w:fill="F2DBDB"/>
            <w:noWrap/>
            <w:vAlign w:val="center"/>
            <w:hideMark/>
          </w:tcPr>
          <w:p w14:paraId="3BAB0987" w14:textId="77777777" w:rsidR="000C52F9" w:rsidRPr="000C52F9" w:rsidRDefault="000C52F9">
            <w:pPr>
              <w:rPr>
                <w:rFonts w:ascii="Arial Narrow" w:hAnsi="Arial Narrow" w:cs="Calibri"/>
                <w:b/>
                <w:bCs/>
                <w:color w:val="000000"/>
                <w:sz w:val="18"/>
                <w:szCs w:val="18"/>
              </w:rPr>
            </w:pPr>
            <w:r>
              <w:rPr>
                <w:rFonts w:ascii="Arial Narrow" w:hAnsi="Arial Narrow"/>
                <w:b/>
                <w:color w:val="000000"/>
                <w:sz w:val="18"/>
              </w:rPr>
              <w:t>Componente 1. Política gubernamental y ejecución</w:t>
            </w:r>
          </w:p>
        </w:tc>
      </w:tr>
      <w:tr w:rsidR="000C52F9" w14:paraId="40B4DE0C"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360B79E9"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w:t>
            </w:r>
          </w:p>
        </w:tc>
        <w:tc>
          <w:tcPr>
            <w:tcW w:w="13737" w:type="dxa"/>
            <w:tcBorders>
              <w:top w:val="nil"/>
              <w:left w:val="single" w:sz="4" w:space="0" w:color="auto"/>
              <w:bottom w:val="single" w:sz="4" w:space="0" w:color="auto"/>
              <w:right w:val="single" w:sz="4" w:space="0" w:color="auto"/>
            </w:tcBorders>
            <w:shd w:val="clear" w:color="auto" w:fill="auto"/>
            <w:noWrap/>
            <w:hideMark/>
          </w:tcPr>
          <w:p w14:paraId="7150B822" w14:textId="42893E73" w:rsidR="000C52F9" w:rsidRDefault="000C52F9" w:rsidP="00707175">
            <w:pPr>
              <w:rPr>
                <w:rFonts w:ascii="Arial Narrow" w:hAnsi="Arial Narrow" w:cs="Calibri"/>
                <w:color w:val="000000"/>
                <w:sz w:val="18"/>
                <w:szCs w:val="18"/>
              </w:rPr>
            </w:pPr>
            <w:r>
              <w:rPr>
                <w:rFonts w:ascii="Arial Narrow" w:hAnsi="Arial Narrow"/>
                <w:color w:val="000000"/>
                <w:sz w:val="18"/>
              </w:rPr>
              <w:t xml:space="preserve">Un Consultor Internacional para apoyar el programa de desarrollo de capacidades para la adopción de herramientas internacionales (Caja de </w:t>
            </w:r>
            <w:r w:rsidR="00C14011">
              <w:rPr>
                <w:rFonts w:ascii="Arial Narrow" w:hAnsi="Arial Narrow"/>
                <w:color w:val="000000"/>
                <w:sz w:val="18"/>
              </w:rPr>
              <w:t>H</w:t>
            </w:r>
            <w:r>
              <w:rPr>
                <w:rFonts w:ascii="Arial Narrow" w:hAnsi="Arial Narrow"/>
                <w:color w:val="000000"/>
                <w:sz w:val="18"/>
              </w:rPr>
              <w:t>erramientas de Registro d</w:t>
            </w:r>
            <w:r w:rsidR="00C14011">
              <w:rPr>
                <w:rFonts w:ascii="Arial Narrow" w:hAnsi="Arial Narrow"/>
                <w:color w:val="000000"/>
                <w:sz w:val="18"/>
              </w:rPr>
              <w:t>e</w:t>
            </w:r>
            <w:r>
              <w:rPr>
                <w:rFonts w:ascii="Arial Narrow" w:hAnsi="Arial Narrow"/>
                <w:color w:val="000000"/>
                <w:sz w:val="18"/>
              </w:rPr>
              <w:t xml:space="preserve"> Pesticidas de la FAO; Código Internacional de Conducta) + un Consultor Internacional para apoyar la identificación de alternativas dentro del Plan Nacional de Reducción de Agroquímicos Perjudiciales. Para más información, véase el </w:t>
            </w:r>
            <w:r w:rsidR="00707175">
              <w:rPr>
                <w:rFonts w:ascii="Arial Narrow" w:hAnsi="Arial Narrow"/>
                <w:color w:val="000000"/>
                <w:sz w:val="18"/>
              </w:rPr>
              <w:t>A</w:t>
            </w:r>
            <w:r>
              <w:rPr>
                <w:rFonts w:ascii="Arial Narrow" w:hAnsi="Arial Narrow"/>
                <w:color w:val="000000"/>
                <w:sz w:val="18"/>
              </w:rPr>
              <w:t>nexo 7</w:t>
            </w:r>
          </w:p>
        </w:tc>
      </w:tr>
      <w:tr w:rsidR="000C52F9" w14:paraId="340D7C71"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75B74933"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w:t>
            </w:r>
          </w:p>
        </w:tc>
        <w:tc>
          <w:tcPr>
            <w:tcW w:w="13737" w:type="dxa"/>
            <w:tcBorders>
              <w:top w:val="nil"/>
              <w:left w:val="single" w:sz="4" w:space="0" w:color="auto"/>
              <w:bottom w:val="single" w:sz="4" w:space="0" w:color="auto"/>
              <w:right w:val="single" w:sz="4" w:space="0" w:color="auto"/>
            </w:tcBorders>
            <w:shd w:val="clear" w:color="auto" w:fill="auto"/>
            <w:noWrap/>
            <w:hideMark/>
          </w:tcPr>
          <w:p w14:paraId="13801760" w14:textId="3FCA51C2" w:rsidR="000C52F9" w:rsidRDefault="000C52F9" w:rsidP="00707175">
            <w:pPr>
              <w:rPr>
                <w:rFonts w:ascii="Arial Narrow" w:hAnsi="Arial Narrow" w:cs="Calibri"/>
                <w:color w:val="000000"/>
                <w:sz w:val="18"/>
                <w:szCs w:val="18"/>
              </w:rPr>
            </w:pPr>
            <w:r>
              <w:rPr>
                <w:rFonts w:ascii="Arial Narrow" w:hAnsi="Arial Narrow"/>
                <w:color w:val="000000"/>
                <w:sz w:val="18"/>
              </w:rPr>
              <w:t xml:space="preserve">Un especialista institucional/jurídico local para apoyar el diseño de la hoja de ruta jurídica y la redacción de los reglamentos/políticas necesarios + 1 consultor local para apoyar la formación en materia de Aduanas y Ejecución de la </w:t>
            </w:r>
            <w:r w:rsidR="00C14011">
              <w:rPr>
                <w:rFonts w:ascii="Arial Narrow" w:hAnsi="Arial Narrow"/>
                <w:color w:val="000000"/>
                <w:sz w:val="18"/>
              </w:rPr>
              <w:t>L</w:t>
            </w:r>
            <w:r>
              <w:rPr>
                <w:rFonts w:ascii="Arial Narrow" w:hAnsi="Arial Narrow"/>
                <w:color w:val="000000"/>
                <w:sz w:val="18"/>
              </w:rPr>
              <w:t xml:space="preserve">ey. Para más información, véase el </w:t>
            </w:r>
            <w:r w:rsidR="00707175">
              <w:rPr>
                <w:rFonts w:ascii="Arial Narrow" w:hAnsi="Arial Narrow"/>
                <w:color w:val="000000"/>
                <w:sz w:val="18"/>
              </w:rPr>
              <w:t>A</w:t>
            </w:r>
            <w:r>
              <w:rPr>
                <w:rFonts w:ascii="Arial Narrow" w:hAnsi="Arial Narrow"/>
                <w:color w:val="000000"/>
                <w:sz w:val="18"/>
              </w:rPr>
              <w:t>nexo 7</w:t>
            </w:r>
          </w:p>
        </w:tc>
      </w:tr>
      <w:tr w:rsidR="000C52F9" w14:paraId="684B205E" w14:textId="77777777" w:rsidTr="000C52F9">
        <w:trPr>
          <w:trHeight w:val="220"/>
        </w:trPr>
        <w:tc>
          <w:tcPr>
            <w:tcW w:w="674" w:type="dxa"/>
            <w:tcBorders>
              <w:top w:val="nil"/>
              <w:left w:val="single" w:sz="4" w:space="0" w:color="auto"/>
              <w:bottom w:val="single" w:sz="4" w:space="0" w:color="auto"/>
              <w:right w:val="nil"/>
            </w:tcBorders>
            <w:shd w:val="clear" w:color="auto" w:fill="auto"/>
            <w:noWrap/>
            <w:vAlign w:val="center"/>
            <w:hideMark/>
          </w:tcPr>
          <w:p w14:paraId="046BC83B"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w:t>
            </w:r>
          </w:p>
        </w:tc>
        <w:tc>
          <w:tcPr>
            <w:tcW w:w="13737" w:type="dxa"/>
            <w:tcBorders>
              <w:top w:val="nil"/>
              <w:left w:val="single" w:sz="4" w:space="0" w:color="auto"/>
              <w:bottom w:val="single" w:sz="4" w:space="0" w:color="auto"/>
              <w:right w:val="single" w:sz="4" w:space="0" w:color="auto"/>
            </w:tcBorders>
            <w:shd w:val="clear" w:color="auto" w:fill="auto"/>
            <w:noWrap/>
            <w:hideMark/>
          </w:tcPr>
          <w:p w14:paraId="35ED365B" w14:textId="13F9D600" w:rsidR="000C52F9" w:rsidRDefault="000C52F9" w:rsidP="00707175">
            <w:pPr>
              <w:rPr>
                <w:rFonts w:ascii="Arial Narrow" w:hAnsi="Arial Narrow" w:cs="Calibri"/>
                <w:color w:val="000000"/>
                <w:sz w:val="18"/>
                <w:szCs w:val="18"/>
              </w:rPr>
            </w:pPr>
            <w:r>
              <w:rPr>
                <w:rFonts w:ascii="Arial Narrow" w:hAnsi="Arial Narrow"/>
                <w:color w:val="000000"/>
                <w:sz w:val="18"/>
              </w:rPr>
              <w:t>Una persona local para apoyar el desarrollo del Plan Nacional de Reducción de Agroquímicos Nocivos en el marco del Resultado 1.3 a 35.000 USD anuales + 30% de los cost</w:t>
            </w:r>
            <w:r w:rsidR="00C14011">
              <w:rPr>
                <w:rFonts w:ascii="Arial Narrow" w:hAnsi="Arial Narrow"/>
                <w:color w:val="000000"/>
                <w:sz w:val="18"/>
              </w:rPr>
              <w:t>o</w:t>
            </w:r>
            <w:r>
              <w:rPr>
                <w:rFonts w:ascii="Arial Narrow" w:hAnsi="Arial Narrow"/>
                <w:color w:val="000000"/>
                <w:sz w:val="18"/>
              </w:rPr>
              <w:t xml:space="preserve">s del Coordinador del Proyecto: el Coordinador del Proyecto se encargará de las actividades cotidianas de ejecución, administración, adquisición y gestión del proyecto a 42.200 USD anuales (12.660 USD anuales se imputarán a este componente). Para más información, véase el </w:t>
            </w:r>
            <w:r w:rsidR="00707175">
              <w:rPr>
                <w:rFonts w:ascii="Arial Narrow" w:hAnsi="Arial Narrow"/>
                <w:color w:val="000000"/>
                <w:sz w:val="18"/>
              </w:rPr>
              <w:t>A</w:t>
            </w:r>
            <w:r>
              <w:rPr>
                <w:rFonts w:ascii="Arial Narrow" w:hAnsi="Arial Narrow"/>
                <w:color w:val="000000"/>
                <w:sz w:val="18"/>
              </w:rPr>
              <w:t>nexo 7</w:t>
            </w:r>
          </w:p>
        </w:tc>
      </w:tr>
      <w:tr w:rsidR="000C52F9" w:rsidRPr="001B17BF" w14:paraId="70FD50E4"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252591CA"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4</w:t>
            </w:r>
          </w:p>
        </w:tc>
        <w:tc>
          <w:tcPr>
            <w:tcW w:w="13737" w:type="dxa"/>
            <w:tcBorders>
              <w:top w:val="nil"/>
              <w:left w:val="single" w:sz="4" w:space="0" w:color="auto"/>
              <w:bottom w:val="single" w:sz="4" w:space="0" w:color="auto"/>
              <w:right w:val="single" w:sz="4" w:space="0" w:color="auto"/>
            </w:tcBorders>
            <w:shd w:val="clear" w:color="auto" w:fill="auto"/>
            <w:noWrap/>
            <w:hideMark/>
          </w:tcPr>
          <w:p w14:paraId="2D56AB7B" w14:textId="72936C87" w:rsidR="000C52F9" w:rsidRPr="006F0E8D" w:rsidRDefault="000C52F9">
            <w:pPr>
              <w:rPr>
                <w:rFonts w:ascii="Arial Narrow" w:hAnsi="Arial Narrow" w:cs="Calibri"/>
                <w:color w:val="000000"/>
                <w:sz w:val="18"/>
                <w:szCs w:val="18"/>
              </w:rPr>
            </w:pPr>
            <w:r>
              <w:rPr>
                <w:rFonts w:ascii="Arial Narrow" w:hAnsi="Arial Narrow"/>
                <w:color w:val="000000"/>
                <w:sz w:val="18"/>
              </w:rPr>
              <w:t>Viajes para apoyar los Resultados 1.1 y 1.2 en la implicación y el refuerzo de la capacidad de las diferentes partes interesadas</w:t>
            </w:r>
          </w:p>
        </w:tc>
      </w:tr>
      <w:tr w:rsidR="000C52F9" w:rsidRPr="001B17BF" w14:paraId="3B6C53FC"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41153868"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5</w:t>
            </w:r>
          </w:p>
        </w:tc>
        <w:tc>
          <w:tcPr>
            <w:tcW w:w="13737" w:type="dxa"/>
            <w:tcBorders>
              <w:top w:val="nil"/>
              <w:left w:val="single" w:sz="4" w:space="0" w:color="auto"/>
              <w:bottom w:val="single" w:sz="4" w:space="0" w:color="auto"/>
              <w:right w:val="single" w:sz="4" w:space="0" w:color="auto"/>
            </w:tcBorders>
            <w:shd w:val="clear" w:color="auto" w:fill="auto"/>
            <w:noWrap/>
            <w:hideMark/>
          </w:tcPr>
          <w:p w14:paraId="6621D81A" w14:textId="242482F3" w:rsidR="000C52F9" w:rsidRPr="006F0E8D" w:rsidRDefault="000C52F9" w:rsidP="00C14011">
            <w:pPr>
              <w:rPr>
                <w:rFonts w:ascii="Arial Narrow" w:hAnsi="Arial Narrow" w:cs="Calibri"/>
                <w:color w:val="000000"/>
                <w:sz w:val="18"/>
                <w:szCs w:val="18"/>
              </w:rPr>
            </w:pPr>
            <w:r>
              <w:rPr>
                <w:rFonts w:ascii="Arial Narrow" w:hAnsi="Arial Narrow"/>
                <w:color w:val="000000"/>
                <w:sz w:val="18"/>
              </w:rPr>
              <w:t>Servicios contractuales para l</w:t>
            </w:r>
            <w:r w:rsidR="00C14011">
              <w:rPr>
                <w:rFonts w:ascii="Arial Narrow" w:hAnsi="Arial Narrow"/>
                <w:color w:val="000000"/>
                <w:sz w:val="18"/>
              </w:rPr>
              <w:t>a</w:t>
            </w:r>
            <w:r>
              <w:rPr>
                <w:rFonts w:ascii="Arial Narrow" w:hAnsi="Arial Narrow"/>
                <w:color w:val="000000"/>
                <w:sz w:val="18"/>
              </w:rPr>
              <w:t xml:space="preserve"> </w:t>
            </w:r>
            <w:r w:rsidR="00C14011">
              <w:rPr>
                <w:rFonts w:ascii="Arial Narrow" w:hAnsi="Arial Narrow"/>
                <w:color w:val="000000"/>
                <w:sz w:val="18"/>
              </w:rPr>
              <w:t>p</w:t>
            </w:r>
            <w:r>
              <w:rPr>
                <w:rFonts w:ascii="Arial Narrow" w:hAnsi="Arial Narrow"/>
                <w:color w:val="000000"/>
                <w:sz w:val="18"/>
              </w:rPr>
              <w:t>lataforma de coordinación</w:t>
            </w:r>
            <w:r w:rsidR="00C14011">
              <w:rPr>
                <w:rFonts w:ascii="Arial Narrow" w:hAnsi="Arial Narrow"/>
                <w:color w:val="000000"/>
                <w:sz w:val="18"/>
              </w:rPr>
              <w:t xml:space="preserve"> del Resultado 1.4</w:t>
            </w:r>
            <w:r>
              <w:rPr>
                <w:rFonts w:ascii="Arial Narrow" w:hAnsi="Arial Narrow"/>
                <w:color w:val="000000"/>
                <w:sz w:val="18"/>
              </w:rPr>
              <w:t xml:space="preserve"> para la mejora de la identificación, control y eliminación de plaguicidas (con advertencias tempranas) entre de las autoridades gubernamentales + Servicios contractuales para la realización de pruebas de campo para la identificación de alternativas a los productos agroquímicos nocivos</w:t>
            </w:r>
          </w:p>
        </w:tc>
      </w:tr>
      <w:tr w:rsidR="000C52F9" w14:paraId="76D255AF"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45DEABA9"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6</w:t>
            </w:r>
          </w:p>
        </w:tc>
        <w:tc>
          <w:tcPr>
            <w:tcW w:w="13737" w:type="dxa"/>
            <w:tcBorders>
              <w:top w:val="nil"/>
              <w:left w:val="single" w:sz="4" w:space="0" w:color="auto"/>
              <w:bottom w:val="single" w:sz="4" w:space="0" w:color="auto"/>
              <w:right w:val="single" w:sz="4" w:space="0" w:color="auto"/>
            </w:tcBorders>
            <w:shd w:val="clear" w:color="auto" w:fill="auto"/>
            <w:noWrap/>
            <w:hideMark/>
          </w:tcPr>
          <w:p w14:paraId="0A6C4651" w14:textId="57D41DC6" w:rsidR="000C52F9" w:rsidRDefault="000C52F9" w:rsidP="00707175">
            <w:pPr>
              <w:rPr>
                <w:rFonts w:ascii="Arial Narrow" w:hAnsi="Arial Narrow" w:cs="Calibri"/>
                <w:color w:val="000000"/>
                <w:sz w:val="18"/>
                <w:szCs w:val="18"/>
              </w:rPr>
            </w:pPr>
            <w:r>
              <w:rPr>
                <w:rFonts w:ascii="Arial Narrow" w:hAnsi="Arial Narrow"/>
                <w:color w:val="000000"/>
                <w:sz w:val="18"/>
              </w:rPr>
              <w:t>Una empresa consultora de evaluación del impacto ambiental y social que incluye EASEs, 4 evaluaciones específicas y un PGAS independiente (</w:t>
            </w:r>
            <w:r w:rsidR="00C14011">
              <w:rPr>
                <w:rFonts w:ascii="Arial Narrow" w:hAnsi="Arial Narrow"/>
                <w:color w:val="000000"/>
                <w:sz w:val="18"/>
              </w:rPr>
              <w:t>I</w:t>
            </w:r>
            <w:r>
              <w:rPr>
                <w:rFonts w:ascii="Arial Narrow" w:hAnsi="Arial Narrow"/>
                <w:color w:val="000000"/>
                <w:sz w:val="18"/>
              </w:rPr>
              <w:t xml:space="preserve">ncluido el desarrollo de capacidades en </w:t>
            </w:r>
            <w:r w:rsidR="00C773C0">
              <w:rPr>
                <w:rFonts w:ascii="Arial Narrow" w:hAnsi="Arial Narrow"/>
                <w:color w:val="000000"/>
                <w:sz w:val="18"/>
              </w:rPr>
              <w:t>los estándares</w:t>
            </w:r>
            <w:r>
              <w:rPr>
                <w:rFonts w:ascii="Arial Narrow" w:hAnsi="Arial Narrow"/>
                <w:color w:val="000000"/>
                <w:sz w:val="18"/>
              </w:rPr>
              <w:t xml:space="preserve"> EAS)</w:t>
            </w:r>
          </w:p>
        </w:tc>
      </w:tr>
      <w:tr w:rsidR="000C52F9" w:rsidRPr="001B17BF" w14:paraId="6F4DF958"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7E2E069E"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7</w:t>
            </w:r>
          </w:p>
        </w:tc>
        <w:tc>
          <w:tcPr>
            <w:tcW w:w="13737" w:type="dxa"/>
            <w:tcBorders>
              <w:top w:val="nil"/>
              <w:left w:val="single" w:sz="4" w:space="0" w:color="auto"/>
              <w:bottom w:val="single" w:sz="4" w:space="0" w:color="auto"/>
              <w:right w:val="single" w:sz="4" w:space="0" w:color="auto"/>
            </w:tcBorders>
            <w:shd w:val="clear" w:color="auto" w:fill="auto"/>
            <w:noWrap/>
            <w:hideMark/>
          </w:tcPr>
          <w:p w14:paraId="46C0D8E7" w14:textId="55FAD37E" w:rsidR="000C52F9" w:rsidRPr="006F0E8D" w:rsidRDefault="000C52F9" w:rsidP="00C14011">
            <w:pPr>
              <w:rPr>
                <w:rFonts w:ascii="Arial Narrow" w:hAnsi="Arial Narrow" w:cs="Calibri"/>
                <w:color w:val="000000"/>
                <w:sz w:val="18"/>
                <w:szCs w:val="18"/>
              </w:rPr>
            </w:pPr>
            <w:r>
              <w:rPr>
                <w:rFonts w:ascii="Arial Narrow" w:hAnsi="Arial Narrow"/>
                <w:color w:val="000000"/>
                <w:sz w:val="18"/>
              </w:rPr>
              <w:t>Cost</w:t>
            </w:r>
            <w:r w:rsidR="00C14011">
              <w:rPr>
                <w:rFonts w:ascii="Arial Narrow" w:hAnsi="Arial Narrow"/>
                <w:color w:val="000000"/>
                <w:sz w:val="18"/>
              </w:rPr>
              <w:t>o</w:t>
            </w:r>
            <w:r>
              <w:rPr>
                <w:rFonts w:ascii="Arial Narrow" w:hAnsi="Arial Narrow"/>
                <w:color w:val="000000"/>
                <w:sz w:val="18"/>
              </w:rPr>
              <w:t xml:space="preserve">s de producción audiovisual y de impresión para apoyar el desarrollo de políticas, instrumentos políticos o marcos normativos influenciados (a nivel nacional o subnacional) para mejorar la gestión de los productos agroquímicos, así como apoyar los requisitos del </w:t>
            </w:r>
            <w:r w:rsidR="00EE65CF">
              <w:rPr>
                <w:rFonts w:ascii="Arial Narrow" w:hAnsi="Arial Narrow"/>
                <w:color w:val="000000"/>
                <w:sz w:val="18"/>
              </w:rPr>
              <w:t>ESMF</w:t>
            </w:r>
          </w:p>
        </w:tc>
      </w:tr>
      <w:tr w:rsidR="000C52F9" w:rsidRPr="001B17BF" w14:paraId="41165416" w14:textId="77777777" w:rsidTr="000C52F9">
        <w:trPr>
          <w:trHeight w:val="243"/>
        </w:trPr>
        <w:tc>
          <w:tcPr>
            <w:tcW w:w="674" w:type="dxa"/>
            <w:tcBorders>
              <w:top w:val="nil"/>
              <w:left w:val="single" w:sz="4" w:space="0" w:color="auto"/>
              <w:bottom w:val="single" w:sz="4" w:space="0" w:color="auto"/>
              <w:right w:val="nil"/>
            </w:tcBorders>
            <w:shd w:val="clear" w:color="auto" w:fill="auto"/>
            <w:noWrap/>
            <w:vAlign w:val="center"/>
            <w:hideMark/>
          </w:tcPr>
          <w:p w14:paraId="1D63A699"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8</w:t>
            </w:r>
          </w:p>
        </w:tc>
        <w:tc>
          <w:tcPr>
            <w:tcW w:w="13737" w:type="dxa"/>
            <w:tcBorders>
              <w:top w:val="nil"/>
              <w:left w:val="single" w:sz="4" w:space="0" w:color="auto"/>
              <w:bottom w:val="single" w:sz="4" w:space="0" w:color="auto"/>
              <w:right w:val="single" w:sz="4" w:space="0" w:color="auto"/>
            </w:tcBorders>
            <w:shd w:val="clear" w:color="auto" w:fill="auto"/>
            <w:noWrap/>
            <w:hideMark/>
          </w:tcPr>
          <w:p w14:paraId="12FAF85A" w14:textId="1382EA00" w:rsidR="000C52F9" w:rsidRPr="006F0E8D" w:rsidRDefault="000C52F9">
            <w:pPr>
              <w:rPr>
                <w:rFonts w:ascii="Arial Narrow" w:hAnsi="Arial Narrow" w:cs="Calibri"/>
                <w:color w:val="000000"/>
                <w:sz w:val="18"/>
                <w:szCs w:val="18"/>
              </w:rPr>
            </w:pPr>
            <w:r>
              <w:rPr>
                <w:rFonts w:ascii="Arial Narrow" w:hAnsi="Arial Narrow"/>
                <w:color w:val="000000"/>
                <w:sz w:val="18"/>
              </w:rPr>
              <w:t>Formación en el marco del Componente 1 para el fortalecimiento institucional en la gestión de agroquímicos (incluidos los agroplásticos) y para evitar el comercio de importaciones ilegales; gastos de desarrollo de capacidades/formación de SESP</w:t>
            </w:r>
          </w:p>
        </w:tc>
      </w:tr>
      <w:tr w:rsidR="000C52F9" w14:paraId="1CA8D4B4" w14:textId="77777777" w:rsidTr="000C52F9">
        <w:trPr>
          <w:trHeight w:val="232"/>
        </w:trPr>
        <w:tc>
          <w:tcPr>
            <w:tcW w:w="674" w:type="dxa"/>
            <w:tcBorders>
              <w:top w:val="nil"/>
              <w:left w:val="single" w:sz="4" w:space="0" w:color="auto"/>
              <w:bottom w:val="single" w:sz="4" w:space="0" w:color="auto"/>
              <w:right w:val="single" w:sz="4" w:space="0" w:color="auto"/>
            </w:tcBorders>
            <w:shd w:val="clear" w:color="000000" w:fill="F2DBDB"/>
            <w:vAlign w:val="center"/>
            <w:hideMark/>
          </w:tcPr>
          <w:p w14:paraId="10A49D19" w14:textId="77777777" w:rsidR="000C52F9" w:rsidRDefault="000C52F9">
            <w:pPr>
              <w:jc w:val="center"/>
              <w:rPr>
                <w:rFonts w:ascii="Arial Narrow" w:hAnsi="Arial Narrow" w:cs="Calibri"/>
                <w:b/>
                <w:bCs/>
                <w:color w:val="000000"/>
                <w:sz w:val="18"/>
                <w:szCs w:val="18"/>
              </w:rPr>
            </w:pPr>
            <w:r>
              <w:rPr>
                <w:rFonts w:ascii="Arial Narrow" w:hAnsi="Arial Narrow"/>
                <w:b/>
                <w:color w:val="000000"/>
                <w:sz w:val="18"/>
              </w:rPr>
              <w:t>No.</w:t>
            </w:r>
          </w:p>
        </w:tc>
        <w:tc>
          <w:tcPr>
            <w:tcW w:w="13737" w:type="dxa"/>
            <w:tcBorders>
              <w:top w:val="nil"/>
              <w:left w:val="single" w:sz="4" w:space="0" w:color="auto"/>
              <w:bottom w:val="single" w:sz="4" w:space="0" w:color="auto"/>
              <w:right w:val="single" w:sz="4" w:space="0" w:color="auto"/>
            </w:tcBorders>
            <w:shd w:val="clear" w:color="000000" w:fill="F2DBDB"/>
            <w:noWrap/>
            <w:vAlign w:val="center"/>
            <w:hideMark/>
          </w:tcPr>
          <w:p w14:paraId="162B780A" w14:textId="77777777" w:rsidR="000C52F9" w:rsidRDefault="000C52F9">
            <w:pPr>
              <w:rPr>
                <w:rFonts w:ascii="Arial Narrow" w:hAnsi="Arial Narrow" w:cs="Calibri"/>
                <w:b/>
                <w:bCs/>
                <w:color w:val="000000"/>
                <w:sz w:val="18"/>
                <w:szCs w:val="18"/>
              </w:rPr>
            </w:pPr>
            <w:r>
              <w:rPr>
                <w:rFonts w:ascii="Arial Narrow" w:hAnsi="Arial Narrow"/>
                <w:b/>
                <w:color w:val="000000"/>
                <w:sz w:val="18"/>
              </w:rPr>
              <w:t>Componente 2. Financiamiento e inversión</w:t>
            </w:r>
          </w:p>
        </w:tc>
      </w:tr>
      <w:tr w:rsidR="000C52F9" w14:paraId="22632D1A"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13F4B24B"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9</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2D68A3DD" w14:textId="5AD3310B" w:rsidR="000C52F9" w:rsidRDefault="000C52F9" w:rsidP="00707175">
            <w:pPr>
              <w:rPr>
                <w:rFonts w:ascii="Arial Narrow" w:hAnsi="Arial Narrow" w:cs="Calibri"/>
                <w:color w:val="000000"/>
                <w:sz w:val="18"/>
                <w:szCs w:val="18"/>
              </w:rPr>
            </w:pPr>
            <w:r>
              <w:rPr>
                <w:rFonts w:ascii="Arial Narrow" w:hAnsi="Arial Narrow"/>
                <w:color w:val="000000"/>
                <w:sz w:val="18"/>
              </w:rPr>
              <w:t xml:space="preserve">Un especialista internacional en mecanismos e incentivos financieros. Para más información, véase el </w:t>
            </w:r>
            <w:r w:rsidR="00707175">
              <w:rPr>
                <w:rFonts w:ascii="Arial Narrow" w:hAnsi="Arial Narrow"/>
                <w:color w:val="000000"/>
                <w:sz w:val="18"/>
              </w:rPr>
              <w:t>A</w:t>
            </w:r>
            <w:r>
              <w:rPr>
                <w:rFonts w:ascii="Arial Narrow" w:hAnsi="Arial Narrow"/>
                <w:color w:val="000000"/>
                <w:sz w:val="18"/>
              </w:rPr>
              <w:t>nexo 7</w:t>
            </w:r>
          </w:p>
        </w:tc>
      </w:tr>
      <w:tr w:rsidR="000C52F9" w14:paraId="7D41B1BF"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51C613CA"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10</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36F201F4" w14:textId="3C735086" w:rsidR="000C52F9" w:rsidRDefault="000C52F9" w:rsidP="00707175">
            <w:pPr>
              <w:rPr>
                <w:rFonts w:ascii="Arial Narrow" w:hAnsi="Arial Narrow" w:cs="Calibri"/>
                <w:color w:val="000000"/>
                <w:sz w:val="18"/>
                <w:szCs w:val="18"/>
              </w:rPr>
            </w:pPr>
            <w:r>
              <w:rPr>
                <w:rFonts w:ascii="Arial Narrow" w:hAnsi="Arial Narrow"/>
                <w:color w:val="000000"/>
                <w:sz w:val="18"/>
              </w:rPr>
              <w:t xml:space="preserve">Un consultor local para el desarrollo de los estudios de valoración económica + una persona local para el desarrollo del </w:t>
            </w:r>
            <w:r w:rsidR="00F253D9">
              <w:rPr>
                <w:rFonts w:ascii="Arial Narrow" w:hAnsi="Arial Narrow"/>
                <w:color w:val="000000"/>
                <w:sz w:val="18"/>
              </w:rPr>
              <w:t>M</w:t>
            </w:r>
            <w:r>
              <w:rPr>
                <w:rFonts w:ascii="Arial Narrow" w:hAnsi="Arial Narrow"/>
                <w:color w:val="000000"/>
                <w:sz w:val="18"/>
              </w:rPr>
              <w:t xml:space="preserve">ecanismo de </w:t>
            </w:r>
            <w:r w:rsidR="00F253D9">
              <w:rPr>
                <w:rFonts w:ascii="Arial Narrow" w:hAnsi="Arial Narrow"/>
                <w:color w:val="000000"/>
                <w:sz w:val="18"/>
              </w:rPr>
              <w:t>F</w:t>
            </w:r>
            <w:r>
              <w:rPr>
                <w:rFonts w:ascii="Arial Narrow" w:hAnsi="Arial Narrow"/>
                <w:color w:val="000000"/>
                <w:sz w:val="18"/>
              </w:rPr>
              <w:t xml:space="preserve">ondos </w:t>
            </w:r>
            <w:r w:rsidR="00F253D9">
              <w:rPr>
                <w:rFonts w:ascii="Arial Narrow" w:hAnsi="Arial Narrow"/>
                <w:color w:val="000000"/>
                <w:sz w:val="18"/>
              </w:rPr>
              <w:t>C</w:t>
            </w:r>
            <w:r>
              <w:rPr>
                <w:rFonts w:ascii="Arial Narrow" w:hAnsi="Arial Narrow"/>
                <w:color w:val="000000"/>
                <w:sz w:val="18"/>
              </w:rPr>
              <w:t xml:space="preserve">oncursables. Para más información, véase el </w:t>
            </w:r>
            <w:r w:rsidR="00707175">
              <w:rPr>
                <w:rFonts w:ascii="Arial Narrow" w:hAnsi="Arial Narrow"/>
                <w:color w:val="000000"/>
                <w:sz w:val="18"/>
              </w:rPr>
              <w:t>A</w:t>
            </w:r>
            <w:r>
              <w:rPr>
                <w:rFonts w:ascii="Arial Narrow" w:hAnsi="Arial Narrow"/>
                <w:color w:val="000000"/>
                <w:sz w:val="18"/>
              </w:rPr>
              <w:t>nexo 7</w:t>
            </w:r>
          </w:p>
        </w:tc>
      </w:tr>
      <w:tr w:rsidR="000C52F9" w14:paraId="1E3C5E34"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5C4CF0DC"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11</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0EC10729" w14:textId="2DF09390" w:rsidR="000C52F9" w:rsidRDefault="000C52F9" w:rsidP="00707175">
            <w:pPr>
              <w:rPr>
                <w:rFonts w:ascii="Arial Narrow" w:hAnsi="Arial Narrow" w:cs="Calibri"/>
                <w:color w:val="000000"/>
                <w:sz w:val="18"/>
                <w:szCs w:val="18"/>
              </w:rPr>
            </w:pPr>
            <w:r>
              <w:rPr>
                <w:rFonts w:ascii="Arial Narrow" w:hAnsi="Arial Narrow"/>
                <w:color w:val="000000"/>
                <w:sz w:val="18"/>
              </w:rPr>
              <w:t>Una persona local para apoyar el desarrollo de un programa de financiación adaptado a la agricultura sostenible y a la inclusión financiera de los agricultores (35.000 $/año) + 40% de los cost</w:t>
            </w:r>
            <w:r w:rsidR="00ED3EE0">
              <w:rPr>
                <w:rFonts w:ascii="Arial Narrow" w:hAnsi="Arial Narrow"/>
                <w:color w:val="000000"/>
                <w:sz w:val="18"/>
              </w:rPr>
              <w:t>o</w:t>
            </w:r>
            <w:r>
              <w:rPr>
                <w:rFonts w:ascii="Arial Narrow" w:hAnsi="Arial Narrow"/>
                <w:color w:val="000000"/>
                <w:sz w:val="18"/>
              </w:rPr>
              <w:t xml:space="preserve">s del </w:t>
            </w:r>
            <w:r w:rsidR="00ED3EE0">
              <w:rPr>
                <w:rFonts w:ascii="Arial Narrow" w:hAnsi="Arial Narrow"/>
                <w:color w:val="000000"/>
                <w:sz w:val="18"/>
              </w:rPr>
              <w:t>C</w:t>
            </w:r>
            <w:r>
              <w:rPr>
                <w:rFonts w:ascii="Arial Narrow" w:hAnsi="Arial Narrow"/>
                <w:color w:val="000000"/>
                <w:sz w:val="18"/>
              </w:rPr>
              <w:t xml:space="preserve">oordinador del </w:t>
            </w:r>
            <w:r w:rsidR="00ED3EE0">
              <w:rPr>
                <w:rFonts w:ascii="Arial Narrow" w:hAnsi="Arial Narrow"/>
                <w:color w:val="000000"/>
                <w:sz w:val="18"/>
              </w:rPr>
              <w:t>P</w:t>
            </w:r>
            <w:r>
              <w:rPr>
                <w:rFonts w:ascii="Arial Narrow" w:hAnsi="Arial Narrow"/>
                <w:color w:val="000000"/>
                <w:sz w:val="18"/>
              </w:rPr>
              <w:t xml:space="preserve">royecto: el </w:t>
            </w:r>
            <w:r w:rsidR="00ED3EE0">
              <w:rPr>
                <w:rFonts w:ascii="Arial Narrow" w:hAnsi="Arial Narrow"/>
                <w:color w:val="000000"/>
                <w:sz w:val="18"/>
              </w:rPr>
              <w:t>C</w:t>
            </w:r>
            <w:r>
              <w:rPr>
                <w:rFonts w:ascii="Arial Narrow" w:hAnsi="Arial Narrow"/>
                <w:color w:val="000000"/>
                <w:sz w:val="18"/>
              </w:rPr>
              <w:t xml:space="preserve">oordinador del proyecto se encargará de las actividades cotidianas de ejecución, administración, adquisición y gestión del proyecto por 42.200 $/año (16.880 $/año se imputarán a este componente). Para más información, véase el </w:t>
            </w:r>
            <w:r w:rsidR="00707175">
              <w:rPr>
                <w:rFonts w:ascii="Arial Narrow" w:hAnsi="Arial Narrow"/>
                <w:color w:val="000000"/>
                <w:sz w:val="18"/>
              </w:rPr>
              <w:t>A</w:t>
            </w:r>
            <w:r>
              <w:rPr>
                <w:rFonts w:ascii="Arial Narrow" w:hAnsi="Arial Narrow"/>
                <w:color w:val="000000"/>
                <w:sz w:val="18"/>
              </w:rPr>
              <w:t>nexo 7</w:t>
            </w:r>
          </w:p>
        </w:tc>
      </w:tr>
      <w:tr w:rsidR="000C52F9" w:rsidRPr="001B17BF" w14:paraId="12B8C678"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0CF6AE1C"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12</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6E822B01" w14:textId="0159CB44" w:rsidR="000C52F9" w:rsidRPr="006F0E8D" w:rsidRDefault="000C52F9" w:rsidP="00ED3EE0">
            <w:pPr>
              <w:rPr>
                <w:rFonts w:ascii="Arial Narrow" w:hAnsi="Arial Narrow" w:cs="Calibri"/>
                <w:color w:val="000000"/>
                <w:sz w:val="18"/>
                <w:szCs w:val="18"/>
              </w:rPr>
            </w:pPr>
            <w:r>
              <w:rPr>
                <w:rFonts w:ascii="Arial Narrow" w:hAnsi="Arial Narrow"/>
                <w:color w:val="000000"/>
                <w:sz w:val="18"/>
              </w:rPr>
              <w:t xml:space="preserve">Viajes para apoyar la ejecución de las actividades del Componente 2, principalmente en el marco de los </w:t>
            </w:r>
            <w:r w:rsidR="00ED3EE0">
              <w:rPr>
                <w:rFonts w:ascii="Arial Narrow" w:hAnsi="Arial Narrow"/>
                <w:color w:val="000000"/>
                <w:sz w:val="18"/>
              </w:rPr>
              <w:t>R</w:t>
            </w:r>
            <w:r>
              <w:rPr>
                <w:rFonts w:ascii="Arial Narrow" w:hAnsi="Arial Narrow"/>
                <w:color w:val="000000"/>
                <w:sz w:val="18"/>
              </w:rPr>
              <w:t>esultados 2.3, 2.5 y 2.6</w:t>
            </w:r>
          </w:p>
        </w:tc>
      </w:tr>
      <w:tr w:rsidR="000C52F9" w:rsidRPr="001B17BF" w14:paraId="467F8BC2"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55A29BDF"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13</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5A428F47" w14:textId="268519EE" w:rsidR="000C52F9" w:rsidRPr="006F0E8D" w:rsidRDefault="000C52F9" w:rsidP="00ED3EE0">
            <w:pPr>
              <w:rPr>
                <w:rFonts w:ascii="Arial Narrow" w:hAnsi="Arial Narrow" w:cs="Calibri"/>
                <w:color w:val="000000"/>
                <w:sz w:val="18"/>
                <w:szCs w:val="18"/>
              </w:rPr>
            </w:pPr>
            <w:r>
              <w:rPr>
                <w:rFonts w:ascii="Arial Narrow" w:hAnsi="Arial Narrow"/>
                <w:color w:val="000000"/>
                <w:sz w:val="18"/>
              </w:rPr>
              <w:t xml:space="preserve">Servicios de apoyo a la ejecución del </w:t>
            </w:r>
            <w:r w:rsidR="00ED3EE0">
              <w:rPr>
                <w:rFonts w:ascii="Arial Narrow" w:hAnsi="Arial Narrow"/>
                <w:color w:val="000000"/>
                <w:sz w:val="18"/>
              </w:rPr>
              <w:t>R</w:t>
            </w:r>
            <w:r>
              <w:rPr>
                <w:rFonts w:ascii="Arial Narrow" w:hAnsi="Arial Narrow"/>
                <w:color w:val="000000"/>
                <w:sz w:val="18"/>
              </w:rPr>
              <w:t>esultado 2.5: i) eliminación de COPs (58 toneladas de DDT), ii) gestión de residuos plásticos, iii) formación sobre modelos de negocio y asistencia técnica a las OSC para la ejecución de proyectos piloto de gestión de plásticos</w:t>
            </w:r>
          </w:p>
        </w:tc>
      </w:tr>
      <w:tr w:rsidR="000C52F9" w:rsidRPr="001B17BF" w14:paraId="5E18682A"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262159B6"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14</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687B527D" w14:textId="4D788B83" w:rsidR="000C52F9" w:rsidRPr="006F0E8D" w:rsidRDefault="000C52F9" w:rsidP="00ED3EE0">
            <w:pPr>
              <w:rPr>
                <w:rFonts w:ascii="Arial Narrow" w:hAnsi="Arial Narrow" w:cs="Calibri"/>
                <w:color w:val="000000"/>
                <w:sz w:val="18"/>
                <w:szCs w:val="18"/>
              </w:rPr>
            </w:pPr>
            <w:r>
              <w:rPr>
                <w:rFonts w:ascii="Arial Narrow" w:hAnsi="Arial Narrow"/>
                <w:color w:val="000000"/>
                <w:sz w:val="18"/>
              </w:rPr>
              <w:t xml:space="preserve">Materiales necesarios para la ejecución de las actividades de campo dentro de los </w:t>
            </w:r>
            <w:r w:rsidR="00ED3EE0">
              <w:rPr>
                <w:rFonts w:ascii="Arial Narrow" w:hAnsi="Arial Narrow"/>
                <w:color w:val="000000"/>
                <w:sz w:val="18"/>
              </w:rPr>
              <w:t>R</w:t>
            </w:r>
            <w:r>
              <w:rPr>
                <w:rFonts w:ascii="Arial Narrow" w:hAnsi="Arial Narrow"/>
                <w:color w:val="000000"/>
                <w:sz w:val="18"/>
              </w:rPr>
              <w:t>esultados 2.3: equipos de protección personal, etiquetas, mangueras, material de muestreo, etc. Para la asistencia técnica a los agricultores que adopten prácticas de producción sostenible aplicando mecanismos financieros; y 2.5</w:t>
            </w:r>
            <w:r w:rsidR="00ED3EE0">
              <w:rPr>
                <w:rFonts w:ascii="Arial Narrow" w:hAnsi="Arial Narrow"/>
                <w:color w:val="000000"/>
                <w:sz w:val="18"/>
              </w:rPr>
              <w:t>:</w:t>
            </w:r>
            <w:r>
              <w:rPr>
                <w:rFonts w:ascii="Arial Narrow" w:hAnsi="Arial Narrow"/>
                <w:color w:val="000000"/>
                <w:sz w:val="18"/>
              </w:rPr>
              <w:t xml:space="preserve"> contenedores de almacenamiento, mangueras de riego, equipos de protección personal, material de muestreo, equipos de medición y etiquetas</w:t>
            </w:r>
          </w:p>
        </w:tc>
      </w:tr>
      <w:tr w:rsidR="000C52F9" w14:paraId="414A5FFB"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6960FC88"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15</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48C4CF1D" w14:textId="5C144BC5" w:rsidR="000C52F9" w:rsidRDefault="000C52F9" w:rsidP="00ED3EE0">
            <w:pPr>
              <w:rPr>
                <w:rFonts w:ascii="Arial Narrow" w:hAnsi="Arial Narrow" w:cs="Calibri"/>
                <w:color w:val="000000"/>
                <w:sz w:val="18"/>
                <w:szCs w:val="18"/>
              </w:rPr>
            </w:pPr>
            <w:r>
              <w:rPr>
                <w:rFonts w:ascii="Arial Narrow" w:hAnsi="Arial Narrow"/>
                <w:color w:val="000000"/>
                <w:sz w:val="18"/>
              </w:rPr>
              <w:t xml:space="preserve">Subvenciones para apoyar la aplicación de 2 </w:t>
            </w:r>
            <w:r w:rsidR="00ED3EE0">
              <w:rPr>
                <w:rFonts w:ascii="Arial Narrow" w:hAnsi="Arial Narrow"/>
                <w:color w:val="000000"/>
                <w:sz w:val="18"/>
              </w:rPr>
              <w:t>p</w:t>
            </w:r>
            <w:r>
              <w:rPr>
                <w:rFonts w:ascii="Arial Narrow" w:hAnsi="Arial Narrow"/>
                <w:color w:val="000000"/>
                <w:sz w:val="18"/>
              </w:rPr>
              <w:t xml:space="preserve">royectos piloto empresariales para la gestión de plástico (Resultado 2.5) y 3 iniciativas seleccionadas por el </w:t>
            </w:r>
            <w:r w:rsidR="00F253D9">
              <w:rPr>
                <w:rFonts w:ascii="Arial Narrow" w:hAnsi="Arial Narrow"/>
                <w:color w:val="000000"/>
                <w:sz w:val="18"/>
              </w:rPr>
              <w:t>M</w:t>
            </w:r>
            <w:r>
              <w:rPr>
                <w:rFonts w:ascii="Arial Narrow" w:hAnsi="Arial Narrow"/>
                <w:color w:val="000000"/>
                <w:sz w:val="18"/>
              </w:rPr>
              <w:t xml:space="preserve">ecanismo de </w:t>
            </w:r>
            <w:r w:rsidR="00F253D9">
              <w:rPr>
                <w:rFonts w:ascii="Arial Narrow" w:hAnsi="Arial Narrow"/>
                <w:color w:val="000000"/>
                <w:sz w:val="18"/>
              </w:rPr>
              <w:t>F</w:t>
            </w:r>
            <w:r>
              <w:rPr>
                <w:rFonts w:ascii="Arial Narrow" w:hAnsi="Arial Narrow"/>
                <w:color w:val="000000"/>
                <w:sz w:val="18"/>
              </w:rPr>
              <w:t xml:space="preserve">ondos </w:t>
            </w:r>
            <w:r w:rsidR="00F253D9">
              <w:rPr>
                <w:rFonts w:ascii="Arial Narrow" w:hAnsi="Arial Narrow"/>
                <w:color w:val="000000"/>
                <w:sz w:val="18"/>
              </w:rPr>
              <w:t>C</w:t>
            </w:r>
            <w:r>
              <w:rPr>
                <w:rFonts w:ascii="Arial Narrow" w:hAnsi="Arial Narrow"/>
                <w:color w:val="000000"/>
                <w:sz w:val="18"/>
              </w:rPr>
              <w:t xml:space="preserve">oncursables (Resultado 2.6). Se seguirán las políticas del PNUD en materia de </w:t>
            </w:r>
            <w:r w:rsidR="00ED3EE0">
              <w:rPr>
                <w:rFonts w:ascii="Arial Narrow" w:hAnsi="Arial Narrow"/>
                <w:color w:val="000000"/>
                <w:sz w:val="18"/>
              </w:rPr>
              <w:t>s</w:t>
            </w:r>
            <w:r>
              <w:rPr>
                <w:rFonts w:ascii="Arial Narrow" w:hAnsi="Arial Narrow"/>
                <w:color w:val="000000"/>
                <w:sz w:val="18"/>
              </w:rPr>
              <w:t xml:space="preserve">ubvenciones de </w:t>
            </w:r>
            <w:r w:rsidR="00ED3EE0">
              <w:rPr>
                <w:rFonts w:ascii="Arial Narrow" w:hAnsi="Arial Narrow"/>
                <w:color w:val="000000"/>
                <w:sz w:val="18"/>
              </w:rPr>
              <w:t>b</w:t>
            </w:r>
            <w:r>
              <w:rPr>
                <w:rFonts w:ascii="Arial Narrow" w:hAnsi="Arial Narrow"/>
                <w:color w:val="000000"/>
                <w:sz w:val="18"/>
              </w:rPr>
              <w:t>aja cuantía</w:t>
            </w:r>
          </w:p>
        </w:tc>
      </w:tr>
      <w:tr w:rsidR="000C52F9" w:rsidRPr="001B17BF" w14:paraId="5C7DA7E0"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5D50EEDB"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16</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04E83D20" w14:textId="11ABB0EA" w:rsidR="000C52F9" w:rsidRPr="006F0E8D" w:rsidRDefault="000C52F9">
            <w:pPr>
              <w:rPr>
                <w:rFonts w:ascii="Arial Narrow" w:hAnsi="Arial Narrow" w:cs="Calibri"/>
                <w:color w:val="000000"/>
                <w:sz w:val="18"/>
                <w:szCs w:val="18"/>
              </w:rPr>
            </w:pPr>
            <w:r>
              <w:rPr>
                <w:rFonts w:ascii="Arial Narrow" w:hAnsi="Arial Narrow"/>
                <w:color w:val="000000"/>
                <w:sz w:val="18"/>
              </w:rPr>
              <w:t>Impresión y producción para apoyar el desarrollo de estudios económicos y actividades de sensibilización entre las partes interesadas</w:t>
            </w:r>
          </w:p>
        </w:tc>
      </w:tr>
      <w:tr w:rsidR="000C52F9" w:rsidRPr="001B17BF" w14:paraId="0B7EE381"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5B9E1F81"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17</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5C2B7D9D" w14:textId="02AECD83" w:rsidR="000C52F9" w:rsidRPr="006F0E8D" w:rsidRDefault="000C52F9">
            <w:pPr>
              <w:rPr>
                <w:rFonts w:ascii="Arial Narrow" w:hAnsi="Arial Narrow" w:cs="Calibri"/>
                <w:color w:val="000000"/>
                <w:sz w:val="18"/>
                <w:szCs w:val="18"/>
              </w:rPr>
            </w:pPr>
            <w:r>
              <w:rPr>
                <w:rFonts w:ascii="Arial Narrow" w:hAnsi="Arial Narrow"/>
                <w:color w:val="000000"/>
                <w:sz w:val="18"/>
              </w:rPr>
              <w:t>Formación para los Resultados 2.3, 2.4 y 2.5 para desarrollar la capacidad de las unidades de extensión gubernamentales, instituciones financieras y agricultores para la creación/adopción de mecanismos financieros sostenibles</w:t>
            </w:r>
          </w:p>
        </w:tc>
      </w:tr>
      <w:tr w:rsidR="000C52F9" w:rsidRPr="001B17BF" w14:paraId="68F15252" w14:textId="77777777" w:rsidTr="000C52F9">
        <w:trPr>
          <w:trHeight w:val="232"/>
        </w:trPr>
        <w:tc>
          <w:tcPr>
            <w:tcW w:w="674" w:type="dxa"/>
            <w:tcBorders>
              <w:top w:val="nil"/>
              <w:left w:val="single" w:sz="4" w:space="0" w:color="auto"/>
              <w:bottom w:val="single" w:sz="4" w:space="0" w:color="auto"/>
              <w:right w:val="single" w:sz="4" w:space="0" w:color="auto"/>
            </w:tcBorders>
            <w:shd w:val="clear" w:color="000000" w:fill="F2DBDB"/>
            <w:vAlign w:val="center"/>
            <w:hideMark/>
          </w:tcPr>
          <w:p w14:paraId="1DEA7BD2" w14:textId="77777777" w:rsidR="000C52F9" w:rsidRDefault="000C52F9">
            <w:pPr>
              <w:jc w:val="center"/>
              <w:rPr>
                <w:rFonts w:ascii="Arial Narrow" w:hAnsi="Arial Narrow" w:cs="Calibri"/>
                <w:b/>
                <w:bCs/>
                <w:color w:val="000000"/>
                <w:sz w:val="18"/>
                <w:szCs w:val="18"/>
              </w:rPr>
            </w:pPr>
            <w:r>
              <w:rPr>
                <w:rFonts w:ascii="Arial Narrow" w:hAnsi="Arial Narrow"/>
                <w:b/>
                <w:color w:val="000000"/>
                <w:sz w:val="18"/>
              </w:rPr>
              <w:t>No.</w:t>
            </w:r>
          </w:p>
        </w:tc>
        <w:tc>
          <w:tcPr>
            <w:tcW w:w="13737" w:type="dxa"/>
            <w:tcBorders>
              <w:top w:val="nil"/>
              <w:left w:val="single" w:sz="4" w:space="0" w:color="auto"/>
              <w:bottom w:val="single" w:sz="4" w:space="0" w:color="auto"/>
              <w:right w:val="single" w:sz="4" w:space="0" w:color="auto"/>
            </w:tcBorders>
            <w:shd w:val="clear" w:color="000000" w:fill="F2DBDB"/>
            <w:noWrap/>
            <w:vAlign w:val="center"/>
            <w:hideMark/>
          </w:tcPr>
          <w:p w14:paraId="479CE45B" w14:textId="77777777" w:rsidR="000C52F9" w:rsidRPr="006F0E8D" w:rsidRDefault="000C52F9">
            <w:pPr>
              <w:rPr>
                <w:rFonts w:ascii="Arial Narrow" w:hAnsi="Arial Narrow" w:cs="Calibri"/>
                <w:b/>
                <w:bCs/>
                <w:color w:val="000000"/>
                <w:sz w:val="18"/>
                <w:szCs w:val="18"/>
              </w:rPr>
            </w:pPr>
            <w:r>
              <w:rPr>
                <w:rFonts w:ascii="Arial Narrow" w:hAnsi="Arial Narrow"/>
                <w:b/>
                <w:color w:val="000000"/>
                <w:sz w:val="18"/>
              </w:rPr>
              <w:t>Componente 3. Desarrollo de capacidades y difusión de conocimientos</w:t>
            </w:r>
          </w:p>
        </w:tc>
      </w:tr>
      <w:tr w:rsidR="000C52F9" w14:paraId="1E5373F3" w14:textId="77777777" w:rsidTr="000C52F9">
        <w:trPr>
          <w:trHeight w:val="220"/>
        </w:trPr>
        <w:tc>
          <w:tcPr>
            <w:tcW w:w="674" w:type="dxa"/>
            <w:tcBorders>
              <w:top w:val="nil"/>
              <w:left w:val="single" w:sz="4" w:space="0" w:color="auto"/>
              <w:bottom w:val="single" w:sz="4" w:space="0" w:color="auto"/>
              <w:right w:val="nil"/>
            </w:tcBorders>
            <w:shd w:val="clear" w:color="auto" w:fill="auto"/>
            <w:noWrap/>
            <w:vAlign w:val="center"/>
            <w:hideMark/>
          </w:tcPr>
          <w:p w14:paraId="0CEFF6C6"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18</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6CDABB61" w14:textId="60A1F5B7" w:rsidR="000C52F9" w:rsidRDefault="000C52F9" w:rsidP="0082157D">
            <w:pPr>
              <w:rPr>
                <w:rFonts w:ascii="Arial Narrow" w:hAnsi="Arial Narrow" w:cs="Calibri"/>
                <w:color w:val="000000"/>
                <w:sz w:val="18"/>
                <w:szCs w:val="18"/>
              </w:rPr>
            </w:pPr>
            <w:r>
              <w:rPr>
                <w:rFonts w:ascii="Arial Narrow" w:hAnsi="Arial Narrow"/>
                <w:color w:val="000000"/>
                <w:sz w:val="18"/>
              </w:rPr>
              <w:t xml:space="preserve">Un consultor local para apoyar el desarrollo y aplicación de una estrategia de comunicación y una campaña de sensibilización en el marco del Resultado 3.3. Para más información, véase el </w:t>
            </w:r>
            <w:r w:rsidR="0082157D">
              <w:rPr>
                <w:rFonts w:ascii="Arial Narrow" w:hAnsi="Arial Narrow"/>
                <w:color w:val="000000"/>
                <w:sz w:val="18"/>
              </w:rPr>
              <w:t>A</w:t>
            </w:r>
            <w:r>
              <w:rPr>
                <w:rFonts w:ascii="Arial Narrow" w:hAnsi="Arial Narrow"/>
                <w:color w:val="000000"/>
                <w:sz w:val="18"/>
              </w:rPr>
              <w:t>nexo 7</w:t>
            </w:r>
          </w:p>
        </w:tc>
      </w:tr>
      <w:tr w:rsidR="000C52F9" w14:paraId="5D6D7B88"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0293E090"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19</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7E1A9906" w14:textId="19A199C7" w:rsidR="000C52F9" w:rsidRDefault="000C52F9" w:rsidP="0082157D">
            <w:pPr>
              <w:rPr>
                <w:rFonts w:ascii="Arial Narrow" w:hAnsi="Arial Narrow" w:cs="Calibri"/>
                <w:color w:val="000000"/>
                <w:sz w:val="18"/>
                <w:szCs w:val="18"/>
              </w:rPr>
            </w:pPr>
            <w:r>
              <w:rPr>
                <w:rFonts w:ascii="Arial Narrow" w:hAnsi="Arial Narrow"/>
                <w:color w:val="000000"/>
                <w:sz w:val="18"/>
              </w:rPr>
              <w:t>Un oficial de gestión del conocimiento para apoyar la documentación y sistematización del conocimiento a nivel nacional y mundial (15.000 USD/año) + 30% de los cost</w:t>
            </w:r>
            <w:r w:rsidR="00ED3EE0">
              <w:rPr>
                <w:rFonts w:ascii="Arial Narrow" w:hAnsi="Arial Narrow"/>
                <w:color w:val="000000"/>
                <w:sz w:val="18"/>
              </w:rPr>
              <w:t>o</w:t>
            </w:r>
            <w:r>
              <w:rPr>
                <w:rFonts w:ascii="Arial Narrow" w:hAnsi="Arial Narrow"/>
                <w:color w:val="000000"/>
                <w:sz w:val="18"/>
              </w:rPr>
              <w:t xml:space="preserve">s del </w:t>
            </w:r>
            <w:r w:rsidR="00ED3EE0">
              <w:rPr>
                <w:rFonts w:ascii="Arial Narrow" w:hAnsi="Arial Narrow"/>
                <w:color w:val="000000"/>
                <w:sz w:val="18"/>
              </w:rPr>
              <w:t>C</w:t>
            </w:r>
            <w:r>
              <w:rPr>
                <w:rFonts w:ascii="Arial Narrow" w:hAnsi="Arial Narrow"/>
                <w:color w:val="000000"/>
                <w:sz w:val="18"/>
              </w:rPr>
              <w:t xml:space="preserve">oordinador del </w:t>
            </w:r>
            <w:r w:rsidR="00ED3EE0">
              <w:rPr>
                <w:rFonts w:ascii="Arial Narrow" w:hAnsi="Arial Narrow"/>
                <w:color w:val="000000"/>
                <w:sz w:val="18"/>
              </w:rPr>
              <w:t>P</w:t>
            </w:r>
            <w:r>
              <w:rPr>
                <w:rFonts w:ascii="Arial Narrow" w:hAnsi="Arial Narrow"/>
                <w:color w:val="000000"/>
                <w:sz w:val="18"/>
              </w:rPr>
              <w:t xml:space="preserve">royecto: el </w:t>
            </w:r>
            <w:r w:rsidR="00ED3EE0">
              <w:rPr>
                <w:rFonts w:ascii="Arial Narrow" w:hAnsi="Arial Narrow"/>
                <w:color w:val="000000"/>
                <w:sz w:val="18"/>
              </w:rPr>
              <w:t>C</w:t>
            </w:r>
            <w:r>
              <w:rPr>
                <w:rFonts w:ascii="Arial Narrow" w:hAnsi="Arial Narrow"/>
                <w:color w:val="000000"/>
                <w:sz w:val="18"/>
              </w:rPr>
              <w:t xml:space="preserve">oordinador del </w:t>
            </w:r>
            <w:r w:rsidR="00ED3EE0">
              <w:rPr>
                <w:rFonts w:ascii="Arial Narrow" w:hAnsi="Arial Narrow"/>
                <w:color w:val="000000"/>
                <w:sz w:val="18"/>
              </w:rPr>
              <w:t>P</w:t>
            </w:r>
            <w:r>
              <w:rPr>
                <w:rFonts w:ascii="Arial Narrow" w:hAnsi="Arial Narrow"/>
                <w:color w:val="000000"/>
                <w:sz w:val="18"/>
              </w:rPr>
              <w:t xml:space="preserve">royecto se encargará de las actividades cotidianas de ejecución, administración, adquisición y gestión del proyecto por 42.200 USD/año (12.660 USD/año se imputarán a este componente). Para más información, véase el </w:t>
            </w:r>
            <w:r w:rsidR="0082157D">
              <w:rPr>
                <w:rFonts w:ascii="Arial Narrow" w:hAnsi="Arial Narrow"/>
                <w:color w:val="000000"/>
                <w:sz w:val="18"/>
              </w:rPr>
              <w:t>A</w:t>
            </w:r>
            <w:r>
              <w:rPr>
                <w:rFonts w:ascii="Arial Narrow" w:hAnsi="Arial Narrow"/>
                <w:color w:val="000000"/>
                <w:sz w:val="18"/>
              </w:rPr>
              <w:t>nexo 7</w:t>
            </w:r>
          </w:p>
        </w:tc>
      </w:tr>
      <w:tr w:rsidR="000C52F9" w14:paraId="4084D15B"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4C290704"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20</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5CFF12E5" w14:textId="611667DF" w:rsidR="000C52F9" w:rsidRDefault="000C52F9" w:rsidP="0082157D">
            <w:pPr>
              <w:rPr>
                <w:rFonts w:ascii="Arial Narrow" w:hAnsi="Arial Narrow" w:cs="Calibri"/>
                <w:color w:val="000000"/>
                <w:sz w:val="18"/>
                <w:szCs w:val="18"/>
              </w:rPr>
            </w:pPr>
            <w:r>
              <w:rPr>
                <w:rFonts w:ascii="Arial Narrow" w:hAnsi="Arial Narrow"/>
                <w:color w:val="000000"/>
                <w:sz w:val="18"/>
              </w:rPr>
              <w:t xml:space="preserve">Viajes para apoyar el intercambio de conocimientos, la comunicación y el apoyo a la capacitación local en el sector rural, incluida la participación en las actividades de Global FARM. Para más información, véase el </w:t>
            </w:r>
            <w:r w:rsidR="0082157D">
              <w:rPr>
                <w:rFonts w:ascii="Arial Narrow" w:hAnsi="Arial Narrow"/>
                <w:color w:val="000000"/>
                <w:sz w:val="18"/>
              </w:rPr>
              <w:t>A</w:t>
            </w:r>
            <w:r>
              <w:rPr>
                <w:rFonts w:ascii="Arial Narrow" w:hAnsi="Arial Narrow"/>
                <w:color w:val="000000"/>
                <w:sz w:val="18"/>
              </w:rPr>
              <w:t>nexo 7</w:t>
            </w:r>
          </w:p>
        </w:tc>
      </w:tr>
      <w:tr w:rsidR="000C52F9" w:rsidRPr="001B17BF" w14:paraId="3A797167" w14:textId="77777777" w:rsidTr="000C52F9">
        <w:trPr>
          <w:trHeight w:val="220"/>
        </w:trPr>
        <w:tc>
          <w:tcPr>
            <w:tcW w:w="674" w:type="dxa"/>
            <w:tcBorders>
              <w:top w:val="nil"/>
              <w:left w:val="single" w:sz="4" w:space="0" w:color="auto"/>
              <w:bottom w:val="single" w:sz="4" w:space="0" w:color="auto"/>
              <w:right w:val="nil"/>
            </w:tcBorders>
            <w:shd w:val="clear" w:color="auto" w:fill="auto"/>
            <w:noWrap/>
            <w:vAlign w:val="center"/>
            <w:hideMark/>
          </w:tcPr>
          <w:p w14:paraId="426054B1"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21</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049DF2D4" w14:textId="2A3126DF" w:rsidR="000C52F9" w:rsidRPr="001B17BF" w:rsidRDefault="000C52F9">
            <w:pPr>
              <w:rPr>
                <w:rFonts w:ascii="Arial Narrow" w:hAnsi="Arial Narrow" w:cs="Calibri"/>
                <w:color w:val="000000"/>
                <w:sz w:val="18"/>
                <w:szCs w:val="18"/>
              </w:rPr>
            </w:pPr>
            <w:r>
              <w:rPr>
                <w:rFonts w:ascii="Arial Narrow" w:hAnsi="Arial Narrow"/>
                <w:color w:val="000000"/>
                <w:sz w:val="18"/>
              </w:rPr>
              <w:t>Servicios contractuales para actividades de investigación como análisis de laboratorio y/o actividades de ensayo dentro de las actividades de investigación y acción participativas en agroecología; apoyo técnico para conectar plataformas entre agricultores y consumidores responsables</w:t>
            </w:r>
          </w:p>
        </w:tc>
      </w:tr>
      <w:tr w:rsidR="000C52F9" w:rsidRPr="001B17BF" w14:paraId="75AAF069"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600053B5"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22</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0798380D" w14:textId="339BBA57" w:rsidR="000C52F9" w:rsidRPr="001B17BF" w:rsidRDefault="000C52F9" w:rsidP="00ED3EE0">
            <w:pPr>
              <w:rPr>
                <w:rFonts w:ascii="Arial Narrow" w:hAnsi="Arial Narrow" w:cs="Calibri"/>
                <w:color w:val="000000"/>
                <w:sz w:val="18"/>
                <w:szCs w:val="18"/>
              </w:rPr>
            </w:pPr>
            <w:r>
              <w:rPr>
                <w:rFonts w:ascii="Arial Narrow" w:hAnsi="Arial Narrow"/>
                <w:color w:val="000000"/>
                <w:sz w:val="18"/>
              </w:rPr>
              <w:t>Cost</w:t>
            </w:r>
            <w:r w:rsidR="00ED3EE0">
              <w:rPr>
                <w:rFonts w:ascii="Arial Narrow" w:hAnsi="Arial Narrow"/>
                <w:color w:val="000000"/>
                <w:sz w:val="18"/>
              </w:rPr>
              <w:t>o</w:t>
            </w:r>
            <w:r>
              <w:rPr>
                <w:rFonts w:ascii="Arial Narrow" w:hAnsi="Arial Narrow"/>
                <w:color w:val="000000"/>
                <w:sz w:val="18"/>
              </w:rPr>
              <w:t>s de producción audiovisual e impresión para sensibilizar a los interesados sobre las repercusiones de los productos agroquímicos nocivos en la salud y el ambiente y fomentar un consumo responsable</w:t>
            </w:r>
          </w:p>
        </w:tc>
      </w:tr>
      <w:tr w:rsidR="000C52F9" w:rsidRPr="001B17BF" w14:paraId="42512507" w14:textId="77777777" w:rsidTr="000C52F9">
        <w:trPr>
          <w:trHeight w:val="232"/>
        </w:trPr>
        <w:tc>
          <w:tcPr>
            <w:tcW w:w="674" w:type="dxa"/>
            <w:tcBorders>
              <w:top w:val="nil"/>
              <w:left w:val="single" w:sz="4" w:space="0" w:color="auto"/>
              <w:bottom w:val="single" w:sz="4" w:space="0" w:color="auto"/>
              <w:right w:val="nil"/>
            </w:tcBorders>
            <w:shd w:val="clear" w:color="auto" w:fill="auto"/>
            <w:noWrap/>
            <w:vAlign w:val="center"/>
            <w:hideMark/>
          </w:tcPr>
          <w:p w14:paraId="39D5D3FF"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23</w:t>
            </w:r>
          </w:p>
        </w:tc>
        <w:tc>
          <w:tcPr>
            <w:tcW w:w="13737" w:type="dxa"/>
            <w:tcBorders>
              <w:top w:val="nil"/>
              <w:left w:val="single" w:sz="4" w:space="0" w:color="auto"/>
              <w:bottom w:val="single" w:sz="4" w:space="0" w:color="auto"/>
              <w:right w:val="single" w:sz="4" w:space="0" w:color="auto"/>
            </w:tcBorders>
            <w:shd w:val="clear" w:color="auto" w:fill="auto"/>
            <w:noWrap/>
            <w:vAlign w:val="center"/>
            <w:hideMark/>
          </w:tcPr>
          <w:p w14:paraId="5B32AE2F" w14:textId="78487DC2" w:rsidR="000C52F9" w:rsidRPr="001B17BF" w:rsidRDefault="000C52F9">
            <w:pPr>
              <w:rPr>
                <w:rFonts w:ascii="Arial Narrow" w:hAnsi="Arial Narrow" w:cs="Calibri"/>
                <w:color w:val="000000"/>
                <w:sz w:val="18"/>
                <w:szCs w:val="18"/>
              </w:rPr>
            </w:pPr>
            <w:r>
              <w:rPr>
                <w:rFonts w:ascii="Arial Narrow" w:hAnsi="Arial Narrow"/>
                <w:color w:val="000000"/>
                <w:sz w:val="18"/>
              </w:rPr>
              <w:t>Formación y talleres sobre prácticas agrícolas sostenibles en el sector rural para apoyar la reducción de productos agroquímicos nocivos en la producción de cultivos</w:t>
            </w:r>
          </w:p>
        </w:tc>
      </w:tr>
      <w:tr w:rsidR="000C52F9" w14:paraId="62E5DD8B" w14:textId="77777777" w:rsidTr="000C52F9">
        <w:trPr>
          <w:trHeight w:val="232"/>
        </w:trPr>
        <w:tc>
          <w:tcPr>
            <w:tcW w:w="674" w:type="dxa"/>
            <w:tcBorders>
              <w:top w:val="nil"/>
              <w:left w:val="single" w:sz="4" w:space="0" w:color="auto"/>
              <w:bottom w:val="single" w:sz="4" w:space="0" w:color="auto"/>
              <w:right w:val="single" w:sz="4" w:space="0" w:color="auto"/>
            </w:tcBorders>
            <w:shd w:val="clear" w:color="000000" w:fill="F2DBDB"/>
            <w:vAlign w:val="center"/>
            <w:hideMark/>
          </w:tcPr>
          <w:p w14:paraId="3E066339" w14:textId="77777777" w:rsidR="000C52F9" w:rsidRDefault="000C52F9">
            <w:pPr>
              <w:jc w:val="center"/>
              <w:rPr>
                <w:rFonts w:ascii="Arial Narrow" w:hAnsi="Arial Narrow" w:cs="Calibri"/>
                <w:b/>
                <w:bCs/>
                <w:color w:val="000000"/>
                <w:sz w:val="18"/>
                <w:szCs w:val="18"/>
              </w:rPr>
            </w:pPr>
            <w:r>
              <w:rPr>
                <w:rFonts w:ascii="Arial Narrow" w:hAnsi="Arial Narrow"/>
                <w:b/>
                <w:color w:val="000000"/>
                <w:sz w:val="18"/>
              </w:rPr>
              <w:t>No.</w:t>
            </w:r>
          </w:p>
        </w:tc>
        <w:tc>
          <w:tcPr>
            <w:tcW w:w="13737" w:type="dxa"/>
            <w:tcBorders>
              <w:top w:val="nil"/>
              <w:left w:val="single" w:sz="4" w:space="0" w:color="auto"/>
              <w:bottom w:val="single" w:sz="4" w:space="0" w:color="auto"/>
              <w:right w:val="single" w:sz="4" w:space="0" w:color="auto"/>
            </w:tcBorders>
            <w:shd w:val="clear" w:color="000000" w:fill="F2DBDB"/>
            <w:noWrap/>
            <w:vAlign w:val="center"/>
            <w:hideMark/>
          </w:tcPr>
          <w:p w14:paraId="161947D8" w14:textId="100D79BC" w:rsidR="000C52F9" w:rsidRDefault="000C52F9" w:rsidP="00ED3EE0">
            <w:pPr>
              <w:rPr>
                <w:rFonts w:ascii="Arial Narrow" w:hAnsi="Arial Narrow" w:cs="Calibri"/>
                <w:b/>
                <w:bCs/>
                <w:color w:val="000000"/>
                <w:sz w:val="18"/>
                <w:szCs w:val="18"/>
              </w:rPr>
            </w:pPr>
            <w:r>
              <w:rPr>
                <w:rFonts w:ascii="Arial Narrow" w:hAnsi="Arial Narrow"/>
                <w:b/>
                <w:color w:val="000000"/>
                <w:sz w:val="18"/>
              </w:rPr>
              <w:t xml:space="preserve">Componente 4. Monitoreo y </w:t>
            </w:r>
            <w:r w:rsidR="00D81AFC">
              <w:rPr>
                <w:rFonts w:ascii="Arial Narrow" w:hAnsi="Arial Narrow"/>
                <w:b/>
                <w:color w:val="000000"/>
                <w:sz w:val="18"/>
              </w:rPr>
              <w:t>E</w:t>
            </w:r>
            <w:r>
              <w:rPr>
                <w:rFonts w:ascii="Arial Narrow" w:hAnsi="Arial Narrow"/>
                <w:b/>
                <w:color w:val="000000"/>
                <w:sz w:val="18"/>
              </w:rPr>
              <w:t>valuación</w:t>
            </w:r>
          </w:p>
        </w:tc>
      </w:tr>
      <w:tr w:rsidR="000C52F9" w14:paraId="67201DF2"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1008E"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24</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F0002" w14:textId="66D76609" w:rsidR="000C52F9" w:rsidRDefault="000C52F9" w:rsidP="00D81AFC">
            <w:pPr>
              <w:rPr>
                <w:rFonts w:ascii="Arial Narrow" w:hAnsi="Arial Narrow" w:cs="Calibri"/>
                <w:color w:val="000000"/>
                <w:sz w:val="18"/>
                <w:szCs w:val="18"/>
              </w:rPr>
            </w:pPr>
            <w:r>
              <w:rPr>
                <w:rFonts w:ascii="Arial Narrow" w:hAnsi="Arial Narrow"/>
                <w:color w:val="000000"/>
                <w:sz w:val="18"/>
              </w:rPr>
              <w:t xml:space="preserve">Un Consultor Internacional para la Evaluación de </w:t>
            </w:r>
            <w:r w:rsidR="00D81AFC">
              <w:rPr>
                <w:rFonts w:ascii="Arial Narrow" w:hAnsi="Arial Narrow"/>
                <w:color w:val="000000"/>
                <w:sz w:val="18"/>
              </w:rPr>
              <w:t>M</w:t>
            </w:r>
            <w:r>
              <w:rPr>
                <w:rFonts w:ascii="Arial Narrow" w:hAnsi="Arial Narrow"/>
                <w:color w:val="000000"/>
                <w:sz w:val="18"/>
              </w:rPr>
              <w:t xml:space="preserve">itad de </w:t>
            </w:r>
            <w:r w:rsidR="00D81AFC">
              <w:rPr>
                <w:rFonts w:ascii="Arial Narrow" w:hAnsi="Arial Narrow"/>
                <w:color w:val="000000"/>
                <w:sz w:val="18"/>
              </w:rPr>
              <w:t>P</w:t>
            </w:r>
            <w:r>
              <w:rPr>
                <w:rFonts w:ascii="Arial Narrow" w:hAnsi="Arial Narrow"/>
                <w:color w:val="000000"/>
                <w:sz w:val="18"/>
              </w:rPr>
              <w:t xml:space="preserve">eríodo $25,000 y </w:t>
            </w:r>
            <w:r w:rsidR="00D81AFC">
              <w:rPr>
                <w:rFonts w:ascii="Arial Narrow" w:hAnsi="Arial Narrow"/>
                <w:color w:val="000000"/>
                <w:sz w:val="18"/>
              </w:rPr>
              <w:t>u</w:t>
            </w:r>
            <w:r>
              <w:rPr>
                <w:rFonts w:ascii="Arial Narrow" w:hAnsi="Arial Narrow"/>
                <w:color w:val="000000"/>
                <w:sz w:val="18"/>
              </w:rPr>
              <w:t xml:space="preserve">n Consultor Internacional para la Evaluación Fina $25,000. Véase el cuadro presupuestario de </w:t>
            </w:r>
            <w:r w:rsidR="00D81AFC">
              <w:rPr>
                <w:rFonts w:ascii="Arial Narrow" w:hAnsi="Arial Narrow"/>
                <w:color w:val="000000"/>
                <w:sz w:val="18"/>
              </w:rPr>
              <w:t>M</w:t>
            </w:r>
            <w:r>
              <w:rPr>
                <w:rFonts w:ascii="Arial Narrow" w:hAnsi="Arial Narrow"/>
                <w:color w:val="000000"/>
                <w:sz w:val="18"/>
              </w:rPr>
              <w:t xml:space="preserve">onitoreo y </w:t>
            </w:r>
            <w:r w:rsidR="00D81AFC">
              <w:rPr>
                <w:rFonts w:ascii="Arial Narrow" w:hAnsi="Arial Narrow"/>
                <w:color w:val="000000"/>
                <w:sz w:val="18"/>
              </w:rPr>
              <w:t>E</w:t>
            </w:r>
            <w:r>
              <w:rPr>
                <w:rFonts w:ascii="Arial Narrow" w:hAnsi="Arial Narrow"/>
                <w:color w:val="000000"/>
                <w:sz w:val="18"/>
              </w:rPr>
              <w:t>valuación en la sección VI del PRODOC.</w:t>
            </w:r>
          </w:p>
        </w:tc>
      </w:tr>
      <w:tr w:rsidR="000C52F9" w14:paraId="122A3D1E"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9C938"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25</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9504C" w14:textId="356E62F7" w:rsidR="000C52F9" w:rsidRDefault="000C52F9" w:rsidP="00D81AFC">
            <w:pPr>
              <w:rPr>
                <w:rFonts w:ascii="Arial Narrow" w:hAnsi="Arial Narrow" w:cs="Calibri"/>
                <w:color w:val="000000"/>
                <w:sz w:val="18"/>
                <w:szCs w:val="18"/>
              </w:rPr>
            </w:pPr>
            <w:r>
              <w:rPr>
                <w:rFonts w:ascii="Arial Narrow" w:hAnsi="Arial Narrow"/>
                <w:color w:val="000000"/>
                <w:sz w:val="18"/>
              </w:rPr>
              <w:t xml:space="preserve">Un Consultor Local para la Evaluación de </w:t>
            </w:r>
            <w:r w:rsidR="00D81AFC">
              <w:rPr>
                <w:rFonts w:ascii="Arial Narrow" w:hAnsi="Arial Narrow"/>
                <w:color w:val="000000"/>
                <w:sz w:val="18"/>
              </w:rPr>
              <w:t>M</w:t>
            </w:r>
            <w:r>
              <w:rPr>
                <w:rFonts w:ascii="Arial Narrow" w:hAnsi="Arial Narrow"/>
                <w:color w:val="000000"/>
                <w:sz w:val="18"/>
              </w:rPr>
              <w:t xml:space="preserve">itad de </w:t>
            </w:r>
            <w:r w:rsidR="00D81AFC">
              <w:rPr>
                <w:rFonts w:ascii="Arial Narrow" w:hAnsi="Arial Narrow"/>
                <w:color w:val="000000"/>
                <w:sz w:val="18"/>
              </w:rPr>
              <w:t>P</w:t>
            </w:r>
            <w:r>
              <w:rPr>
                <w:rFonts w:ascii="Arial Narrow" w:hAnsi="Arial Narrow"/>
                <w:color w:val="000000"/>
                <w:sz w:val="18"/>
              </w:rPr>
              <w:t xml:space="preserve">eríodo $10,000 y un Consultor Local para la Evaluación Final $10,000. Véase el cuadro presupuestario de </w:t>
            </w:r>
            <w:r w:rsidR="00D81AFC">
              <w:rPr>
                <w:rFonts w:ascii="Arial Narrow" w:hAnsi="Arial Narrow"/>
                <w:color w:val="000000"/>
                <w:sz w:val="18"/>
              </w:rPr>
              <w:t>M</w:t>
            </w:r>
            <w:r>
              <w:rPr>
                <w:rFonts w:ascii="Arial Narrow" w:hAnsi="Arial Narrow"/>
                <w:color w:val="000000"/>
                <w:sz w:val="18"/>
              </w:rPr>
              <w:t xml:space="preserve">onitoreo y </w:t>
            </w:r>
            <w:r w:rsidR="00D81AFC">
              <w:rPr>
                <w:rFonts w:ascii="Arial Narrow" w:hAnsi="Arial Narrow"/>
                <w:color w:val="000000"/>
                <w:sz w:val="18"/>
              </w:rPr>
              <w:t>E</w:t>
            </w:r>
            <w:r>
              <w:rPr>
                <w:rFonts w:ascii="Arial Narrow" w:hAnsi="Arial Narrow"/>
                <w:color w:val="000000"/>
                <w:sz w:val="18"/>
              </w:rPr>
              <w:t>valuación en la sección VI del PRODOC</w:t>
            </w:r>
          </w:p>
        </w:tc>
      </w:tr>
      <w:tr w:rsidR="000C52F9" w14:paraId="284F4AB8"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762A4"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26</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01700" w14:textId="313A4820" w:rsidR="000C52F9" w:rsidRDefault="000C52F9" w:rsidP="0082157D">
            <w:pPr>
              <w:rPr>
                <w:rFonts w:ascii="Arial Narrow" w:hAnsi="Arial Narrow" w:cs="Calibri"/>
                <w:color w:val="000000"/>
                <w:sz w:val="18"/>
                <w:szCs w:val="18"/>
              </w:rPr>
            </w:pPr>
            <w:r>
              <w:rPr>
                <w:rFonts w:ascii="Arial Narrow" w:hAnsi="Arial Narrow"/>
                <w:color w:val="000000"/>
                <w:sz w:val="18"/>
              </w:rPr>
              <w:t xml:space="preserve">Un </w:t>
            </w:r>
            <w:r w:rsidR="00D81AFC">
              <w:rPr>
                <w:rFonts w:ascii="Arial Narrow" w:hAnsi="Arial Narrow"/>
                <w:color w:val="000000"/>
                <w:sz w:val="18"/>
              </w:rPr>
              <w:t>O</w:t>
            </w:r>
            <w:r>
              <w:rPr>
                <w:rFonts w:ascii="Arial Narrow" w:hAnsi="Arial Narrow"/>
                <w:color w:val="000000"/>
                <w:sz w:val="18"/>
              </w:rPr>
              <w:t>ficial de Monitoreo</w:t>
            </w:r>
            <w:r w:rsidR="00D81AFC">
              <w:rPr>
                <w:rFonts w:ascii="Arial Narrow" w:hAnsi="Arial Narrow"/>
                <w:color w:val="000000"/>
                <w:sz w:val="18"/>
              </w:rPr>
              <w:t xml:space="preserve"> </w:t>
            </w:r>
            <w:r>
              <w:rPr>
                <w:rFonts w:ascii="Arial Narrow" w:hAnsi="Arial Narrow"/>
                <w:color w:val="000000"/>
                <w:sz w:val="18"/>
              </w:rPr>
              <w:t xml:space="preserve">y Evaluación de </w:t>
            </w:r>
            <w:r w:rsidR="00D81AFC">
              <w:rPr>
                <w:rFonts w:ascii="Arial Narrow" w:hAnsi="Arial Narrow"/>
                <w:color w:val="000000"/>
                <w:sz w:val="18"/>
              </w:rPr>
              <w:t>P</w:t>
            </w:r>
            <w:r>
              <w:rPr>
                <w:rFonts w:ascii="Arial Narrow" w:hAnsi="Arial Narrow"/>
                <w:color w:val="000000"/>
                <w:sz w:val="18"/>
              </w:rPr>
              <w:t xml:space="preserve">royectos contratado para la </w:t>
            </w:r>
            <w:r w:rsidR="00206AD8">
              <w:rPr>
                <w:rFonts w:ascii="Arial Narrow" w:hAnsi="Arial Narrow"/>
                <w:color w:val="000000"/>
                <w:sz w:val="18"/>
              </w:rPr>
              <w:t>coordinación, implementación</w:t>
            </w:r>
            <w:r>
              <w:rPr>
                <w:rFonts w:ascii="Arial Narrow" w:hAnsi="Arial Narrow"/>
                <w:color w:val="000000"/>
                <w:sz w:val="18"/>
              </w:rPr>
              <w:t xml:space="preserve">, supervisión y seguimiento del </w:t>
            </w:r>
            <w:r w:rsidR="00481674">
              <w:rPr>
                <w:rFonts w:ascii="Arial Narrow" w:hAnsi="Arial Narrow"/>
                <w:color w:val="000000"/>
                <w:sz w:val="18"/>
              </w:rPr>
              <w:t>p</w:t>
            </w:r>
            <w:r>
              <w:rPr>
                <w:rFonts w:ascii="Arial Narrow" w:hAnsi="Arial Narrow"/>
                <w:color w:val="000000"/>
                <w:sz w:val="18"/>
              </w:rPr>
              <w:t xml:space="preserve">lan de acción en materia de género, la </w:t>
            </w:r>
            <w:r w:rsidR="00481674">
              <w:rPr>
                <w:rFonts w:ascii="Arial Narrow" w:hAnsi="Arial Narrow"/>
                <w:color w:val="000000"/>
                <w:sz w:val="18"/>
              </w:rPr>
              <w:t>g</w:t>
            </w:r>
            <w:r>
              <w:rPr>
                <w:rFonts w:ascii="Arial Narrow" w:hAnsi="Arial Narrow"/>
                <w:color w:val="000000"/>
                <w:sz w:val="18"/>
              </w:rPr>
              <w:t xml:space="preserve">estión de los riesgos sociales y ambientales y el seguimiento del </w:t>
            </w:r>
            <w:r w:rsidR="00481674">
              <w:rPr>
                <w:rFonts w:ascii="Arial Narrow" w:hAnsi="Arial Narrow"/>
                <w:color w:val="000000"/>
                <w:sz w:val="18"/>
              </w:rPr>
              <w:t>p</w:t>
            </w:r>
            <w:r>
              <w:rPr>
                <w:rFonts w:ascii="Arial Narrow" w:hAnsi="Arial Narrow"/>
                <w:color w:val="000000"/>
                <w:sz w:val="18"/>
              </w:rPr>
              <w:t xml:space="preserve">lan de participación de las partes interesadas, así como la elaboración de los informes obligatorios, por un importe de 16 000 USD anuales. Las actividades incluyen el Monitoreo y Evaluación de los </w:t>
            </w:r>
            <w:r w:rsidR="00481674">
              <w:rPr>
                <w:rFonts w:ascii="Arial Narrow" w:hAnsi="Arial Narrow"/>
                <w:color w:val="000000"/>
                <w:sz w:val="18"/>
              </w:rPr>
              <w:t>I</w:t>
            </w:r>
            <w:r>
              <w:rPr>
                <w:rFonts w:ascii="Arial Narrow" w:hAnsi="Arial Narrow"/>
                <w:color w:val="000000"/>
                <w:sz w:val="18"/>
              </w:rPr>
              <w:t xml:space="preserve">ndicadores </w:t>
            </w:r>
            <w:r w:rsidR="00481674">
              <w:rPr>
                <w:rFonts w:ascii="Arial Narrow" w:hAnsi="Arial Narrow"/>
                <w:color w:val="000000"/>
                <w:sz w:val="18"/>
              </w:rPr>
              <w:t>B</w:t>
            </w:r>
            <w:r>
              <w:rPr>
                <w:rFonts w:ascii="Arial Narrow" w:hAnsi="Arial Narrow"/>
                <w:color w:val="000000"/>
                <w:sz w:val="18"/>
              </w:rPr>
              <w:t xml:space="preserve">ásicos del FMAM y el </w:t>
            </w:r>
            <w:r w:rsidR="00481674">
              <w:rPr>
                <w:rFonts w:ascii="Arial Narrow" w:hAnsi="Arial Narrow"/>
                <w:color w:val="000000"/>
                <w:sz w:val="18"/>
              </w:rPr>
              <w:t>M</w:t>
            </w:r>
            <w:r>
              <w:rPr>
                <w:rFonts w:ascii="Arial Narrow" w:hAnsi="Arial Narrow"/>
                <w:color w:val="000000"/>
                <w:sz w:val="18"/>
              </w:rPr>
              <w:t xml:space="preserve">arco de </w:t>
            </w:r>
            <w:r w:rsidR="00481674">
              <w:rPr>
                <w:rFonts w:ascii="Arial Narrow" w:hAnsi="Arial Narrow"/>
                <w:color w:val="000000"/>
                <w:sz w:val="18"/>
              </w:rPr>
              <w:t>R</w:t>
            </w:r>
            <w:r>
              <w:rPr>
                <w:rFonts w:ascii="Arial Narrow" w:hAnsi="Arial Narrow"/>
                <w:color w:val="000000"/>
                <w:sz w:val="18"/>
              </w:rPr>
              <w:t xml:space="preserve">esultados del </w:t>
            </w:r>
            <w:r w:rsidR="00481674">
              <w:rPr>
                <w:rFonts w:ascii="Arial Narrow" w:hAnsi="Arial Narrow"/>
                <w:color w:val="000000"/>
                <w:sz w:val="18"/>
              </w:rPr>
              <w:t>P</w:t>
            </w:r>
            <w:r>
              <w:rPr>
                <w:rFonts w:ascii="Arial Narrow" w:hAnsi="Arial Narrow"/>
                <w:color w:val="000000"/>
                <w:sz w:val="18"/>
              </w:rPr>
              <w:t xml:space="preserve">royecto, el Informe de Implementación del Proyecto (PIR) del FMAM y el Monitoreo del Marco y Plan de </w:t>
            </w:r>
            <w:r w:rsidR="00481674">
              <w:rPr>
                <w:rFonts w:ascii="Arial Narrow" w:hAnsi="Arial Narrow"/>
                <w:color w:val="000000"/>
                <w:sz w:val="18"/>
              </w:rPr>
              <w:t>G</w:t>
            </w:r>
            <w:r>
              <w:rPr>
                <w:rFonts w:ascii="Arial Narrow" w:hAnsi="Arial Narrow"/>
                <w:color w:val="000000"/>
                <w:sz w:val="18"/>
              </w:rPr>
              <w:t xml:space="preserve">estión </w:t>
            </w:r>
            <w:r w:rsidR="00481674">
              <w:rPr>
                <w:rFonts w:ascii="Arial Narrow" w:hAnsi="Arial Narrow"/>
                <w:color w:val="000000"/>
                <w:sz w:val="18"/>
              </w:rPr>
              <w:t>S</w:t>
            </w:r>
            <w:r>
              <w:rPr>
                <w:rFonts w:ascii="Arial Narrow" w:hAnsi="Arial Narrow"/>
                <w:color w:val="000000"/>
                <w:sz w:val="18"/>
              </w:rPr>
              <w:t xml:space="preserve">ocial y </w:t>
            </w:r>
            <w:r w:rsidR="00481674">
              <w:rPr>
                <w:rFonts w:ascii="Arial Narrow" w:hAnsi="Arial Narrow"/>
                <w:color w:val="000000"/>
                <w:sz w:val="18"/>
              </w:rPr>
              <w:t>M</w:t>
            </w:r>
            <w:r>
              <w:rPr>
                <w:rFonts w:ascii="Arial Narrow" w:hAnsi="Arial Narrow"/>
                <w:color w:val="000000"/>
                <w:sz w:val="18"/>
              </w:rPr>
              <w:t xml:space="preserve">edioambiental. El proyecto establecerá sinergias con otras iniciativas del PNUD sobre productos químicos y residuos. Para más información, véase el </w:t>
            </w:r>
            <w:r w:rsidR="0082157D">
              <w:rPr>
                <w:rFonts w:ascii="Arial Narrow" w:hAnsi="Arial Narrow"/>
                <w:color w:val="000000"/>
                <w:sz w:val="18"/>
              </w:rPr>
              <w:t>A</w:t>
            </w:r>
            <w:r>
              <w:rPr>
                <w:rFonts w:ascii="Arial Narrow" w:hAnsi="Arial Narrow"/>
                <w:color w:val="000000"/>
                <w:sz w:val="18"/>
              </w:rPr>
              <w:t>nexo 7</w:t>
            </w:r>
          </w:p>
        </w:tc>
      </w:tr>
      <w:tr w:rsidR="000C52F9" w:rsidRPr="001B17BF" w14:paraId="538820E6"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24818"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27</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46CA0" w14:textId="7D1E2392" w:rsidR="000C52F9" w:rsidRPr="001B17BF" w:rsidRDefault="000C52F9" w:rsidP="0082157D">
            <w:pPr>
              <w:rPr>
                <w:rFonts w:ascii="Arial Narrow" w:hAnsi="Arial Narrow" w:cs="Calibri"/>
                <w:color w:val="000000"/>
                <w:sz w:val="18"/>
                <w:szCs w:val="18"/>
              </w:rPr>
            </w:pPr>
            <w:r>
              <w:rPr>
                <w:rFonts w:ascii="Arial Narrow" w:hAnsi="Arial Narrow"/>
                <w:color w:val="000000"/>
                <w:sz w:val="18"/>
              </w:rPr>
              <w:t xml:space="preserve">Misiones de supervisión y aprendizaje. </w:t>
            </w:r>
            <w:r w:rsidR="0082157D">
              <w:rPr>
                <w:rFonts w:ascii="Arial Narrow" w:hAnsi="Arial Narrow"/>
                <w:color w:val="000000"/>
                <w:sz w:val="18"/>
              </w:rPr>
              <w:t>v</w:t>
            </w:r>
            <w:r>
              <w:rPr>
                <w:rFonts w:ascii="Arial Narrow" w:hAnsi="Arial Narrow"/>
                <w:color w:val="000000"/>
                <w:sz w:val="18"/>
              </w:rPr>
              <w:t>éase el cuadro presupuestario de M</w:t>
            </w:r>
            <w:r w:rsidR="0054665C">
              <w:rPr>
                <w:rFonts w:ascii="Arial Narrow" w:hAnsi="Arial Narrow"/>
                <w:color w:val="000000"/>
                <w:sz w:val="18"/>
              </w:rPr>
              <w:t>o</w:t>
            </w:r>
            <w:r>
              <w:rPr>
                <w:rFonts w:ascii="Arial Narrow" w:hAnsi="Arial Narrow"/>
                <w:color w:val="000000"/>
                <w:sz w:val="18"/>
              </w:rPr>
              <w:t>nitoreo y Evaluación en la sección VI de PRODOC</w:t>
            </w:r>
          </w:p>
        </w:tc>
      </w:tr>
      <w:tr w:rsidR="000C52F9" w:rsidRPr="001B17BF" w14:paraId="6A42513F"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2EB2D"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28</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4EC18" w14:textId="7996BF66" w:rsidR="000C52F9" w:rsidRPr="001B17BF" w:rsidRDefault="000C52F9">
            <w:pPr>
              <w:rPr>
                <w:rFonts w:ascii="Arial Narrow" w:hAnsi="Arial Narrow" w:cs="Calibri"/>
                <w:color w:val="000000"/>
                <w:sz w:val="18"/>
                <w:szCs w:val="18"/>
              </w:rPr>
            </w:pPr>
            <w:r>
              <w:rPr>
                <w:rFonts w:ascii="Arial Narrow" w:hAnsi="Arial Narrow"/>
                <w:color w:val="000000"/>
                <w:sz w:val="18"/>
              </w:rPr>
              <w:t>Traducción de MTR y TE</w:t>
            </w:r>
          </w:p>
        </w:tc>
      </w:tr>
      <w:tr w:rsidR="000C52F9" w:rsidRPr="001B17BF" w14:paraId="0546BE0F"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3D9E5"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29</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AF146" w14:textId="08479027" w:rsidR="000C52F9" w:rsidRPr="001B17BF" w:rsidRDefault="000C52F9" w:rsidP="00481674">
            <w:pPr>
              <w:rPr>
                <w:rFonts w:ascii="Arial Narrow" w:hAnsi="Arial Narrow" w:cs="Calibri"/>
                <w:color w:val="000000"/>
                <w:sz w:val="18"/>
                <w:szCs w:val="18"/>
              </w:rPr>
            </w:pPr>
            <w:r>
              <w:rPr>
                <w:rFonts w:ascii="Arial Narrow" w:hAnsi="Arial Narrow"/>
                <w:color w:val="000000"/>
                <w:sz w:val="18"/>
              </w:rPr>
              <w:t xml:space="preserve">Taller </w:t>
            </w:r>
            <w:r w:rsidR="00481674">
              <w:rPr>
                <w:rFonts w:ascii="Arial Narrow" w:hAnsi="Arial Narrow"/>
                <w:color w:val="000000"/>
                <w:sz w:val="18"/>
              </w:rPr>
              <w:t>I</w:t>
            </w:r>
            <w:r>
              <w:rPr>
                <w:rFonts w:ascii="Arial Narrow" w:hAnsi="Arial Narrow"/>
                <w:color w:val="000000"/>
                <w:sz w:val="18"/>
              </w:rPr>
              <w:t>nicial (véase el cuadro presupuestario de Monitoreo y Evaluación para más detalles)</w:t>
            </w:r>
          </w:p>
        </w:tc>
      </w:tr>
      <w:tr w:rsidR="000C52F9" w14:paraId="21BCD18A" w14:textId="77777777" w:rsidTr="000C52F9">
        <w:trPr>
          <w:trHeight w:val="232"/>
        </w:trPr>
        <w:tc>
          <w:tcPr>
            <w:tcW w:w="674" w:type="dxa"/>
            <w:tcBorders>
              <w:top w:val="nil"/>
              <w:left w:val="single" w:sz="4" w:space="0" w:color="auto"/>
              <w:bottom w:val="single" w:sz="4" w:space="0" w:color="auto"/>
              <w:right w:val="single" w:sz="4" w:space="0" w:color="auto"/>
            </w:tcBorders>
            <w:shd w:val="clear" w:color="000000" w:fill="F2DBDB"/>
            <w:vAlign w:val="center"/>
            <w:hideMark/>
          </w:tcPr>
          <w:p w14:paraId="05F5FEB3" w14:textId="77777777" w:rsidR="000C52F9" w:rsidRDefault="000C52F9">
            <w:pPr>
              <w:jc w:val="center"/>
              <w:rPr>
                <w:rFonts w:ascii="Arial Narrow" w:hAnsi="Arial Narrow" w:cs="Calibri"/>
                <w:b/>
                <w:bCs/>
                <w:color w:val="000000"/>
                <w:sz w:val="18"/>
                <w:szCs w:val="18"/>
              </w:rPr>
            </w:pPr>
            <w:r>
              <w:rPr>
                <w:rFonts w:ascii="Arial Narrow" w:hAnsi="Arial Narrow"/>
                <w:b/>
                <w:color w:val="000000"/>
                <w:sz w:val="18"/>
              </w:rPr>
              <w:t>No.</w:t>
            </w:r>
          </w:p>
        </w:tc>
        <w:tc>
          <w:tcPr>
            <w:tcW w:w="13737" w:type="dxa"/>
            <w:tcBorders>
              <w:top w:val="nil"/>
              <w:left w:val="single" w:sz="4" w:space="0" w:color="auto"/>
              <w:bottom w:val="single" w:sz="4" w:space="0" w:color="auto"/>
              <w:right w:val="single" w:sz="4" w:space="0" w:color="auto"/>
            </w:tcBorders>
            <w:shd w:val="clear" w:color="000000" w:fill="F2DBDB"/>
            <w:noWrap/>
            <w:vAlign w:val="center"/>
            <w:hideMark/>
          </w:tcPr>
          <w:p w14:paraId="4938C3D0" w14:textId="77777777" w:rsidR="000C52F9" w:rsidRDefault="000C52F9">
            <w:pPr>
              <w:rPr>
                <w:rFonts w:ascii="Arial Narrow" w:hAnsi="Arial Narrow" w:cs="Calibri"/>
                <w:b/>
                <w:bCs/>
                <w:color w:val="000000"/>
                <w:sz w:val="18"/>
                <w:szCs w:val="18"/>
              </w:rPr>
            </w:pPr>
            <w:r>
              <w:rPr>
                <w:rFonts w:ascii="Arial Narrow" w:hAnsi="Arial Narrow"/>
                <w:b/>
                <w:color w:val="000000"/>
                <w:sz w:val="18"/>
              </w:rPr>
              <w:t>Gestión de proyecto</w:t>
            </w:r>
          </w:p>
        </w:tc>
      </w:tr>
      <w:tr w:rsidR="000C52F9" w:rsidRPr="001B17BF" w14:paraId="29B99436"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F5FD7"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30</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CAA99" w14:textId="3C71E23D" w:rsidR="000C52F9" w:rsidRPr="001B17BF" w:rsidRDefault="000C52F9" w:rsidP="0082157D">
            <w:pPr>
              <w:rPr>
                <w:rFonts w:ascii="Arial Narrow" w:hAnsi="Arial Narrow" w:cs="Calibri"/>
                <w:color w:val="000000"/>
                <w:sz w:val="18"/>
                <w:szCs w:val="18"/>
              </w:rPr>
            </w:pPr>
            <w:r>
              <w:rPr>
                <w:rFonts w:ascii="Arial Narrow" w:hAnsi="Arial Narrow"/>
                <w:color w:val="000000"/>
                <w:sz w:val="18"/>
              </w:rPr>
              <w:t xml:space="preserve">Una persona local (Asistente Administrativo del Proyecto). Para más información, véase el </w:t>
            </w:r>
            <w:r w:rsidR="0082157D">
              <w:rPr>
                <w:rFonts w:ascii="Arial Narrow" w:hAnsi="Arial Narrow"/>
                <w:color w:val="000000"/>
                <w:sz w:val="18"/>
              </w:rPr>
              <w:t>A</w:t>
            </w:r>
            <w:r>
              <w:rPr>
                <w:rFonts w:ascii="Arial Narrow" w:hAnsi="Arial Narrow"/>
                <w:color w:val="000000"/>
                <w:sz w:val="18"/>
              </w:rPr>
              <w:t>nexo 7</w:t>
            </w:r>
          </w:p>
        </w:tc>
      </w:tr>
      <w:tr w:rsidR="000C52F9" w14:paraId="491A67E8"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7B348"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31</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5BEED" w14:textId="19639C56" w:rsidR="000C52F9" w:rsidRDefault="000C52F9">
            <w:pPr>
              <w:rPr>
                <w:rFonts w:ascii="Arial Narrow" w:hAnsi="Arial Narrow" w:cs="Calibri"/>
                <w:color w:val="000000"/>
                <w:sz w:val="18"/>
                <w:szCs w:val="18"/>
              </w:rPr>
            </w:pPr>
            <w:r>
              <w:rPr>
                <w:rFonts w:ascii="Arial Narrow" w:hAnsi="Arial Narrow"/>
                <w:color w:val="000000"/>
                <w:sz w:val="18"/>
              </w:rPr>
              <w:t>Equipamiento estándar de oficina</w:t>
            </w:r>
          </w:p>
        </w:tc>
      </w:tr>
      <w:tr w:rsidR="000C52F9" w:rsidRPr="001B17BF" w14:paraId="2F614A09"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11902"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32</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92084" w14:textId="7F052E06" w:rsidR="000C52F9" w:rsidRPr="001B17BF" w:rsidRDefault="000C52F9">
            <w:pPr>
              <w:rPr>
                <w:rFonts w:ascii="Arial Narrow" w:hAnsi="Arial Narrow" w:cs="Calibri"/>
                <w:color w:val="000000"/>
                <w:sz w:val="18"/>
                <w:szCs w:val="18"/>
              </w:rPr>
            </w:pPr>
            <w:r>
              <w:rPr>
                <w:rFonts w:ascii="Arial Narrow" w:hAnsi="Arial Narrow"/>
                <w:color w:val="000000"/>
                <w:sz w:val="18"/>
              </w:rPr>
              <w:t>Material de oficina básico durante el periodo del proyecto</w:t>
            </w:r>
          </w:p>
        </w:tc>
      </w:tr>
      <w:tr w:rsidR="000C52F9" w14:paraId="679592DE"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20C31"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33</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A943C" w14:textId="773BCAA6" w:rsidR="000C52F9" w:rsidRDefault="000C52F9">
            <w:pPr>
              <w:rPr>
                <w:rFonts w:ascii="Arial Narrow" w:hAnsi="Arial Narrow" w:cs="Calibri"/>
                <w:color w:val="000000"/>
                <w:sz w:val="18"/>
                <w:szCs w:val="18"/>
              </w:rPr>
            </w:pPr>
            <w:r>
              <w:rPr>
                <w:rFonts w:ascii="Arial Narrow" w:hAnsi="Arial Narrow"/>
                <w:color w:val="000000"/>
                <w:sz w:val="18"/>
              </w:rPr>
              <w:t>Equipo informático estándar</w:t>
            </w:r>
          </w:p>
        </w:tc>
      </w:tr>
      <w:tr w:rsidR="000C52F9" w14:paraId="2728F610"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03D04"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34</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1B1A7" w14:textId="1A3EB9A8" w:rsidR="000C52F9" w:rsidRDefault="000C52F9">
            <w:pPr>
              <w:rPr>
                <w:rFonts w:ascii="Arial Narrow" w:hAnsi="Arial Narrow" w:cs="Calibri"/>
                <w:color w:val="000000"/>
                <w:sz w:val="18"/>
                <w:szCs w:val="18"/>
              </w:rPr>
            </w:pPr>
            <w:r>
              <w:rPr>
                <w:rFonts w:ascii="Arial Narrow" w:hAnsi="Arial Narrow"/>
                <w:color w:val="000000"/>
                <w:sz w:val="18"/>
              </w:rPr>
              <w:t>Alquiler de oficinas para la duración del proyecto</w:t>
            </w:r>
          </w:p>
        </w:tc>
      </w:tr>
      <w:tr w:rsidR="000C52F9" w:rsidRPr="001B17BF" w14:paraId="5716D917"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48599"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35</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62ADB" w14:textId="22CB4E5E" w:rsidR="000C52F9" w:rsidRPr="001B17BF" w:rsidRDefault="000C52F9">
            <w:pPr>
              <w:rPr>
                <w:rFonts w:ascii="Arial Narrow" w:hAnsi="Arial Narrow" w:cs="Calibri"/>
                <w:color w:val="000000"/>
                <w:sz w:val="18"/>
                <w:szCs w:val="18"/>
              </w:rPr>
            </w:pPr>
            <w:r>
              <w:rPr>
                <w:rFonts w:ascii="Arial Narrow" w:hAnsi="Arial Narrow"/>
                <w:color w:val="000000"/>
                <w:sz w:val="18"/>
              </w:rPr>
              <w:t xml:space="preserve">Auditoría obligatoria del PNUD (2.500 USD anuales durante 4 años) </w:t>
            </w:r>
          </w:p>
        </w:tc>
      </w:tr>
      <w:tr w:rsidR="000C52F9" w:rsidRPr="001B17BF" w14:paraId="6860A7A4"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336C7"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36</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2798" w14:textId="36405659" w:rsidR="000C52F9" w:rsidRPr="001B17BF" w:rsidRDefault="000C52F9">
            <w:pPr>
              <w:rPr>
                <w:rFonts w:ascii="Arial Narrow" w:hAnsi="Arial Narrow" w:cs="Calibri"/>
                <w:color w:val="000000"/>
                <w:sz w:val="18"/>
                <w:szCs w:val="18"/>
              </w:rPr>
            </w:pPr>
            <w:r>
              <w:rPr>
                <w:rFonts w:ascii="Arial Narrow" w:hAnsi="Arial Narrow"/>
                <w:color w:val="000000"/>
                <w:sz w:val="18"/>
              </w:rPr>
              <w:t>Seguro para los equipos informáticos del proyecto</w:t>
            </w:r>
          </w:p>
        </w:tc>
      </w:tr>
      <w:tr w:rsidR="000C52F9" w:rsidRPr="001B17BF" w14:paraId="20F9AD5A" w14:textId="77777777" w:rsidTr="000C52F9">
        <w:trPr>
          <w:trHeight w:val="23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C2BF9"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37</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FD0C9" w14:textId="78010F3B" w:rsidR="000C52F9" w:rsidRPr="001B17BF" w:rsidRDefault="000C52F9">
            <w:pPr>
              <w:rPr>
                <w:rFonts w:ascii="Arial Narrow" w:hAnsi="Arial Narrow" w:cs="Calibri"/>
                <w:color w:val="000000"/>
                <w:sz w:val="18"/>
                <w:szCs w:val="18"/>
              </w:rPr>
            </w:pPr>
            <w:r>
              <w:rPr>
                <w:rFonts w:ascii="Arial Narrow" w:hAnsi="Arial Narrow"/>
                <w:color w:val="000000"/>
                <w:sz w:val="18"/>
              </w:rPr>
              <w:t>Servicios de proyecto directos del PNUD para un conjunto limitado de actividades, incluida la contratación de personal, la tramitación de pagos y viajes, adquisiciones y contratación de consultores</w:t>
            </w:r>
          </w:p>
        </w:tc>
      </w:tr>
      <w:tr w:rsidR="000C52F9" w:rsidRPr="001B17BF" w14:paraId="2E062E6D" w14:textId="77777777" w:rsidTr="000C52F9">
        <w:trPr>
          <w:trHeight w:val="232"/>
        </w:trPr>
        <w:tc>
          <w:tcPr>
            <w:tcW w:w="674" w:type="dxa"/>
            <w:tcBorders>
              <w:top w:val="single" w:sz="4" w:space="0" w:color="auto"/>
              <w:left w:val="single" w:sz="4" w:space="0" w:color="auto"/>
              <w:bottom w:val="single" w:sz="4" w:space="0" w:color="auto"/>
              <w:right w:val="nil"/>
            </w:tcBorders>
            <w:shd w:val="clear" w:color="auto" w:fill="auto"/>
            <w:noWrap/>
            <w:vAlign w:val="center"/>
            <w:hideMark/>
          </w:tcPr>
          <w:p w14:paraId="257C12C4" w14:textId="77777777" w:rsidR="000C52F9" w:rsidRDefault="000C52F9">
            <w:pPr>
              <w:jc w:val="center"/>
              <w:rPr>
                <w:rFonts w:ascii="Arial Narrow" w:hAnsi="Arial Narrow" w:cs="Calibri"/>
                <w:color w:val="000000"/>
                <w:sz w:val="18"/>
                <w:szCs w:val="18"/>
              </w:rPr>
            </w:pPr>
            <w:r>
              <w:rPr>
                <w:rFonts w:ascii="Arial Narrow" w:hAnsi="Arial Narrow"/>
                <w:color w:val="000000"/>
                <w:sz w:val="18"/>
              </w:rPr>
              <w:t>38</w:t>
            </w:r>
          </w:p>
        </w:tc>
        <w:tc>
          <w:tcPr>
            <w:tcW w:w="13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89E1B" w14:textId="00F883B8" w:rsidR="000C52F9" w:rsidRPr="001B17BF" w:rsidRDefault="000C52F9">
            <w:pPr>
              <w:rPr>
                <w:rFonts w:ascii="Arial Narrow" w:hAnsi="Arial Narrow" w:cs="Calibri"/>
                <w:color w:val="000000"/>
                <w:sz w:val="18"/>
                <w:szCs w:val="18"/>
              </w:rPr>
            </w:pPr>
            <w:r>
              <w:rPr>
                <w:rFonts w:ascii="Arial Narrow" w:hAnsi="Arial Narrow"/>
                <w:color w:val="000000"/>
                <w:sz w:val="18"/>
              </w:rPr>
              <w:t>Talleres de formación, seminarios y reuniones para reforzar las capacidades de gestión del proyecto</w:t>
            </w:r>
          </w:p>
        </w:tc>
      </w:tr>
    </w:tbl>
    <w:p w14:paraId="54E50FCE" w14:textId="77777777" w:rsidR="00157E82" w:rsidRPr="002152FE" w:rsidRDefault="00157E82" w:rsidP="00966EF0">
      <w:pPr>
        <w:rPr>
          <w:rFonts w:ascii="Calibri" w:eastAsia="SimSun" w:hAnsi="Calibri"/>
          <w:sz w:val="20"/>
          <w:szCs w:val="28"/>
          <w:lang w:val="es-EC"/>
        </w:rPr>
      </w:pPr>
    </w:p>
    <w:p w14:paraId="2F9C131E" w14:textId="77777777" w:rsidR="00966EF0" w:rsidRPr="00966EF0" w:rsidRDefault="00966EF0" w:rsidP="00966EF0">
      <w:pPr>
        <w:rPr>
          <w:rFonts w:ascii="Calibri" w:eastAsia="SimSun" w:hAnsi="Calibri"/>
          <w:sz w:val="20"/>
          <w:szCs w:val="28"/>
          <w:lang w:val="x-none"/>
        </w:rPr>
        <w:sectPr w:rsidR="00966EF0" w:rsidRPr="00966EF0" w:rsidSect="00BA3DD6">
          <w:pgSz w:w="15840" w:h="12240" w:orient="landscape" w:code="1"/>
          <w:pgMar w:top="720" w:right="720" w:bottom="720" w:left="720" w:header="720" w:footer="432" w:gutter="0"/>
          <w:cols w:space="708"/>
          <w:titlePg/>
          <w:docGrid w:linePitch="360"/>
        </w:sectPr>
      </w:pPr>
    </w:p>
    <w:p w14:paraId="11962D9C" w14:textId="5EA62D7B" w:rsidR="00966EF0" w:rsidRPr="007B20A0" w:rsidRDefault="00705641" w:rsidP="00051CFB">
      <w:pPr>
        <w:keepNext/>
        <w:pBdr>
          <w:top w:val="single" w:sz="4" w:space="1" w:color="auto"/>
        </w:pBdr>
        <w:tabs>
          <w:tab w:val="num" w:pos="720"/>
        </w:tabs>
        <w:suppressAutoHyphens/>
        <w:spacing w:after="120"/>
        <w:ind w:left="720" w:hanging="720"/>
        <w:jc w:val="both"/>
        <w:outlineLvl w:val="0"/>
        <w:rPr>
          <w:rFonts w:ascii="Calibri" w:eastAsia="SimSun" w:hAnsi="Calibri"/>
          <w:b/>
          <w:smallCaps/>
          <w:spacing w:val="-2"/>
          <w:sz w:val="28"/>
          <w:szCs w:val="20"/>
        </w:rPr>
      </w:pPr>
      <w:bookmarkStart w:id="55" w:name="_Toc114650850"/>
      <w:bookmarkStart w:id="56" w:name="_Toc144822675"/>
      <w:r>
        <w:rPr>
          <w:rFonts w:ascii="Calibri" w:hAnsi="Calibri"/>
          <w:b/>
          <w:smallCaps/>
          <w:sz w:val="28"/>
        </w:rPr>
        <w:t>X. Contexto jurídico</w:t>
      </w:r>
      <w:bookmarkEnd w:id="55"/>
      <w:bookmarkEnd w:id="56"/>
    </w:p>
    <w:p w14:paraId="1C81CA28" w14:textId="2A7286E4" w:rsidR="002E6CF0" w:rsidRPr="002E6CF0" w:rsidRDefault="002E6CF0" w:rsidP="002E6CF0">
      <w:pPr>
        <w:jc w:val="both"/>
        <w:rPr>
          <w:rFonts w:ascii="Calibri" w:eastAsia="SimSun" w:hAnsi="Calibri" w:cs="Arial"/>
          <w:sz w:val="20"/>
          <w:szCs w:val="20"/>
        </w:rPr>
      </w:pPr>
      <w:r>
        <w:rPr>
          <w:rFonts w:ascii="Calibri" w:hAnsi="Calibri"/>
          <w:sz w:val="20"/>
        </w:rPr>
        <w:t xml:space="preserve">El presente </w:t>
      </w:r>
      <w:r w:rsidR="00481674">
        <w:rPr>
          <w:rFonts w:ascii="Calibri" w:hAnsi="Calibri"/>
          <w:sz w:val="20"/>
        </w:rPr>
        <w:t>D</w:t>
      </w:r>
      <w:r>
        <w:rPr>
          <w:rFonts w:ascii="Calibri" w:hAnsi="Calibri"/>
          <w:sz w:val="20"/>
        </w:rPr>
        <w:t xml:space="preserve">ocumento de </w:t>
      </w:r>
      <w:r w:rsidR="00481674">
        <w:rPr>
          <w:rFonts w:ascii="Calibri" w:hAnsi="Calibri"/>
          <w:sz w:val="20"/>
        </w:rPr>
        <w:t>P</w:t>
      </w:r>
      <w:r>
        <w:rPr>
          <w:rFonts w:ascii="Calibri" w:hAnsi="Calibri"/>
          <w:sz w:val="20"/>
        </w:rPr>
        <w:t xml:space="preserve">royecto será el instrumento al que se refiere como tal el Artículo 1 del Convenio Básico Estándar de Asistencia entre el Gobierno del Ecuador y el PNUD, suscrito el </w:t>
      </w:r>
      <w:r>
        <w:rPr>
          <w:rFonts w:asciiTheme="minorHAnsi" w:hAnsiTheme="minorHAnsi"/>
          <w:sz w:val="20"/>
        </w:rPr>
        <w:t>8 de marzo de 1989</w:t>
      </w:r>
      <w:r>
        <w:rPr>
          <w:rFonts w:ascii="Calibri" w:hAnsi="Calibri"/>
          <w:sz w:val="20"/>
        </w:rPr>
        <w:t>.   Todas las referencias en el SBAA</w:t>
      </w:r>
      <w:r w:rsidR="00F317F2">
        <w:rPr>
          <w:rFonts w:ascii="Calibri" w:hAnsi="Calibri"/>
          <w:sz w:val="20"/>
        </w:rPr>
        <w:t xml:space="preserve"> (</w:t>
      </w:r>
      <w:r w:rsidR="00F317F2" w:rsidRPr="00921AC5">
        <w:rPr>
          <w:rFonts w:ascii="Calibri" w:eastAsia="SimSun" w:hAnsi="Calibri"/>
          <w:color w:val="000000"/>
          <w:sz w:val="20"/>
          <w:szCs w:val="20"/>
          <w:lang w:val="es-EC" w:eastAsia="en-US"/>
        </w:rPr>
        <w:t xml:space="preserve">Acuerdo Básico Modelo </w:t>
      </w:r>
      <w:r w:rsidR="00F317F2">
        <w:rPr>
          <w:rFonts w:ascii="Calibri" w:eastAsia="SimSun" w:hAnsi="Calibri"/>
          <w:color w:val="000000"/>
          <w:sz w:val="20"/>
          <w:szCs w:val="20"/>
          <w:lang w:val="es-EC" w:eastAsia="en-US"/>
        </w:rPr>
        <w:t>d</w:t>
      </w:r>
      <w:r w:rsidR="00F317F2" w:rsidRPr="00921AC5">
        <w:rPr>
          <w:rFonts w:ascii="Calibri" w:eastAsia="SimSun" w:hAnsi="Calibri"/>
          <w:color w:val="000000"/>
          <w:sz w:val="20"/>
          <w:szCs w:val="20"/>
          <w:lang w:val="es-EC" w:eastAsia="en-US"/>
        </w:rPr>
        <w:t>e Asistencia</w:t>
      </w:r>
      <w:r w:rsidR="00F317F2">
        <w:rPr>
          <w:rFonts w:ascii="Calibri" w:hAnsi="Calibri"/>
          <w:sz w:val="20"/>
        </w:rPr>
        <w:t>)</w:t>
      </w:r>
      <w:r>
        <w:rPr>
          <w:rFonts w:ascii="Calibri" w:hAnsi="Calibri"/>
          <w:sz w:val="20"/>
        </w:rPr>
        <w:t xml:space="preserve"> a la "Agencia Ejecutora" se entenderán como al "Socio en la Implementación"</w:t>
      </w:r>
      <w:r w:rsidR="0082157D">
        <w:rPr>
          <w:rFonts w:ascii="Calibri" w:hAnsi="Calibri"/>
          <w:sz w:val="20"/>
        </w:rPr>
        <w:t>.</w:t>
      </w:r>
    </w:p>
    <w:p w14:paraId="3A351A9A" w14:textId="77777777" w:rsidR="002E6CF0" w:rsidRPr="002152FE" w:rsidRDefault="002E6CF0" w:rsidP="002E6CF0">
      <w:pPr>
        <w:jc w:val="both"/>
        <w:rPr>
          <w:rFonts w:ascii="Calibri" w:eastAsia="SimSun" w:hAnsi="Calibri" w:cs="Arial"/>
          <w:sz w:val="20"/>
          <w:szCs w:val="20"/>
          <w:lang w:val="es-EC"/>
        </w:rPr>
      </w:pPr>
    </w:p>
    <w:p w14:paraId="224A5705" w14:textId="3344223D" w:rsidR="002E6CF0" w:rsidRPr="002E6CF0" w:rsidRDefault="002E6CF0" w:rsidP="002E6CF0">
      <w:pPr>
        <w:jc w:val="both"/>
        <w:rPr>
          <w:rFonts w:ascii="Calibri" w:eastAsia="SimSun" w:hAnsi="Calibri" w:cs="Arial"/>
          <w:sz w:val="20"/>
          <w:szCs w:val="20"/>
        </w:rPr>
      </w:pPr>
      <w:r>
        <w:rPr>
          <w:rFonts w:ascii="Calibri" w:hAnsi="Calibri"/>
          <w:sz w:val="20"/>
        </w:rPr>
        <w:t xml:space="preserve">Este proyecto será ejecutado por </w:t>
      </w:r>
      <w:r>
        <w:rPr>
          <w:rFonts w:asciiTheme="minorHAnsi" w:hAnsiTheme="minorHAnsi"/>
          <w:sz w:val="20"/>
        </w:rPr>
        <w:t>el Ministerio de Medio Ambiente, Agua y Transición Ecológica (MAATE)</w:t>
      </w:r>
      <w:r>
        <w:rPr>
          <w:rFonts w:ascii="Calibri" w:hAnsi="Calibri"/>
          <w:sz w:val="20"/>
        </w:rPr>
        <w:t xml:space="preserve"> ("Socio en la Implementación") de conformidad con sus reglamentos, normas, prácticas y procedimientos financieros únicamente en la medida en que no contravengan los principios del Reglamento Financiero y la Reglamentación Financiera Detallada del PNUD. Cuando la gobernanza financiera de un Socio en la Implementación no proporcione la orientación necesaria para garantizar la mejor relación calidad-precio, la equidad, integridad, transparencia y competencia internacional efectiva, se aplicará la gobernanza financiera del PNUD.</w:t>
      </w:r>
    </w:p>
    <w:p w14:paraId="18F922D3" w14:textId="77777777" w:rsidR="002E6CF0" w:rsidRPr="002152FE" w:rsidRDefault="002E6CF0" w:rsidP="002E6CF0">
      <w:pPr>
        <w:jc w:val="both"/>
        <w:rPr>
          <w:rFonts w:ascii="Calibri" w:eastAsia="SimSun" w:hAnsi="Calibri"/>
          <w:sz w:val="20"/>
          <w:szCs w:val="20"/>
          <w:lang w:val="es-EC"/>
        </w:rPr>
      </w:pPr>
    </w:p>
    <w:p w14:paraId="28B9C17C" w14:textId="77777777" w:rsidR="002E6CF0" w:rsidRPr="002E6CF0" w:rsidRDefault="002E6CF0" w:rsidP="002E6CF0">
      <w:pPr>
        <w:jc w:val="both"/>
        <w:rPr>
          <w:rFonts w:ascii="Calibri" w:hAnsi="Calibri"/>
          <w:sz w:val="20"/>
        </w:rPr>
      </w:pPr>
      <w:r>
        <w:rPr>
          <w:rFonts w:ascii="Calibri" w:hAnsi="Calibri"/>
          <w:color w:val="000000"/>
          <w:sz w:val="20"/>
        </w:rPr>
        <w:t>Las denominaciones empleadas en este mapa y la forma en que aparecen presentados los datos que contiene no implican, por parte de la Secretaría de las Naciones Unidas o del PNUD, juicio alguno sobre la condición jurídica de países, territorios, ciudades o zonas, o de sus autoridades, ni respecto del trazado de sus fronteras o límites.</w:t>
      </w:r>
    </w:p>
    <w:p w14:paraId="70A5B2F8" w14:textId="57D02EA5" w:rsidR="00966EF0" w:rsidRPr="00B7157E" w:rsidRDefault="00B7157E" w:rsidP="002E6CF0">
      <w:pPr>
        <w:spacing w:after="160" w:line="259" w:lineRule="auto"/>
        <w:jc w:val="both"/>
        <w:rPr>
          <w:rFonts w:ascii="Calibri" w:hAnsi="Calibri"/>
          <w:color w:val="000000"/>
          <w:sz w:val="20"/>
        </w:rPr>
      </w:pPr>
      <w:r>
        <w:br w:type="page"/>
      </w:r>
    </w:p>
    <w:p w14:paraId="6FA607BD" w14:textId="330E2B75" w:rsidR="00966EF0" w:rsidRPr="00B7157E" w:rsidRDefault="00705641" w:rsidP="00B7157E">
      <w:pPr>
        <w:keepNext/>
        <w:pBdr>
          <w:top w:val="single" w:sz="4" w:space="1" w:color="auto"/>
        </w:pBdr>
        <w:tabs>
          <w:tab w:val="num" w:pos="720"/>
        </w:tabs>
        <w:suppressAutoHyphens/>
        <w:spacing w:after="120"/>
        <w:ind w:left="720" w:hanging="720"/>
        <w:outlineLvl w:val="0"/>
        <w:rPr>
          <w:rFonts w:ascii="Calibri" w:eastAsia="SimSun" w:hAnsi="Calibri"/>
          <w:b/>
          <w:smallCaps/>
          <w:spacing w:val="-2"/>
          <w:sz w:val="28"/>
          <w:szCs w:val="20"/>
        </w:rPr>
      </w:pPr>
      <w:bookmarkStart w:id="57" w:name="_Toc114650851"/>
      <w:bookmarkStart w:id="58" w:name="_Toc144822676"/>
      <w:r>
        <w:rPr>
          <w:rFonts w:ascii="Calibri" w:hAnsi="Calibri"/>
          <w:b/>
          <w:smallCaps/>
          <w:sz w:val="28"/>
        </w:rPr>
        <w:t>XI. Gestión de riesgos</w:t>
      </w:r>
      <w:bookmarkEnd w:id="57"/>
      <w:bookmarkEnd w:id="58"/>
    </w:p>
    <w:p w14:paraId="46CD7326" w14:textId="77777777" w:rsidR="0011281C" w:rsidRPr="00966EF0" w:rsidRDefault="0011281C" w:rsidP="0011281C">
      <w:pPr>
        <w:spacing w:after="60"/>
        <w:jc w:val="both"/>
        <w:rPr>
          <w:rFonts w:ascii="Calibri" w:eastAsia="SimSun" w:hAnsi="Calibri"/>
          <w:b/>
          <w:sz w:val="20"/>
        </w:rPr>
      </w:pPr>
    </w:p>
    <w:p w14:paraId="52C75DA8" w14:textId="4C033176" w:rsidR="0011281C" w:rsidRPr="00966EF0" w:rsidRDefault="0011281C" w:rsidP="0011281C">
      <w:pPr>
        <w:numPr>
          <w:ilvl w:val="0"/>
          <w:numId w:val="46"/>
        </w:numPr>
        <w:ind w:left="360"/>
        <w:jc w:val="both"/>
        <w:rPr>
          <w:rFonts w:ascii="Calibri" w:eastAsia="SimSun" w:hAnsi="Calibri" w:cs="Arial"/>
          <w:sz w:val="20"/>
          <w:szCs w:val="20"/>
        </w:rPr>
      </w:pPr>
      <w:r>
        <w:rPr>
          <w:rFonts w:ascii="Calibri" w:hAnsi="Calibri"/>
          <w:sz w:val="20"/>
        </w:rPr>
        <w:t xml:space="preserve">De conformidad con el Artículo III del SBAA </w:t>
      </w:r>
      <w:r>
        <w:rPr>
          <w:rFonts w:ascii="Calibri" w:hAnsi="Calibri"/>
          <w:i/>
          <w:sz w:val="20"/>
        </w:rPr>
        <w:t>[o las Disposiciones Complementarias del Documento de Proyecto]</w:t>
      </w:r>
      <w:r>
        <w:rPr>
          <w:rFonts w:ascii="Calibri" w:hAnsi="Calibri"/>
          <w:sz w:val="20"/>
        </w:rPr>
        <w:t>, la responsabilidad de la seguridad y protección del Socio en la Implementación de su personal y bienes, así como de los bienes del PNUD bajo custodia del Socio en la Implementación, recae en el Socio en la Implementación.  A tal fin, el Socio en la Implementación deberá:</w:t>
      </w:r>
    </w:p>
    <w:p w14:paraId="4560E29A" w14:textId="4F14EBBF" w:rsidR="0011281C" w:rsidRPr="009F3661" w:rsidRDefault="00481674" w:rsidP="0011281C">
      <w:pPr>
        <w:numPr>
          <w:ilvl w:val="0"/>
          <w:numId w:val="45"/>
        </w:numPr>
        <w:spacing w:after="60"/>
        <w:jc w:val="both"/>
        <w:rPr>
          <w:rFonts w:ascii="Calibri" w:eastAsia="SimSun" w:hAnsi="Calibri" w:cs="Arial"/>
          <w:sz w:val="20"/>
          <w:szCs w:val="20"/>
        </w:rPr>
      </w:pPr>
      <w:r>
        <w:rPr>
          <w:rFonts w:ascii="Calibri" w:hAnsi="Calibri"/>
          <w:sz w:val="20"/>
        </w:rPr>
        <w:t>E</w:t>
      </w:r>
      <w:r w:rsidR="0011281C">
        <w:rPr>
          <w:rFonts w:ascii="Calibri" w:hAnsi="Calibri"/>
          <w:sz w:val="20"/>
        </w:rPr>
        <w:t>stablecer un plan de seguridad adecuado y mantenerlo, teniendo en cuenta la situación de la seguridad en el país en el que se lleva a cabo el proyecto;</w:t>
      </w:r>
    </w:p>
    <w:p w14:paraId="30E20F5A" w14:textId="02B1200E" w:rsidR="0011281C" w:rsidRPr="009F3661" w:rsidRDefault="00481674" w:rsidP="0011281C">
      <w:pPr>
        <w:numPr>
          <w:ilvl w:val="0"/>
          <w:numId w:val="45"/>
        </w:numPr>
        <w:spacing w:after="60"/>
        <w:jc w:val="both"/>
        <w:rPr>
          <w:rFonts w:ascii="Calibri" w:eastAsia="SimSun" w:hAnsi="Calibri" w:cs="Arial"/>
          <w:sz w:val="20"/>
          <w:szCs w:val="20"/>
        </w:rPr>
      </w:pPr>
      <w:r>
        <w:rPr>
          <w:rFonts w:ascii="Calibri" w:hAnsi="Calibri"/>
          <w:sz w:val="20"/>
        </w:rPr>
        <w:t>A</w:t>
      </w:r>
      <w:r w:rsidR="0011281C">
        <w:rPr>
          <w:rFonts w:ascii="Calibri" w:hAnsi="Calibri"/>
          <w:sz w:val="20"/>
        </w:rPr>
        <w:t xml:space="preserve">sumir todos los riesgos y responsabilidades relacionados con la seguridad del Socio en la Implementación y la plena aplicación del </w:t>
      </w:r>
      <w:r>
        <w:rPr>
          <w:rFonts w:ascii="Calibri" w:hAnsi="Calibri"/>
          <w:sz w:val="20"/>
        </w:rPr>
        <w:t>P</w:t>
      </w:r>
      <w:r w:rsidR="0011281C">
        <w:rPr>
          <w:rFonts w:ascii="Calibri" w:hAnsi="Calibri"/>
          <w:sz w:val="20"/>
        </w:rPr>
        <w:t xml:space="preserve">lan de </w:t>
      </w:r>
      <w:r>
        <w:rPr>
          <w:rFonts w:ascii="Calibri" w:hAnsi="Calibri"/>
          <w:sz w:val="20"/>
        </w:rPr>
        <w:t>S</w:t>
      </w:r>
      <w:r w:rsidR="0011281C">
        <w:rPr>
          <w:rFonts w:ascii="Calibri" w:hAnsi="Calibri"/>
          <w:sz w:val="20"/>
        </w:rPr>
        <w:t>eguridad.</w:t>
      </w:r>
    </w:p>
    <w:p w14:paraId="6B73CEA1" w14:textId="77777777" w:rsidR="0011281C" w:rsidRPr="002152FE" w:rsidRDefault="0011281C" w:rsidP="0011281C">
      <w:pPr>
        <w:spacing w:after="60"/>
        <w:jc w:val="both"/>
        <w:rPr>
          <w:rFonts w:ascii="Calibri" w:eastAsia="SimSun" w:hAnsi="Calibri" w:cs="Arial"/>
          <w:sz w:val="20"/>
          <w:szCs w:val="20"/>
          <w:lang w:val="es-EC"/>
        </w:rPr>
      </w:pPr>
    </w:p>
    <w:p w14:paraId="54CAD5A5" w14:textId="77777777" w:rsidR="0011281C" w:rsidRPr="009F3661" w:rsidRDefault="0011281C" w:rsidP="0011281C">
      <w:pPr>
        <w:numPr>
          <w:ilvl w:val="0"/>
          <w:numId w:val="46"/>
        </w:numPr>
        <w:ind w:left="360"/>
        <w:jc w:val="both"/>
        <w:rPr>
          <w:rFonts w:ascii="Calibri" w:eastAsia="SimSun" w:hAnsi="Calibri" w:cs="Arial"/>
          <w:sz w:val="20"/>
          <w:szCs w:val="20"/>
        </w:rPr>
      </w:pPr>
      <w:r>
        <w:rPr>
          <w:rFonts w:ascii="Calibri" w:hAnsi="Calibri"/>
          <w:sz w:val="20"/>
        </w:rPr>
        <w:t>El PNUD se reserva el derecho de verificar si existe dicho plan y de sugerir modificaciones al mismo cuando sea necesario. La falta de mantenimiento e implementación de un plan de seguridad adecuado, tal y como se exige en el presente documento, se considerará un incumplimiento de las obligaciones del Socio en la Implementación en virtud del presente Documento de Proyecto.</w:t>
      </w:r>
    </w:p>
    <w:p w14:paraId="04730F29" w14:textId="77777777" w:rsidR="0011281C" w:rsidRPr="002152FE" w:rsidRDefault="0011281C" w:rsidP="0011281C">
      <w:pPr>
        <w:spacing w:after="60"/>
        <w:ind w:left="360"/>
        <w:jc w:val="both"/>
        <w:rPr>
          <w:rFonts w:ascii="Calibri" w:eastAsia="SimSun" w:hAnsi="Calibri" w:cs="Arial"/>
          <w:sz w:val="20"/>
          <w:szCs w:val="20"/>
          <w:lang w:val="es-EC"/>
        </w:rPr>
      </w:pPr>
    </w:p>
    <w:p w14:paraId="4D1940CE" w14:textId="60277582" w:rsidR="0011281C" w:rsidRPr="009F3661" w:rsidRDefault="0011281C" w:rsidP="0011281C">
      <w:pPr>
        <w:numPr>
          <w:ilvl w:val="0"/>
          <w:numId w:val="46"/>
        </w:numPr>
        <w:ind w:left="360"/>
        <w:jc w:val="both"/>
        <w:rPr>
          <w:rFonts w:ascii="Calibri" w:eastAsia="SimSun" w:hAnsi="Calibri" w:cs="Calibri"/>
          <w:sz w:val="20"/>
          <w:szCs w:val="20"/>
        </w:rPr>
      </w:pPr>
      <w:r>
        <w:rPr>
          <w:rFonts w:ascii="Calibri" w:hAnsi="Calibri"/>
          <w:sz w:val="20"/>
        </w:rPr>
        <w:t xml:space="preserve">El Socio en la Implementación se compromete a realizar todos los esfuerzos razonables para garantizar que los fondos del PNUD recibidos en virtud del Documento de Proyecto no se utilicen para proporcionar apoyo a personas o entidades asociadas con el terrorismo y que los beneficiarios de cualquier cantidad proporcionada por el PNUD en virtud del presente documento no figuren en la lista mantenida por el Comité del Consejo de Seguridad establecido en virtud de la </w:t>
      </w:r>
      <w:r w:rsidR="00144339">
        <w:rPr>
          <w:rFonts w:ascii="Calibri" w:hAnsi="Calibri"/>
          <w:sz w:val="20"/>
        </w:rPr>
        <w:t>R</w:t>
      </w:r>
      <w:r>
        <w:rPr>
          <w:rFonts w:ascii="Calibri" w:hAnsi="Calibri"/>
          <w:sz w:val="20"/>
        </w:rPr>
        <w:t xml:space="preserve">esolución 1267 (1999). Se puede acceder a la lista a través de </w:t>
      </w:r>
      <w:hyperlink r:id="rId33" w:history="1">
        <w:r>
          <w:rPr>
            <w:rFonts w:ascii="Calibri" w:hAnsi="Calibri"/>
            <w:color w:val="0000FF"/>
            <w:sz w:val="20"/>
            <w:u w:val="single"/>
          </w:rPr>
          <w:t>http://www.un.org/sc/committees/1267/aq_sanctions_list.shtml</w:t>
        </w:r>
      </w:hyperlink>
      <w:r>
        <w:rPr>
          <w:rFonts w:ascii="Calibri" w:hAnsi="Calibri"/>
          <w:color w:val="000080"/>
          <w:sz w:val="20"/>
        </w:rPr>
        <w:t>.</w:t>
      </w:r>
      <w:r>
        <w:rPr>
          <w:rFonts w:ascii="Calibri" w:hAnsi="Calibri"/>
          <w:sz w:val="20"/>
        </w:rPr>
        <w:t xml:space="preserve">  </w:t>
      </w:r>
    </w:p>
    <w:p w14:paraId="5CD7FF6B" w14:textId="77777777" w:rsidR="0011281C" w:rsidRPr="002152FE" w:rsidRDefault="0011281C" w:rsidP="0011281C">
      <w:pPr>
        <w:ind w:left="360"/>
        <w:rPr>
          <w:rFonts w:ascii="Calibri" w:eastAsia="SimSun" w:hAnsi="Calibri" w:cs="Calibri"/>
          <w:sz w:val="20"/>
          <w:szCs w:val="20"/>
          <w:lang w:val="es-EC"/>
        </w:rPr>
      </w:pPr>
    </w:p>
    <w:p w14:paraId="656E8AE1" w14:textId="64D3F48A" w:rsidR="0011281C" w:rsidRPr="009F3661" w:rsidRDefault="0011281C" w:rsidP="0011281C">
      <w:pPr>
        <w:numPr>
          <w:ilvl w:val="0"/>
          <w:numId w:val="46"/>
        </w:numPr>
        <w:spacing w:after="240"/>
        <w:ind w:left="360"/>
        <w:jc w:val="both"/>
        <w:rPr>
          <w:rFonts w:ascii="Calibri" w:eastAsia="SimSun" w:hAnsi="Calibri" w:cs="Calibri"/>
          <w:sz w:val="20"/>
          <w:szCs w:val="20"/>
        </w:rPr>
      </w:pPr>
      <w:r>
        <w:rPr>
          <w:rFonts w:ascii="Calibri" w:hAnsi="Calibri"/>
          <w:sz w:val="20"/>
        </w:rPr>
        <w:t xml:space="preserve">El Socio en la Implementación reconoce y acepta que el PNUD no tolerará el acoso sexual y la explotación y el abuso sexual de nadie por parte del Socio en la Implementación, y cada una de sus partes responsables, sus respectivos subreceptores y otras entidades involucradas en la implementación del </w:t>
      </w:r>
      <w:r w:rsidR="00144339">
        <w:rPr>
          <w:rFonts w:ascii="Calibri" w:hAnsi="Calibri"/>
          <w:sz w:val="20"/>
        </w:rPr>
        <w:t>p</w:t>
      </w:r>
      <w:r>
        <w:rPr>
          <w:rFonts w:ascii="Calibri" w:hAnsi="Calibri"/>
          <w:sz w:val="20"/>
        </w:rPr>
        <w:t xml:space="preserve">royecto, ya sea como contratistas o subcontratistas y su personal, y cualquier persona que preste servicios para ellos en virtud del Documento de Proyecto. </w:t>
      </w:r>
    </w:p>
    <w:p w14:paraId="5CD2BFDD" w14:textId="525B3F30" w:rsidR="0011281C" w:rsidRPr="009F3661" w:rsidRDefault="0011281C" w:rsidP="0011281C">
      <w:pPr>
        <w:spacing w:after="240"/>
        <w:ind w:left="360"/>
        <w:rPr>
          <w:rFonts w:ascii="Calibri" w:eastAsia="SimSun" w:hAnsi="Calibri" w:cs="Calibri"/>
          <w:sz w:val="20"/>
          <w:szCs w:val="20"/>
        </w:rPr>
      </w:pPr>
      <w:r>
        <w:rPr>
          <w:rFonts w:ascii="Calibri" w:hAnsi="Calibri"/>
          <w:sz w:val="20"/>
        </w:rPr>
        <w:t xml:space="preserve"> (a) En la ejecución de las actividades previstas en este Documento de Proyecto, el Socio en la Implementación, y cada una de sus subpartes mencionadas anteriormente, cumplirán las normas de conducta establecidas en el Boletín del Secretario General ST/SGB/2003/13, del 9 de octubre de 2003, relativo a las "Medidas </w:t>
      </w:r>
      <w:r w:rsidR="00144339">
        <w:rPr>
          <w:rFonts w:ascii="Calibri" w:hAnsi="Calibri"/>
          <w:sz w:val="20"/>
        </w:rPr>
        <w:t>E</w:t>
      </w:r>
      <w:r>
        <w:rPr>
          <w:rFonts w:ascii="Calibri" w:hAnsi="Calibri"/>
          <w:sz w:val="20"/>
        </w:rPr>
        <w:t xml:space="preserve">speciales de </w:t>
      </w:r>
      <w:r w:rsidR="00144339">
        <w:rPr>
          <w:rFonts w:ascii="Calibri" w:hAnsi="Calibri"/>
          <w:sz w:val="20"/>
        </w:rPr>
        <w:t>P</w:t>
      </w:r>
      <w:r>
        <w:rPr>
          <w:rFonts w:ascii="Calibri" w:hAnsi="Calibri"/>
          <w:sz w:val="20"/>
        </w:rPr>
        <w:t xml:space="preserve">rotección </w:t>
      </w:r>
      <w:r w:rsidR="00144339">
        <w:rPr>
          <w:rFonts w:ascii="Calibri" w:hAnsi="Calibri"/>
          <w:sz w:val="20"/>
        </w:rPr>
        <w:t>C</w:t>
      </w:r>
      <w:r>
        <w:rPr>
          <w:rFonts w:ascii="Calibri" w:hAnsi="Calibri"/>
          <w:sz w:val="20"/>
        </w:rPr>
        <w:t xml:space="preserve">ontra la </w:t>
      </w:r>
      <w:r w:rsidR="00144339">
        <w:rPr>
          <w:rFonts w:ascii="Calibri" w:hAnsi="Calibri"/>
          <w:sz w:val="20"/>
        </w:rPr>
        <w:t>E</w:t>
      </w:r>
      <w:r>
        <w:rPr>
          <w:rFonts w:ascii="Calibri" w:hAnsi="Calibri"/>
          <w:sz w:val="20"/>
        </w:rPr>
        <w:t xml:space="preserve">xplotación y el </w:t>
      </w:r>
      <w:r w:rsidR="00144339">
        <w:rPr>
          <w:rFonts w:ascii="Calibri" w:hAnsi="Calibri"/>
          <w:sz w:val="20"/>
        </w:rPr>
        <w:t>A</w:t>
      </w:r>
      <w:r>
        <w:rPr>
          <w:rFonts w:ascii="Calibri" w:hAnsi="Calibri"/>
          <w:sz w:val="20"/>
        </w:rPr>
        <w:t xml:space="preserve">buso </w:t>
      </w:r>
      <w:r w:rsidR="00144339">
        <w:rPr>
          <w:rFonts w:ascii="Calibri" w:hAnsi="Calibri"/>
          <w:sz w:val="20"/>
        </w:rPr>
        <w:t>S</w:t>
      </w:r>
      <w:r>
        <w:rPr>
          <w:rFonts w:ascii="Calibri" w:hAnsi="Calibri"/>
          <w:sz w:val="20"/>
        </w:rPr>
        <w:t xml:space="preserve">exuales" ("EAS"). </w:t>
      </w:r>
    </w:p>
    <w:p w14:paraId="1C17713B" w14:textId="419A6156" w:rsidR="0011281C" w:rsidRPr="009F3661" w:rsidRDefault="0011281C" w:rsidP="0011281C">
      <w:pPr>
        <w:spacing w:after="240"/>
        <w:ind w:left="360"/>
        <w:rPr>
          <w:rFonts w:ascii="Calibri" w:eastAsia="SimSun" w:hAnsi="Calibri" w:cs="Calibri"/>
          <w:sz w:val="20"/>
          <w:szCs w:val="20"/>
        </w:rPr>
      </w:pPr>
      <w:r>
        <w:rPr>
          <w:rFonts w:ascii="Calibri" w:hAnsi="Calibri"/>
          <w:sz w:val="20"/>
        </w:rPr>
        <w:t>(b) Además, y sin limitación a la aplicación de otros reglamentos, normas, políticas y procedimientos que afecten a la realización de las actividades previstas en el presente Documento de Proyecto, en la ejecución de las actividades, el Socio en la Implementación, y cada una de sus subpartes antes mencionadas, no incurrirán en ninguna forma de acoso sexual ("S</w:t>
      </w:r>
      <w:r w:rsidR="00D30427">
        <w:rPr>
          <w:rFonts w:ascii="Calibri" w:hAnsi="Calibri"/>
          <w:sz w:val="20"/>
        </w:rPr>
        <w:t>H</w:t>
      </w:r>
      <w:r>
        <w:rPr>
          <w:rFonts w:ascii="Calibri" w:hAnsi="Calibri"/>
          <w:sz w:val="20"/>
        </w:rPr>
        <w:t xml:space="preserve">"). El </w:t>
      </w:r>
      <w:r w:rsidR="00C773C0">
        <w:rPr>
          <w:rFonts w:ascii="Calibri" w:hAnsi="Calibri"/>
          <w:sz w:val="20"/>
        </w:rPr>
        <w:t>SH</w:t>
      </w:r>
      <w:r>
        <w:rPr>
          <w:rFonts w:ascii="Calibri" w:hAnsi="Calibri"/>
          <w:sz w:val="20"/>
        </w:rPr>
        <w:t xml:space="preserve"> se define como cualquier conducta no deseada de naturaleza sexual que razonablemente pueda esperarse o percibirse como causa de ofensa o humillación, cuando dicha conducta interfiere en el trabajo, se convierte en una condición de empleo o crea un entorno laboral intimidatorio, hostil u ofensivo.</w:t>
      </w:r>
    </w:p>
    <w:p w14:paraId="4A5FA625" w14:textId="27EABCE5" w:rsidR="0011281C" w:rsidRPr="009F3661" w:rsidRDefault="0011281C" w:rsidP="0011281C">
      <w:pPr>
        <w:numPr>
          <w:ilvl w:val="0"/>
          <w:numId w:val="46"/>
        </w:numPr>
        <w:spacing w:after="240"/>
        <w:ind w:left="360"/>
        <w:jc w:val="both"/>
        <w:rPr>
          <w:rFonts w:ascii="Calibri" w:eastAsia="SimSun" w:hAnsi="Calibri" w:cs="Calibri"/>
          <w:sz w:val="20"/>
          <w:szCs w:val="20"/>
        </w:rPr>
      </w:pPr>
      <w:r>
        <w:rPr>
          <w:rFonts w:ascii="Calibri" w:hAnsi="Calibri"/>
          <w:sz w:val="20"/>
        </w:rPr>
        <w:t xml:space="preserve">a) En la realización de las actividades previstas en el presente Documento de Proyecto, el Socio en la Implementación deberá (con respecto a sus propias actividades), y exigirá a sus subpartes mencionadas en el </w:t>
      </w:r>
      <w:r w:rsidR="00947640">
        <w:rPr>
          <w:rFonts w:ascii="Calibri" w:hAnsi="Calibri"/>
          <w:sz w:val="20"/>
        </w:rPr>
        <w:t>A</w:t>
      </w:r>
      <w:r>
        <w:rPr>
          <w:rFonts w:ascii="Calibri" w:hAnsi="Calibri"/>
          <w:sz w:val="20"/>
        </w:rPr>
        <w:t>partado 4 (con respecto a sus actividades) que dispongan de normas y procedimientos mínimos, o de un plan para desarrollar y/o mejorar dichas normas y procedimientos con el fin de poder adoptar medidas preventivas y de investigación eficaces. Estos deben incluir: políticas sobre acoso sexual y explotación y abuso sexuales; políticas sobre denuncia de irregularidades/protección contra represalias; y mecanismos de denuncia, disciplinarios y de investigación. En consonancia con esto, el Socio en la Implementación tomará y exigirá que dichas subpartes tomen todas las medidas apropiadas para:</w:t>
      </w:r>
    </w:p>
    <w:p w14:paraId="5275BEBE" w14:textId="77828D70" w:rsidR="0011281C" w:rsidRPr="009F3661" w:rsidRDefault="0011281C" w:rsidP="0011281C">
      <w:pPr>
        <w:numPr>
          <w:ilvl w:val="1"/>
          <w:numId w:val="47"/>
        </w:numPr>
        <w:spacing w:after="240"/>
        <w:jc w:val="both"/>
        <w:rPr>
          <w:rFonts w:ascii="Calibri" w:eastAsia="SimSun" w:hAnsi="Calibri" w:cs="Calibri"/>
          <w:sz w:val="20"/>
          <w:szCs w:val="20"/>
        </w:rPr>
      </w:pPr>
      <w:r>
        <w:rPr>
          <w:rFonts w:ascii="Calibri" w:hAnsi="Calibri"/>
          <w:sz w:val="20"/>
        </w:rPr>
        <w:t xml:space="preserve">Impedir que sus empleados, agentes o cualquier otra persona contratada para prestar cualquier servicio en virtud de este Documento de Proyecto, cometan actos de EAS o </w:t>
      </w:r>
      <w:r w:rsidR="00C773C0">
        <w:rPr>
          <w:rFonts w:ascii="Calibri" w:hAnsi="Calibri"/>
          <w:sz w:val="20"/>
        </w:rPr>
        <w:t>SH</w:t>
      </w:r>
      <w:r>
        <w:rPr>
          <w:rFonts w:ascii="Calibri" w:hAnsi="Calibri"/>
          <w:sz w:val="20"/>
        </w:rPr>
        <w:t>;</w:t>
      </w:r>
    </w:p>
    <w:p w14:paraId="0A236F0B" w14:textId="13CACECC" w:rsidR="0011281C" w:rsidRPr="009F3661" w:rsidRDefault="0011281C" w:rsidP="0011281C">
      <w:pPr>
        <w:numPr>
          <w:ilvl w:val="1"/>
          <w:numId w:val="47"/>
        </w:numPr>
        <w:spacing w:after="240"/>
        <w:jc w:val="both"/>
        <w:rPr>
          <w:rFonts w:ascii="Calibri" w:eastAsia="SimSun" w:hAnsi="Calibri" w:cs="Calibri"/>
          <w:sz w:val="20"/>
          <w:szCs w:val="20"/>
        </w:rPr>
      </w:pPr>
      <w:r>
        <w:rPr>
          <w:rFonts w:ascii="Calibri" w:hAnsi="Calibri"/>
          <w:sz w:val="20"/>
        </w:rPr>
        <w:t xml:space="preserve">Ofrecer a los empleados y al personal asociado formación sobre la prevención y la respuesta al </w:t>
      </w:r>
      <w:r w:rsidR="00C773C0">
        <w:rPr>
          <w:rFonts w:ascii="Calibri" w:hAnsi="Calibri"/>
          <w:sz w:val="20"/>
        </w:rPr>
        <w:t>SH</w:t>
      </w:r>
      <w:r>
        <w:rPr>
          <w:rFonts w:ascii="Calibri" w:hAnsi="Calibri"/>
          <w:sz w:val="20"/>
        </w:rPr>
        <w:t xml:space="preserve"> y al EAS, cuando el Socio en la Implementación y sus subpartes mencionadas en el </w:t>
      </w:r>
      <w:r w:rsidR="00947640">
        <w:rPr>
          <w:rFonts w:ascii="Calibri" w:hAnsi="Calibri"/>
          <w:sz w:val="20"/>
        </w:rPr>
        <w:t>A</w:t>
      </w:r>
      <w:r>
        <w:rPr>
          <w:rFonts w:ascii="Calibri" w:hAnsi="Calibri"/>
          <w:sz w:val="20"/>
        </w:rPr>
        <w:t xml:space="preserve">partado 4 no hayan establecido su propia formación relativa a la prevención del </w:t>
      </w:r>
      <w:r w:rsidR="00C773C0">
        <w:rPr>
          <w:rFonts w:ascii="Calibri" w:hAnsi="Calibri"/>
          <w:sz w:val="20"/>
        </w:rPr>
        <w:t>SH</w:t>
      </w:r>
      <w:r>
        <w:rPr>
          <w:rFonts w:ascii="Calibri" w:hAnsi="Calibri"/>
          <w:sz w:val="20"/>
        </w:rPr>
        <w:t xml:space="preserve"> y de la EAS, el Socio en la Implementación y sus subpartes podrán utilizar el material de formación disponible en el PNUD;</w:t>
      </w:r>
    </w:p>
    <w:p w14:paraId="0C67C1AE" w14:textId="0A5330A2" w:rsidR="0011281C" w:rsidRPr="009F3661" w:rsidRDefault="0011281C" w:rsidP="0011281C">
      <w:pPr>
        <w:numPr>
          <w:ilvl w:val="1"/>
          <w:numId w:val="47"/>
        </w:numPr>
        <w:spacing w:after="240"/>
        <w:jc w:val="both"/>
        <w:rPr>
          <w:rFonts w:ascii="Calibri" w:eastAsia="SimSun" w:hAnsi="Calibri" w:cs="Calibri"/>
          <w:sz w:val="20"/>
          <w:szCs w:val="20"/>
        </w:rPr>
      </w:pPr>
      <w:r>
        <w:rPr>
          <w:rFonts w:ascii="Calibri" w:hAnsi="Calibri"/>
          <w:sz w:val="20"/>
        </w:rPr>
        <w:t xml:space="preserve">Informar y supervisar las alegaciones de </w:t>
      </w:r>
      <w:r w:rsidR="00C773C0">
        <w:rPr>
          <w:rFonts w:ascii="Calibri" w:hAnsi="Calibri"/>
          <w:sz w:val="20"/>
        </w:rPr>
        <w:t>SH</w:t>
      </w:r>
      <w:r>
        <w:rPr>
          <w:rFonts w:ascii="Calibri" w:hAnsi="Calibri"/>
          <w:sz w:val="20"/>
        </w:rPr>
        <w:t xml:space="preserve"> y EAS de las que el Socio en la Implementación y sus subpartes a las que se hace referencia en el </w:t>
      </w:r>
      <w:r w:rsidR="00947640">
        <w:rPr>
          <w:rFonts w:ascii="Calibri" w:hAnsi="Calibri"/>
          <w:sz w:val="20"/>
        </w:rPr>
        <w:t>A</w:t>
      </w:r>
      <w:r>
        <w:rPr>
          <w:rFonts w:ascii="Calibri" w:hAnsi="Calibri"/>
          <w:sz w:val="20"/>
        </w:rPr>
        <w:t xml:space="preserve">partado 4 hayan sido informadas o hayan tenido conocimiento de otro modo, y el estado de las mismas; </w:t>
      </w:r>
    </w:p>
    <w:p w14:paraId="037DEB09" w14:textId="4D7E467E" w:rsidR="0011281C" w:rsidRPr="009F3661" w:rsidRDefault="0011281C" w:rsidP="0011281C">
      <w:pPr>
        <w:numPr>
          <w:ilvl w:val="1"/>
          <w:numId w:val="47"/>
        </w:numPr>
        <w:spacing w:after="240"/>
        <w:jc w:val="both"/>
        <w:rPr>
          <w:rFonts w:ascii="Calibri" w:eastAsia="SimSun" w:hAnsi="Calibri" w:cs="Calibri"/>
          <w:sz w:val="20"/>
          <w:szCs w:val="20"/>
        </w:rPr>
      </w:pPr>
      <w:r>
        <w:rPr>
          <w:rFonts w:ascii="Calibri" w:hAnsi="Calibri"/>
          <w:sz w:val="20"/>
        </w:rPr>
        <w:t xml:space="preserve">Remitir a las víctimas/sobrevivientes de </w:t>
      </w:r>
      <w:r w:rsidR="00C773C0">
        <w:rPr>
          <w:rFonts w:ascii="Calibri" w:hAnsi="Calibri"/>
          <w:sz w:val="20"/>
        </w:rPr>
        <w:t>SH</w:t>
      </w:r>
      <w:r>
        <w:rPr>
          <w:rFonts w:ascii="Calibri" w:hAnsi="Calibri"/>
          <w:sz w:val="20"/>
        </w:rPr>
        <w:t xml:space="preserve"> y EAS a una asistencia </w:t>
      </w:r>
      <w:r w:rsidR="00947640">
        <w:rPr>
          <w:rFonts w:ascii="Calibri" w:hAnsi="Calibri"/>
          <w:sz w:val="20"/>
        </w:rPr>
        <w:t xml:space="preserve">para víctimas </w:t>
      </w:r>
      <w:r>
        <w:rPr>
          <w:rFonts w:ascii="Calibri" w:hAnsi="Calibri"/>
          <w:sz w:val="20"/>
        </w:rPr>
        <w:t>segura y confidencial; y</w:t>
      </w:r>
    </w:p>
    <w:p w14:paraId="10AE5BF0" w14:textId="79346733" w:rsidR="0011281C" w:rsidRPr="009F3661" w:rsidRDefault="0011281C" w:rsidP="0011281C">
      <w:pPr>
        <w:numPr>
          <w:ilvl w:val="1"/>
          <w:numId w:val="47"/>
        </w:numPr>
        <w:spacing w:after="240"/>
        <w:jc w:val="both"/>
        <w:rPr>
          <w:rFonts w:ascii="Calibri" w:eastAsia="SimSun" w:hAnsi="Calibri" w:cs="Calibri"/>
          <w:sz w:val="20"/>
          <w:szCs w:val="20"/>
        </w:rPr>
      </w:pPr>
      <w:r>
        <w:rPr>
          <w:rFonts w:ascii="Calibri" w:hAnsi="Calibri"/>
          <w:sz w:val="20"/>
        </w:rPr>
        <w:t xml:space="preserve">Registrar e investigar con prontitud y confidencialidad cualquier alegación lo suficientemente creíble como para justificar una investigación de </w:t>
      </w:r>
      <w:r w:rsidR="00C773C0">
        <w:rPr>
          <w:rFonts w:ascii="Calibri" w:hAnsi="Calibri"/>
          <w:sz w:val="20"/>
        </w:rPr>
        <w:t>SH</w:t>
      </w:r>
      <w:r>
        <w:rPr>
          <w:rFonts w:ascii="Calibri" w:hAnsi="Calibri"/>
          <w:sz w:val="20"/>
        </w:rPr>
        <w:t xml:space="preserve"> o EAS. El Socio en la Implementación informará al PNUD de las alegaciones recibidas y de las investigaciones que estén llevando a cabo él mismo o cualquiera de sus subpartes mencionadas en el párrafo 4 con respecto a sus actividades en el marco del Documento de Proyecto, y mantendrá informado al PNUD durante la investigación realizada por él mismo o cualquiera de sus subpartes, en la medida en que dicha notificación</w:t>
      </w:r>
      <w:r w:rsidR="00E92EF1">
        <w:rPr>
          <w:rFonts w:ascii="Calibri" w:hAnsi="Calibri"/>
          <w:sz w:val="20"/>
        </w:rPr>
        <w:t>:</w:t>
      </w:r>
      <w:r>
        <w:rPr>
          <w:rFonts w:ascii="Calibri" w:hAnsi="Calibri"/>
          <w:sz w:val="20"/>
        </w:rPr>
        <w:t xml:space="preserve"> (i) no ponga en peligro el desarrollo de la investigación, incluyendo, pero no limitándose a, la seguridad de las personas, y/o</w:t>
      </w:r>
      <w:r w:rsidR="00E92EF1">
        <w:rPr>
          <w:rFonts w:ascii="Calibri" w:hAnsi="Calibri"/>
          <w:sz w:val="20"/>
        </w:rPr>
        <w:t>;</w:t>
      </w:r>
      <w:r>
        <w:rPr>
          <w:rFonts w:ascii="Calibri" w:hAnsi="Calibri"/>
          <w:sz w:val="20"/>
        </w:rPr>
        <w:t xml:space="preserve"> (ii) no contravenga ninguna ley que le sea aplicable. Tras la investigación, el Socio en la Implementación informará al PNUD de cualquier medida adoptada por él o por cualquiera de las otras entidades a raíz de la investigación. </w:t>
      </w:r>
    </w:p>
    <w:p w14:paraId="0C09CB5A" w14:textId="62FD042C" w:rsidR="0011281C" w:rsidRPr="009F3661" w:rsidRDefault="0011281C" w:rsidP="0011281C">
      <w:pPr>
        <w:numPr>
          <w:ilvl w:val="0"/>
          <w:numId w:val="50"/>
        </w:numPr>
        <w:spacing w:after="240"/>
        <w:jc w:val="both"/>
        <w:rPr>
          <w:rFonts w:ascii="Calibri" w:eastAsia="SimSun" w:hAnsi="Calibri" w:cs="Calibri"/>
          <w:sz w:val="20"/>
          <w:szCs w:val="20"/>
        </w:rPr>
      </w:pPr>
      <w:r>
        <w:rPr>
          <w:rFonts w:ascii="Calibri" w:hAnsi="Calibri"/>
          <w:sz w:val="20"/>
        </w:rPr>
        <w:t xml:space="preserve">El Socio en la Implementación establecerá que ha cumplido con lo anterior, a satisfacción del PNUD, cuando el PNUD o cualquier parte que actúe en su nombre le solicite dicha confirmación. El incumplimiento de lo anterior por parte del Socio en la Implementación, y de cada una de sus subpartes mencionadas en el párrafo 4, según lo determine el PNUD, se considerará motivo de suspensión o terminación del </w:t>
      </w:r>
      <w:r w:rsidR="00E92EF1">
        <w:rPr>
          <w:rFonts w:ascii="Calibri" w:hAnsi="Calibri"/>
          <w:sz w:val="20"/>
        </w:rPr>
        <w:t>p</w:t>
      </w:r>
      <w:r>
        <w:rPr>
          <w:rFonts w:ascii="Calibri" w:hAnsi="Calibri"/>
          <w:sz w:val="20"/>
        </w:rPr>
        <w:t>royecto.</w:t>
      </w:r>
    </w:p>
    <w:p w14:paraId="6ECAE1E8" w14:textId="4B095759" w:rsidR="0011281C" w:rsidRPr="009F3661" w:rsidRDefault="0011281C" w:rsidP="0011281C">
      <w:pPr>
        <w:numPr>
          <w:ilvl w:val="0"/>
          <w:numId w:val="46"/>
        </w:numPr>
        <w:spacing w:after="240"/>
        <w:ind w:left="450" w:hanging="450"/>
        <w:jc w:val="both"/>
        <w:rPr>
          <w:rFonts w:ascii="Calibri" w:eastAsia="SimSun" w:hAnsi="Calibri" w:cs="Arial"/>
          <w:sz w:val="20"/>
          <w:szCs w:val="20"/>
          <w:u w:val="single"/>
        </w:rPr>
      </w:pPr>
      <w:r>
        <w:rPr>
          <w:rFonts w:ascii="Calibri" w:hAnsi="Calibri"/>
          <w:sz w:val="20"/>
        </w:rPr>
        <w:t xml:space="preserve">La sostenibilidad social y ambiental se reforzará mediante la aplicación de </w:t>
      </w:r>
      <w:r w:rsidR="00C76CB7">
        <w:rPr>
          <w:rFonts w:ascii="Calibri" w:hAnsi="Calibri"/>
          <w:sz w:val="20"/>
        </w:rPr>
        <w:t>los Estándares</w:t>
      </w:r>
      <w:r>
        <w:rPr>
          <w:rFonts w:ascii="Calibri" w:hAnsi="Calibri"/>
          <w:sz w:val="20"/>
        </w:rPr>
        <w:t xml:space="preserve"> Sociales y Ambientales del PNUD (http://www.undp.org/ses) y el correspondiente Mecanismo de Rendición de Cuentas (http://www.undp.org/secu-srm).  </w:t>
      </w:r>
      <w:r>
        <w:rPr>
          <w:rFonts w:ascii="Calibri" w:hAnsi="Calibri"/>
          <w:color w:val="000000"/>
          <w:sz w:val="20"/>
        </w:rPr>
        <w:t> </w:t>
      </w:r>
    </w:p>
    <w:p w14:paraId="7849738B" w14:textId="113B5228" w:rsidR="0011281C" w:rsidRPr="009F3661" w:rsidRDefault="0011281C" w:rsidP="0011281C">
      <w:pPr>
        <w:numPr>
          <w:ilvl w:val="0"/>
          <w:numId w:val="46"/>
        </w:numPr>
        <w:autoSpaceDE w:val="0"/>
        <w:autoSpaceDN w:val="0"/>
        <w:adjustRightInd w:val="0"/>
        <w:ind w:left="360"/>
        <w:jc w:val="both"/>
        <w:rPr>
          <w:rFonts w:ascii="Calibri" w:eastAsia="MS Mincho" w:hAnsi="Calibri" w:cs="Arial"/>
          <w:color w:val="000000"/>
          <w:sz w:val="20"/>
          <w:szCs w:val="20"/>
        </w:rPr>
      </w:pPr>
      <w:r>
        <w:rPr>
          <w:rFonts w:ascii="Calibri" w:hAnsi="Calibri"/>
          <w:color w:val="101010"/>
          <w:sz w:val="20"/>
        </w:rPr>
        <w:t xml:space="preserve">El Socio en la Implementación deberá: (a) llevar a cabo las actividades relacionadas con el proyecto y el programa de manera coherente con </w:t>
      </w:r>
      <w:r w:rsidR="00C76CB7">
        <w:rPr>
          <w:rFonts w:ascii="Calibri" w:hAnsi="Calibri"/>
          <w:color w:val="101010"/>
          <w:sz w:val="20"/>
        </w:rPr>
        <w:t>los Estándares</w:t>
      </w:r>
      <w:r>
        <w:rPr>
          <w:rFonts w:ascii="Calibri" w:hAnsi="Calibri"/>
          <w:color w:val="101010"/>
          <w:sz w:val="20"/>
        </w:rPr>
        <w:t xml:space="preserve"> Sociales y Ambientales del PNUD, (b) aplicar cualquier plan de gestión o mitigación preparado para el proyecto o programa para cumplir con dichas normas, y (c) comprometerse de manera constructiva y oportuna para abordar cualquier preocupación y queja planteada a través del Mecanismo de Rendición de Cuentas. </w:t>
      </w:r>
      <w:r>
        <w:rPr>
          <w:rFonts w:ascii="Calibri" w:hAnsi="Calibri"/>
          <w:color w:val="141414"/>
          <w:sz w:val="20"/>
        </w:rPr>
        <w:t>EL PNUD</w:t>
      </w:r>
      <w:r>
        <w:rPr>
          <w:rFonts w:ascii="Calibri" w:hAnsi="Calibri"/>
          <w:color w:val="000000"/>
          <w:sz w:val="20"/>
        </w:rPr>
        <w:t xml:space="preserve"> tratará de garantizar que las comunidades y otras partes interesadas del proyecto estén informadas y tengan acceso al Mecanismo de Rendición de Cuentas. </w:t>
      </w:r>
    </w:p>
    <w:p w14:paraId="34E29BD9" w14:textId="77777777" w:rsidR="0011281C" w:rsidRPr="009F3661" w:rsidRDefault="0011281C" w:rsidP="0011281C">
      <w:pPr>
        <w:numPr>
          <w:ilvl w:val="0"/>
          <w:numId w:val="46"/>
        </w:numPr>
        <w:spacing w:before="240" w:after="240"/>
        <w:ind w:left="360"/>
        <w:jc w:val="both"/>
        <w:rPr>
          <w:rFonts w:ascii="Calibri" w:eastAsia="SimSun" w:hAnsi="Calibri" w:cs="Arial"/>
          <w:spacing w:val="-4"/>
          <w:sz w:val="20"/>
          <w:szCs w:val="20"/>
        </w:rPr>
      </w:pPr>
      <w:r>
        <w:rPr>
          <w:rFonts w:ascii="Calibri" w:hAnsi="Calibri"/>
          <w:sz w:val="20"/>
        </w:rPr>
        <w:t>Todos los signatarios del Documento de Proyecto cooperarán de buena fe con cualquier ejercicio de evaluación de los compromisos relacionados con el programa o proyecto o del cumplimiento de los Estándares Sociales y Ambientales del PNUD. Esto incluye facilitar el acceso a los sitios del proyecto, al personal pertinente, a la información y a la documentación.</w:t>
      </w:r>
    </w:p>
    <w:p w14:paraId="7481B383" w14:textId="77777777" w:rsidR="0011281C" w:rsidRPr="009F3661" w:rsidRDefault="0011281C" w:rsidP="0011281C">
      <w:pPr>
        <w:numPr>
          <w:ilvl w:val="0"/>
          <w:numId w:val="46"/>
        </w:numPr>
        <w:autoSpaceDE w:val="0"/>
        <w:autoSpaceDN w:val="0"/>
        <w:adjustRightInd w:val="0"/>
        <w:ind w:left="360"/>
        <w:jc w:val="both"/>
        <w:rPr>
          <w:rFonts w:ascii="Calibri" w:eastAsia="Calibri" w:hAnsi="Calibri" w:cs="Arial"/>
          <w:color w:val="000000"/>
          <w:sz w:val="20"/>
          <w:szCs w:val="20"/>
        </w:rPr>
      </w:pPr>
      <w:r>
        <w:rPr>
          <w:rFonts w:ascii="Calibri" w:hAnsi="Calibri"/>
          <w:color w:val="000000"/>
          <w:sz w:val="20"/>
        </w:rPr>
        <w:t>El Socio en la Implementación tomará las medidas apropiadas para prevenir el uso indebido de fondos, fraude o corrupción, por parte de sus funcionarios, consultores, partes responsables, subcontratistas y sub-receptores en la implementación del proyecto o en el uso de los fondos del PNUD.  El Socio en la Implementación garantizará que sus políticas de gestión financiera, anticorrupción y antifraude estén en vigor y se apliquen a toda la financiación recibida del PNUD o a través de él.</w:t>
      </w:r>
    </w:p>
    <w:p w14:paraId="2ED0A712" w14:textId="77777777" w:rsidR="0011281C" w:rsidRPr="002152FE" w:rsidRDefault="0011281C" w:rsidP="0011281C">
      <w:pPr>
        <w:autoSpaceDE w:val="0"/>
        <w:autoSpaceDN w:val="0"/>
        <w:adjustRightInd w:val="0"/>
        <w:ind w:left="360"/>
        <w:jc w:val="both"/>
        <w:rPr>
          <w:rFonts w:ascii="Calibri" w:eastAsia="Calibri" w:hAnsi="Calibri" w:cs="Arial"/>
          <w:color w:val="000000"/>
          <w:sz w:val="20"/>
          <w:szCs w:val="20"/>
          <w:lang w:val="es-EC"/>
        </w:rPr>
      </w:pPr>
    </w:p>
    <w:p w14:paraId="15A62865" w14:textId="68132F9D" w:rsidR="0011281C" w:rsidRPr="009F3661" w:rsidRDefault="0011281C" w:rsidP="0011281C">
      <w:pPr>
        <w:numPr>
          <w:ilvl w:val="0"/>
          <w:numId w:val="46"/>
        </w:numPr>
        <w:autoSpaceDE w:val="0"/>
        <w:autoSpaceDN w:val="0"/>
        <w:adjustRightInd w:val="0"/>
        <w:ind w:left="360"/>
        <w:jc w:val="both"/>
        <w:rPr>
          <w:rFonts w:ascii="Calibri" w:eastAsia="Calibri" w:hAnsi="Calibri" w:cs="Arial"/>
          <w:color w:val="000000"/>
          <w:sz w:val="20"/>
          <w:szCs w:val="20"/>
        </w:rPr>
      </w:pPr>
      <w:r>
        <w:rPr>
          <w:rFonts w:ascii="Calibri" w:hAnsi="Calibri"/>
          <w:color w:val="000000"/>
          <w:sz w:val="20"/>
        </w:rPr>
        <w:t xml:space="preserve">Los requisitos de los siguientes documentos, vigentes en el momento de la firma del Documento de Proyecto, se aplican al Socio en la Implementación: (a) </w:t>
      </w:r>
      <w:r w:rsidR="00D44866">
        <w:rPr>
          <w:rFonts w:ascii="Calibri" w:hAnsi="Calibri"/>
          <w:color w:val="000000"/>
          <w:sz w:val="20"/>
        </w:rPr>
        <w:t>p</w:t>
      </w:r>
      <w:r>
        <w:rPr>
          <w:rFonts w:ascii="Calibri" w:hAnsi="Calibri"/>
          <w:color w:val="000000"/>
          <w:sz w:val="20"/>
        </w:rPr>
        <w:t>olítica del PNUD en materia de fraude y otras prácticas corruptas y (b)</w:t>
      </w:r>
      <w:r>
        <w:rPr>
          <w:rFonts w:ascii="Calibri" w:hAnsi="Calibri"/>
          <w:b/>
          <w:color w:val="000000"/>
          <w:sz w:val="20"/>
        </w:rPr>
        <w:t xml:space="preserve"> </w:t>
      </w:r>
      <w:r w:rsidR="00D44866">
        <w:rPr>
          <w:rFonts w:ascii="Calibri" w:hAnsi="Calibri"/>
          <w:color w:val="000000"/>
          <w:sz w:val="20"/>
        </w:rPr>
        <w:t>d</w:t>
      </w:r>
      <w:r>
        <w:rPr>
          <w:rFonts w:ascii="Calibri" w:hAnsi="Calibri"/>
          <w:color w:val="000000"/>
          <w:sz w:val="20"/>
        </w:rPr>
        <w:t xml:space="preserve">irectrices de investigación de la Oficina de Auditoría e Investigaciones del PNUD. </w:t>
      </w:r>
      <w:r>
        <w:rPr>
          <w:rFonts w:ascii="Calibri" w:hAnsi="Calibri"/>
          <w:sz w:val="20"/>
        </w:rPr>
        <w:t xml:space="preserve">El Socio en la Implementación acepta los requisitos de los documentos anteriores, que forman parte integrante de este Documento de Proyecto y están disponibles en línea en www.undp.org. </w:t>
      </w:r>
    </w:p>
    <w:p w14:paraId="22686FC7" w14:textId="77777777" w:rsidR="0011281C" w:rsidRPr="002152FE" w:rsidRDefault="0011281C" w:rsidP="0011281C">
      <w:pPr>
        <w:ind w:left="360"/>
        <w:jc w:val="both"/>
        <w:rPr>
          <w:rFonts w:ascii="Calibri" w:eastAsia="SimSun" w:hAnsi="Calibri" w:cs="Arial"/>
          <w:color w:val="000000"/>
          <w:sz w:val="20"/>
          <w:szCs w:val="20"/>
          <w:lang w:val="es-EC"/>
        </w:rPr>
      </w:pPr>
    </w:p>
    <w:p w14:paraId="1B94EAE7" w14:textId="77777777" w:rsidR="0011281C" w:rsidRPr="009F3661" w:rsidRDefault="0011281C" w:rsidP="0011281C">
      <w:pPr>
        <w:numPr>
          <w:ilvl w:val="0"/>
          <w:numId w:val="46"/>
        </w:numPr>
        <w:ind w:left="360"/>
        <w:jc w:val="both"/>
        <w:rPr>
          <w:rFonts w:ascii="Calibri" w:eastAsia="SimSun" w:hAnsi="Calibri" w:cs="Arial"/>
          <w:color w:val="000000"/>
          <w:sz w:val="20"/>
          <w:szCs w:val="20"/>
        </w:rPr>
      </w:pPr>
      <w:r>
        <w:rPr>
          <w:rFonts w:ascii="Calibri" w:hAnsi="Calibri"/>
          <w:color w:val="000000"/>
          <w:sz w:val="20"/>
        </w:rPr>
        <w:t>En caso de que se requiera una investigación, el PNUD tiene la obligación de llevar a cabo investigaciones relacionadas con cualquier aspecto de los proyectos y programas del PNUD de conformidad con los reglamentos, normas, políticas y procedimientos del PNUD. El Socio en la Implementación prestará su plena cooperación, incluida la puesta a disposición de personal, documentación pertinente y acceso a las instalaciones del Socio en la Implementación (y de sus consultores, partes responsables, subcontratistas y subreceptores), para los fines y en las condiciones razonables que puedan requerirse a efectos de una investigación. Si hubiera alguna limitación para cumplir con esta obligación, el PNUD consultará con el Socio en la Implementación para encontrar una solución.</w:t>
      </w:r>
    </w:p>
    <w:p w14:paraId="3B046FF1" w14:textId="77777777" w:rsidR="0011281C" w:rsidRPr="002152FE" w:rsidRDefault="0011281C" w:rsidP="0011281C">
      <w:pPr>
        <w:ind w:left="360"/>
        <w:jc w:val="both"/>
        <w:rPr>
          <w:rFonts w:ascii="Calibri" w:eastAsia="Calibri" w:hAnsi="Calibri" w:cs="Arial"/>
          <w:color w:val="000000"/>
          <w:sz w:val="20"/>
          <w:szCs w:val="20"/>
          <w:lang w:val="es-EC"/>
        </w:rPr>
      </w:pPr>
    </w:p>
    <w:p w14:paraId="34474A17" w14:textId="77777777" w:rsidR="0011281C" w:rsidRPr="009F3661" w:rsidRDefault="0011281C" w:rsidP="0011281C">
      <w:pPr>
        <w:numPr>
          <w:ilvl w:val="0"/>
          <w:numId w:val="46"/>
        </w:numPr>
        <w:ind w:left="360"/>
        <w:jc w:val="both"/>
        <w:rPr>
          <w:rFonts w:ascii="Calibri" w:eastAsia="SimSun" w:hAnsi="Calibri" w:cs="Calibri"/>
          <w:sz w:val="20"/>
          <w:szCs w:val="20"/>
        </w:rPr>
      </w:pPr>
      <w:r>
        <w:rPr>
          <w:rFonts w:ascii="Calibri" w:hAnsi="Calibri"/>
          <w:sz w:val="20"/>
        </w:rPr>
        <w:t>Los firmantes de este Documento de Proyecto se informarán mutuamente y con la debida confidencialidad en caso de cualquier incidencia de uso inapropiado de fondos, o alegación creíble de fraude o corrupción.</w:t>
      </w:r>
    </w:p>
    <w:p w14:paraId="2DF23085" w14:textId="77777777" w:rsidR="0011281C" w:rsidRPr="002152FE" w:rsidRDefault="0011281C" w:rsidP="0011281C">
      <w:pPr>
        <w:ind w:left="360"/>
        <w:jc w:val="both"/>
        <w:rPr>
          <w:rFonts w:ascii="Calibri" w:eastAsia="SimSun" w:hAnsi="Calibri" w:cs="Calibri"/>
          <w:sz w:val="20"/>
          <w:szCs w:val="20"/>
          <w:lang w:val="es-EC"/>
        </w:rPr>
      </w:pPr>
    </w:p>
    <w:p w14:paraId="3F3C21D4" w14:textId="43168DA6" w:rsidR="0011281C" w:rsidRPr="009F3661" w:rsidRDefault="0011281C" w:rsidP="0011281C">
      <w:pPr>
        <w:ind w:left="360"/>
        <w:jc w:val="both"/>
        <w:rPr>
          <w:rFonts w:ascii="Calibri" w:eastAsia="Calibri" w:hAnsi="Calibri" w:cs="Calibri"/>
          <w:color w:val="000000"/>
          <w:sz w:val="20"/>
          <w:szCs w:val="20"/>
        </w:rPr>
      </w:pPr>
      <w:r>
        <w:rPr>
          <w:rFonts w:ascii="Calibri" w:hAnsi="Calibri"/>
          <w:sz w:val="20"/>
        </w:rPr>
        <w:t xml:space="preserve">Cuando el Socio en la Implementación tenga conocimiento de que un proyecto o actividad del PNUD, en su totalidad o en parte, es objeto de investigación por presunto fraude/corrupción, el Socio en la Implementación informará al Representante Residente/Jefe de Oficina del PNUD, quien informará de inmediato a la Oficina de Auditoría e Investigaciones (OAI) del PNUD. El Socio en la Implementación proporcionará actualizaciones periódicas al </w:t>
      </w:r>
      <w:r w:rsidR="00E92EF1">
        <w:rPr>
          <w:rFonts w:ascii="Calibri" w:hAnsi="Calibri"/>
          <w:sz w:val="20"/>
        </w:rPr>
        <w:t>J</w:t>
      </w:r>
      <w:r>
        <w:rPr>
          <w:rFonts w:ascii="Calibri" w:hAnsi="Calibri"/>
          <w:sz w:val="20"/>
        </w:rPr>
        <w:t>efe del PNUD en el país y a la OAI sobre el estado y las acciones relacionadas con dicha investigación.</w:t>
      </w:r>
    </w:p>
    <w:p w14:paraId="00EA8EBF" w14:textId="77777777" w:rsidR="0011281C" w:rsidRPr="002152FE" w:rsidRDefault="0011281C" w:rsidP="0011281C">
      <w:pPr>
        <w:ind w:left="360"/>
        <w:jc w:val="both"/>
        <w:rPr>
          <w:rFonts w:ascii="Calibri" w:eastAsia="SimSun" w:hAnsi="Calibri" w:cs="Calibri"/>
          <w:i/>
          <w:sz w:val="20"/>
          <w:szCs w:val="20"/>
          <w:lang w:val="es-EC"/>
        </w:rPr>
      </w:pPr>
    </w:p>
    <w:p w14:paraId="4172E8DD" w14:textId="77777777" w:rsidR="0011281C" w:rsidRPr="009F3661" w:rsidRDefault="0011281C" w:rsidP="0011281C">
      <w:pPr>
        <w:numPr>
          <w:ilvl w:val="0"/>
          <w:numId w:val="48"/>
        </w:numPr>
        <w:jc w:val="both"/>
        <w:rPr>
          <w:rFonts w:ascii="Calibri" w:eastAsia="Calibri" w:hAnsi="Calibri" w:cs="Calibri"/>
          <w:color w:val="000000"/>
          <w:sz w:val="20"/>
          <w:szCs w:val="20"/>
        </w:rPr>
      </w:pPr>
      <w:r>
        <w:rPr>
          <w:rFonts w:ascii="Calibri" w:hAnsi="Calibri"/>
          <w:sz w:val="20"/>
        </w:rPr>
        <w:t>El PNUD tendrá derecho a que el Socio en la Implementación le reembolse los fondos proporcionados que se hayan utilizado indebidamente, incluso mediante fraude o corrupción, o que se hayan pagado de otro modo que no sea de conformidad con los términos y condiciones del Documento de Proyecto.  Dicha cantidad podrá ser deducida por el PNUD de cualquier pago debido al Socio en la Implementación en virtud de este o cualquier otro acuerdo.  La recuperación de dicha cantidad por parte del PNUD no disminuirá ni reducirá las obligaciones del Socio en la Implementación en virtud del presente Documento de Proyecto.</w:t>
      </w:r>
    </w:p>
    <w:p w14:paraId="705C37F5" w14:textId="77777777" w:rsidR="0011281C" w:rsidRPr="002152FE" w:rsidRDefault="0011281C" w:rsidP="0011281C">
      <w:pPr>
        <w:ind w:left="360"/>
        <w:jc w:val="both"/>
        <w:rPr>
          <w:rFonts w:ascii="Calibri" w:eastAsia="SimSun" w:hAnsi="Calibri" w:cs="Calibri"/>
          <w:sz w:val="20"/>
          <w:szCs w:val="20"/>
          <w:lang w:val="es-EC"/>
        </w:rPr>
      </w:pPr>
    </w:p>
    <w:p w14:paraId="1CDB96DC" w14:textId="77777777" w:rsidR="0011281C" w:rsidRPr="009F3661" w:rsidRDefault="0011281C" w:rsidP="0011281C">
      <w:pPr>
        <w:ind w:left="360"/>
        <w:jc w:val="both"/>
        <w:rPr>
          <w:rFonts w:ascii="Calibri" w:eastAsia="SimSun" w:hAnsi="Calibri" w:cs="Arial"/>
          <w:sz w:val="20"/>
          <w:szCs w:val="20"/>
        </w:rPr>
      </w:pPr>
      <w:r>
        <w:rPr>
          <w:rFonts w:ascii="Calibri" w:hAnsi="Calibri"/>
          <w:sz w:val="20"/>
        </w:rPr>
        <w:t>En caso de que dichos fondos no hayan sido reembolsados al PNUD, el Socio en la Implementación acepta que los donantes del PNUD (incluido el Gobierno) cuya financiación sea la fuente, total o parcial, de los fondos para las actividades previstas en el presente Documento de Proyecto, puedan recurrir al Socio en la Implementación para la recuperación de cualquier fondo que el PNUD determine que se ha utilizado de forma inadecuada, incluso mediante fraude o corrupción, o que se ha pagado de otro modo que no sea de conformidad con los términos y condiciones del Documento de Proyecto.</w:t>
      </w:r>
    </w:p>
    <w:p w14:paraId="2F373C48" w14:textId="77777777" w:rsidR="0011281C" w:rsidRPr="002152FE" w:rsidRDefault="0011281C" w:rsidP="0011281C">
      <w:pPr>
        <w:ind w:left="360"/>
        <w:jc w:val="both"/>
        <w:rPr>
          <w:rFonts w:ascii="Calibri" w:eastAsia="SimSun" w:hAnsi="Calibri" w:cs="Arial"/>
          <w:sz w:val="20"/>
          <w:szCs w:val="20"/>
          <w:lang w:val="es-EC"/>
        </w:rPr>
      </w:pPr>
    </w:p>
    <w:p w14:paraId="75105F22" w14:textId="76486775" w:rsidR="0011281C" w:rsidRPr="009F3661" w:rsidRDefault="0011281C" w:rsidP="0011281C">
      <w:pPr>
        <w:ind w:left="360"/>
        <w:jc w:val="both"/>
        <w:rPr>
          <w:rFonts w:ascii="Calibri" w:eastAsia="Calibri" w:hAnsi="Calibri" w:cs="Arial"/>
          <w:color w:val="000000"/>
          <w:sz w:val="20"/>
          <w:szCs w:val="20"/>
        </w:rPr>
      </w:pPr>
      <w:r>
        <w:rPr>
          <w:rFonts w:ascii="Calibri" w:hAnsi="Calibri"/>
          <w:i/>
          <w:sz w:val="20"/>
          <w:u w:val="single"/>
        </w:rPr>
        <w:t>Nota</w:t>
      </w:r>
      <w:r>
        <w:rPr>
          <w:rFonts w:ascii="Calibri" w:hAnsi="Calibri"/>
          <w:i/>
          <w:sz w:val="20"/>
        </w:rPr>
        <w:t>:</w:t>
      </w:r>
      <w:r>
        <w:rPr>
          <w:rFonts w:ascii="Calibri" w:hAnsi="Calibri"/>
          <w:sz w:val="20"/>
        </w:rPr>
        <w:t xml:space="preserve">  Se considerará que el término "Documento de Proyecto", tal y como se utiliza en esta cláusula, incluye cualquier acuerdo subsidiario pertinente posterior al Documento de Proyecto, incluidos aquellos con partes responsables, subcontratistas y subreceptores.</w:t>
      </w:r>
    </w:p>
    <w:p w14:paraId="101E9869" w14:textId="77777777" w:rsidR="0011281C" w:rsidRPr="002152FE" w:rsidRDefault="0011281C" w:rsidP="0011281C">
      <w:pPr>
        <w:ind w:left="360"/>
        <w:jc w:val="both"/>
        <w:rPr>
          <w:rFonts w:ascii="Calibri" w:eastAsia="SimSun" w:hAnsi="Calibri" w:cs="Arial"/>
          <w:sz w:val="20"/>
          <w:szCs w:val="20"/>
          <w:lang w:val="es-EC"/>
        </w:rPr>
      </w:pPr>
    </w:p>
    <w:p w14:paraId="00C9ADC5" w14:textId="77777777" w:rsidR="0011281C" w:rsidRPr="009F3661" w:rsidRDefault="0011281C" w:rsidP="0011281C">
      <w:pPr>
        <w:numPr>
          <w:ilvl w:val="0"/>
          <w:numId w:val="49"/>
        </w:numPr>
        <w:jc w:val="both"/>
        <w:rPr>
          <w:rFonts w:ascii="Calibri" w:eastAsia="SimSun" w:hAnsi="Calibri" w:cs="Arial"/>
          <w:sz w:val="20"/>
          <w:szCs w:val="20"/>
        </w:rPr>
      </w:pPr>
      <w:r>
        <w:rPr>
          <w:rFonts w:ascii="Calibri" w:hAnsi="Calibri"/>
          <w:sz w:val="20"/>
        </w:rPr>
        <w:t>Cada contrato emitido por el Socio en la Implementación en relación con este Documento de Proyecto incluirá una disposición que declare que no se han dado, recibido o prometido honorarios, gratificaciones, rebajas, regalos, comisiones u otros pagos, distintos de los indicados en la propuesta, en relación con el proceso de selección o en la ejecución del contrato, y que el receptor de los fondos del Socio en la Implementación cooperará con todas y cada una de las investigaciones y auditorías posteriores al pago.</w:t>
      </w:r>
    </w:p>
    <w:p w14:paraId="541C05D4" w14:textId="77777777" w:rsidR="0011281C" w:rsidRPr="002152FE" w:rsidRDefault="0011281C" w:rsidP="0011281C">
      <w:pPr>
        <w:ind w:left="360"/>
        <w:jc w:val="both"/>
        <w:rPr>
          <w:rFonts w:ascii="Calibri" w:eastAsia="SimSun" w:hAnsi="Calibri" w:cs="Arial"/>
          <w:sz w:val="20"/>
          <w:szCs w:val="20"/>
          <w:lang w:val="es-EC"/>
        </w:rPr>
      </w:pPr>
    </w:p>
    <w:p w14:paraId="521876C0" w14:textId="77777777" w:rsidR="0011281C" w:rsidRPr="009F3661" w:rsidRDefault="0011281C" w:rsidP="0011281C">
      <w:pPr>
        <w:numPr>
          <w:ilvl w:val="0"/>
          <w:numId w:val="49"/>
        </w:numPr>
        <w:jc w:val="both"/>
        <w:rPr>
          <w:rFonts w:ascii="Calibri" w:eastAsia="SimSun" w:hAnsi="Calibri" w:cs="Arial"/>
          <w:sz w:val="20"/>
          <w:szCs w:val="20"/>
        </w:rPr>
      </w:pPr>
      <w:r>
        <w:rPr>
          <w:rFonts w:ascii="Calibri" w:hAnsi="Calibri"/>
          <w:sz w:val="20"/>
        </w:rPr>
        <w:t>En caso de que el PNUD remita a las autoridades nacionales pertinentes cualquier presunta irregularidad relacionada con el proyecto para que emprendan las acciones legales oportunas, el Gobierno garantizará que las autoridades nacionales pertinentes investiguen activamente dicha irregularidad y emprendan las acciones legales oportunas contra todas las personas que hayan participado en la irregularidad, recuperen y devuelvan al PNUD los fondos recuperados.</w:t>
      </w:r>
    </w:p>
    <w:p w14:paraId="0F9075CD" w14:textId="77777777" w:rsidR="0011281C" w:rsidRPr="002152FE" w:rsidRDefault="0011281C" w:rsidP="0011281C">
      <w:pPr>
        <w:ind w:left="360"/>
        <w:jc w:val="both"/>
        <w:rPr>
          <w:rFonts w:ascii="Calibri" w:eastAsia="SimSun" w:hAnsi="Calibri" w:cs="Arial"/>
          <w:sz w:val="20"/>
          <w:szCs w:val="20"/>
          <w:lang w:val="es-EC"/>
        </w:rPr>
      </w:pPr>
    </w:p>
    <w:p w14:paraId="3403E8FA" w14:textId="77777777" w:rsidR="0011281C" w:rsidRPr="009F3661" w:rsidRDefault="0011281C" w:rsidP="0011281C">
      <w:pPr>
        <w:numPr>
          <w:ilvl w:val="0"/>
          <w:numId w:val="49"/>
        </w:numPr>
        <w:jc w:val="both"/>
        <w:rPr>
          <w:rFonts w:ascii="Calibri" w:eastAsia="SimSun" w:hAnsi="Calibri" w:cs="Arial"/>
          <w:sz w:val="20"/>
          <w:szCs w:val="20"/>
        </w:rPr>
      </w:pPr>
      <w:r>
        <w:rPr>
          <w:rFonts w:ascii="Calibri" w:hAnsi="Calibri"/>
          <w:sz w:val="20"/>
        </w:rPr>
        <w:t xml:space="preserve">El Socio en la Implementación se asegurará de que todas sus obligaciones establecidas en esta sección titulada "Gestión de Riesgos" se transmitan a cada parte responsable, subcontratista y subreceptor, y de que todas las cláusulas de esta sección titulada "Cláusulas Estándar de Gestión de Riesgos" se incluyan, </w:t>
      </w:r>
      <w:r>
        <w:rPr>
          <w:rFonts w:ascii="Calibri" w:hAnsi="Calibri"/>
          <w:i/>
          <w:sz w:val="20"/>
        </w:rPr>
        <w:t>mutatis mutandis</w:t>
      </w:r>
      <w:r>
        <w:rPr>
          <w:rFonts w:ascii="Calibri" w:hAnsi="Calibri"/>
          <w:sz w:val="20"/>
        </w:rPr>
        <w:t>, en todos los subcontratos o subacuerdos celebrados con posterioridad a este Documento de Proyecto.</w:t>
      </w:r>
    </w:p>
    <w:p w14:paraId="3F0989B3" w14:textId="63DC7214" w:rsidR="00B7157E" w:rsidRPr="002152FE" w:rsidRDefault="00B7157E" w:rsidP="00051CFB">
      <w:pPr>
        <w:jc w:val="both"/>
        <w:rPr>
          <w:rFonts w:asciiTheme="minorHAnsi" w:eastAsia="SimSun" w:hAnsiTheme="minorHAnsi" w:cstheme="minorHAnsi"/>
          <w:sz w:val="20"/>
          <w:szCs w:val="20"/>
          <w:lang w:val="es-EC"/>
        </w:rPr>
      </w:pPr>
    </w:p>
    <w:p w14:paraId="5AA30326" w14:textId="3ABCAEDC" w:rsidR="00966EF0" w:rsidRPr="00E66738" w:rsidRDefault="00316322" w:rsidP="00B7157E">
      <w:pPr>
        <w:spacing w:after="160" w:line="259" w:lineRule="auto"/>
        <w:rPr>
          <w:rFonts w:asciiTheme="minorHAnsi" w:eastAsia="SimSun" w:hAnsiTheme="minorHAnsi" w:cstheme="minorHAnsi"/>
          <w:sz w:val="20"/>
          <w:szCs w:val="20"/>
        </w:rPr>
      </w:pPr>
      <w:r>
        <w:br w:type="page"/>
      </w:r>
    </w:p>
    <w:p w14:paraId="08A9659F" w14:textId="65AC2B93" w:rsidR="006358E4" w:rsidRPr="006A315B" w:rsidRDefault="003D4BF1" w:rsidP="00316322">
      <w:pPr>
        <w:keepNext/>
        <w:pBdr>
          <w:top w:val="single" w:sz="4" w:space="1" w:color="auto"/>
        </w:pBdr>
        <w:tabs>
          <w:tab w:val="num" w:pos="720"/>
        </w:tabs>
        <w:suppressAutoHyphens/>
        <w:spacing w:after="60"/>
        <w:jc w:val="both"/>
        <w:outlineLvl w:val="0"/>
        <w:rPr>
          <w:rFonts w:ascii="Calibri" w:eastAsia="SimSun" w:hAnsi="Calibri"/>
          <w:b/>
          <w:smallCaps/>
          <w:spacing w:val="-2"/>
          <w:sz w:val="28"/>
          <w:szCs w:val="20"/>
        </w:rPr>
      </w:pPr>
      <w:bookmarkStart w:id="59" w:name="_Toc114650852"/>
      <w:bookmarkStart w:id="60" w:name="_Toc144822677"/>
      <w:r>
        <w:rPr>
          <w:rFonts w:ascii="Calibri" w:hAnsi="Calibri"/>
          <w:b/>
          <w:smallCaps/>
          <w:sz w:val="28"/>
        </w:rPr>
        <w:t>XII. Anexos obligatorios</w:t>
      </w:r>
      <w:bookmarkEnd w:id="59"/>
      <w:bookmarkEnd w:id="60"/>
    </w:p>
    <w:p w14:paraId="64FD4D04" w14:textId="77777777" w:rsidR="00966EF0" w:rsidRPr="006A315B" w:rsidRDefault="00966EF0" w:rsidP="00966EF0">
      <w:pPr>
        <w:spacing w:after="60"/>
        <w:jc w:val="both"/>
        <w:rPr>
          <w:rFonts w:ascii="Calibri" w:eastAsia="SimSun" w:hAnsi="Calibri"/>
          <w:sz w:val="20"/>
          <w:lang w:val="en-US"/>
        </w:rPr>
      </w:pPr>
    </w:p>
    <w:p w14:paraId="41AC2E64" w14:textId="5344FD8F" w:rsidR="00DC294C" w:rsidRPr="00DC294C" w:rsidRDefault="00966EF0" w:rsidP="00DC294C">
      <w:pPr>
        <w:pStyle w:val="Ttulo2"/>
        <w:numPr>
          <w:ilvl w:val="0"/>
          <w:numId w:val="44"/>
        </w:numPr>
        <w:rPr>
          <w:rFonts w:asciiTheme="minorHAnsi" w:hAnsiTheme="minorHAnsi" w:cstheme="minorHAnsi"/>
          <w:b w:val="0"/>
          <w:bCs w:val="0"/>
        </w:rPr>
      </w:pPr>
      <w:bookmarkStart w:id="61" w:name="_Toc144822678"/>
      <w:r>
        <w:rPr>
          <w:rFonts w:asciiTheme="minorHAnsi" w:hAnsiTheme="minorHAnsi"/>
          <w:b w:val="0"/>
        </w:rPr>
        <w:t>Plantilla presupuestaria del FMAM</w:t>
      </w:r>
      <w:bookmarkEnd w:id="61"/>
    </w:p>
    <w:p w14:paraId="16027C52" w14:textId="18C03224" w:rsidR="00DC294C" w:rsidRPr="00DC294C" w:rsidRDefault="00966EF0" w:rsidP="00DC294C">
      <w:pPr>
        <w:pStyle w:val="Ttulo2"/>
        <w:numPr>
          <w:ilvl w:val="0"/>
          <w:numId w:val="44"/>
        </w:numPr>
        <w:rPr>
          <w:rFonts w:asciiTheme="minorHAnsi" w:hAnsiTheme="minorHAnsi" w:cstheme="minorHAnsi"/>
          <w:b w:val="0"/>
          <w:bCs w:val="0"/>
        </w:rPr>
      </w:pPr>
      <w:bookmarkStart w:id="62" w:name="_Toc144822679"/>
      <w:r>
        <w:rPr>
          <w:rFonts w:asciiTheme="minorHAnsi" w:hAnsiTheme="minorHAnsi"/>
          <w:b w:val="0"/>
        </w:rPr>
        <w:t>Carta de apoyo a la ejecución del FMAM</w:t>
      </w:r>
      <w:bookmarkEnd w:id="62"/>
    </w:p>
    <w:p w14:paraId="1B1A634E" w14:textId="2BE2C513" w:rsidR="00DC294C" w:rsidRPr="00DC294C" w:rsidRDefault="00966EF0" w:rsidP="00DC294C">
      <w:pPr>
        <w:pStyle w:val="Ttulo2"/>
        <w:numPr>
          <w:ilvl w:val="0"/>
          <w:numId w:val="44"/>
        </w:numPr>
        <w:rPr>
          <w:rFonts w:asciiTheme="minorHAnsi" w:hAnsiTheme="minorHAnsi" w:cstheme="minorHAnsi"/>
          <w:b w:val="0"/>
          <w:bCs w:val="0"/>
        </w:rPr>
      </w:pPr>
      <w:bookmarkStart w:id="63" w:name="_Toc144822680"/>
      <w:r>
        <w:rPr>
          <w:rFonts w:asciiTheme="minorHAnsi" w:hAnsiTheme="minorHAnsi"/>
          <w:b w:val="0"/>
        </w:rPr>
        <w:t>Mapa del proyecto y coordenadas geoespaciales de la zona del proyecto</w:t>
      </w:r>
      <w:bookmarkEnd w:id="63"/>
    </w:p>
    <w:p w14:paraId="78A0B0A5" w14:textId="61E7A332" w:rsidR="00DC294C" w:rsidRPr="00DC294C" w:rsidRDefault="00966EF0" w:rsidP="00DC294C">
      <w:pPr>
        <w:pStyle w:val="Ttulo2"/>
        <w:numPr>
          <w:ilvl w:val="0"/>
          <w:numId w:val="44"/>
        </w:numPr>
        <w:rPr>
          <w:rFonts w:asciiTheme="minorHAnsi" w:hAnsiTheme="minorHAnsi" w:cstheme="minorHAnsi"/>
          <w:b w:val="0"/>
          <w:bCs w:val="0"/>
        </w:rPr>
      </w:pPr>
      <w:bookmarkStart w:id="64" w:name="_Toc144822681"/>
      <w:r>
        <w:rPr>
          <w:rFonts w:asciiTheme="minorHAnsi" w:hAnsiTheme="minorHAnsi"/>
          <w:b w:val="0"/>
        </w:rPr>
        <w:t xml:space="preserve">Plan de </w:t>
      </w:r>
      <w:r w:rsidR="00E9352A">
        <w:rPr>
          <w:rFonts w:asciiTheme="minorHAnsi" w:hAnsiTheme="minorHAnsi"/>
          <w:b w:val="0"/>
        </w:rPr>
        <w:t>T</w:t>
      </w:r>
      <w:r>
        <w:rPr>
          <w:rFonts w:asciiTheme="minorHAnsi" w:hAnsiTheme="minorHAnsi"/>
          <w:b w:val="0"/>
        </w:rPr>
        <w:t xml:space="preserve">rabajo </w:t>
      </w:r>
      <w:r w:rsidR="00E9352A">
        <w:rPr>
          <w:rFonts w:asciiTheme="minorHAnsi" w:hAnsiTheme="minorHAnsi"/>
          <w:b w:val="0"/>
        </w:rPr>
        <w:t>P</w:t>
      </w:r>
      <w:r>
        <w:rPr>
          <w:rFonts w:asciiTheme="minorHAnsi" w:hAnsiTheme="minorHAnsi"/>
          <w:b w:val="0"/>
        </w:rPr>
        <w:t>lurianual</w:t>
      </w:r>
      <w:bookmarkEnd w:id="64"/>
    </w:p>
    <w:p w14:paraId="659380C8" w14:textId="23AA82C8" w:rsidR="00DC294C" w:rsidRPr="00DC294C" w:rsidRDefault="00966EF0" w:rsidP="00DC294C">
      <w:pPr>
        <w:pStyle w:val="Ttulo2"/>
        <w:numPr>
          <w:ilvl w:val="0"/>
          <w:numId w:val="44"/>
        </w:numPr>
        <w:rPr>
          <w:rFonts w:asciiTheme="minorHAnsi" w:hAnsiTheme="minorHAnsi" w:cstheme="minorHAnsi"/>
          <w:b w:val="0"/>
          <w:bCs w:val="0"/>
        </w:rPr>
      </w:pPr>
      <w:bookmarkStart w:id="65" w:name="_Toc144822682"/>
      <w:r>
        <w:rPr>
          <w:rFonts w:asciiTheme="minorHAnsi" w:hAnsiTheme="minorHAnsi"/>
          <w:b w:val="0"/>
        </w:rPr>
        <w:t xml:space="preserve">Procedimiento de </w:t>
      </w:r>
      <w:r w:rsidR="00E92EF1">
        <w:rPr>
          <w:rFonts w:asciiTheme="minorHAnsi" w:hAnsiTheme="minorHAnsi"/>
          <w:b w:val="0"/>
        </w:rPr>
        <w:t>E</w:t>
      </w:r>
      <w:r>
        <w:rPr>
          <w:rFonts w:asciiTheme="minorHAnsi" w:hAnsiTheme="minorHAnsi"/>
          <w:b w:val="0"/>
        </w:rPr>
        <w:t xml:space="preserve">valuación </w:t>
      </w:r>
      <w:r w:rsidR="00E92EF1">
        <w:rPr>
          <w:rFonts w:asciiTheme="minorHAnsi" w:hAnsiTheme="minorHAnsi"/>
          <w:b w:val="0"/>
        </w:rPr>
        <w:t>S</w:t>
      </w:r>
      <w:r>
        <w:rPr>
          <w:rFonts w:asciiTheme="minorHAnsi" w:hAnsiTheme="minorHAnsi"/>
          <w:b w:val="0"/>
        </w:rPr>
        <w:t xml:space="preserve">ocial y </w:t>
      </w:r>
      <w:r w:rsidR="00E92EF1">
        <w:rPr>
          <w:rFonts w:asciiTheme="minorHAnsi" w:hAnsiTheme="minorHAnsi"/>
          <w:b w:val="0"/>
        </w:rPr>
        <w:t>A</w:t>
      </w:r>
      <w:r>
        <w:rPr>
          <w:rFonts w:asciiTheme="minorHAnsi" w:hAnsiTheme="minorHAnsi"/>
          <w:b w:val="0"/>
        </w:rPr>
        <w:t>mbiental (</w:t>
      </w:r>
      <w:r w:rsidR="00AE72DB">
        <w:rPr>
          <w:rFonts w:asciiTheme="minorHAnsi" w:hAnsiTheme="minorHAnsi"/>
          <w:b w:val="0"/>
        </w:rPr>
        <w:t>SESP</w:t>
      </w:r>
      <w:r>
        <w:rPr>
          <w:rFonts w:asciiTheme="minorHAnsi" w:hAnsiTheme="minorHAnsi"/>
          <w:b w:val="0"/>
        </w:rPr>
        <w:t>)</w:t>
      </w:r>
      <w:bookmarkEnd w:id="65"/>
    </w:p>
    <w:p w14:paraId="07F97A53" w14:textId="4AD8EBB2" w:rsidR="00DC294C" w:rsidRPr="00DC294C" w:rsidRDefault="00966EF0" w:rsidP="00DC294C">
      <w:pPr>
        <w:pStyle w:val="Ttulo2"/>
        <w:numPr>
          <w:ilvl w:val="0"/>
          <w:numId w:val="44"/>
        </w:numPr>
        <w:rPr>
          <w:rFonts w:asciiTheme="minorHAnsi" w:hAnsiTheme="minorHAnsi" w:cstheme="minorHAnsi"/>
          <w:b w:val="0"/>
          <w:bCs w:val="0"/>
        </w:rPr>
      </w:pPr>
      <w:bookmarkStart w:id="66" w:name="_Toc144822683"/>
      <w:r>
        <w:rPr>
          <w:rFonts w:asciiTheme="minorHAnsi" w:hAnsiTheme="minorHAnsi"/>
          <w:b w:val="0"/>
        </w:rPr>
        <w:t>Registro de riesgos de Atlas PNUD</w:t>
      </w:r>
      <w:bookmarkEnd w:id="66"/>
    </w:p>
    <w:p w14:paraId="44D34449" w14:textId="3A35534A" w:rsidR="00DC294C" w:rsidRPr="00DC294C" w:rsidRDefault="00966EF0" w:rsidP="00DC294C">
      <w:pPr>
        <w:pStyle w:val="Ttulo2"/>
        <w:numPr>
          <w:ilvl w:val="0"/>
          <w:numId w:val="44"/>
        </w:numPr>
        <w:rPr>
          <w:rFonts w:asciiTheme="minorHAnsi" w:hAnsiTheme="minorHAnsi" w:cstheme="minorHAnsi"/>
          <w:b w:val="0"/>
          <w:bCs w:val="0"/>
        </w:rPr>
      </w:pPr>
      <w:bookmarkStart w:id="67" w:name="_Toc144822684"/>
      <w:r>
        <w:rPr>
          <w:rFonts w:asciiTheme="minorHAnsi" w:hAnsiTheme="minorHAnsi"/>
          <w:b w:val="0"/>
        </w:rPr>
        <w:t>Panorama de las consultorías técnicas</w:t>
      </w:r>
      <w:bookmarkEnd w:id="67"/>
      <w:r>
        <w:rPr>
          <w:rFonts w:asciiTheme="minorHAnsi" w:hAnsiTheme="minorHAnsi"/>
          <w:b w:val="0"/>
        </w:rPr>
        <w:t xml:space="preserve"> </w:t>
      </w:r>
    </w:p>
    <w:p w14:paraId="1C104214" w14:textId="7ED6E1C1" w:rsidR="00DC294C" w:rsidRPr="00DC294C" w:rsidRDefault="00966EF0" w:rsidP="00DC294C">
      <w:pPr>
        <w:pStyle w:val="Ttulo2"/>
        <w:numPr>
          <w:ilvl w:val="0"/>
          <w:numId w:val="44"/>
        </w:numPr>
        <w:rPr>
          <w:rFonts w:asciiTheme="minorHAnsi" w:hAnsiTheme="minorHAnsi" w:cstheme="minorHAnsi"/>
          <w:b w:val="0"/>
          <w:bCs w:val="0"/>
        </w:rPr>
      </w:pPr>
      <w:bookmarkStart w:id="68" w:name="_Toc144822685"/>
      <w:r>
        <w:rPr>
          <w:rFonts w:asciiTheme="minorHAnsi" w:hAnsiTheme="minorHAnsi"/>
          <w:b w:val="0"/>
        </w:rPr>
        <w:t>Plan de participación de las partes interesadas</w:t>
      </w:r>
      <w:bookmarkEnd w:id="68"/>
    </w:p>
    <w:p w14:paraId="2A5E41D3" w14:textId="3E9E667F" w:rsidR="00DC294C" w:rsidRPr="00DC294C" w:rsidRDefault="00966EF0" w:rsidP="00DC294C">
      <w:pPr>
        <w:pStyle w:val="Ttulo2"/>
        <w:numPr>
          <w:ilvl w:val="0"/>
          <w:numId w:val="44"/>
        </w:numPr>
        <w:rPr>
          <w:rFonts w:asciiTheme="minorHAnsi" w:hAnsiTheme="minorHAnsi" w:cstheme="minorHAnsi"/>
          <w:b w:val="0"/>
          <w:bCs w:val="0"/>
        </w:rPr>
      </w:pPr>
      <w:bookmarkStart w:id="69" w:name="_Toc144822686"/>
      <w:r>
        <w:rPr>
          <w:rFonts w:asciiTheme="minorHAnsi" w:hAnsiTheme="minorHAnsi"/>
          <w:b w:val="0"/>
        </w:rPr>
        <w:t>Marco de Gestión Social y Ambiental (</w:t>
      </w:r>
      <w:r w:rsidR="00EE65CF">
        <w:rPr>
          <w:rFonts w:asciiTheme="minorHAnsi" w:hAnsiTheme="minorHAnsi"/>
          <w:b w:val="0"/>
        </w:rPr>
        <w:t>ESMF</w:t>
      </w:r>
      <w:r>
        <w:rPr>
          <w:rFonts w:asciiTheme="minorHAnsi" w:hAnsiTheme="minorHAnsi"/>
          <w:b w:val="0"/>
        </w:rPr>
        <w:t>)</w:t>
      </w:r>
      <w:bookmarkEnd w:id="69"/>
    </w:p>
    <w:p w14:paraId="56E61294" w14:textId="4417D4FB" w:rsidR="00DC294C" w:rsidRPr="00DC294C" w:rsidRDefault="00966EF0" w:rsidP="00DC294C">
      <w:pPr>
        <w:pStyle w:val="Ttulo2"/>
        <w:numPr>
          <w:ilvl w:val="0"/>
          <w:numId w:val="44"/>
        </w:numPr>
        <w:rPr>
          <w:rFonts w:asciiTheme="minorHAnsi" w:hAnsiTheme="minorHAnsi" w:cstheme="minorHAnsi"/>
          <w:b w:val="0"/>
          <w:bCs w:val="0"/>
        </w:rPr>
      </w:pPr>
      <w:bookmarkStart w:id="70" w:name="_Toc144822687"/>
      <w:r>
        <w:rPr>
          <w:rFonts w:asciiTheme="minorHAnsi" w:hAnsiTheme="minorHAnsi"/>
          <w:b w:val="0"/>
        </w:rPr>
        <w:t xml:space="preserve">Análisis de género y </w:t>
      </w:r>
      <w:r w:rsidR="00E9352A">
        <w:rPr>
          <w:rFonts w:asciiTheme="minorHAnsi" w:hAnsiTheme="minorHAnsi"/>
          <w:b w:val="0"/>
        </w:rPr>
        <w:t>P</w:t>
      </w:r>
      <w:r>
        <w:rPr>
          <w:rFonts w:asciiTheme="minorHAnsi" w:hAnsiTheme="minorHAnsi"/>
          <w:b w:val="0"/>
        </w:rPr>
        <w:t xml:space="preserve">lan de </w:t>
      </w:r>
      <w:r w:rsidR="00E9352A">
        <w:rPr>
          <w:rFonts w:asciiTheme="minorHAnsi" w:hAnsiTheme="minorHAnsi"/>
          <w:b w:val="0"/>
        </w:rPr>
        <w:t>A</w:t>
      </w:r>
      <w:r>
        <w:rPr>
          <w:rFonts w:asciiTheme="minorHAnsi" w:hAnsiTheme="minorHAnsi"/>
          <w:b w:val="0"/>
        </w:rPr>
        <w:t xml:space="preserve">cción de </w:t>
      </w:r>
      <w:r w:rsidR="00E9352A">
        <w:rPr>
          <w:rFonts w:asciiTheme="minorHAnsi" w:hAnsiTheme="minorHAnsi"/>
          <w:b w:val="0"/>
        </w:rPr>
        <w:t>G</w:t>
      </w:r>
      <w:r>
        <w:rPr>
          <w:rFonts w:asciiTheme="minorHAnsi" w:hAnsiTheme="minorHAnsi"/>
          <w:b w:val="0"/>
        </w:rPr>
        <w:t>énero</w:t>
      </w:r>
      <w:bookmarkEnd w:id="70"/>
      <w:r>
        <w:rPr>
          <w:rFonts w:asciiTheme="minorHAnsi" w:hAnsiTheme="minorHAnsi"/>
          <w:b w:val="0"/>
        </w:rPr>
        <w:t xml:space="preserve"> </w:t>
      </w:r>
    </w:p>
    <w:p w14:paraId="45A133A0" w14:textId="61528390" w:rsidR="00DC294C" w:rsidRPr="00DC294C" w:rsidRDefault="00966EF0" w:rsidP="00DC294C">
      <w:pPr>
        <w:pStyle w:val="Ttulo2"/>
        <w:numPr>
          <w:ilvl w:val="0"/>
          <w:numId w:val="44"/>
        </w:numPr>
        <w:rPr>
          <w:rFonts w:asciiTheme="minorHAnsi" w:hAnsiTheme="minorHAnsi" w:cstheme="minorHAnsi"/>
          <w:b w:val="0"/>
          <w:bCs w:val="0"/>
        </w:rPr>
      </w:pPr>
      <w:bookmarkStart w:id="71" w:name="_Toc144822688"/>
      <w:r>
        <w:rPr>
          <w:rFonts w:asciiTheme="minorHAnsi" w:hAnsiTheme="minorHAnsi"/>
          <w:b w:val="0"/>
        </w:rPr>
        <w:t xml:space="preserve">Plan de </w:t>
      </w:r>
      <w:r w:rsidR="00E9352A">
        <w:rPr>
          <w:rFonts w:asciiTheme="minorHAnsi" w:hAnsiTheme="minorHAnsi"/>
          <w:b w:val="0"/>
        </w:rPr>
        <w:t>A</w:t>
      </w:r>
      <w:r>
        <w:rPr>
          <w:rFonts w:asciiTheme="minorHAnsi" w:hAnsiTheme="minorHAnsi"/>
          <w:b w:val="0"/>
        </w:rPr>
        <w:t>dquisiciones</w:t>
      </w:r>
      <w:bookmarkEnd w:id="71"/>
    </w:p>
    <w:p w14:paraId="277ED62B" w14:textId="6AAE0CE4" w:rsidR="00DC294C" w:rsidRPr="00DC294C" w:rsidRDefault="00C046A5" w:rsidP="00DC294C">
      <w:pPr>
        <w:pStyle w:val="Ttulo2"/>
        <w:numPr>
          <w:ilvl w:val="0"/>
          <w:numId w:val="44"/>
        </w:numPr>
        <w:rPr>
          <w:rFonts w:asciiTheme="minorHAnsi" w:hAnsiTheme="minorHAnsi" w:cstheme="minorHAnsi"/>
          <w:b w:val="0"/>
          <w:bCs w:val="0"/>
        </w:rPr>
      </w:pPr>
      <w:bookmarkStart w:id="72" w:name="_Toc144822689"/>
      <w:r>
        <w:rPr>
          <w:rFonts w:asciiTheme="minorHAnsi" w:hAnsiTheme="minorHAnsi"/>
          <w:b w:val="0"/>
        </w:rPr>
        <w:t>Beneficiarios y personas concienciadas</w:t>
      </w:r>
      <w:bookmarkEnd w:id="72"/>
    </w:p>
    <w:p w14:paraId="71AD731D" w14:textId="6FED10F9" w:rsidR="00DC294C" w:rsidRPr="00DC294C" w:rsidRDefault="00A86CE2" w:rsidP="00DC294C">
      <w:pPr>
        <w:pStyle w:val="Ttulo2"/>
        <w:numPr>
          <w:ilvl w:val="0"/>
          <w:numId w:val="44"/>
        </w:numPr>
        <w:rPr>
          <w:rFonts w:asciiTheme="minorHAnsi" w:hAnsiTheme="minorHAnsi" w:cstheme="minorHAnsi"/>
          <w:b w:val="0"/>
          <w:bCs w:val="0"/>
        </w:rPr>
      </w:pPr>
      <w:bookmarkStart w:id="73" w:name="_Toc144822690"/>
      <w:r>
        <w:rPr>
          <w:rFonts w:asciiTheme="minorHAnsi" w:hAnsiTheme="minorHAnsi"/>
          <w:b w:val="0"/>
        </w:rPr>
        <w:t>Directrices para proyectos piloto</w:t>
      </w:r>
      <w:bookmarkEnd w:id="73"/>
    </w:p>
    <w:p w14:paraId="4FE9B7C6" w14:textId="5CAC14FF" w:rsidR="00DC294C" w:rsidRPr="00DC294C" w:rsidRDefault="00A86CE2" w:rsidP="00DC294C">
      <w:pPr>
        <w:pStyle w:val="Ttulo2"/>
        <w:numPr>
          <w:ilvl w:val="0"/>
          <w:numId w:val="44"/>
        </w:numPr>
        <w:rPr>
          <w:rFonts w:asciiTheme="minorHAnsi" w:hAnsiTheme="minorHAnsi" w:cstheme="minorHAnsi"/>
          <w:b w:val="0"/>
          <w:bCs w:val="0"/>
        </w:rPr>
      </w:pPr>
      <w:bookmarkStart w:id="74" w:name="_Toc144822691"/>
      <w:r>
        <w:rPr>
          <w:rFonts w:asciiTheme="minorHAnsi" w:hAnsiTheme="minorHAnsi"/>
          <w:b w:val="0"/>
        </w:rPr>
        <w:t>Análisis jurídico e institucional</w:t>
      </w:r>
      <w:bookmarkEnd w:id="74"/>
    </w:p>
    <w:p w14:paraId="425311F5" w14:textId="498045F4" w:rsidR="00DC294C" w:rsidRPr="00DC294C" w:rsidRDefault="00C046A5" w:rsidP="00DC294C">
      <w:pPr>
        <w:pStyle w:val="Ttulo2"/>
        <w:numPr>
          <w:ilvl w:val="0"/>
          <w:numId w:val="44"/>
        </w:numPr>
        <w:rPr>
          <w:rFonts w:asciiTheme="minorHAnsi" w:hAnsiTheme="minorHAnsi" w:cstheme="minorHAnsi"/>
          <w:b w:val="0"/>
          <w:bCs w:val="0"/>
        </w:rPr>
      </w:pPr>
      <w:bookmarkStart w:id="75" w:name="_Toc144822692"/>
      <w:r>
        <w:rPr>
          <w:rFonts w:asciiTheme="minorHAnsi" w:hAnsiTheme="minorHAnsi"/>
          <w:b w:val="0"/>
        </w:rPr>
        <w:t>Cartas de compromisos financieros</w:t>
      </w:r>
      <w:bookmarkEnd w:id="75"/>
    </w:p>
    <w:p w14:paraId="40985E7E" w14:textId="2137C37B" w:rsidR="00DC294C" w:rsidRPr="00DC294C" w:rsidRDefault="00C046A5" w:rsidP="00DC294C">
      <w:pPr>
        <w:pStyle w:val="Ttulo2"/>
        <w:numPr>
          <w:ilvl w:val="0"/>
          <w:numId w:val="44"/>
        </w:numPr>
        <w:rPr>
          <w:rFonts w:asciiTheme="minorHAnsi" w:hAnsiTheme="minorHAnsi" w:cstheme="minorHAnsi"/>
          <w:b w:val="0"/>
          <w:bCs w:val="0"/>
        </w:rPr>
      </w:pPr>
      <w:bookmarkStart w:id="76" w:name="_Toc144822693"/>
      <w:r>
        <w:rPr>
          <w:rFonts w:asciiTheme="minorHAnsi" w:hAnsiTheme="minorHAnsi"/>
          <w:b w:val="0"/>
        </w:rPr>
        <w:t>Indicadores básicos del FMAM</w:t>
      </w:r>
      <w:bookmarkEnd w:id="76"/>
    </w:p>
    <w:p w14:paraId="0965B7AF" w14:textId="69F6B83B" w:rsidR="00DC294C" w:rsidRPr="00DC294C" w:rsidRDefault="00C046A5" w:rsidP="00DC294C">
      <w:pPr>
        <w:pStyle w:val="Ttulo2"/>
        <w:numPr>
          <w:ilvl w:val="0"/>
          <w:numId w:val="44"/>
        </w:numPr>
        <w:rPr>
          <w:rFonts w:asciiTheme="minorHAnsi" w:hAnsiTheme="minorHAnsi" w:cstheme="minorHAnsi"/>
          <w:b w:val="0"/>
          <w:bCs w:val="0"/>
        </w:rPr>
      </w:pPr>
      <w:bookmarkStart w:id="77" w:name="_Toc144822694"/>
      <w:r>
        <w:rPr>
          <w:rFonts w:asciiTheme="minorHAnsi" w:hAnsiTheme="minorHAnsi"/>
          <w:b w:val="0"/>
        </w:rPr>
        <w:t>Taxonomía del FMAM</w:t>
      </w:r>
      <w:bookmarkEnd w:id="77"/>
    </w:p>
    <w:p w14:paraId="401E0918" w14:textId="5D7BCE2F" w:rsidR="00DC294C" w:rsidRPr="00DC294C" w:rsidRDefault="00C046A5" w:rsidP="00DC294C">
      <w:pPr>
        <w:pStyle w:val="Ttulo2"/>
        <w:numPr>
          <w:ilvl w:val="0"/>
          <w:numId w:val="44"/>
        </w:numPr>
        <w:rPr>
          <w:rFonts w:asciiTheme="minorHAnsi" w:hAnsiTheme="minorHAnsi" w:cstheme="minorHAnsi"/>
          <w:b w:val="0"/>
          <w:bCs w:val="0"/>
        </w:rPr>
      </w:pPr>
      <w:bookmarkStart w:id="78" w:name="_Toc144822695"/>
      <w:r>
        <w:rPr>
          <w:rFonts w:asciiTheme="minorHAnsi" w:hAnsiTheme="minorHAnsi"/>
          <w:b w:val="0"/>
        </w:rPr>
        <w:t xml:space="preserve">Herramienta de </w:t>
      </w:r>
      <w:r w:rsidR="00E9352A">
        <w:rPr>
          <w:rFonts w:asciiTheme="minorHAnsi" w:hAnsiTheme="minorHAnsi"/>
          <w:b w:val="0"/>
        </w:rPr>
        <w:t>E</w:t>
      </w:r>
      <w:r>
        <w:rPr>
          <w:rFonts w:asciiTheme="minorHAnsi" w:hAnsiTheme="minorHAnsi"/>
          <w:b w:val="0"/>
        </w:rPr>
        <w:t xml:space="preserve">valuación de la </w:t>
      </w:r>
      <w:r w:rsidR="00E9352A">
        <w:rPr>
          <w:rFonts w:asciiTheme="minorHAnsi" w:hAnsiTheme="minorHAnsi"/>
          <w:b w:val="0"/>
        </w:rPr>
        <w:t>C</w:t>
      </w:r>
      <w:r>
        <w:rPr>
          <w:rFonts w:asciiTheme="minorHAnsi" w:hAnsiTheme="minorHAnsi"/>
          <w:b w:val="0"/>
        </w:rPr>
        <w:t xml:space="preserve">apacidad de los </w:t>
      </w:r>
      <w:r w:rsidR="00E9352A">
        <w:rPr>
          <w:rFonts w:asciiTheme="minorHAnsi" w:hAnsiTheme="minorHAnsi"/>
          <w:b w:val="0"/>
        </w:rPr>
        <w:t>S</w:t>
      </w:r>
      <w:r>
        <w:rPr>
          <w:rFonts w:asciiTheme="minorHAnsi" w:hAnsiTheme="minorHAnsi"/>
          <w:b w:val="0"/>
        </w:rPr>
        <w:t>ocios (PCAT)</w:t>
      </w:r>
      <w:bookmarkEnd w:id="78"/>
    </w:p>
    <w:p w14:paraId="4198190B" w14:textId="65418C88" w:rsidR="00DC294C" w:rsidRPr="00DC294C" w:rsidRDefault="00C046A5" w:rsidP="00DC294C">
      <w:pPr>
        <w:pStyle w:val="Ttulo2"/>
        <w:numPr>
          <w:ilvl w:val="0"/>
          <w:numId w:val="44"/>
        </w:numPr>
        <w:rPr>
          <w:rFonts w:asciiTheme="minorHAnsi" w:hAnsiTheme="minorHAnsi" w:cstheme="minorHAnsi"/>
          <w:b w:val="0"/>
          <w:bCs w:val="0"/>
        </w:rPr>
      </w:pPr>
      <w:bookmarkStart w:id="79" w:name="_Toc144822696"/>
      <w:r>
        <w:rPr>
          <w:rFonts w:asciiTheme="minorHAnsi" w:hAnsiTheme="minorHAnsi"/>
          <w:b w:val="0"/>
        </w:rPr>
        <w:t>Evaluación HACT</w:t>
      </w:r>
      <w:bookmarkEnd w:id="79"/>
    </w:p>
    <w:p w14:paraId="56359B41" w14:textId="33F458FD" w:rsidR="00DC294C" w:rsidRPr="00DC294C" w:rsidRDefault="00C046A5" w:rsidP="00DC294C">
      <w:pPr>
        <w:pStyle w:val="Ttulo2"/>
        <w:numPr>
          <w:ilvl w:val="0"/>
          <w:numId w:val="44"/>
        </w:numPr>
        <w:rPr>
          <w:rFonts w:asciiTheme="minorHAnsi" w:hAnsiTheme="minorHAnsi" w:cstheme="minorHAnsi"/>
          <w:b w:val="0"/>
          <w:bCs w:val="0"/>
        </w:rPr>
      </w:pPr>
      <w:bookmarkStart w:id="80" w:name="_Toc144822697"/>
      <w:r>
        <w:rPr>
          <w:rFonts w:asciiTheme="minorHAnsi" w:hAnsiTheme="minorHAnsi"/>
          <w:b w:val="0"/>
        </w:rPr>
        <w:t xml:space="preserve">Informe de </w:t>
      </w:r>
      <w:r w:rsidR="00E9352A">
        <w:rPr>
          <w:rFonts w:asciiTheme="minorHAnsi" w:hAnsiTheme="minorHAnsi"/>
          <w:b w:val="0"/>
        </w:rPr>
        <w:t>G</w:t>
      </w:r>
      <w:r>
        <w:rPr>
          <w:rFonts w:asciiTheme="minorHAnsi" w:hAnsiTheme="minorHAnsi"/>
          <w:b w:val="0"/>
        </w:rPr>
        <w:t xml:space="preserve">arantía de </w:t>
      </w:r>
      <w:r w:rsidR="00E9352A">
        <w:rPr>
          <w:rFonts w:asciiTheme="minorHAnsi" w:hAnsiTheme="minorHAnsi"/>
          <w:b w:val="0"/>
        </w:rPr>
        <w:t>C</w:t>
      </w:r>
      <w:r>
        <w:rPr>
          <w:rFonts w:asciiTheme="minorHAnsi" w:hAnsiTheme="minorHAnsi"/>
          <w:b w:val="0"/>
        </w:rPr>
        <w:t xml:space="preserve">alidad del </w:t>
      </w:r>
      <w:r w:rsidR="00E9352A">
        <w:rPr>
          <w:rFonts w:asciiTheme="minorHAnsi" w:hAnsiTheme="minorHAnsi"/>
          <w:b w:val="0"/>
        </w:rPr>
        <w:t>P</w:t>
      </w:r>
      <w:r>
        <w:rPr>
          <w:rFonts w:asciiTheme="minorHAnsi" w:hAnsiTheme="minorHAnsi"/>
          <w:b w:val="0"/>
        </w:rPr>
        <w:t>royecto del PNUD</w:t>
      </w:r>
      <w:bookmarkEnd w:id="80"/>
    </w:p>
    <w:p w14:paraId="5E02B858" w14:textId="266F5A02" w:rsidR="00966EF0" w:rsidRPr="00DC294C" w:rsidRDefault="00966EF0" w:rsidP="00DC294C">
      <w:pPr>
        <w:pStyle w:val="Ttulo2"/>
        <w:numPr>
          <w:ilvl w:val="0"/>
          <w:numId w:val="44"/>
        </w:numPr>
        <w:rPr>
          <w:rFonts w:asciiTheme="minorHAnsi" w:hAnsiTheme="minorHAnsi" w:cstheme="minorHAnsi"/>
          <w:b w:val="0"/>
          <w:bCs w:val="0"/>
        </w:rPr>
      </w:pPr>
      <w:bookmarkStart w:id="81" w:name="_Toc144822698"/>
      <w:r>
        <w:rPr>
          <w:rFonts w:asciiTheme="minorHAnsi" w:hAnsiTheme="minorHAnsi"/>
          <w:b w:val="0"/>
        </w:rPr>
        <w:t>Carta de acuerdo firmada entre el PNUD y el Socio en la Implementación solicitando los servicios de apoyo del PNUD</w:t>
      </w:r>
      <w:bookmarkEnd w:id="81"/>
    </w:p>
    <w:bookmarkEnd w:id="40"/>
    <w:bookmarkEnd w:id="41"/>
    <w:p w14:paraId="34B36E02" w14:textId="3B00646F" w:rsidR="00B350CD" w:rsidRPr="002152FE" w:rsidRDefault="00B350CD" w:rsidP="00B554E2">
      <w:pPr>
        <w:keepNext/>
        <w:spacing w:after="60"/>
        <w:jc w:val="both"/>
        <w:outlineLvl w:val="1"/>
        <w:rPr>
          <w:rFonts w:asciiTheme="minorHAnsi" w:hAnsiTheme="minorHAnsi" w:cstheme="minorHAnsi"/>
          <w:lang w:val="es-EC"/>
        </w:rPr>
      </w:pPr>
    </w:p>
    <w:p w14:paraId="1919CB99" w14:textId="4C19A8B2" w:rsidR="001B17BF" w:rsidRDefault="001B17BF">
      <w:pPr>
        <w:spacing w:after="160" w:line="259" w:lineRule="auto"/>
        <w:rPr>
          <w:rFonts w:asciiTheme="minorHAnsi" w:hAnsiTheme="minorHAnsi" w:cstheme="minorHAnsi"/>
        </w:rPr>
      </w:pPr>
      <w:r>
        <w:br w:type="page"/>
      </w:r>
    </w:p>
    <w:p w14:paraId="395DFB16" w14:textId="03AE647D" w:rsidR="00985DF1" w:rsidRPr="002152FE" w:rsidRDefault="00985DF1">
      <w:pPr>
        <w:spacing w:after="160" w:line="259" w:lineRule="auto"/>
        <w:rPr>
          <w:rFonts w:asciiTheme="minorHAnsi" w:hAnsiTheme="minorHAnsi" w:cstheme="minorHAnsi"/>
          <w:lang w:val="es-EC"/>
        </w:rPr>
        <w:sectPr w:rsidR="00985DF1" w:rsidRPr="002152FE" w:rsidSect="00BA3DD6">
          <w:pgSz w:w="12240" w:h="15840" w:code="1"/>
          <w:pgMar w:top="720" w:right="720" w:bottom="720" w:left="720" w:header="720" w:footer="720" w:gutter="0"/>
          <w:cols w:space="720"/>
          <w:docGrid w:linePitch="360"/>
        </w:sectPr>
      </w:pPr>
    </w:p>
    <w:p w14:paraId="0F699374" w14:textId="1AD8B2DA" w:rsidR="00353B94" w:rsidRDefault="00985DF1">
      <w:pPr>
        <w:spacing w:after="160" w:line="259" w:lineRule="auto"/>
        <w:rPr>
          <w:rFonts w:asciiTheme="minorHAnsi" w:hAnsiTheme="minorHAnsi" w:cstheme="minorHAnsi"/>
        </w:rPr>
      </w:pPr>
      <w:r>
        <w:rPr>
          <w:rFonts w:asciiTheme="minorHAnsi" w:hAnsiTheme="minorHAnsi"/>
        </w:rPr>
        <w:t>Anexo 1. Plantilla presupuestaria del FMAM</w:t>
      </w:r>
    </w:p>
    <w:p w14:paraId="0BEF135F" w14:textId="77777777" w:rsidR="00353B94" w:rsidRDefault="00353B94">
      <w:pPr>
        <w:spacing w:after="160" w:line="259" w:lineRule="auto"/>
        <w:rPr>
          <w:rFonts w:asciiTheme="minorHAnsi" w:hAnsiTheme="minorHAnsi" w:cstheme="minorHAnsi"/>
          <w:lang w:val="en-US"/>
        </w:rPr>
      </w:pPr>
    </w:p>
    <w:tbl>
      <w:tblPr>
        <w:tblW w:w="9121" w:type="dxa"/>
        <w:tblLook w:val="04A0" w:firstRow="1" w:lastRow="0" w:firstColumn="1" w:lastColumn="0" w:noHBand="0" w:noVBand="1"/>
      </w:tblPr>
      <w:tblGrid>
        <w:gridCol w:w="1508"/>
        <w:gridCol w:w="2056"/>
        <w:gridCol w:w="1194"/>
        <w:gridCol w:w="1194"/>
        <w:gridCol w:w="1194"/>
        <w:gridCol w:w="1000"/>
        <w:gridCol w:w="848"/>
        <w:gridCol w:w="848"/>
        <w:gridCol w:w="1000"/>
        <w:gridCol w:w="1172"/>
      </w:tblGrid>
      <w:tr w:rsidR="001B17BF" w:rsidRPr="00BE2355" w14:paraId="28022566" w14:textId="77777777" w:rsidTr="00BA3DD6">
        <w:trPr>
          <w:trHeight w:val="450"/>
        </w:trPr>
        <w:tc>
          <w:tcPr>
            <w:tcW w:w="119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7E2EFC7B" w14:textId="77777777" w:rsidR="001B17BF" w:rsidRPr="00BE2355" w:rsidRDefault="001B17BF" w:rsidP="00BA3DD6">
            <w:pPr>
              <w:pStyle w:val="Subttulo"/>
              <w:rPr>
                <w:sz w:val="16"/>
                <w:szCs w:val="16"/>
              </w:rPr>
            </w:pPr>
            <w:r>
              <w:rPr>
                <w:sz w:val="16"/>
              </w:rPr>
              <w:t>Categoría de gasto</w:t>
            </w:r>
          </w:p>
        </w:tc>
        <w:tc>
          <w:tcPr>
            <w:tcW w:w="1392"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B9903E0" w14:textId="77777777" w:rsidR="001B17BF" w:rsidRPr="00BE2355" w:rsidRDefault="001B17BF" w:rsidP="00BA3DD6">
            <w:pPr>
              <w:pStyle w:val="Subttulo"/>
              <w:rPr>
                <w:sz w:val="16"/>
                <w:szCs w:val="16"/>
              </w:rPr>
            </w:pPr>
            <w:r>
              <w:rPr>
                <w:sz w:val="16"/>
              </w:rPr>
              <w:t>Descripción detallada</w:t>
            </w:r>
          </w:p>
        </w:tc>
        <w:tc>
          <w:tcPr>
            <w:tcW w:w="4751" w:type="dxa"/>
            <w:gridSpan w:val="6"/>
            <w:tcBorders>
              <w:top w:val="single" w:sz="8" w:space="0" w:color="auto"/>
              <w:left w:val="nil"/>
              <w:bottom w:val="single" w:sz="8" w:space="0" w:color="auto"/>
              <w:right w:val="single" w:sz="8" w:space="0" w:color="000000"/>
            </w:tcBorders>
            <w:shd w:val="clear" w:color="000000" w:fill="D9E1F2"/>
            <w:vAlign w:val="center"/>
            <w:hideMark/>
          </w:tcPr>
          <w:p w14:paraId="683698B1" w14:textId="77777777" w:rsidR="001B17BF" w:rsidRPr="00BE2355" w:rsidRDefault="001B17BF" w:rsidP="00BA3DD6">
            <w:pPr>
              <w:pStyle w:val="Subttulo"/>
              <w:rPr>
                <w:sz w:val="16"/>
                <w:szCs w:val="16"/>
              </w:rPr>
            </w:pPr>
            <w:r>
              <w:rPr>
                <w:sz w:val="16"/>
              </w:rPr>
              <w:t>Componente (eq. a USD)</w:t>
            </w:r>
          </w:p>
        </w:tc>
        <w:tc>
          <w:tcPr>
            <w:tcW w:w="789" w:type="dxa"/>
            <w:vMerge w:val="restart"/>
            <w:tcBorders>
              <w:top w:val="single" w:sz="8" w:space="0" w:color="auto"/>
              <w:left w:val="single" w:sz="8" w:space="0" w:color="auto"/>
              <w:bottom w:val="nil"/>
              <w:right w:val="single" w:sz="8" w:space="0" w:color="auto"/>
            </w:tcBorders>
            <w:shd w:val="clear" w:color="000000" w:fill="D9E1F2"/>
            <w:vAlign w:val="center"/>
            <w:hideMark/>
          </w:tcPr>
          <w:p w14:paraId="118CA2EF" w14:textId="77777777" w:rsidR="001B17BF" w:rsidRPr="00BE2355" w:rsidRDefault="001B17BF" w:rsidP="00BA3DD6">
            <w:pPr>
              <w:pStyle w:val="Subttulo"/>
              <w:rPr>
                <w:sz w:val="16"/>
                <w:szCs w:val="16"/>
              </w:rPr>
            </w:pPr>
            <w:r>
              <w:rPr>
                <w:sz w:val="16"/>
              </w:rPr>
              <w:t>Total (eq. a USD)</w:t>
            </w:r>
          </w:p>
        </w:tc>
        <w:tc>
          <w:tcPr>
            <w:tcW w:w="992" w:type="dxa"/>
            <w:tcBorders>
              <w:top w:val="single" w:sz="8" w:space="0" w:color="auto"/>
              <w:left w:val="nil"/>
              <w:bottom w:val="nil"/>
              <w:right w:val="single" w:sz="8" w:space="0" w:color="auto"/>
            </w:tcBorders>
            <w:shd w:val="clear" w:color="000000" w:fill="D9E1F2"/>
            <w:vAlign w:val="center"/>
            <w:hideMark/>
          </w:tcPr>
          <w:p w14:paraId="5B535C20" w14:textId="77777777" w:rsidR="001B17BF" w:rsidRPr="00BE2355" w:rsidRDefault="001B17BF" w:rsidP="00BA3DD6">
            <w:pPr>
              <w:pStyle w:val="Subttulo"/>
              <w:rPr>
                <w:sz w:val="16"/>
                <w:szCs w:val="16"/>
              </w:rPr>
            </w:pPr>
            <w:r>
              <w:rPr>
                <w:sz w:val="16"/>
              </w:rPr>
              <w:t>Entidad responsable</w:t>
            </w:r>
          </w:p>
        </w:tc>
      </w:tr>
      <w:tr w:rsidR="001B17BF" w:rsidRPr="001B17BF" w14:paraId="734FA2BD" w14:textId="77777777" w:rsidTr="00BA3DD6">
        <w:trPr>
          <w:trHeight w:val="1231"/>
        </w:trPr>
        <w:tc>
          <w:tcPr>
            <w:tcW w:w="1197" w:type="dxa"/>
            <w:vMerge/>
            <w:tcBorders>
              <w:top w:val="single" w:sz="8" w:space="0" w:color="auto"/>
              <w:left w:val="single" w:sz="8" w:space="0" w:color="auto"/>
              <w:bottom w:val="single" w:sz="8" w:space="0" w:color="000000"/>
              <w:right w:val="single" w:sz="8" w:space="0" w:color="auto"/>
            </w:tcBorders>
            <w:vAlign w:val="center"/>
            <w:hideMark/>
          </w:tcPr>
          <w:p w14:paraId="75617180" w14:textId="77777777" w:rsidR="001B17BF" w:rsidRPr="00BE2355" w:rsidRDefault="001B17BF" w:rsidP="00BA3DD6">
            <w:pPr>
              <w:pStyle w:val="Subttulo"/>
              <w:rPr>
                <w:sz w:val="16"/>
                <w:szCs w:val="16"/>
              </w:rPr>
            </w:pPr>
          </w:p>
        </w:tc>
        <w:tc>
          <w:tcPr>
            <w:tcW w:w="1392" w:type="dxa"/>
            <w:vMerge/>
            <w:tcBorders>
              <w:top w:val="single" w:sz="8" w:space="0" w:color="auto"/>
              <w:left w:val="single" w:sz="8" w:space="0" w:color="auto"/>
              <w:bottom w:val="single" w:sz="8" w:space="0" w:color="000000"/>
              <w:right w:val="single" w:sz="8" w:space="0" w:color="auto"/>
            </w:tcBorders>
            <w:vAlign w:val="center"/>
            <w:hideMark/>
          </w:tcPr>
          <w:p w14:paraId="364C253A" w14:textId="77777777" w:rsidR="001B17BF" w:rsidRPr="00BE2355" w:rsidRDefault="001B17BF" w:rsidP="00BA3DD6">
            <w:pPr>
              <w:pStyle w:val="Subttulo"/>
              <w:rPr>
                <w:sz w:val="16"/>
                <w:szCs w:val="16"/>
              </w:rPr>
            </w:pPr>
          </w:p>
        </w:tc>
        <w:tc>
          <w:tcPr>
            <w:tcW w:w="8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23CE0F0" w14:textId="77777777" w:rsidR="001B17BF" w:rsidRPr="00BE2355" w:rsidRDefault="001B17BF" w:rsidP="00BA3DD6">
            <w:pPr>
              <w:pStyle w:val="Subttulo"/>
              <w:rPr>
                <w:i/>
                <w:iCs/>
                <w:sz w:val="16"/>
                <w:szCs w:val="16"/>
              </w:rPr>
            </w:pPr>
            <w:r>
              <w:rPr>
                <w:i/>
                <w:sz w:val="16"/>
              </w:rPr>
              <w:t>Componente 1</w:t>
            </w:r>
          </w:p>
        </w:tc>
        <w:tc>
          <w:tcPr>
            <w:tcW w:w="8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148E19E0" w14:textId="77777777" w:rsidR="001B17BF" w:rsidRPr="00BE2355" w:rsidRDefault="001B17BF" w:rsidP="00BA3DD6">
            <w:pPr>
              <w:pStyle w:val="Subttulo"/>
              <w:rPr>
                <w:i/>
                <w:iCs/>
                <w:sz w:val="16"/>
                <w:szCs w:val="16"/>
              </w:rPr>
            </w:pPr>
            <w:r>
              <w:rPr>
                <w:i/>
                <w:sz w:val="16"/>
              </w:rPr>
              <w:t>Componente 2</w:t>
            </w:r>
          </w:p>
        </w:tc>
        <w:tc>
          <w:tcPr>
            <w:tcW w:w="8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A83732E" w14:textId="77777777" w:rsidR="001B17BF" w:rsidRPr="00BE2355" w:rsidRDefault="001B17BF" w:rsidP="00BA3DD6">
            <w:pPr>
              <w:pStyle w:val="Subttulo"/>
              <w:rPr>
                <w:i/>
                <w:iCs/>
                <w:sz w:val="16"/>
                <w:szCs w:val="16"/>
              </w:rPr>
            </w:pPr>
            <w:r>
              <w:rPr>
                <w:i/>
                <w:sz w:val="16"/>
              </w:rPr>
              <w:t>Componente 3</w:t>
            </w:r>
          </w:p>
        </w:tc>
        <w:tc>
          <w:tcPr>
            <w:tcW w:w="789"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0FE66629" w14:textId="77777777" w:rsidR="001B17BF" w:rsidRPr="00BE2355" w:rsidRDefault="001B17BF" w:rsidP="00BA3DD6">
            <w:pPr>
              <w:pStyle w:val="Subttulo"/>
              <w:rPr>
                <w:i/>
                <w:iCs/>
                <w:sz w:val="16"/>
                <w:szCs w:val="16"/>
              </w:rPr>
            </w:pPr>
            <w:r>
              <w:rPr>
                <w:i/>
                <w:sz w:val="16"/>
              </w:rPr>
              <w:t>Subtotal</w:t>
            </w:r>
          </w:p>
        </w:tc>
        <w:tc>
          <w:tcPr>
            <w:tcW w:w="679" w:type="dxa"/>
            <w:vMerge w:val="restart"/>
            <w:tcBorders>
              <w:top w:val="nil"/>
              <w:left w:val="single" w:sz="8" w:space="0" w:color="auto"/>
              <w:bottom w:val="nil"/>
              <w:right w:val="single" w:sz="8" w:space="0" w:color="auto"/>
            </w:tcBorders>
            <w:shd w:val="clear" w:color="000000" w:fill="D9E1F2"/>
            <w:vAlign w:val="center"/>
            <w:hideMark/>
          </w:tcPr>
          <w:p w14:paraId="14E9DA16" w14:textId="77777777" w:rsidR="001B17BF" w:rsidRPr="00BE2355" w:rsidRDefault="001B17BF" w:rsidP="00BA3DD6">
            <w:pPr>
              <w:pStyle w:val="Subttulo"/>
              <w:rPr>
                <w:i/>
                <w:iCs/>
                <w:sz w:val="16"/>
                <w:szCs w:val="16"/>
              </w:rPr>
            </w:pPr>
            <w:r>
              <w:rPr>
                <w:i/>
                <w:sz w:val="16"/>
              </w:rPr>
              <w:t>M&amp;E</w:t>
            </w:r>
          </w:p>
        </w:tc>
        <w:tc>
          <w:tcPr>
            <w:tcW w:w="679" w:type="dxa"/>
            <w:vMerge w:val="restart"/>
            <w:tcBorders>
              <w:top w:val="nil"/>
              <w:left w:val="single" w:sz="8" w:space="0" w:color="auto"/>
              <w:bottom w:val="nil"/>
              <w:right w:val="single" w:sz="8" w:space="0" w:color="auto"/>
            </w:tcBorders>
            <w:shd w:val="clear" w:color="000000" w:fill="D9E1F2"/>
            <w:vAlign w:val="center"/>
            <w:hideMark/>
          </w:tcPr>
          <w:p w14:paraId="6A603164" w14:textId="2888A79A" w:rsidR="001B17BF" w:rsidRPr="00BE2355" w:rsidRDefault="001B17BF" w:rsidP="00BA3DD6">
            <w:pPr>
              <w:pStyle w:val="Subttulo"/>
              <w:rPr>
                <w:i/>
                <w:iCs/>
                <w:sz w:val="16"/>
                <w:szCs w:val="16"/>
              </w:rPr>
            </w:pPr>
            <w:r>
              <w:rPr>
                <w:i/>
                <w:sz w:val="16"/>
              </w:rPr>
              <w:t>PMC</w:t>
            </w:r>
          </w:p>
        </w:tc>
        <w:tc>
          <w:tcPr>
            <w:tcW w:w="789" w:type="dxa"/>
            <w:vMerge/>
            <w:tcBorders>
              <w:top w:val="single" w:sz="8" w:space="0" w:color="auto"/>
              <w:left w:val="single" w:sz="8" w:space="0" w:color="auto"/>
              <w:bottom w:val="nil"/>
              <w:right w:val="single" w:sz="8" w:space="0" w:color="auto"/>
            </w:tcBorders>
            <w:vAlign w:val="center"/>
            <w:hideMark/>
          </w:tcPr>
          <w:p w14:paraId="0753BA66" w14:textId="77777777" w:rsidR="001B17BF" w:rsidRPr="00BE2355" w:rsidRDefault="001B17BF" w:rsidP="00BA3DD6">
            <w:pPr>
              <w:pStyle w:val="Subttulo"/>
              <w:rPr>
                <w:sz w:val="16"/>
                <w:szCs w:val="16"/>
              </w:rPr>
            </w:pPr>
          </w:p>
        </w:tc>
        <w:tc>
          <w:tcPr>
            <w:tcW w:w="992" w:type="dxa"/>
            <w:vMerge w:val="restart"/>
            <w:tcBorders>
              <w:top w:val="single" w:sz="8" w:space="0" w:color="auto"/>
              <w:left w:val="single" w:sz="8" w:space="0" w:color="auto"/>
              <w:bottom w:val="nil"/>
              <w:right w:val="single" w:sz="8" w:space="0" w:color="auto"/>
            </w:tcBorders>
            <w:shd w:val="clear" w:color="000000" w:fill="D9E1F2"/>
            <w:vAlign w:val="center"/>
            <w:hideMark/>
          </w:tcPr>
          <w:p w14:paraId="32229234" w14:textId="0F0DC34E" w:rsidR="001B17BF" w:rsidRPr="00BE2355" w:rsidRDefault="00000000" w:rsidP="00BA3DD6">
            <w:pPr>
              <w:pStyle w:val="Subttulo"/>
              <w:rPr>
                <w:sz w:val="16"/>
                <w:szCs w:val="16"/>
              </w:rPr>
            </w:pPr>
            <w:hyperlink r:id="rId34" w:anchor="RANGE!#REF!" w:history="1">
              <w:r w:rsidR="001971F9">
                <w:rPr>
                  <w:sz w:val="16"/>
                </w:rPr>
                <w:t>(Entidad ejecutora que recibe fondos de la Agencia del FMAM)[1]</w:t>
              </w:r>
            </w:hyperlink>
          </w:p>
        </w:tc>
      </w:tr>
      <w:tr w:rsidR="001B17BF" w:rsidRPr="001B17BF" w14:paraId="564E0B91" w14:textId="77777777" w:rsidTr="00BA3DD6">
        <w:trPr>
          <w:trHeight w:val="621"/>
        </w:trPr>
        <w:tc>
          <w:tcPr>
            <w:tcW w:w="1197" w:type="dxa"/>
            <w:vMerge/>
            <w:tcBorders>
              <w:top w:val="single" w:sz="8" w:space="0" w:color="auto"/>
              <w:left w:val="single" w:sz="8" w:space="0" w:color="auto"/>
              <w:bottom w:val="single" w:sz="8" w:space="0" w:color="000000"/>
              <w:right w:val="single" w:sz="8" w:space="0" w:color="auto"/>
            </w:tcBorders>
            <w:vAlign w:val="center"/>
            <w:hideMark/>
          </w:tcPr>
          <w:p w14:paraId="5123224C" w14:textId="77777777" w:rsidR="001B17BF" w:rsidRPr="00BE2355" w:rsidRDefault="001B17BF" w:rsidP="00BA3DD6">
            <w:pPr>
              <w:pStyle w:val="Subttulo"/>
              <w:rPr>
                <w:sz w:val="16"/>
                <w:szCs w:val="16"/>
              </w:rPr>
            </w:pPr>
          </w:p>
        </w:tc>
        <w:tc>
          <w:tcPr>
            <w:tcW w:w="1392" w:type="dxa"/>
            <w:vMerge/>
            <w:tcBorders>
              <w:top w:val="single" w:sz="8" w:space="0" w:color="auto"/>
              <w:left w:val="single" w:sz="8" w:space="0" w:color="auto"/>
              <w:bottom w:val="single" w:sz="8" w:space="0" w:color="000000"/>
              <w:right w:val="single" w:sz="8" w:space="0" w:color="auto"/>
            </w:tcBorders>
            <w:vAlign w:val="center"/>
            <w:hideMark/>
          </w:tcPr>
          <w:p w14:paraId="4BE79E57" w14:textId="77777777" w:rsidR="001B17BF" w:rsidRPr="00BE2355" w:rsidRDefault="001B17BF" w:rsidP="00BA3DD6">
            <w:pPr>
              <w:pStyle w:val="Subttulo"/>
              <w:rPr>
                <w:sz w:val="16"/>
                <w:szCs w:val="16"/>
              </w:rPr>
            </w:pPr>
          </w:p>
        </w:tc>
        <w:tc>
          <w:tcPr>
            <w:tcW w:w="868" w:type="dxa"/>
            <w:vMerge/>
            <w:tcBorders>
              <w:top w:val="nil"/>
              <w:left w:val="single" w:sz="8" w:space="0" w:color="auto"/>
              <w:bottom w:val="single" w:sz="8" w:space="0" w:color="000000"/>
              <w:right w:val="single" w:sz="8" w:space="0" w:color="auto"/>
            </w:tcBorders>
            <w:vAlign w:val="center"/>
            <w:hideMark/>
          </w:tcPr>
          <w:p w14:paraId="0FB25C8E" w14:textId="77777777" w:rsidR="001B17BF" w:rsidRPr="00BE2355" w:rsidRDefault="001B17BF" w:rsidP="00BA3DD6">
            <w:pPr>
              <w:pStyle w:val="Subttulo"/>
              <w:rPr>
                <w:i/>
                <w:iCs/>
                <w:sz w:val="16"/>
                <w:szCs w:val="16"/>
              </w:rPr>
            </w:pPr>
          </w:p>
        </w:tc>
        <w:tc>
          <w:tcPr>
            <w:tcW w:w="868" w:type="dxa"/>
            <w:vMerge/>
            <w:tcBorders>
              <w:top w:val="nil"/>
              <w:left w:val="single" w:sz="8" w:space="0" w:color="auto"/>
              <w:bottom w:val="single" w:sz="8" w:space="0" w:color="000000"/>
              <w:right w:val="single" w:sz="8" w:space="0" w:color="auto"/>
            </w:tcBorders>
            <w:vAlign w:val="center"/>
            <w:hideMark/>
          </w:tcPr>
          <w:p w14:paraId="48956B1C" w14:textId="77777777" w:rsidR="001B17BF" w:rsidRPr="00BE2355" w:rsidRDefault="001B17BF" w:rsidP="00BA3DD6">
            <w:pPr>
              <w:pStyle w:val="Subttulo"/>
              <w:rPr>
                <w:i/>
                <w:iCs/>
                <w:sz w:val="16"/>
                <w:szCs w:val="16"/>
              </w:rPr>
            </w:pPr>
          </w:p>
        </w:tc>
        <w:tc>
          <w:tcPr>
            <w:tcW w:w="868" w:type="dxa"/>
            <w:vMerge/>
            <w:tcBorders>
              <w:top w:val="nil"/>
              <w:left w:val="single" w:sz="8" w:space="0" w:color="auto"/>
              <w:bottom w:val="single" w:sz="8" w:space="0" w:color="000000"/>
              <w:right w:val="single" w:sz="8" w:space="0" w:color="auto"/>
            </w:tcBorders>
            <w:vAlign w:val="center"/>
            <w:hideMark/>
          </w:tcPr>
          <w:p w14:paraId="273ADB81" w14:textId="77777777" w:rsidR="001B17BF" w:rsidRPr="00BE2355" w:rsidRDefault="001B17BF" w:rsidP="00BA3DD6">
            <w:pPr>
              <w:pStyle w:val="Subttulo"/>
              <w:rPr>
                <w:i/>
                <w:iCs/>
                <w:sz w:val="16"/>
                <w:szCs w:val="16"/>
              </w:rPr>
            </w:pPr>
          </w:p>
        </w:tc>
        <w:tc>
          <w:tcPr>
            <w:tcW w:w="789" w:type="dxa"/>
            <w:vMerge/>
            <w:tcBorders>
              <w:top w:val="nil"/>
              <w:left w:val="single" w:sz="8" w:space="0" w:color="auto"/>
              <w:bottom w:val="single" w:sz="8" w:space="0" w:color="000000"/>
              <w:right w:val="single" w:sz="8" w:space="0" w:color="auto"/>
            </w:tcBorders>
            <w:vAlign w:val="center"/>
            <w:hideMark/>
          </w:tcPr>
          <w:p w14:paraId="18039E89" w14:textId="77777777" w:rsidR="001B17BF" w:rsidRPr="00BE2355" w:rsidRDefault="001B17BF" w:rsidP="00BA3DD6">
            <w:pPr>
              <w:pStyle w:val="Subttulo"/>
              <w:rPr>
                <w:i/>
                <w:iCs/>
                <w:sz w:val="16"/>
                <w:szCs w:val="16"/>
              </w:rPr>
            </w:pPr>
          </w:p>
        </w:tc>
        <w:tc>
          <w:tcPr>
            <w:tcW w:w="679" w:type="dxa"/>
            <w:vMerge/>
            <w:tcBorders>
              <w:top w:val="nil"/>
              <w:left w:val="single" w:sz="8" w:space="0" w:color="auto"/>
              <w:bottom w:val="nil"/>
              <w:right w:val="single" w:sz="8" w:space="0" w:color="auto"/>
            </w:tcBorders>
            <w:vAlign w:val="center"/>
            <w:hideMark/>
          </w:tcPr>
          <w:p w14:paraId="5DE5A9DC" w14:textId="77777777" w:rsidR="001B17BF" w:rsidRPr="00BE2355" w:rsidRDefault="001B17BF" w:rsidP="00BA3DD6">
            <w:pPr>
              <w:pStyle w:val="Subttulo"/>
              <w:rPr>
                <w:i/>
                <w:iCs/>
                <w:sz w:val="16"/>
                <w:szCs w:val="16"/>
              </w:rPr>
            </w:pPr>
          </w:p>
        </w:tc>
        <w:tc>
          <w:tcPr>
            <w:tcW w:w="679" w:type="dxa"/>
            <w:vMerge/>
            <w:tcBorders>
              <w:top w:val="nil"/>
              <w:left w:val="single" w:sz="8" w:space="0" w:color="auto"/>
              <w:bottom w:val="nil"/>
              <w:right w:val="single" w:sz="8" w:space="0" w:color="auto"/>
            </w:tcBorders>
            <w:vAlign w:val="center"/>
            <w:hideMark/>
          </w:tcPr>
          <w:p w14:paraId="4EB250AF" w14:textId="77777777" w:rsidR="001B17BF" w:rsidRPr="00BE2355" w:rsidRDefault="001B17BF" w:rsidP="00BA3DD6">
            <w:pPr>
              <w:pStyle w:val="Subttulo"/>
              <w:rPr>
                <w:i/>
                <w:iCs/>
                <w:sz w:val="16"/>
                <w:szCs w:val="16"/>
              </w:rPr>
            </w:pPr>
          </w:p>
        </w:tc>
        <w:tc>
          <w:tcPr>
            <w:tcW w:w="789" w:type="dxa"/>
            <w:vMerge/>
            <w:tcBorders>
              <w:top w:val="single" w:sz="8" w:space="0" w:color="auto"/>
              <w:left w:val="single" w:sz="8" w:space="0" w:color="auto"/>
              <w:bottom w:val="nil"/>
              <w:right w:val="single" w:sz="8" w:space="0" w:color="auto"/>
            </w:tcBorders>
            <w:vAlign w:val="center"/>
            <w:hideMark/>
          </w:tcPr>
          <w:p w14:paraId="29CE3BC4" w14:textId="77777777" w:rsidR="001B17BF" w:rsidRPr="00BE2355" w:rsidRDefault="001B17BF" w:rsidP="00BA3DD6">
            <w:pPr>
              <w:pStyle w:val="Subttulo"/>
              <w:rPr>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14:paraId="67D7A126" w14:textId="77777777" w:rsidR="001B17BF" w:rsidRPr="00BE2355" w:rsidRDefault="001B17BF" w:rsidP="00BA3DD6">
            <w:pPr>
              <w:pStyle w:val="Subttulo"/>
              <w:rPr>
                <w:sz w:val="16"/>
                <w:szCs w:val="16"/>
              </w:rPr>
            </w:pPr>
          </w:p>
        </w:tc>
      </w:tr>
      <w:tr w:rsidR="001B17BF" w:rsidRPr="001B17BF" w14:paraId="49572592"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0B1E8E93" w14:textId="77777777" w:rsidR="001B17BF" w:rsidRPr="00BE2355" w:rsidRDefault="001B17BF" w:rsidP="00BA3DD6">
            <w:pPr>
              <w:pStyle w:val="Subttulo"/>
              <w:rPr>
                <w:sz w:val="16"/>
                <w:szCs w:val="16"/>
              </w:rPr>
            </w:pPr>
            <w:r>
              <w:rPr>
                <w:sz w:val="16"/>
              </w:rPr>
              <w:t>Equipamiento</w:t>
            </w:r>
          </w:p>
        </w:tc>
        <w:tc>
          <w:tcPr>
            <w:tcW w:w="1392" w:type="dxa"/>
            <w:tcBorders>
              <w:top w:val="nil"/>
              <w:left w:val="nil"/>
              <w:bottom w:val="single" w:sz="8" w:space="0" w:color="auto"/>
              <w:right w:val="single" w:sz="8" w:space="0" w:color="auto"/>
            </w:tcBorders>
            <w:shd w:val="clear" w:color="auto" w:fill="auto"/>
            <w:vAlign w:val="center"/>
            <w:hideMark/>
          </w:tcPr>
          <w:p w14:paraId="2E504929" w14:textId="77777777" w:rsidR="001B17BF" w:rsidRPr="00BE2355" w:rsidRDefault="001B17BF" w:rsidP="00BA3DD6">
            <w:pPr>
              <w:pStyle w:val="Subttulo"/>
              <w:rPr>
                <w:sz w:val="16"/>
                <w:szCs w:val="16"/>
              </w:rPr>
            </w:pPr>
            <w:r>
              <w:rPr>
                <w:sz w:val="16"/>
              </w:rPr>
              <w:t>Equipo informático estándar</w:t>
            </w:r>
          </w:p>
        </w:tc>
        <w:tc>
          <w:tcPr>
            <w:tcW w:w="868" w:type="dxa"/>
            <w:tcBorders>
              <w:top w:val="nil"/>
              <w:left w:val="nil"/>
              <w:bottom w:val="single" w:sz="8" w:space="0" w:color="auto"/>
              <w:right w:val="single" w:sz="8" w:space="0" w:color="auto"/>
            </w:tcBorders>
            <w:shd w:val="clear" w:color="auto" w:fill="auto"/>
            <w:noWrap/>
            <w:vAlign w:val="center"/>
            <w:hideMark/>
          </w:tcPr>
          <w:p w14:paraId="591386BB"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D248FCB"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EAD531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3A5A3662" w14:textId="77777777" w:rsidR="001B17BF" w:rsidRPr="00BE2355" w:rsidRDefault="001B17BF" w:rsidP="00BA3DD6">
            <w:pPr>
              <w:pStyle w:val="Subttulo"/>
              <w:rPr>
                <w:sz w:val="16"/>
                <w:szCs w:val="16"/>
              </w:rPr>
            </w:pPr>
            <w:r>
              <w:rPr>
                <w:sz w:val="16"/>
              </w:rPr>
              <w:t xml:space="preserve">                        -   </w:t>
            </w:r>
          </w:p>
        </w:tc>
        <w:tc>
          <w:tcPr>
            <w:tcW w:w="679" w:type="dxa"/>
            <w:tcBorders>
              <w:top w:val="single" w:sz="8" w:space="0" w:color="auto"/>
              <w:left w:val="nil"/>
              <w:bottom w:val="single" w:sz="8" w:space="0" w:color="auto"/>
              <w:right w:val="single" w:sz="8" w:space="0" w:color="auto"/>
            </w:tcBorders>
            <w:shd w:val="clear" w:color="auto" w:fill="auto"/>
            <w:noWrap/>
            <w:vAlign w:val="center"/>
            <w:hideMark/>
          </w:tcPr>
          <w:p w14:paraId="31E525F1" w14:textId="77777777" w:rsidR="001B17BF" w:rsidRPr="00BE2355" w:rsidRDefault="001B17BF" w:rsidP="00BA3DD6">
            <w:pPr>
              <w:pStyle w:val="Subttulo"/>
              <w:rPr>
                <w:sz w:val="16"/>
                <w:szCs w:val="16"/>
              </w:rPr>
            </w:pPr>
            <w:r>
              <w:rPr>
                <w:sz w:val="16"/>
              </w:rPr>
              <w:t> </w:t>
            </w:r>
          </w:p>
        </w:tc>
        <w:tc>
          <w:tcPr>
            <w:tcW w:w="679" w:type="dxa"/>
            <w:tcBorders>
              <w:top w:val="single" w:sz="8" w:space="0" w:color="auto"/>
              <w:left w:val="nil"/>
              <w:bottom w:val="single" w:sz="8" w:space="0" w:color="auto"/>
              <w:right w:val="single" w:sz="8" w:space="0" w:color="auto"/>
            </w:tcBorders>
            <w:shd w:val="clear" w:color="auto" w:fill="auto"/>
            <w:noWrap/>
            <w:vAlign w:val="center"/>
            <w:hideMark/>
          </w:tcPr>
          <w:p w14:paraId="3EED6E4F" w14:textId="77777777" w:rsidR="001B17BF" w:rsidRPr="00BE2355" w:rsidRDefault="001B17BF" w:rsidP="00BA3DD6">
            <w:pPr>
              <w:pStyle w:val="Subttulo"/>
              <w:rPr>
                <w:sz w:val="16"/>
                <w:szCs w:val="16"/>
              </w:rPr>
            </w:pPr>
            <w:r>
              <w:rPr>
                <w:sz w:val="16"/>
              </w:rPr>
              <w:t xml:space="preserve">               1.185 </w:t>
            </w:r>
          </w:p>
        </w:tc>
        <w:tc>
          <w:tcPr>
            <w:tcW w:w="789" w:type="dxa"/>
            <w:tcBorders>
              <w:top w:val="single" w:sz="8" w:space="0" w:color="auto"/>
              <w:left w:val="nil"/>
              <w:bottom w:val="single" w:sz="8" w:space="0" w:color="auto"/>
              <w:right w:val="single" w:sz="8" w:space="0" w:color="auto"/>
            </w:tcBorders>
            <w:shd w:val="clear" w:color="auto" w:fill="auto"/>
            <w:vAlign w:val="center"/>
            <w:hideMark/>
          </w:tcPr>
          <w:p w14:paraId="35ADABC9" w14:textId="77777777" w:rsidR="001B17BF" w:rsidRPr="00BE2355" w:rsidRDefault="001B17BF" w:rsidP="00BA3DD6">
            <w:pPr>
              <w:pStyle w:val="Subttulo"/>
              <w:rPr>
                <w:sz w:val="16"/>
                <w:szCs w:val="16"/>
              </w:rPr>
            </w:pPr>
            <w:r>
              <w:rPr>
                <w:sz w:val="16"/>
              </w:rPr>
              <w:t xml:space="preserve">              1.185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2A404C0"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77076922"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F493A7E" w14:textId="77777777" w:rsidR="001B17BF" w:rsidRPr="00BE2355" w:rsidRDefault="001B17BF" w:rsidP="00BA3DD6">
            <w:pPr>
              <w:pStyle w:val="Subttulo"/>
              <w:rPr>
                <w:sz w:val="16"/>
                <w:szCs w:val="16"/>
              </w:rPr>
            </w:pPr>
            <w:r>
              <w:rPr>
                <w:sz w:val="16"/>
              </w:rPr>
              <w:t>Equipamiento</w:t>
            </w:r>
          </w:p>
        </w:tc>
        <w:tc>
          <w:tcPr>
            <w:tcW w:w="1392" w:type="dxa"/>
            <w:tcBorders>
              <w:top w:val="nil"/>
              <w:left w:val="nil"/>
              <w:bottom w:val="single" w:sz="8" w:space="0" w:color="auto"/>
              <w:right w:val="single" w:sz="8" w:space="0" w:color="auto"/>
            </w:tcBorders>
            <w:shd w:val="clear" w:color="auto" w:fill="auto"/>
            <w:vAlign w:val="center"/>
            <w:hideMark/>
          </w:tcPr>
          <w:p w14:paraId="2755AF32" w14:textId="77777777" w:rsidR="001B17BF" w:rsidRPr="00BE2355" w:rsidRDefault="001B17BF" w:rsidP="00BA3DD6">
            <w:pPr>
              <w:pStyle w:val="Subttulo"/>
              <w:rPr>
                <w:sz w:val="16"/>
                <w:szCs w:val="16"/>
              </w:rPr>
            </w:pPr>
            <w:r>
              <w:rPr>
                <w:sz w:val="16"/>
              </w:rPr>
              <w:t>Equipamiento estándar de oficina</w:t>
            </w:r>
          </w:p>
        </w:tc>
        <w:tc>
          <w:tcPr>
            <w:tcW w:w="868" w:type="dxa"/>
            <w:tcBorders>
              <w:top w:val="nil"/>
              <w:left w:val="nil"/>
              <w:bottom w:val="single" w:sz="8" w:space="0" w:color="auto"/>
              <w:right w:val="single" w:sz="8" w:space="0" w:color="auto"/>
            </w:tcBorders>
            <w:shd w:val="clear" w:color="auto" w:fill="auto"/>
            <w:noWrap/>
            <w:vAlign w:val="center"/>
            <w:hideMark/>
          </w:tcPr>
          <w:p w14:paraId="1D2EC637"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2676F689"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CDCB558"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7A25C70F"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16527F57"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75EBEDDD" w14:textId="77777777" w:rsidR="001B17BF" w:rsidRPr="00BE2355" w:rsidRDefault="001B17BF" w:rsidP="00BA3DD6">
            <w:pPr>
              <w:pStyle w:val="Subttulo"/>
              <w:rPr>
                <w:sz w:val="16"/>
                <w:szCs w:val="16"/>
              </w:rPr>
            </w:pPr>
            <w:r>
              <w:rPr>
                <w:sz w:val="16"/>
              </w:rPr>
              <w:t xml:space="preserve">                   500 </w:t>
            </w:r>
          </w:p>
        </w:tc>
        <w:tc>
          <w:tcPr>
            <w:tcW w:w="789" w:type="dxa"/>
            <w:tcBorders>
              <w:top w:val="nil"/>
              <w:left w:val="nil"/>
              <w:bottom w:val="single" w:sz="8" w:space="0" w:color="auto"/>
              <w:right w:val="single" w:sz="8" w:space="0" w:color="auto"/>
            </w:tcBorders>
            <w:shd w:val="clear" w:color="auto" w:fill="auto"/>
            <w:vAlign w:val="center"/>
            <w:hideMark/>
          </w:tcPr>
          <w:p w14:paraId="77113F80" w14:textId="77777777" w:rsidR="001B17BF" w:rsidRPr="00BE2355" w:rsidRDefault="001B17BF" w:rsidP="00BA3DD6">
            <w:pPr>
              <w:pStyle w:val="Subttulo"/>
              <w:rPr>
                <w:sz w:val="16"/>
                <w:szCs w:val="16"/>
              </w:rPr>
            </w:pPr>
            <w:r>
              <w:rPr>
                <w:sz w:val="16"/>
              </w:rPr>
              <w:t xml:space="preserve">                  500 </w:t>
            </w:r>
          </w:p>
        </w:tc>
        <w:tc>
          <w:tcPr>
            <w:tcW w:w="992" w:type="dxa"/>
            <w:tcBorders>
              <w:top w:val="nil"/>
              <w:left w:val="nil"/>
              <w:bottom w:val="single" w:sz="8" w:space="0" w:color="auto"/>
              <w:right w:val="single" w:sz="8" w:space="0" w:color="auto"/>
            </w:tcBorders>
            <w:shd w:val="clear" w:color="auto" w:fill="auto"/>
            <w:vAlign w:val="center"/>
            <w:hideMark/>
          </w:tcPr>
          <w:p w14:paraId="6BBE1A64"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0FAE11E8"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72593276" w14:textId="77777777" w:rsidR="001B17BF" w:rsidRPr="00BE2355" w:rsidRDefault="001B17BF" w:rsidP="00BA3DD6">
            <w:pPr>
              <w:pStyle w:val="Subttulo"/>
              <w:rPr>
                <w:sz w:val="16"/>
                <w:szCs w:val="16"/>
              </w:rPr>
            </w:pPr>
            <w:r>
              <w:rPr>
                <w:sz w:val="16"/>
              </w:rPr>
              <w:t>Subvenciones</w:t>
            </w:r>
          </w:p>
        </w:tc>
        <w:tc>
          <w:tcPr>
            <w:tcW w:w="1392" w:type="dxa"/>
            <w:tcBorders>
              <w:top w:val="nil"/>
              <w:left w:val="nil"/>
              <w:bottom w:val="single" w:sz="8" w:space="0" w:color="auto"/>
              <w:right w:val="single" w:sz="8" w:space="0" w:color="auto"/>
            </w:tcBorders>
            <w:shd w:val="clear" w:color="auto" w:fill="auto"/>
            <w:vAlign w:val="center"/>
            <w:hideMark/>
          </w:tcPr>
          <w:p w14:paraId="62F1D579" w14:textId="4B95CA22" w:rsidR="001B17BF" w:rsidRPr="00BE2355" w:rsidRDefault="001B17BF" w:rsidP="006D3BF1">
            <w:pPr>
              <w:pStyle w:val="Subttulo"/>
              <w:rPr>
                <w:sz w:val="16"/>
                <w:szCs w:val="16"/>
              </w:rPr>
            </w:pPr>
            <w:r>
              <w:rPr>
                <w:sz w:val="16"/>
              </w:rPr>
              <w:t xml:space="preserve">Subvenciones para apoyar la aplicación de 2 </w:t>
            </w:r>
            <w:r w:rsidR="006D3BF1">
              <w:rPr>
                <w:sz w:val="16"/>
              </w:rPr>
              <w:t>p</w:t>
            </w:r>
            <w:r>
              <w:rPr>
                <w:sz w:val="16"/>
              </w:rPr>
              <w:t xml:space="preserve">royectos piloto empresariales para la gestión de plástico (Resultado 2.5) y 3 iniciativas seleccionadas por el </w:t>
            </w:r>
            <w:r w:rsidR="00F253D9">
              <w:rPr>
                <w:sz w:val="16"/>
              </w:rPr>
              <w:t>M</w:t>
            </w:r>
            <w:r>
              <w:rPr>
                <w:sz w:val="16"/>
              </w:rPr>
              <w:t xml:space="preserve">ecanismo de </w:t>
            </w:r>
            <w:r w:rsidR="00F253D9">
              <w:rPr>
                <w:sz w:val="16"/>
              </w:rPr>
              <w:t>F</w:t>
            </w:r>
            <w:r>
              <w:rPr>
                <w:sz w:val="16"/>
              </w:rPr>
              <w:t xml:space="preserve">ondos </w:t>
            </w:r>
            <w:r w:rsidR="00F253D9">
              <w:rPr>
                <w:sz w:val="16"/>
              </w:rPr>
              <w:t>C</w:t>
            </w:r>
            <w:r>
              <w:rPr>
                <w:sz w:val="16"/>
              </w:rPr>
              <w:t xml:space="preserve">oncursables (Resultado 2.6). Se seguirán las políticas del PNUD en materia de </w:t>
            </w:r>
            <w:r w:rsidR="006D3BF1">
              <w:rPr>
                <w:sz w:val="16"/>
              </w:rPr>
              <w:t>s</w:t>
            </w:r>
            <w:r>
              <w:rPr>
                <w:sz w:val="16"/>
              </w:rPr>
              <w:t xml:space="preserve">ubvenciones de </w:t>
            </w:r>
            <w:r w:rsidR="006D3BF1">
              <w:rPr>
                <w:sz w:val="16"/>
              </w:rPr>
              <w:t>b</w:t>
            </w:r>
            <w:r>
              <w:rPr>
                <w:sz w:val="16"/>
              </w:rPr>
              <w:t>aja cuantía</w:t>
            </w:r>
          </w:p>
        </w:tc>
        <w:tc>
          <w:tcPr>
            <w:tcW w:w="868" w:type="dxa"/>
            <w:tcBorders>
              <w:top w:val="nil"/>
              <w:left w:val="nil"/>
              <w:bottom w:val="single" w:sz="8" w:space="0" w:color="auto"/>
              <w:right w:val="single" w:sz="8" w:space="0" w:color="auto"/>
            </w:tcBorders>
            <w:shd w:val="clear" w:color="auto" w:fill="auto"/>
            <w:noWrap/>
            <w:vAlign w:val="center"/>
            <w:hideMark/>
          </w:tcPr>
          <w:p w14:paraId="72975F7E"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4374B20" w14:textId="77777777" w:rsidR="001B17BF" w:rsidRPr="00BE2355" w:rsidRDefault="001B17BF" w:rsidP="00BA3DD6">
            <w:pPr>
              <w:pStyle w:val="Subttulo"/>
              <w:rPr>
                <w:sz w:val="16"/>
                <w:szCs w:val="16"/>
              </w:rPr>
            </w:pPr>
            <w:r>
              <w:rPr>
                <w:sz w:val="16"/>
              </w:rPr>
              <w:t xml:space="preserve">                   459.100 </w:t>
            </w:r>
          </w:p>
        </w:tc>
        <w:tc>
          <w:tcPr>
            <w:tcW w:w="868" w:type="dxa"/>
            <w:tcBorders>
              <w:top w:val="nil"/>
              <w:left w:val="nil"/>
              <w:bottom w:val="single" w:sz="8" w:space="0" w:color="auto"/>
              <w:right w:val="single" w:sz="8" w:space="0" w:color="auto"/>
            </w:tcBorders>
            <w:shd w:val="clear" w:color="auto" w:fill="auto"/>
            <w:noWrap/>
            <w:vAlign w:val="center"/>
            <w:hideMark/>
          </w:tcPr>
          <w:p w14:paraId="4849E94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568672A0" w14:textId="77777777" w:rsidR="001B17BF" w:rsidRPr="00BE2355" w:rsidRDefault="001B17BF" w:rsidP="00BA3DD6">
            <w:pPr>
              <w:pStyle w:val="Subttulo"/>
              <w:rPr>
                <w:sz w:val="16"/>
                <w:szCs w:val="16"/>
              </w:rPr>
            </w:pPr>
            <w:r>
              <w:rPr>
                <w:sz w:val="16"/>
              </w:rPr>
              <w:t xml:space="preserve">        459.100 </w:t>
            </w:r>
          </w:p>
        </w:tc>
        <w:tc>
          <w:tcPr>
            <w:tcW w:w="679" w:type="dxa"/>
            <w:tcBorders>
              <w:top w:val="nil"/>
              <w:left w:val="nil"/>
              <w:bottom w:val="single" w:sz="8" w:space="0" w:color="auto"/>
              <w:right w:val="single" w:sz="8" w:space="0" w:color="auto"/>
            </w:tcBorders>
            <w:shd w:val="clear" w:color="auto" w:fill="auto"/>
            <w:noWrap/>
            <w:vAlign w:val="center"/>
            <w:hideMark/>
          </w:tcPr>
          <w:p w14:paraId="7EE8424E"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F44B6E7"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7A298C76" w14:textId="77777777" w:rsidR="001B17BF" w:rsidRPr="00BE2355" w:rsidRDefault="001B17BF" w:rsidP="00BA3DD6">
            <w:pPr>
              <w:pStyle w:val="Subttulo"/>
              <w:rPr>
                <w:sz w:val="16"/>
                <w:szCs w:val="16"/>
              </w:rPr>
            </w:pPr>
            <w:r>
              <w:rPr>
                <w:sz w:val="16"/>
              </w:rPr>
              <w:t xml:space="preserve">        459.100 </w:t>
            </w:r>
          </w:p>
        </w:tc>
        <w:tc>
          <w:tcPr>
            <w:tcW w:w="992" w:type="dxa"/>
            <w:tcBorders>
              <w:top w:val="nil"/>
              <w:left w:val="nil"/>
              <w:bottom w:val="single" w:sz="8" w:space="0" w:color="auto"/>
              <w:right w:val="single" w:sz="8" w:space="0" w:color="auto"/>
            </w:tcBorders>
            <w:shd w:val="clear" w:color="auto" w:fill="auto"/>
            <w:vAlign w:val="center"/>
            <w:hideMark/>
          </w:tcPr>
          <w:p w14:paraId="26FE9530"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76003B9E"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3F19EFD" w14:textId="77777777" w:rsidR="001B17BF" w:rsidRPr="00BE2355" w:rsidRDefault="001B17BF" w:rsidP="00BA3DD6">
            <w:pPr>
              <w:pStyle w:val="Subttulo"/>
              <w:rPr>
                <w:sz w:val="16"/>
                <w:szCs w:val="16"/>
              </w:rPr>
            </w:pPr>
            <w:r>
              <w:rPr>
                <w:sz w:val="16"/>
              </w:rPr>
              <w:t>Subcontratación con el Socio en la Implementación</w:t>
            </w:r>
          </w:p>
        </w:tc>
        <w:tc>
          <w:tcPr>
            <w:tcW w:w="1392" w:type="dxa"/>
            <w:tcBorders>
              <w:top w:val="nil"/>
              <w:left w:val="nil"/>
              <w:bottom w:val="single" w:sz="8" w:space="0" w:color="auto"/>
              <w:right w:val="single" w:sz="8" w:space="0" w:color="auto"/>
            </w:tcBorders>
            <w:shd w:val="clear" w:color="auto" w:fill="auto"/>
            <w:vAlign w:val="center"/>
            <w:hideMark/>
          </w:tcPr>
          <w:p w14:paraId="076D221C" w14:textId="4C784D99" w:rsidR="001B17BF" w:rsidRPr="00BE2355" w:rsidRDefault="001B17BF" w:rsidP="00BA3DD6">
            <w:pPr>
              <w:pStyle w:val="Subttulo"/>
              <w:rPr>
                <w:sz w:val="16"/>
                <w:szCs w:val="16"/>
              </w:rPr>
            </w:pPr>
            <w:r>
              <w:rPr>
                <w:sz w:val="16"/>
              </w:rPr>
              <w:t>Servicios de proyecto directos del PNUD para un conjunto limitado de actividades, incluida la contratación de personal, la tramitación de pagos y viajes, adquisiciones y contratación de consultores</w:t>
            </w:r>
          </w:p>
        </w:tc>
        <w:tc>
          <w:tcPr>
            <w:tcW w:w="868" w:type="dxa"/>
            <w:tcBorders>
              <w:top w:val="nil"/>
              <w:left w:val="nil"/>
              <w:bottom w:val="single" w:sz="8" w:space="0" w:color="auto"/>
              <w:right w:val="single" w:sz="8" w:space="0" w:color="auto"/>
            </w:tcBorders>
            <w:shd w:val="clear" w:color="auto" w:fill="auto"/>
            <w:noWrap/>
            <w:vAlign w:val="center"/>
            <w:hideMark/>
          </w:tcPr>
          <w:p w14:paraId="00C2499E"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88EE3C7"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CC517AB"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1029E047"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318DBF83"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5F8D584" w14:textId="77777777" w:rsidR="001B17BF" w:rsidRPr="00BE2355" w:rsidRDefault="001B17BF" w:rsidP="00BA3DD6">
            <w:pPr>
              <w:pStyle w:val="Subttulo"/>
              <w:rPr>
                <w:sz w:val="16"/>
                <w:szCs w:val="16"/>
              </w:rPr>
            </w:pPr>
            <w:r>
              <w:rPr>
                <w:sz w:val="16"/>
              </w:rPr>
              <w:t xml:space="preserve">         119.315 </w:t>
            </w:r>
          </w:p>
        </w:tc>
        <w:tc>
          <w:tcPr>
            <w:tcW w:w="789" w:type="dxa"/>
            <w:tcBorders>
              <w:top w:val="nil"/>
              <w:left w:val="nil"/>
              <w:bottom w:val="single" w:sz="8" w:space="0" w:color="auto"/>
              <w:right w:val="single" w:sz="8" w:space="0" w:color="auto"/>
            </w:tcBorders>
            <w:shd w:val="clear" w:color="auto" w:fill="auto"/>
            <w:vAlign w:val="center"/>
            <w:hideMark/>
          </w:tcPr>
          <w:p w14:paraId="5623E306" w14:textId="77777777" w:rsidR="001B17BF" w:rsidRPr="00BE2355" w:rsidRDefault="001B17BF" w:rsidP="00BA3DD6">
            <w:pPr>
              <w:pStyle w:val="Subttulo"/>
              <w:rPr>
                <w:sz w:val="16"/>
                <w:szCs w:val="16"/>
              </w:rPr>
            </w:pPr>
            <w:r>
              <w:rPr>
                <w:sz w:val="16"/>
              </w:rPr>
              <w:t xml:space="preserve">        119.315 </w:t>
            </w:r>
          </w:p>
        </w:tc>
        <w:tc>
          <w:tcPr>
            <w:tcW w:w="992" w:type="dxa"/>
            <w:tcBorders>
              <w:top w:val="nil"/>
              <w:left w:val="nil"/>
              <w:bottom w:val="single" w:sz="8" w:space="0" w:color="auto"/>
              <w:right w:val="single" w:sz="8" w:space="0" w:color="auto"/>
            </w:tcBorders>
            <w:shd w:val="clear" w:color="auto" w:fill="auto"/>
            <w:vAlign w:val="center"/>
            <w:hideMark/>
          </w:tcPr>
          <w:p w14:paraId="39C92E41"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231F733" w14:textId="77777777" w:rsidTr="00BA3DD6">
        <w:trPr>
          <w:trHeight w:val="1756"/>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01FC0B99" w14:textId="20E6CC81" w:rsidR="001B17BF" w:rsidRPr="00BE2355" w:rsidRDefault="001B17BF" w:rsidP="00BA3DD6">
            <w:pPr>
              <w:pStyle w:val="Subttulo"/>
              <w:rPr>
                <w:sz w:val="16"/>
                <w:szCs w:val="16"/>
              </w:rPr>
            </w:pPr>
            <w:r>
              <w:rPr>
                <w:sz w:val="16"/>
              </w:rPr>
              <w:t>Servicios contractuales - Individuos</w:t>
            </w:r>
          </w:p>
        </w:tc>
        <w:tc>
          <w:tcPr>
            <w:tcW w:w="1392" w:type="dxa"/>
            <w:tcBorders>
              <w:top w:val="nil"/>
              <w:left w:val="nil"/>
              <w:bottom w:val="single" w:sz="8" w:space="0" w:color="auto"/>
              <w:right w:val="single" w:sz="8" w:space="0" w:color="auto"/>
            </w:tcBorders>
            <w:shd w:val="clear" w:color="auto" w:fill="auto"/>
            <w:vAlign w:val="center"/>
            <w:hideMark/>
          </w:tcPr>
          <w:p w14:paraId="3D558EFA" w14:textId="624E0370" w:rsidR="001B17BF" w:rsidRPr="00BE2355" w:rsidRDefault="001B17BF" w:rsidP="006D3BF1">
            <w:pPr>
              <w:pStyle w:val="Subttulo"/>
              <w:rPr>
                <w:sz w:val="16"/>
                <w:szCs w:val="16"/>
              </w:rPr>
            </w:pPr>
            <w:r>
              <w:rPr>
                <w:sz w:val="16"/>
              </w:rPr>
              <w:t>Un oficial de gestión del conocimiento para apoyar la documentación y sistematización del conocimiento a nivel nacional y mundial (15.000 USD/año) + 30% de los cost</w:t>
            </w:r>
            <w:r w:rsidR="006D3BF1">
              <w:rPr>
                <w:sz w:val="16"/>
              </w:rPr>
              <w:t>o</w:t>
            </w:r>
            <w:r>
              <w:rPr>
                <w:sz w:val="16"/>
              </w:rPr>
              <w:t xml:space="preserve">s del </w:t>
            </w:r>
            <w:r w:rsidR="006D3BF1">
              <w:rPr>
                <w:sz w:val="16"/>
              </w:rPr>
              <w:t>C</w:t>
            </w:r>
            <w:r>
              <w:rPr>
                <w:sz w:val="16"/>
              </w:rPr>
              <w:t xml:space="preserve">oordinador del </w:t>
            </w:r>
            <w:r w:rsidR="006D3BF1">
              <w:rPr>
                <w:sz w:val="16"/>
              </w:rPr>
              <w:t>P</w:t>
            </w:r>
            <w:r>
              <w:rPr>
                <w:sz w:val="16"/>
              </w:rPr>
              <w:t xml:space="preserve">royecto: el </w:t>
            </w:r>
            <w:r w:rsidR="006D3BF1">
              <w:rPr>
                <w:sz w:val="16"/>
              </w:rPr>
              <w:t>C</w:t>
            </w:r>
            <w:r>
              <w:rPr>
                <w:sz w:val="16"/>
              </w:rPr>
              <w:t xml:space="preserve">oordinador del </w:t>
            </w:r>
            <w:r w:rsidR="006D3BF1">
              <w:rPr>
                <w:sz w:val="16"/>
              </w:rPr>
              <w:t>P</w:t>
            </w:r>
            <w:r>
              <w:rPr>
                <w:sz w:val="16"/>
              </w:rPr>
              <w:t xml:space="preserve">royecto se encargará de las actividades cotidianas de ejecución, administración, adquisición y gestión del proyecto por 42.200 USD/año (12.660 USD/año se imputarán a este componente). Para más información, véase el </w:t>
            </w:r>
            <w:r w:rsidR="006D3BF1">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165ACE9D"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4B5139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21BD1DF6" w14:textId="77777777" w:rsidR="001B17BF" w:rsidRPr="00BE2355" w:rsidRDefault="001B17BF" w:rsidP="00BA3DD6">
            <w:pPr>
              <w:pStyle w:val="Subttulo"/>
              <w:rPr>
                <w:sz w:val="16"/>
                <w:szCs w:val="16"/>
              </w:rPr>
            </w:pPr>
            <w:r>
              <w:rPr>
                <w:sz w:val="16"/>
              </w:rPr>
              <w:t xml:space="preserve">              138.300 </w:t>
            </w:r>
          </w:p>
        </w:tc>
        <w:tc>
          <w:tcPr>
            <w:tcW w:w="789" w:type="dxa"/>
            <w:tcBorders>
              <w:top w:val="nil"/>
              <w:left w:val="nil"/>
              <w:bottom w:val="single" w:sz="8" w:space="0" w:color="auto"/>
              <w:right w:val="single" w:sz="8" w:space="0" w:color="auto"/>
            </w:tcBorders>
            <w:shd w:val="clear" w:color="auto" w:fill="auto"/>
            <w:noWrap/>
            <w:vAlign w:val="center"/>
            <w:hideMark/>
          </w:tcPr>
          <w:p w14:paraId="6F33303E" w14:textId="77777777" w:rsidR="001B17BF" w:rsidRPr="00BE2355" w:rsidRDefault="001B17BF" w:rsidP="00BA3DD6">
            <w:pPr>
              <w:pStyle w:val="Subttulo"/>
              <w:rPr>
                <w:sz w:val="16"/>
                <w:szCs w:val="16"/>
              </w:rPr>
            </w:pPr>
            <w:r>
              <w:rPr>
                <w:sz w:val="16"/>
              </w:rPr>
              <w:t xml:space="preserve">        138.300 </w:t>
            </w:r>
          </w:p>
        </w:tc>
        <w:tc>
          <w:tcPr>
            <w:tcW w:w="679" w:type="dxa"/>
            <w:tcBorders>
              <w:top w:val="nil"/>
              <w:left w:val="nil"/>
              <w:bottom w:val="single" w:sz="8" w:space="0" w:color="auto"/>
              <w:right w:val="single" w:sz="8" w:space="0" w:color="auto"/>
            </w:tcBorders>
            <w:shd w:val="clear" w:color="auto" w:fill="auto"/>
            <w:noWrap/>
            <w:vAlign w:val="center"/>
            <w:hideMark/>
          </w:tcPr>
          <w:p w14:paraId="19CEBE7A"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B6DFCDA"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358A0951" w14:textId="77777777" w:rsidR="001B17BF" w:rsidRPr="00BE2355" w:rsidRDefault="001B17BF" w:rsidP="00BA3DD6">
            <w:pPr>
              <w:pStyle w:val="Subttulo"/>
              <w:rPr>
                <w:sz w:val="16"/>
                <w:szCs w:val="16"/>
              </w:rPr>
            </w:pPr>
            <w:r>
              <w:rPr>
                <w:sz w:val="16"/>
              </w:rPr>
              <w:t xml:space="preserve">        138.300 </w:t>
            </w:r>
          </w:p>
        </w:tc>
        <w:tc>
          <w:tcPr>
            <w:tcW w:w="992" w:type="dxa"/>
            <w:tcBorders>
              <w:top w:val="nil"/>
              <w:left w:val="nil"/>
              <w:bottom w:val="single" w:sz="8" w:space="0" w:color="auto"/>
              <w:right w:val="single" w:sz="8" w:space="0" w:color="auto"/>
            </w:tcBorders>
            <w:shd w:val="clear" w:color="auto" w:fill="auto"/>
            <w:vAlign w:val="center"/>
            <w:hideMark/>
          </w:tcPr>
          <w:p w14:paraId="0B944544"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0FED2092"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1E553E4" w14:textId="77777777" w:rsidR="001B17BF" w:rsidRPr="00BE2355" w:rsidRDefault="001B17BF" w:rsidP="00BA3DD6">
            <w:pPr>
              <w:pStyle w:val="Subttulo"/>
              <w:rPr>
                <w:sz w:val="16"/>
                <w:szCs w:val="16"/>
              </w:rPr>
            </w:pPr>
            <w:r>
              <w:rPr>
                <w:sz w:val="16"/>
              </w:rPr>
              <w:t>Servicios contractuales - Individuos</w:t>
            </w:r>
          </w:p>
        </w:tc>
        <w:tc>
          <w:tcPr>
            <w:tcW w:w="1392" w:type="dxa"/>
            <w:tcBorders>
              <w:top w:val="nil"/>
              <w:left w:val="nil"/>
              <w:bottom w:val="single" w:sz="8" w:space="0" w:color="auto"/>
              <w:right w:val="single" w:sz="8" w:space="0" w:color="auto"/>
            </w:tcBorders>
            <w:shd w:val="clear" w:color="auto" w:fill="auto"/>
            <w:vAlign w:val="center"/>
            <w:hideMark/>
          </w:tcPr>
          <w:p w14:paraId="35D02F0A" w14:textId="65E6C331" w:rsidR="001B17BF" w:rsidRPr="00BE2355" w:rsidRDefault="001B17BF" w:rsidP="006D3BF1">
            <w:pPr>
              <w:pStyle w:val="Subttulo"/>
              <w:rPr>
                <w:sz w:val="16"/>
                <w:szCs w:val="16"/>
              </w:rPr>
            </w:pPr>
            <w:r>
              <w:rPr>
                <w:sz w:val="16"/>
              </w:rPr>
              <w:t xml:space="preserve">Una persona local (Asistente Administrativo del Proyecto). Para más información, véase el </w:t>
            </w:r>
            <w:r w:rsidR="006D3BF1">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0EA96AFA"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479B238"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BB6C711"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4DFF9DE8"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6259B91A"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71F02E6" w14:textId="77777777" w:rsidR="001B17BF" w:rsidRPr="00BE2355" w:rsidRDefault="001B17BF" w:rsidP="00BA3DD6">
            <w:pPr>
              <w:pStyle w:val="Subttulo"/>
              <w:rPr>
                <w:sz w:val="16"/>
                <w:szCs w:val="16"/>
              </w:rPr>
            </w:pPr>
            <w:r>
              <w:rPr>
                <w:sz w:val="16"/>
              </w:rPr>
              <w:t xml:space="preserve">            47.976 </w:t>
            </w:r>
          </w:p>
        </w:tc>
        <w:tc>
          <w:tcPr>
            <w:tcW w:w="789" w:type="dxa"/>
            <w:tcBorders>
              <w:top w:val="nil"/>
              <w:left w:val="nil"/>
              <w:bottom w:val="single" w:sz="8" w:space="0" w:color="auto"/>
              <w:right w:val="single" w:sz="8" w:space="0" w:color="auto"/>
            </w:tcBorders>
            <w:shd w:val="clear" w:color="auto" w:fill="auto"/>
            <w:vAlign w:val="center"/>
            <w:hideMark/>
          </w:tcPr>
          <w:p w14:paraId="6BBEECF8" w14:textId="77777777" w:rsidR="001B17BF" w:rsidRPr="00BE2355" w:rsidRDefault="001B17BF" w:rsidP="00BA3DD6">
            <w:pPr>
              <w:pStyle w:val="Subttulo"/>
              <w:rPr>
                <w:sz w:val="16"/>
                <w:szCs w:val="16"/>
              </w:rPr>
            </w:pPr>
            <w:r>
              <w:rPr>
                <w:sz w:val="16"/>
              </w:rPr>
              <w:t xml:space="preserve">           47.976 </w:t>
            </w:r>
          </w:p>
        </w:tc>
        <w:tc>
          <w:tcPr>
            <w:tcW w:w="992" w:type="dxa"/>
            <w:tcBorders>
              <w:top w:val="nil"/>
              <w:left w:val="nil"/>
              <w:bottom w:val="single" w:sz="8" w:space="0" w:color="auto"/>
              <w:right w:val="single" w:sz="8" w:space="0" w:color="auto"/>
            </w:tcBorders>
            <w:shd w:val="clear" w:color="auto" w:fill="auto"/>
            <w:vAlign w:val="center"/>
            <w:hideMark/>
          </w:tcPr>
          <w:p w14:paraId="1695E7DF"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40F93E3B" w14:textId="77777777" w:rsidTr="00BA3DD6">
        <w:trPr>
          <w:trHeight w:val="1695"/>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17072A41" w14:textId="77777777" w:rsidR="001B17BF" w:rsidRPr="00BE2355" w:rsidRDefault="001B17BF" w:rsidP="00BA3DD6">
            <w:pPr>
              <w:pStyle w:val="Subttulo"/>
              <w:rPr>
                <w:sz w:val="16"/>
                <w:szCs w:val="16"/>
              </w:rPr>
            </w:pPr>
            <w:r>
              <w:rPr>
                <w:sz w:val="16"/>
              </w:rPr>
              <w:t>Servicios contractuales - Individuos</w:t>
            </w:r>
          </w:p>
        </w:tc>
        <w:tc>
          <w:tcPr>
            <w:tcW w:w="1392" w:type="dxa"/>
            <w:tcBorders>
              <w:top w:val="nil"/>
              <w:left w:val="nil"/>
              <w:bottom w:val="single" w:sz="8" w:space="0" w:color="auto"/>
              <w:right w:val="single" w:sz="8" w:space="0" w:color="auto"/>
            </w:tcBorders>
            <w:shd w:val="clear" w:color="auto" w:fill="auto"/>
            <w:vAlign w:val="center"/>
            <w:hideMark/>
          </w:tcPr>
          <w:p w14:paraId="08ECAF59" w14:textId="12B0AA5B" w:rsidR="001B17BF" w:rsidRPr="00BE2355" w:rsidRDefault="001B17BF" w:rsidP="006D3BF1">
            <w:pPr>
              <w:pStyle w:val="Subttulo"/>
              <w:rPr>
                <w:sz w:val="16"/>
                <w:szCs w:val="16"/>
              </w:rPr>
            </w:pPr>
            <w:r>
              <w:rPr>
                <w:sz w:val="16"/>
              </w:rPr>
              <w:t>Una persona local para apoyar el desarrollo de un programa de financiación adaptado a la agricultura sostenible y a la inclusión financiera de los agricultores (35.000 $/año) + 40% de los cost</w:t>
            </w:r>
            <w:r w:rsidR="006D3BF1">
              <w:rPr>
                <w:sz w:val="16"/>
              </w:rPr>
              <w:t>o</w:t>
            </w:r>
            <w:r>
              <w:rPr>
                <w:sz w:val="16"/>
              </w:rPr>
              <w:t xml:space="preserve">s del </w:t>
            </w:r>
            <w:r w:rsidR="006D3BF1">
              <w:rPr>
                <w:sz w:val="16"/>
              </w:rPr>
              <w:t>C</w:t>
            </w:r>
            <w:r>
              <w:rPr>
                <w:sz w:val="16"/>
              </w:rPr>
              <w:t xml:space="preserve">oordinador del </w:t>
            </w:r>
            <w:r w:rsidR="006D3BF1">
              <w:rPr>
                <w:sz w:val="16"/>
              </w:rPr>
              <w:t>P</w:t>
            </w:r>
            <w:r>
              <w:rPr>
                <w:sz w:val="16"/>
              </w:rPr>
              <w:t xml:space="preserve">royecto: el </w:t>
            </w:r>
            <w:r w:rsidR="006D3BF1">
              <w:rPr>
                <w:sz w:val="16"/>
              </w:rPr>
              <w:t>C</w:t>
            </w:r>
            <w:r>
              <w:rPr>
                <w:sz w:val="16"/>
              </w:rPr>
              <w:t xml:space="preserve">oordinador del </w:t>
            </w:r>
            <w:r w:rsidR="006D3BF1">
              <w:rPr>
                <w:sz w:val="16"/>
              </w:rPr>
              <w:t>P</w:t>
            </w:r>
            <w:r>
              <w:rPr>
                <w:sz w:val="16"/>
              </w:rPr>
              <w:t xml:space="preserve">royecto se encargará de las actividades cotidianas de ejecución, administración, adquisición y gestión del proyecto por 42.200 $/año (16.880 $/año se imputarán a este componente). Para más información, véase el </w:t>
            </w:r>
            <w:r w:rsidR="006D3BF1">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7B0F917E"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F4D7667" w14:textId="77777777" w:rsidR="001B17BF" w:rsidRPr="00BE2355" w:rsidRDefault="001B17BF" w:rsidP="00BA3DD6">
            <w:pPr>
              <w:pStyle w:val="Subttulo"/>
              <w:rPr>
                <w:sz w:val="16"/>
                <w:szCs w:val="16"/>
              </w:rPr>
            </w:pPr>
            <w:r>
              <w:rPr>
                <w:sz w:val="16"/>
              </w:rPr>
              <w:t xml:space="preserve">                   259.400 </w:t>
            </w:r>
          </w:p>
        </w:tc>
        <w:tc>
          <w:tcPr>
            <w:tcW w:w="868" w:type="dxa"/>
            <w:tcBorders>
              <w:top w:val="nil"/>
              <w:left w:val="nil"/>
              <w:bottom w:val="single" w:sz="8" w:space="0" w:color="auto"/>
              <w:right w:val="single" w:sz="8" w:space="0" w:color="auto"/>
            </w:tcBorders>
            <w:shd w:val="clear" w:color="auto" w:fill="auto"/>
            <w:noWrap/>
            <w:vAlign w:val="center"/>
            <w:hideMark/>
          </w:tcPr>
          <w:p w14:paraId="79C408F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709994E5" w14:textId="77777777" w:rsidR="001B17BF" w:rsidRPr="00BE2355" w:rsidRDefault="001B17BF" w:rsidP="00BA3DD6">
            <w:pPr>
              <w:pStyle w:val="Subttulo"/>
              <w:rPr>
                <w:sz w:val="16"/>
                <w:szCs w:val="16"/>
              </w:rPr>
            </w:pPr>
            <w:r>
              <w:rPr>
                <w:sz w:val="16"/>
              </w:rPr>
              <w:t xml:space="preserve">        259.400 </w:t>
            </w:r>
          </w:p>
        </w:tc>
        <w:tc>
          <w:tcPr>
            <w:tcW w:w="679" w:type="dxa"/>
            <w:tcBorders>
              <w:top w:val="nil"/>
              <w:left w:val="nil"/>
              <w:bottom w:val="single" w:sz="8" w:space="0" w:color="auto"/>
              <w:right w:val="single" w:sz="8" w:space="0" w:color="auto"/>
            </w:tcBorders>
            <w:shd w:val="clear" w:color="auto" w:fill="auto"/>
            <w:noWrap/>
            <w:vAlign w:val="center"/>
            <w:hideMark/>
          </w:tcPr>
          <w:p w14:paraId="4EF1FE04"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34AABDCA"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153FBC29" w14:textId="77777777" w:rsidR="001B17BF" w:rsidRPr="00BE2355" w:rsidRDefault="001B17BF" w:rsidP="00BA3DD6">
            <w:pPr>
              <w:pStyle w:val="Subttulo"/>
              <w:rPr>
                <w:sz w:val="16"/>
                <w:szCs w:val="16"/>
              </w:rPr>
            </w:pPr>
            <w:r>
              <w:rPr>
                <w:sz w:val="16"/>
              </w:rPr>
              <w:t xml:space="preserve">        259.400 </w:t>
            </w:r>
          </w:p>
        </w:tc>
        <w:tc>
          <w:tcPr>
            <w:tcW w:w="992" w:type="dxa"/>
            <w:tcBorders>
              <w:top w:val="nil"/>
              <w:left w:val="nil"/>
              <w:bottom w:val="single" w:sz="8" w:space="0" w:color="auto"/>
              <w:right w:val="single" w:sz="8" w:space="0" w:color="auto"/>
            </w:tcBorders>
            <w:shd w:val="clear" w:color="auto" w:fill="auto"/>
            <w:vAlign w:val="center"/>
            <w:hideMark/>
          </w:tcPr>
          <w:p w14:paraId="49223933"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F0455DD" w14:textId="77777777" w:rsidTr="00BA3DD6">
        <w:trPr>
          <w:trHeight w:val="1829"/>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34D53C12" w14:textId="77777777" w:rsidR="001B17BF" w:rsidRPr="00BE2355" w:rsidRDefault="001B17BF" w:rsidP="00BA3DD6">
            <w:pPr>
              <w:pStyle w:val="Subttulo"/>
              <w:rPr>
                <w:sz w:val="16"/>
                <w:szCs w:val="16"/>
              </w:rPr>
            </w:pPr>
            <w:r>
              <w:rPr>
                <w:sz w:val="16"/>
              </w:rPr>
              <w:t>Servicios contractuales - Individuos</w:t>
            </w:r>
          </w:p>
        </w:tc>
        <w:tc>
          <w:tcPr>
            <w:tcW w:w="1392" w:type="dxa"/>
            <w:tcBorders>
              <w:top w:val="nil"/>
              <w:left w:val="nil"/>
              <w:bottom w:val="single" w:sz="8" w:space="0" w:color="auto"/>
              <w:right w:val="single" w:sz="8" w:space="0" w:color="auto"/>
            </w:tcBorders>
            <w:shd w:val="clear" w:color="auto" w:fill="auto"/>
            <w:vAlign w:val="center"/>
            <w:hideMark/>
          </w:tcPr>
          <w:p w14:paraId="736E41D2" w14:textId="506E31BF" w:rsidR="001B17BF" w:rsidRPr="00BE2355" w:rsidRDefault="001B17BF" w:rsidP="006D3BF1">
            <w:pPr>
              <w:pStyle w:val="Subttulo"/>
              <w:rPr>
                <w:sz w:val="16"/>
                <w:szCs w:val="16"/>
              </w:rPr>
            </w:pPr>
            <w:r>
              <w:rPr>
                <w:sz w:val="16"/>
              </w:rPr>
              <w:t>Una persona local para apoyar el desarrollo del Plan Nacional de Reducción de Agroquímicos Nocivos en el marco del Resultado 1.3 a 35.000 USD anuales + 30% de los cost</w:t>
            </w:r>
            <w:r w:rsidR="006D3BF1">
              <w:rPr>
                <w:sz w:val="16"/>
              </w:rPr>
              <w:t>o</w:t>
            </w:r>
            <w:r>
              <w:rPr>
                <w:sz w:val="16"/>
              </w:rPr>
              <w:t xml:space="preserve">s del Coordinador del Proyecto: el Coordinador del Proyecto se encargará de las actividades cotidianas de ejecución, administración, adquisición y gestión del proyecto a 42.200 USD anuales (12.660 USD anuales se imputarán a este componente). Para más información, véase el </w:t>
            </w:r>
            <w:r w:rsidR="006D3BF1">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67E019D6" w14:textId="77777777" w:rsidR="001B17BF" w:rsidRPr="00BE2355" w:rsidRDefault="001B17BF" w:rsidP="00BA3DD6">
            <w:pPr>
              <w:pStyle w:val="Subttulo"/>
              <w:rPr>
                <w:sz w:val="16"/>
                <w:szCs w:val="16"/>
              </w:rPr>
            </w:pPr>
            <w:r>
              <w:rPr>
                <w:sz w:val="16"/>
              </w:rPr>
              <w:t xml:space="preserve">              238.300 </w:t>
            </w:r>
          </w:p>
        </w:tc>
        <w:tc>
          <w:tcPr>
            <w:tcW w:w="868" w:type="dxa"/>
            <w:tcBorders>
              <w:top w:val="nil"/>
              <w:left w:val="nil"/>
              <w:bottom w:val="single" w:sz="8" w:space="0" w:color="auto"/>
              <w:right w:val="single" w:sz="8" w:space="0" w:color="auto"/>
            </w:tcBorders>
            <w:shd w:val="clear" w:color="auto" w:fill="auto"/>
            <w:noWrap/>
            <w:vAlign w:val="center"/>
            <w:hideMark/>
          </w:tcPr>
          <w:p w14:paraId="1B4C0D06"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F9C5055"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3AC2ACB6" w14:textId="77777777" w:rsidR="001B17BF" w:rsidRPr="00BE2355" w:rsidRDefault="001B17BF" w:rsidP="00BA3DD6">
            <w:pPr>
              <w:pStyle w:val="Subttulo"/>
              <w:rPr>
                <w:sz w:val="16"/>
                <w:szCs w:val="16"/>
              </w:rPr>
            </w:pPr>
            <w:r>
              <w:rPr>
                <w:sz w:val="16"/>
              </w:rPr>
              <w:t xml:space="preserve">        238.300 </w:t>
            </w:r>
          </w:p>
        </w:tc>
        <w:tc>
          <w:tcPr>
            <w:tcW w:w="679" w:type="dxa"/>
            <w:tcBorders>
              <w:top w:val="nil"/>
              <w:left w:val="nil"/>
              <w:bottom w:val="single" w:sz="8" w:space="0" w:color="auto"/>
              <w:right w:val="single" w:sz="8" w:space="0" w:color="auto"/>
            </w:tcBorders>
            <w:shd w:val="clear" w:color="auto" w:fill="auto"/>
            <w:noWrap/>
            <w:vAlign w:val="center"/>
            <w:hideMark/>
          </w:tcPr>
          <w:p w14:paraId="5968A82B"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1F086299"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1FBB4D6B" w14:textId="77777777" w:rsidR="001B17BF" w:rsidRPr="00BE2355" w:rsidRDefault="001B17BF" w:rsidP="00BA3DD6">
            <w:pPr>
              <w:pStyle w:val="Subttulo"/>
              <w:rPr>
                <w:sz w:val="16"/>
                <w:szCs w:val="16"/>
              </w:rPr>
            </w:pPr>
            <w:r>
              <w:rPr>
                <w:sz w:val="16"/>
              </w:rPr>
              <w:t xml:space="preserve">        238.300 </w:t>
            </w:r>
          </w:p>
        </w:tc>
        <w:tc>
          <w:tcPr>
            <w:tcW w:w="992" w:type="dxa"/>
            <w:tcBorders>
              <w:top w:val="nil"/>
              <w:left w:val="nil"/>
              <w:bottom w:val="single" w:sz="8" w:space="0" w:color="auto"/>
              <w:right w:val="single" w:sz="8" w:space="0" w:color="auto"/>
            </w:tcBorders>
            <w:shd w:val="clear" w:color="auto" w:fill="auto"/>
            <w:vAlign w:val="center"/>
            <w:hideMark/>
          </w:tcPr>
          <w:p w14:paraId="6F95C06F"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14474921" w14:textId="77777777" w:rsidTr="00BA3DD6">
        <w:trPr>
          <w:trHeight w:val="2410"/>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445EDCB9" w14:textId="77777777" w:rsidR="001B17BF" w:rsidRPr="00BE2355" w:rsidRDefault="001B17BF" w:rsidP="00BA3DD6">
            <w:pPr>
              <w:pStyle w:val="Subttulo"/>
              <w:rPr>
                <w:sz w:val="16"/>
                <w:szCs w:val="16"/>
              </w:rPr>
            </w:pPr>
            <w:r>
              <w:rPr>
                <w:sz w:val="16"/>
              </w:rPr>
              <w:t>Servicios contractuales - Individuos</w:t>
            </w:r>
          </w:p>
        </w:tc>
        <w:tc>
          <w:tcPr>
            <w:tcW w:w="1392" w:type="dxa"/>
            <w:tcBorders>
              <w:top w:val="nil"/>
              <w:left w:val="nil"/>
              <w:bottom w:val="single" w:sz="8" w:space="0" w:color="auto"/>
              <w:right w:val="single" w:sz="8" w:space="0" w:color="auto"/>
            </w:tcBorders>
            <w:shd w:val="clear" w:color="auto" w:fill="auto"/>
            <w:vAlign w:val="center"/>
            <w:hideMark/>
          </w:tcPr>
          <w:p w14:paraId="06466C18" w14:textId="66AF0850" w:rsidR="001B17BF" w:rsidRPr="00BE2355" w:rsidRDefault="001B17BF" w:rsidP="006D3BF1">
            <w:pPr>
              <w:pStyle w:val="Subttulo"/>
              <w:rPr>
                <w:sz w:val="16"/>
                <w:szCs w:val="16"/>
              </w:rPr>
            </w:pPr>
            <w:r>
              <w:rPr>
                <w:sz w:val="16"/>
              </w:rPr>
              <w:t xml:space="preserve">Un oficial de </w:t>
            </w:r>
            <w:r w:rsidR="00206AD8">
              <w:rPr>
                <w:sz w:val="16"/>
              </w:rPr>
              <w:t>Monitoreo y</w:t>
            </w:r>
            <w:r>
              <w:rPr>
                <w:sz w:val="16"/>
              </w:rPr>
              <w:t xml:space="preserve"> Evaluación de proyectos contratado para la coordinación, implementación, supervisión y seguimiento del </w:t>
            </w:r>
            <w:r w:rsidR="006D3BF1">
              <w:rPr>
                <w:sz w:val="16"/>
              </w:rPr>
              <w:t>p</w:t>
            </w:r>
            <w:r>
              <w:rPr>
                <w:sz w:val="16"/>
              </w:rPr>
              <w:t xml:space="preserve">lan de acción en materia de género, la </w:t>
            </w:r>
            <w:r w:rsidR="006D3BF1">
              <w:rPr>
                <w:sz w:val="16"/>
              </w:rPr>
              <w:t>g</w:t>
            </w:r>
            <w:r>
              <w:rPr>
                <w:sz w:val="16"/>
              </w:rPr>
              <w:t xml:space="preserve">estión de los riesgos sociales y ambientales y el seguimiento del Plan de </w:t>
            </w:r>
            <w:r w:rsidR="006D3BF1">
              <w:rPr>
                <w:sz w:val="16"/>
              </w:rPr>
              <w:t>P</w:t>
            </w:r>
            <w:r>
              <w:rPr>
                <w:sz w:val="16"/>
              </w:rPr>
              <w:t xml:space="preserve">articipación de las </w:t>
            </w:r>
            <w:r w:rsidR="006D3BF1">
              <w:rPr>
                <w:sz w:val="16"/>
              </w:rPr>
              <w:t>P</w:t>
            </w:r>
            <w:r>
              <w:rPr>
                <w:sz w:val="16"/>
              </w:rPr>
              <w:t xml:space="preserve">artes </w:t>
            </w:r>
            <w:r w:rsidR="006D3BF1">
              <w:rPr>
                <w:sz w:val="16"/>
              </w:rPr>
              <w:t>I</w:t>
            </w:r>
            <w:r>
              <w:rPr>
                <w:sz w:val="16"/>
              </w:rPr>
              <w:t xml:space="preserve">nteresadas, así como la elaboración de los informes obligatorios, por un importe de 16 000 USD anuales. Las actividades incluyen el Monitoreo y Evaluación de los indicadores básicos del FMAM y el </w:t>
            </w:r>
            <w:r w:rsidR="006D3BF1">
              <w:rPr>
                <w:sz w:val="16"/>
              </w:rPr>
              <w:t>M</w:t>
            </w:r>
            <w:r>
              <w:rPr>
                <w:sz w:val="16"/>
              </w:rPr>
              <w:t xml:space="preserve">arco de </w:t>
            </w:r>
            <w:r w:rsidR="006D3BF1">
              <w:rPr>
                <w:sz w:val="16"/>
              </w:rPr>
              <w:t>R</w:t>
            </w:r>
            <w:r>
              <w:rPr>
                <w:sz w:val="16"/>
              </w:rPr>
              <w:t xml:space="preserve">esultados del proyecto, el Informe de Implementación del Proyecto (PIR) del FMAM y el Monitoreo del Marco y Plan de </w:t>
            </w:r>
            <w:r w:rsidR="006D3BF1">
              <w:rPr>
                <w:sz w:val="16"/>
              </w:rPr>
              <w:t>G</w:t>
            </w:r>
            <w:r>
              <w:rPr>
                <w:sz w:val="16"/>
              </w:rPr>
              <w:t xml:space="preserve">estión </w:t>
            </w:r>
            <w:r w:rsidR="006D3BF1">
              <w:rPr>
                <w:sz w:val="16"/>
              </w:rPr>
              <w:t>S</w:t>
            </w:r>
            <w:r>
              <w:rPr>
                <w:sz w:val="16"/>
              </w:rPr>
              <w:t xml:space="preserve">ocial y </w:t>
            </w:r>
            <w:r w:rsidR="006D3BF1">
              <w:rPr>
                <w:sz w:val="16"/>
              </w:rPr>
              <w:t>M</w:t>
            </w:r>
            <w:r>
              <w:rPr>
                <w:sz w:val="16"/>
              </w:rPr>
              <w:t xml:space="preserve">edioambiental. El proyecto establecerá sinergias con otras iniciativas del PNUD sobre productos químicos y residuos. Para más información, véase el </w:t>
            </w:r>
            <w:r w:rsidR="006D3BF1">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56AD81C0"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95782F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D47D38A"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178B0324"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4B0443C9" w14:textId="77777777" w:rsidR="001B17BF" w:rsidRPr="00BE2355" w:rsidRDefault="001B17BF" w:rsidP="00BA3DD6">
            <w:pPr>
              <w:pStyle w:val="Subttulo"/>
              <w:rPr>
                <w:sz w:val="16"/>
                <w:szCs w:val="16"/>
              </w:rPr>
            </w:pPr>
            <w:r>
              <w:rPr>
                <w:sz w:val="16"/>
              </w:rPr>
              <w:t xml:space="preserve">          80.000 </w:t>
            </w:r>
          </w:p>
        </w:tc>
        <w:tc>
          <w:tcPr>
            <w:tcW w:w="679" w:type="dxa"/>
            <w:tcBorders>
              <w:top w:val="nil"/>
              <w:left w:val="nil"/>
              <w:bottom w:val="single" w:sz="8" w:space="0" w:color="auto"/>
              <w:right w:val="single" w:sz="8" w:space="0" w:color="auto"/>
            </w:tcBorders>
            <w:shd w:val="clear" w:color="auto" w:fill="auto"/>
            <w:noWrap/>
            <w:vAlign w:val="center"/>
            <w:hideMark/>
          </w:tcPr>
          <w:p w14:paraId="7DA94956"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626F67D8" w14:textId="77777777" w:rsidR="001B17BF" w:rsidRPr="00BE2355" w:rsidRDefault="001B17BF" w:rsidP="00BA3DD6">
            <w:pPr>
              <w:pStyle w:val="Subttulo"/>
              <w:rPr>
                <w:sz w:val="16"/>
                <w:szCs w:val="16"/>
              </w:rPr>
            </w:pPr>
            <w:r>
              <w:rPr>
                <w:sz w:val="16"/>
              </w:rPr>
              <w:t xml:space="preserve">           80.000 </w:t>
            </w:r>
          </w:p>
        </w:tc>
        <w:tc>
          <w:tcPr>
            <w:tcW w:w="992" w:type="dxa"/>
            <w:tcBorders>
              <w:top w:val="nil"/>
              <w:left w:val="nil"/>
              <w:bottom w:val="single" w:sz="8" w:space="0" w:color="auto"/>
              <w:right w:val="single" w:sz="8" w:space="0" w:color="auto"/>
            </w:tcBorders>
            <w:shd w:val="clear" w:color="auto" w:fill="auto"/>
            <w:vAlign w:val="center"/>
            <w:hideMark/>
          </w:tcPr>
          <w:p w14:paraId="66EFB032"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07DD261B"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0DCD3E19" w14:textId="77777777" w:rsidR="001B17BF" w:rsidRPr="00BE2355" w:rsidRDefault="001B17BF" w:rsidP="00BA3DD6">
            <w:pPr>
              <w:pStyle w:val="Subttulo"/>
              <w:rPr>
                <w:sz w:val="16"/>
                <w:szCs w:val="16"/>
              </w:rPr>
            </w:pPr>
            <w:r>
              <w:rPr>
                <w:sz w:val="16"/>
              </w:rPr>
              <w:t>Servicios contractuales-Empresa</w:t>
            </w:r>
          </w:p>
        </w:tc>
        <w:tc>
          <w:tcPr>
            <w:tcW w:w="1392" w:type="dxa"/>
            <w:tcBorders>
              <w:top w:val="nil"/>
              <w:left w:val="nil"/>
              <w:bottom w:val="single" w:sz="8" w:space="0" w:color="auto"/>
              <w:right w:val="single" w:sz="8" w:space="0" w:color="auto"/>
            </w:tcBorders>
            <w:shd w:val="clear" w:color="auto" w:fill="auto"/>
            <w:vAlign w:val="center"/>
            <w:hideMark/>
          </w:tcPr>
          <w:p w14:paraId="15D40706" w14:textId="3CBB9013" w:rsidR="001B17BF" w:rsidRPr="00BE2355" w:rsidRDefault="001B17BF" w:rsidP="00F34DE1">
            <w:pPr>
              <w:pStyle w:val="Subttulo"/>
              <w:rPr>
                <w:sz w:val="16"/>
                <w:szCs w:val="16"/>
              </w:rPr>
            </w:pPr>
            <w:r>
              <w:rPr>
                <w:sz w:val="16"/>
              </w:rPr>
              <w:t xml:space="preserve">Servicios contractuales para </w:t>
            </w:r>
            <w:r w:rsidR="00F34DE1">
              <w:rPr>
                <w:sz w:val="16"/>
              </w:rPr>
              <w:t xml:space="preserve">la plataforma de </w:t>
            </w:r>
            <w:r w:rsidR="00206AD8">
              <w:rPr>
                <w:sz w:val="16"/>
              </w:rPr>
              <w:t>coordinación del</w:t>
            </w:r>
            <w:r>
              <w:rPr>
                <w:sz w:val="16"/>
              </w:rPr>
              <w:t xml:space="preserve"> </w:t>
            </w:r>
            <w:r w:rsidR="006D3BF1">
              <w:rPr>
                <w:sz w:val="16"/>
              </w:rPr>
              <w:t>R</w:t>
            </w:r>
            <w:r>
              <w:rPr>
                <w:sz w:val="16"/>
              </w:rPr>
              <w:t xml:space="preserve">esultado 1.4 para la mejora de la identificación, control y eliminación de plaguicidas (con advertencias tempranas) entre de las autoridades gubernamentales + </w:t>
            </w:r>
            <w:r w:rsidR="00F34DE1">
              <w:rPr>
                <w:sz w:val="16"/>
              </w:rPr>
              <w:t>s</w:t>
            </w:r>
            <w:r>
              <w:rPr>
                <w:sz w:val="16"/>
              </w:rPr>
              <w:t>ervicios contractuales para la realización de pruebas de campo para la identificación de alternativas a los productos agroquímicos nocivos</w:t>
            </w:r>
          </w:p>
        </w:tc>
        <w:tc>
          <w:tcPr>
            <w:tcW w:w="868" w:type="dxa"/>
            <w:tcBorders>
              <w:top w:val="nil"/>
              <w:left w:val="nil"/>
              <w:bottom w:val="single" w:sz="8" w:space="0" w:color="auto"/>
              <w:right w:val="single" w:sz="8" w:space="0" w:color="auto"/>
            </w:tcBorders>
            <w:shd w:val="clear" w:color="auto" w:fill="auto"/>
            <w:noWrap/>
            <w:vAlign w:val="center"/>
            <w:hideMark/>
          </w:tcPr>
          <w:p w14:paraId="021E1EAA" w14:textId="77777777" w:rsidR="001B17BF" w:rsidRPr="00BE2355" w:rsidRDefault="001B17BF" w:rsidP="00BA3DD6">
            <w:pPr>
              <w:pStyle w:val="Subttulo"/>
              <w:rPr>
                <w:sz w:val="16"/>
                <w:szCs w:val="16"/>
              </w:rPr>
            </w:pPr>
            <w:r>
              <w:rPr>
                <w:sz w:val="16"/>
              </w:rPr>
              <w:t xml:space="preserve">              116.200 </w:t>
            </w:r>
          </w:p>
        </w:tc>
        <w:tc>
          <w:tcPr>
            <w:tcW w:w="868" w:type="dxa"/>
            <w:tcBorders>
              <w:top w:val="nil"/>
              <w:left w:val="nil"/>
              <w:bottom w:val="single" w:sz="8" w:space="0" w:color="auto"/>
              <w:right w:val="single" w:sz="8" w:space="0" w:color="auto"/>
            </w:tcBorders>
            <w:shd w:val="clear" w:color="auto" w:fill="auto"/>
            <w:noWrap/>
            <w:vAlign w:val="center"/>
            <w:hideMark/>
          </w:tcPr>
          <w:p w14:paraId="588B1D0C"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6BE64587"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7C0639A9" w14:textId="77777777" w:rsidR="001B17BF" w:rsidRPr="00BE2355" w:rsidRDefault="001B17BF" w:rsidP="00BA3DD6">
            <w:pPr>
              <w:pStyle w:val="Subttulo"/>
              <w:rPr>
                <w:sz w:val="16"/>
                <w:szCs w:val="16"/>
              </w:rPr>
            </w:pPr>
            <w:r>
              <w:rPr>
                <w:sz w:val="16"/>
              </w:rPr>
              <w:t xml:space="preserve">        116.200 </w:t>
            </w:r>
          </w:p>
        </w:tc>
        <w:tc>
          <w:tcPr>
            <w:tcW w:w="679" w:type="dxa"/>
            <w:tcBorders>
              <w:top w:val="nil"/>
              <w:left w:val="nil"/>
              <w:bottom w:val="single" w:sz="8" w:space="0" w:color="auto"/>
              <w:right w:val="single" w:sz="8" w:space="0" w:color="auto"/>
            </w:tcBorders>
            <w:shd w:val="clear" w:color="auto" w:fill="auto"/>
            <w:noWrap/>
            <w:vAlign w:val="center"/>
            <w:hideMark/>
          </w:tcPr>
          <w:p w14:paraId="15DEFEB6"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6DE3867"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3626884F" w14:textId="77777777" w:rsidR="001B17BF" w:rsidRPr="00BE2355" w:rsidRDefault="001B17BF" w:rsidP="00BA3DD6">
            <w:pPr>
              <w:pStyle w:val="Subttulo"/>
              <w:rPr>
                <w:sz w:val="16"/>
                <w:szCs w:val="16"/>
              </w:rPr>
            </w:pPr>
            <w:r>
              <w:rPr>
                <w:sz w:val="16"/>
              </w:rPr>
              <w:t xml:space="preserve">        116.200 </w:t>
            </w:r>
          </w:p>
        </w:tc>
        <w:tc>
          <w:tcPr>
            <w:tcW w:w="992" w:type="dxa"/>
            <w:tcBorders>
              <w:top w:val="nil"/>
              <w:left w:val="nil"/>
              <w:bottom w:val="single" w:sz="8" w:space="0" w:color="auto"/>
              <w:right w:val="single" w:sz="8" w:space="0" w:color="auto"/>
            </w:tcBorders>
            <w:shd w:val="clear" w:color="auto" w:fill="auto"/>
            <w:vAlign w:val="center"/>
            <w:hideMark/>
          </w:tcPr>
          <w:p w14:paraId="7F47FDB6"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20228846"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4A0B9E5E" w14:textId="77777777" w:rsidR="001B17BF" w:rsidRPr="00BE2355" w:rsidRDefault="001B17BF" w:rsidP="00BA3DD6">
            <w:pPr>
              <w:pStyle w:val="Subttulo"/>
              <w:rPr>
                <w:sz w:val="16"/>
                <w:szCs w:val="16"/>
              </w:rPr>
            </w:pPr>
            <w:r>
              <w:rPr>
                <w:sz w:val="16"/>
              </w:rPr>
              <w:t>Servicios contractuales-Empresa</w:t>
            </w:r>
          </w:p>
        </w:tc>
        <w:tc>
          <w:tcPr>
            <w:tcW w:w="1392" w:type="dxa"/>
            <w:tcBorders>
              <w:top w:val="nil"/>
              <w:left w:val="nil"/>
              <w:bottom w:val="single" w:sz="8" w:space="0" w:color="auto"/>
              <w:right w:val="single" w:sz="8" w:space="0" w:color="auto"/>
            </w:tcBorders>
            <w:shd w:val="clear" w:color="auto" w:fill="auto"/>
            <w:vAlign w:val="center"/>
            <w:hideMark/>
          </w:tcPr>
          <w:p w14:paraId="3AC75DB5" w14:textId="1420928F" w:rsidR="001B17BF" w:rsidRPr="00BE2355" w:rsidRDefault="001B17BF" w:rsidP="00BA3DD6">
            <w:pPr>
              <w:pStyle w:val="Subttulo"/>
              <w:rPr>
                <w:sz w:val="16"/>
                <w:szCs w:val="16"/>
              </w:rPr>
            </w:pPr>
            <w:r>
              <w:rPr>
                <w:sz w:val="16"/>
              </w:rPr>
              <w:t>Servicios contractuales para actividades de investigación como análisis de laboratorio y/o actividades de ensayo dentro de las actividades de investigación y acción participativas en agroecología; apoyo técnico para conectar plataformas entre agricultores y consumidores responsables</w:t>
            </w:r>
          </w:p>
        </w:tc>
        <w:tc>
          <w:tcPr>
            <w:tcW w:w="868" w:type="dxa"/>
            <w:tcBorders>
              <w:top w:val="nil"/>
              <w:left w:val="nil"/>
              <w:bottom w:val="single" w:sz="8" w:space="0" w:color="auto"/>
              <w:right w:val="single" w:sz="8" w:space="0" w:color="auto"/>
            </w:tcBorders>
            <w:shd w:val="clear" w:color="auto" w:fill="auto"/>
            <w:noWrap/>
            <w:vAlign w:val="center"/>
            <w:hideMark/>
          </w:tcPr>
          <w:p w14:paraId="0D62AF44"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DEA7442"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67AD66D" w14:textId="77777777" w:rsidR="001B17BF" w:rsidRPr="00BE2355" w:rsidRDefault="001B17BF" w:rsidP="00BA3DD6">
            <w:pPr>
              <w:pStyle w:val="Subttulo"/>
              <w:rPr>
                <w:sz w:val="16"/>
                <w:szCs w:val="16"/>
              </w:rPr>
            </w:pPr>
            <w:r>
              <w:rPr>
                <w:sz w:val="16"/>
              </w:rPr>
              <w:t xml:space="preserve">              240.000 </w:t>
            </w:r>
          </w:p>
        </w:tc>
        <w:tc>
          <w:tcPr>
            <w:tcW w:w="789" w:type="dxa"/>
            <w:tcBorders>
              <w:top w:val="nil"/>
              <w:left w:val="nil"/>
              <w:bottom w:val="single" w:sz="8" w:space="0" w:color="auto"/>
              <w:right w:val="single" w:sz="8" w:space="0" w:color="auto"/>
            </w:tcBorders>
            <w:shd w:val="clear" w:color="auto" w:fill="auto"/>
            <w:noWrap/>
            <w:vAlign w:val="center"/>
            <w:hideMark/>
          </w:tcPr>
          <w:p w14:paraId="7180F441" w14:textId="77777777" w:rsidR="001B17BF" w:rsidRPr="00BE2355" w:rsidRDefault="001B17BF" w:rsidP="00BA3DD6">
            <w:pPr>
              <w:pStyle w:val="Subttulo"/>
              <w:rPr>
                <w:sz w:val="16"/>
                <w:szCs w:val="16"/>
              </w:rPr>
            </w:pPr>
            <w:r>
              <w:rPr>
                <w:sz w:val="16"/>
              </w:rPr>
              <w:t xml:space="preserve">        240.000 </w:t>
            </w:r>
          </w:p>
        </w:tc>
        <w:tc>
          <w:tcPr>
            <w:tcW w:w="679" w:type="dxa"/>
            <w:tcBorders>
              <w:top w:val="nil"/>
              <w:left w:val="nil"/>
              <w:bottom w:val="single" w:sz="8" w:space="0" w:color="auto"/>
              <w:right w:val="single" w:sz="8" w:space="0" w:color="auto"/>
            </w:tcBorders>
            <w:shd w:val="clear" w:color="auto" w:fill="auto"/>
            <w:noWrap/>
            <w:vAlign w:val="center"/>
            <w:hideMark/>
          </w:tcPr>
          <w:p w14:paraId="7B274796"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CF24DF0"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66A4C12F" w14:textId="77777777" w:rsidR="001B17BF" w:rsidRPr="00BE2355" w:rsidRDefault="001B17BF" w:rsidP="00BA3DD6">
            <w:pPr>
              <w:pStyle w:val="Subttulo"/>
              <w:rPr>
                <w:sz w:val="16"/>
                <w:szCs w:val="16"/>
              </w:rPr>
            </w:pPr>
            <w:r>
              <w:rPr>
                <w:sz w:val="16"/>
              </w:rPr>
              <w:t xml:space="preserve">        240.000 </w:t>
            </w:r>
          </w:p>
        </w:tc>
        <w:tc>
          <w:tcPr>
            <w:tcW w:w="992" w:type="dxa"/>
            <w:tcBorders>
              <w:top w:val="nil"/>
              <w:left w:val="nil"/>
              <w:bottom w:val="single" w:sz="8" w:space="0" w:color="auto"/>
              <w:right w:val="single" w:sz="8" w:space="0" w:color="auto"/>
            </w:tcBorders>
            <w:shd w:val="clear" w:color="auto" w:fill="auto"/>
            <w:vAlign w:val="center"/>
            <w:hideMark/>
          </w:tcPr>
          <w:p w14:paraId="59940F79"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33DE3AB5"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7D2ADCF" w14:textId="77777777" w:rsidR="001B17BF" w:rsidRPr="00BE2355" w:rsidRDefault="001B17BF" w:rsidP="00BA3DD6">
            <w:pPr>
              <w:pStyle w:val="Subttulo"/>
              <w:rPr>
                <w:sz w:val="16"/>
                <w:szCs w:val="16"/>
              </w:rPr>
            </w:pPr>
            <w:bookmarkStart w:id="82" w:name="RANGE!A15"/>
            <w:r>
              <w:rPr>
                <w:sz w:val="16"/>
              </w:rPr>
              <w:t>Servicios contractuales-Empresa</w:t>
            </w:r>
            <w:bookmarkEnd w:id="82"/>
          </w:p>
        </w:tc>
        <w:tc>
          <w:tcPr>
            <w:tcW w:w="1392" w:type="dxa"/>
            <w:tcBorders>
              <w:top w:val="nil"/>
              <w:left w:val="nil"/>
              <w:bottom w:val="single" w:sz="8" w:space="0" w:color="auto"/>
              <w:right w:val="single" w:sz="8" w:space="0" w:color="auto"/>
            </w:tcBorders>
            <w:shd w:val="clear" w:color="auto" w:fill="auto"/>
            <w:vAlign w:val="center"/>
            <w:hideMark/>
          </w:tcPr>
          <w:p w14:paraId="1862C9E0" w14:textId="481E5912" w:rsidR="001B17BF" w:rsidRPr="00BE2355" w:rsidRDefault="001B17BF" w:rsidP="00BA3DD6">
            <w:pPr>
              <w:pStyle w:val="Subttulo"/>
              <w:rPr>
                <w:sz w:val="16"/>
                <w:szCs w:val="16"/>
              </w:rPr>
            </w:pPr>
            <w:r>
              <w:rPr>
                <w:sz w:val="16"/>
              </w:rPr>
              <w:t xml:space="preserve">Una empresa consultora de evaluación del impacto ambiental y social que incluye EASEs, 4 evaluaciones específicas y un PGAS </w:t>
            </w:r>
            <w:r w:rsidR="00206AD8">
              <w:rPr>
                <w:sz w:val="16"/>
              </w:rPr>
              <w:t>independiente (</w:t>
            </w:r>
            <w:r>
              <w:rPr>
                <w:sz w:val="16"/>
              </w:rPr>
              <w:t xml:space="preserve">incluido el desarrollo de capacidades en </w:t>
            </w:r>
            <w:r w:rsidR="00C773C0">
              <w:rPr>
                <w:sz w:val="16"/>
              </w:rPr>
              <w:t>los estándares</w:t>
            </w:r>
            <w:r>
              <w:rPr>
                <w:sz w:val="16"/>
              </w:rPr>
              <w:t xml:space="preserve"> EAS)</w:t>
            </w:r>
          </w:p>
        </w:tc>
        <w:tc>
          <w:tcPr>
            <w:tcW w:w="868" w:type="dxa"/>
            <w:tcBorders>
              <w:top w:val="nil"/>
              <w:left w:val="nil"/>
              <w:bottom w:val="single" w:sz="8" w:space="0" w:color="auto"/>
              <w:right w:val="single" w:sz="8" w:space="0" w:color="auto"/>
            </w:tcBorders>
            <w:shd w:val="clear" w:color="auto" w:fill="auto"/>
            <w:noWrap/>
            <w:vAlign w:val="center"/>
            <w:hideMark/>
          </w:tcPr>
          <w:p w14:paraId="20E74A87" w14:textId="77777777" w:rsidR="001B17BF" w:rsidRPr="00BE2355" w:rsidRDefault="001B17BF" w:rsidP="00BA3DD6">
            <w:pPr>
              <w:pStyle w:val="Subttulo"/>
              <w:rPr>
                <w:sz w:val="16"/>
                <w:szCs w:val="16"/>
              </w:rPr>
            </w:pPr>
            <w:r>
              <w:rPr>
                <w:sz w:val="16"/>
              </w:rPr>
              <w:t xml:space="preserve">                 50.000 </w:t>
            </w:r>
          </w:p>
        </w:tc>
        <w:tc>
          <w:tcPr>
            <w:tcW w:w="868" w:type="dxa"/>
            <w:tcBorders>
              <w:top w:val="nil"/>
              <w:left w:val="nil"/>
              <w:bottom w:val="single" w:sz="8" w:space="0" w:color="auto"/>
              <w:right w:val="single" w:sz="8" w:space="0" w:color="auto"/>
            </w:tcBorders>
            <w:shd w:val="clear" w:color="auto" w:fill="auto"/>
            <w:noWrap/>
            <w:vAlign w:val="center"/>
            <w:hideMark/>
          </w:tcPr>
          <w:p w14:paraId="6422E0B4"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2913340E"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60C0CEAE" w14:textId="77777777" w:rsidR="001B17BF" w:rsidRPr="00BE2355" w:rsidRDefault="001B17BF" w:rsidP="00BA3DD6">
            <w:pPr>
              <w:pStyle w:val="Subttulo"/>
              <w:rPr>
                <w:sz w:val="16"/>
                <w:szCs w:val="16"/>
              </w:rPr>
            </w:pPr>
            <w:r>
              <w:rPr>
                <w:sz w:val="16"/>
              </w:rPr>
              <w:t xml:space="preserve">           50.000 </w:t>
            </w:r>
          </w:p>
        </w:tc>
        <w:tc>
          <w:tcPr>
            <w:tcW w:w="679" w:type="dxa"/>
            <w:tcBorders>
              <w:top w:val="nil"/>
              <w:left w:val="nil"/>
              <w:bottom w:val="single" w:sz="8" w:space="0" w:color="auto"/>
              <w:right w:val="single" w:sz="8" w:space="0" w:color="auto"/>
            </w:tcBorders>
            <w:shd w:val="clear" w:color="auto" w:fill="auto"/>
            <w:noWrap/>
            <w:vAlign w:val="center"/>
            <w:hideMark/>
          </w:tcPr>
          <w:p w14:paraId="5FC5E1FE"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457BC5F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38671FED" w14:textId="77777777" w:rsidR="001B17BF" w:rsidRPr="00BE2355" w:rsidRDefault="001B17BF" w:rsidP="00BA3DD6">
            <w:pPr>
              <w:pStyle w:val="Subttulo"/>
              <w:rPr>
                <w:sz w:val="16"/>
                <w:szCs w:val="16"/>
              </w:rPr>
            </w:pPr>
            <w:r>
              <w:rPr>
                <w:sz w:val="16"/>
              </w:rPr>
              <w:t xml:space="preserve">           50.000 </w:t>
            </w:r>
          </w:p>
        </w:tc>
        <w:tc>
          <w:tcPr>
            <w:tcW w:w="992" w:type="dxa"/>
            <w:tcBorders>
              <w:top w:val="nil"/>
              <w:left w:val="nil"/>
              <w:bottom w:val="single" w:sz="8" w:space="0" w:color="auto"/>
              <w:right w:val="single" w:sz="8" w:space="0" w:color="auto"/>
            </w:tcBorders>
            <w:shd w:val="clear" w:color="auto" w:fill="auto"/>
            <w:vAlign w:val="center"/>
            <w:hideMark/>
          </w:tcPr>
          <w:p w14:paraId="67409698"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7D9D2C43"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F7F0466" w14:textId="77777777" w:rsidR="001B17BF" w:rsidRPr="00BE2355" w:rsidRDefault="001B17BF" w:rsidP="00BA3DD6">
            <w:pPr>
              <w:pStyle w:val="Subttulo"/>
              <w:rPr>
                <w:sz w:val="16"/>
                <w:szCs w:val="16"/>
              </w:rPr>
            </w:pPr>
            <w:r>
              <w:rPr>
                <w:sz w:val="16"/>
              </w:rPr>
              <w:t>Servicios contractuales-Empresa</w:t>
            </w:r>
          </w:p>
        </w:tc>
        <w:tc>
          <w:tcPr>
            <w:tcW w:w="1392" w:type="dxa"/>
            <w:tcBorders>
              <w:top w:val="nil"/>
              <w:left w:val="nil"/>
              <w:bottom w:val="single" w:sz="8" w:space="0" w:color="auto"/>
              <w:right w:val="single" w:sz="8" w:space="0" w:color="auto"/>
            </w:tcBorders>
            <w:shd w:val="clear" w:color="auto" w:fill="auto"/>
            <w:vAlign w:val="center"/>
            <w:hideMark/>
          </w:tcPr>
          <w:p w14:paraId="76D8A44E" w14:textId="55CBA2ED" w:rsidR="001B17BF" w:rsidRPr="00BE2355" w:rsidRDefault="001B17BF" w:rsidP="00F34DE1">
            <w:pPr>
              <w:pStyle w:val="Subttulo"/>
              <w:rPr>
                <w:sz w:val="16"/>
                <w:szCs w:val="16"/>
              </w:rPr>
            </w:pPr>
            <w:r>
              <w:rPr>
                <w:sz w:val="16"/>
              </w:rPr>
              <w:t xml:space="preserve">Servicios de apoyo a la ejecución del </w:t>
            </w:r>
            <w:r w:rsidR="00F34DE1">
              <w:rPr>
                <w:sz w:val="16"/>
              </w:rPr>
              <w:t>R</w:t>
            </w:r>
            <w:r>
              <w:rPr>
                <w:sz w:val="16"/>
              </w:rPr>
              <w:t>esultado 2.5: i) eliminación de COPs (58 toneladas de DDT), ii) gestión de residuos plásticos, iii) formación sobre modelos de negocio y asistencia técnica a las OSC para la ejecución de proyectos piloto de gestión de plásticos</w:t>
            </w:r>
          </w:p>
        </w:tc>
        <w:tc>
          <w:tcPr>
            <w:tcW w:w="868" w:type="dxa"/>
            <w:tcBorders>
              <w:top w:val="nil"/>
              <w:left w:val="nil"/>
              <w:bottom w:val="single" w:sz="8" w:space="0" w:color="auto"/>
              <w:right w:val="single" w:sz="8" w:space="0" w:color="auto"/>
            </w:tcBorders>
            <w:shd w:val="clear" w:color="auto" w:fill="auto"/>
            <w:noWrap/>
            <w:vAlign w:val="center"/>
            <w:hideMark/>
          </w:tcPr>
          <w:p w14:paraId="702429DC"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666E1EC" w14:textId="77777777" w:rsidR="001B17BF" w:rsidRPr="00BE2355" w:rsidRDefault="001B17BF" w:rsidP="00BA3DD6">
            <w:pPr>
              <w:pStyle w:val="Subttulo"/>
              <w:rPr>
                <w:sz w:val="16"/>
                <w:szCs w:val="16"/>
              </w:rPr>
            </w:pPr>
            <w:r>
              <w:rPr>
                <w:sz w:val="16"/>
              </w:rPr>
              <w:t xml:space="preserve">              1.016.000 </w:t>
            </w:r>
          </w:p>
        </w:tc>
        <w:tc>
          <w:tcPr>
            <w:tcW w:w="868" w:type="dxa"/>
            <w:tcBorders>
              <w:top w:val="nil"/>
              <w:left w:val="nil"/>
              <w:bottom w:val="single" w:sz="8" w:space="0" w:color="auto"/>
              <w:right w:val="single" w:sz="8" w:space="0" w:color="auto"/>
            </w:tcBorders>
            <w:shd w:val="clear" w:color="auto" w:fill="auto"/>
            <w:noWrap/>
            <w:vAlign w:val="center"/>
            <w:hideMark/>
          </w:tcPr>
          <w:p w14:paraId="23F5DE19"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2A5623E0" w14:textId="77777777" w:rsidR="001B17BF" w:rsidRPr="00BE2355" w:rsidRDefault="001B17BF" w:rsidP="00BA3DD6">
            <w:pPr>
              <w:pStyle w:val="Subttulo"/>
              <w:rPr>
                <w:sz w:val="16"/>
                <w:szCs w:val="16"/>
              </w:rPr>
            </w:pPr>
            <w:r>
              <w:rPr>
                <w:sz w:val="16"/>
              </w:rPr>
              <w:t xml:space="preserve">   1.016.000 </w:t>
            </w:r>
          </w:p>
        </w:tc>
        <w:tc>
          <w:tcPr>
            <w:tcW w:w="679" w:type="dxa"/>
            <w:tcBorders>
              <w:top w:val="nil"/>
              <w:left w:val="nil"/>
              <w:bottom w:val="single" w:sz="8" w:space="0" w:color="auto"/>
              <w:right w:val="single" w:sz="8" w:space="0" w:color="auto"/>
            </w:tcBorders>
            <w:shd w:val="clear" w:color="auto" w:fill="auto"/>
            <w:noWrap/>
            <w:vAlign w:val="center"/>
            <w:hideMark/>
          </w:tcPr>
          <w:p w14:paraId="45AB0418"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4CC8DDA4"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50EBBD03" w14:textId="77777777" w:rsidR="001B17BF" w:rsidRPr="00BE2355" w:rsidRDefault="001B17BF" w:rsidP="00BA3DD6">
            <w:pPr>
              <w:pStyle w:val="Subttulo"/>
              <w:rPr>
                <w:sz w:val="16"/>
                <w:szCs w:val="16"/>
              </w:rPr>
            </w:pPr>
            <w:r>
              <w:rPr>
                <w:sz w:val="16"/>
              </w:rPr>
              <w:t xml:space="preserve">   1.016.000 </w:t>
            </w:r>
          </w:p>
        </w:tc>
        <w:tc>
          <w:tcPr>
            <w:tcW w:w="992" w:type="dxa"/>
            <w:tcBorders>
              <w:top w:val="nil"/>
              <w:left w:val="nil"/>
              <w:bottom w:val="single" w:sz="8" w:space="0" w:color="auto"/>
              <w:right w:val="single" w:sz="8" w:space="0" w:color="auto"/>
            </w:tcBorders>
            <w:shd w:val="clear" w:color="auto" w:fill="auto"/>
            <w:vAlign w:val="center"/>
            <w:hideMark/>
          </w:tcPr>
          <w:p w14:paraId="7EBEED29"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176323F0" w14:textId="77777777" w:rsidTr="00BA3DD6">
        <w:trPr>
          <w:trHeight w:val="1538"/>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11B7F59D" w14:textId="77777777" w:rsidR="001B17BF" w:rsidRPr="00BE2355" w:rsidRDefault="001B17BF" w:rsidP="00BA3DD6">
            <w:pPr>
              <w:pStyle w:val="Subttulo"/>
              <w:rPr>
                <w:sz w:val="16"/>
                <w:szCs w:val="16"/>
              </w:rPr>
            </w:pPr>
            <w:r>
              <w:rPr>
                <w:sz w:val="16"/>
              </w:rPr>
              <w:t>Consultores internacionales</w:t>
            </w:r>
          </w:p>
        </w:tc>
        <w:tc>
          <w:tcPr>
            <w:tcW w:w="1392" w:type="dxa"/>
            <w:tcBorders>
              <w:top w:val="nil"/>
              <w:left w:val="nil"/>
              <w:bottom w:val="single" w:sz="8" w:space="0" w:color="auto"/>
              <w:right w:val="single" w:sz="8" w:space="0" w:color="auto"/>
            </w:tcBorders>
            <w:shd w:val="clear" w:color="auto" w:fill="auto"/>
            <w:vAlign w:val="center"/>
            <w:hideMark/>
          </w:tcPr>
          <w:p w14:paraId="59563178" w14:textId="3D710850" w:rsidR="001B17BF" w:rsidRPr="00BE2355" w:rsidRDefault="001B17BF" w:rsidP="00F34DE1">
            <w:pPr>
              <w:pStyle w:val="Subttulo"/>
              <w:rPr>
                <w:sz w:val="16"/>
                <w:szCs w:val="16"/>
              </w:rPr>
            </w:pPr>
            <w:r>
              <w:rPr>
                <w:sz w:val="16"/>
              </w:rPr>
              <w:t xml:space="preserve">Un Consultor Internacional para apoyar el programa de desarrollo de capacidades para la adopción de herramientas internacionales (Caja de </w:t>
            </w:r>
            <w:r w:rsidR="00F34DE1">
              <w:rPr>
                <w:sz w:val="16"/>
              </w:rPr>
              <w:t>H</w:t>
            </w:r>
            <w:r>
              <w:rPr>
                <w:sz w:val="16"/>
              </w:rPr>
              <w:t>erramientas de Registro d</w:t>
            </w:r>
            <w:r w:rsidR="00F34DE1">
              <w:rPr>
                <w:sz w:val="16"/>
              </w:rPr>
              <w:t>e</w:t>
            </w:r>
            <w:r>
              <w:rPr>
                <w:sz w:val="16"/>
              </w:rPr>
              <w:t xml:space="preserve"> Pesticidas de la FAO; Código Internacional de Conducta) + un Consultor Internacional para apoyar la identificación de alternativas dentro del Plan Nacional de Reducción de Agroquímicos Perjudiciales. Para más información, véase el </w:t>
            </w:r>
            <w:r w:rsidR="00F34DE1">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5AB4B397" w14:textId="77777777" w:rsidR="001B17BF" w:rsidRPr="00BE2355" w:rsidRDefault="001B17BF" w:rsidP="00BA3DD6">
            <w:pPr>
              <w:pStyle w:val="Subttulo"/>
              <w:rPr>
                <w:sz w:val="16"/>
                <w:szCs w:val="16"/>
              </w:rPr>
            </w:pPr>
            <w:r>
              <w:rPr>
                <w:sz w:val="16"/>
              </w:rPr>
              <w:t xml:space="preserve">              120.000 </w:t>
            </w:r>
          </w:p>
        </w:tc>
        <w:tc>
          <w:tcPr>
            <w:tcW w:w="868" w:type="dxa"/>
            <w:tcBorders>
              <w:top w:val="nil"/>
              <w:left w:val="nil"/>
              <w:bottom w:val="single" w:sz="8" w:space="0" w:color="auto"/>
              <w:right w:val="single" w:sz="8" w:space="0" w:color="auto"/>
            </w:tcBorders>
            <w:shd w:val="clear" w:color="auto" w:fill="auto"/>
            <w:noWrap/>
            <w:vAlign w:val="center"/>
            <w:hideMark/>
          </w:tcPr>
          <w:p w14:paraId="615A9061"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6A61C1F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435BDE34" w14:textId="77777777" w:rsidR="001B17BF" w:rsidRPr="00BE2355" w:rsidRDefault="001B17BF" w:rsidP="00BA3DD6">
            <w:pPr>
              <w:pStyle w:val="Subttulo"/>
              <w:rPr>
                <w:sz w:val="16"/>
                <w:szCs w:val="16"/>
              </w:rPr>
            </w:pPr>
            <w:r>
              <w:rPr>
                <w:sz w:val="16"/>
              </w:rPr>
              <w:t xml:space="preserve">        120.000 </w:t>
            </w:r>
          </w:p>
        </w:tc>
        <w:tc>
          <w:tcPr>
            <w:tcW w:w="679" w:type="dxa"/>
            <w:tcBorders>
              <w:top w:val="nil"/>
              <w:left w:val="nil"/>
              <w:bottom w:val="single" w:sz="8" w:space="0" w:color="auto"/>
              <w:right w:val="single" w:sz="8" w:space="0" w:color="auto"/>
            </w:tcBorders>
            <w:shd w:val="clear" w:color="auto" w:fill="auto"/>
            <w:noWrap/>
            <w:vAlign w:val="center"/>
            <w:hideMark/>
          </w:tcPr>
          <w:p w14:paraId="36683BD2"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57CBB357"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3CABF875" w14:textId="77777777" w:rsidR="001B17BF" w:rsidRPr="00BE2355" w:rsidRDefault="001B17BF" w:rsidP="00BA3DD6">
            <w:pPr>
              <w:pStyle w:val="Subttulo"/>
              <w:rPr>
                <w:sz w:val="16"/>
                <w:szCs w:val="16"/>
              </w:rPr>
            </w:pPr>
            <w:r>
              <w:rPr>
                <w:sz w:val="16"/>
              </w:rPr>
              <w:t xml:space="preserve">        120.000 </w:t>
            </w:r>
          </w:p>
        </w:tc>
        <w:tc>
          <w:tcPr>
            <w:tcW w:w="992" w:type="dxa"/>
            <w:tcBorders>
              <w:top w:val="nil"/>
              <w:left w:val="nil"/>
              <w:bottom w:val="single" w:sz="8" w:space="0" w:color="auto"/>
              <w:right w:val="single" w:sz="8" w:space="0" w:color="auto"/>
            </w:tcBorders>
            <w:shd w:val="clear" w:color="auto" w:fill="auto"/>
            <w:vAlign w:val="center"/>
            <w:hideMark/>
          </w:tcPr>
          <w:p w14:paraId="2C6770E7"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7B06E535"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516675BE" w14:textId="77777777" w:rsidR="001B17BF" w:rsidRPr="00BE2355" w:rsidRDefault="001B17BF" w:rsidP="00BA3DD6">
            <w:pPr>
              <w:pStyle w:val="Subttulo"/>
              <w:rPr>
                <w:sz w:val="16"/>
                <w:szCs w:val="16"/>
              </w:rPr>
            </w:pPr>
            <w:r>
              <w:rPr>
                <w:sz w:val="16"/>
              </w:rPr>
              <w:t>Consultores internacionales</w:t>
            </w:r>
          </w:p>
        </w:tc>
        <w:tc>
          <w:tcPr>
            <w:tcW w:w="1392" w:type="dxa"/>
            <w:tcBorders>
              <w:top w:val="nil"/>
              <w:left w:val="nil"/>
              <w:bottom w:val="single" w:sz="8" w:space="0" w:color="auto"/>
              <w:right w:val="single" w:sz="8" w:space="0" w:color="auto"/>
            </w:tcBorders>
            <w:shd w:val="clear" w:color="auto" w:fill="auto"/>
            <w:vAlign w:val="center"/>
            <w:hideMark/>
          </w:tcPr>
          <w:p w14:paraId="62BFE5C5" w14:textId="1ABED173" w:rsidR="001B17BF" w:rsidRPr="00BE2355" w:rsidRDefault="001B17BF" w:rsidP="008E7564">
            <w:pPr>
              <w:pStyle w:val="Subttulo"/>
              <w:rPr>
                <w:sz w:val="16"/>
                <w:szCs w:val="16"/>
              </w:rPr>
            </w:pPr>
            <w:r>
              <w:rPr>
                <w:sz w:val="16"/>
              </w:rPr>
              <w:t xml:space="preserve">Un Consultor Internacional para la Evaluación de </w:t>
            </w:r>
            <w:r w:rsidR="00F34DE1">
              <w:rPr>
                <w:sz w:val="16"/>
              </w:rPr>
              <w:t>M</w:t>
            </w:r>
            <w:r>
              <w:rPr>
                <w:sz w:val="16"/>
              </w:rPr>
              <w:t xml:space="preserve">itad de </w:t>
            </w:r>
            <w:r w:rsidR="00F34DE1">
              <w:rPr>
                <w:sz w:val="16"/>
              </w:rPr>
              <w:t>P</w:t>
            </w:r>
            <w:r>
              <w:rPr>
                <w:sz w:val="16"/>
              </w:rPr>
              <w:t xml:space="preserve">eríodo $25,000 y </w:t>
            </w:r>
            <w:r w:rsidR="008E7564">
              <w:rPr>
                <w:sz w:val="16"/>
              </w:rPr>
              <w:t>u</w:t>
            </w:r>
            <w:r>
              <w:rPr>
                <w:sz w:val="16"/>
              </w:rPr>
              <w:t>n Consultor Internacional para la Evaluación Fina</w:t>
            </w:r>
            <w:r w:rsidR="00AE72DB">
              <w:rPr>
                <w:sz w:val="16"/>
              </w:rPr>
              <w:t>l</w:t>
            </w:r>
            <w:r>
              <w:rPr>
                <w:sz w:val="16"/>
              </w:rPr>
              <w:t xml:space="preserve"> $25,000. Véase el cuadro presupuestario de </w:t>
            </w:r>
            <w:r w:rsidR="008E7564">
              <w:rPr>
                <w:sz w:val="16"/>
              </w:rPr>
              <w:t>M</w:t>
            </w:r>
            <w:r>
              <w:rPr>
                <w:sz w:val="16"/>
              </w:rPr>
              <w:t xml:space="preserve">onitoreo y </w:t>
            </w:r>
            <w:r w:rsidR="008E7564">
              <w:rPr>
                <w:sz w:val="16"/>
              </w:rPr>
              <w:t>E</w:t>
            </w:r>
            <w:r>
              <w:rPr>
                <w:sz w:val="16"/>
              </w:rPr>
              <w:t xml:space="preserve">valuación en la </w:t>
            </w:r>
            <w:r w:rsidR="008E7564">
              <w:rPr>
                <w:sz w:val="16"/>
              </w:rPr>
              <w:t>S</w:t>
            </w:r>
            <w:r>
              <w:rPr>
                <w:sz w:val="16"/>
              </w:rPr>
              <w:t>ección VI del PRODOC</w:t>
            </w:r>
          </w:p>
        </w:tc>
        <w:tc>
          <w:tcPr>
            <w:tcW w:w="868" w:type="dxa"/>
            <w:tcBorders>
              <w:top w:val="nil"/>
              <w:left w:val="nil"/>
              <w:bottom w:val="single" w:sz="8" w:space="0" w:color="auto"/>
              <w:right w:val="single" w:sz="8" w:space="0" w:color="auto"/>
            </w:tcBorders>
            <w:shd w:val="clear" w:color="auto" w:fill="auto"/>
            <w:noWrap/>
            <w:vAlign w:val="center"/>
            <w:hideMark/>
          </w:tcPr>
          <w:p w14:paraId="76DE980C"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47BEA43"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0D6E761"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3F774250"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5D37DB3D" w14:textId="77777777" w:rsidR="001B17BF" w:rsidRPr="00BE2355" w:rsidRDefault="001B17BF" w:rsidP="00BA3DD6">
            <w:pPr>
              <w:pStyle w:val="Subttulo"/>
              <w:rPr>
                <w:sz w:val="16"/>
                <w:szCs w:val="16"/>
              </w:rPr>
            </w:pPr>
            <w:r>
              <w:rPr>
                <w:sz w:val="16"/>
              </w:rPr>
              <w:t xml:space="preserve">          50.000 </w:t>
            </w:r>
          </w:p>
        </w:tc>
        <w:tc>
          <w:tcPr>
            <w:tcW w:w="679" w:type="dxa"/>
            <w:tcBorders>
              <w:top w:val="nil"/>
              <w:left w:val="nil"/>
              <w:bottom w:val="single" w:sz="8" w:space="0" w:color="auto"/>
              <w:right w:val="single" w:sz="8" w:space="0" w:color="auto"/>
            </w:tcBorders>
            <w:shd w:val="clear" w:color="auto" w:fill="auto"/>
            <w:noWrap/>
            <w:vAlign w:val="center"/>
            <w:hideMark/>
          </w:tcPr>
          <w:p w14:paraId="42E2ADBE"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0D303229" w14:textId="77777777" w:rsidR="001B17BF" w:rsidRPr="00BE2355" w:rsidRDefault="001B17BF" w:rsidP="00BA3DD6">
            <w:pPr>
              <w:pStyle w:val="Subttulo"/>
              <w:rPr>
                <w:sz w:val="16"/>
                <w:szCs w:val="16"/>
              </w:rPr>
            </w:pPr>
            <w:r>
              <w:rPr>
                <w:sz w:val="16"/>
              </w:rPr>
              <w:t xml:space="preserve">           50.000 </w:t>
            </w:r>
          </w:p>
        </w:tc>
        <w:tc>
          <w:tcPr>
            <w:tcW w:w="992" w:type="dxa"/>
            <w:tcBorders>
              <w:top w:val="nil"/>
              <w:left w:val="nil"/>
              <w:bottom w:val="single" w:sz="8" w:space="0" w:color="auto"/>
              <w:right w:val="single" w:sz="8" w:space="0" w:color="auto"/>
            </w:tcBorders>
            <w:shd w:val="clear" w:color="auto" w:fill="auto"/>
            <w:vAlign w:val="center"/>
            <w:hideMark/>
          </w:tcPr>
          <w:p w14:paraId="0D010419"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0C4E0534"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52940FF3" w14:textId="77777777" w:rsidR="001B17BF" w:rsidRPr="00BE2355" w:rsidRDefault="001B17BF" w:rsidP="00BA3DD6">
            <w:pPr>
              <w:pStyle w:val="Subttulo"/>
              <w:rPr>
                <w:sz w:val="16"/>
                <w:szCs w:val="16"/>
              </w:rPr>
            </w:pPr>
            <w:r>
              <w:rPr>
                <w:sz w:val="16"/>
              </w:rPr>
              <w:t>Consultores internacionales</w:t>
            </w:r>
          </w:p>
        </w:tc>
        <w:tc>
          <w:tcPr>
            <w:tcW w:w="1392" w:type="dxa"/>
            <w:tcBorders>
              <w:top w:val="nil"/>
              <w:left w:val="nil"/>
              <w:bottom w:val="single" w:sz="8" w:space="0" w:color="auto"/>
              <w:right w:val="single" w:sz="8" w:space="0" w:color="auto"/>
            </w:tcBorders>
            <w:shd w:val="clear" w:color="auto" w:fill="auto"/>
            <w:vAlign w:val="center"/>
            <w:hideMark/>
          </w:tcPr>
          <w:p w14:paraId="1534B41F" w14:textId="67357EC5" w:rsidR="001B17BF" w:rsidRPr="00BE2355" w:rsidRDefault="001B17BF" w:rsidP="008E7564">
            <w:pPr>
              <w:pStyle w:val="Subttulo"/>
              <w:rPr>
                <w:sz w:val="16"/>
                <w:szCs w:val="16"/>
              </w:rPr>
            </w:pPr>
            <w:r>
              <w:rPr>
                <w:sz w:val="16"/>
              </w:rPr>
              <w:t xml:space="preserve">Un </w:t>
            </w:r>
            <w:r w:rsidR="008E7564">
              <w:rPr>
                <w:sz w:val="16"/>
              </w:rPr>
              <w:t>E</w:t>
            </w:r>
            <w:r>
              <w:rPr>
                <w:sz w:val="16"/>
              </w:rPr>
              <w:t xml:space="preserve">specialista </w:t>
            </w:r>
            <w:r w:rsidR="008E7564">
              <w:rPr>
                <w:sz w:val="16"/>
              </w:rPr>
              <w:t>I</w:t>
            </w:r>
            <w:r>
              <w:rPr>
                <w:sz w:val="16"/>
              </w:rPr>
              <w:t xml:space="preserve">nternacional en mecanismos e incentivos financieros. Para más información, véase el </w:t>
            </w:r>
            <w:r w:rsidR="008E7564">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21EED0BF"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61CAEDCD" w14:textId="77777777" w:rsidR="001B17BF" w:rsidRPr="00BE2355" w:rsidRDefault="001B17BF" w:rsidP="00BA3DD6">
            <w:pPr>
              <w:pStyle w:val="Subttulo"/>
              <w:rPr>
                <w:sz w:val="16"/>
                <w:szCs w:val="16"/>
              </w:rPr>
            </w:pPr>
            <w:r>
              <w:rPr>
                <w:sz w:val="16"/>
              </w:rPr>
              <w:t xml:space="preserve">                      62.500 </w:t>
            </w:r>
          </w:p>
        </w:tc>
        <w:tc>
          <w:tcPr>
            <w:tcW w:w="868" w:type="dxa"/>
            <w:tcBorders>
              <w:top w:val="nil"/>
              <w:left w:val="nil"/>
              <w:bottom w:val="single" w:sz="8" w:space="0" w:color="auto"/>
              <w:right w:val="single" w:sz="8" w:space="0" w:color="auto"/>
            </w:tcBorders>
            <w:shd w:val="clear" w:color="auto" w:fill="auto"/>
            <w:noWrap/>
            <w:vAlign w:val="center"/>
            <w:hideMark/>
          </w:tcPr>
          <w:p w14:paraId="4111B713"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5FA9396E" w14:textId="77777777" w:rsidR="001B17BF" w:rsidRPr="00BE2355" w:rsidRDefault="001B17BF" w:rsidP="00BA3DD6">
            <w:pPr>
              <w:pStyle w:val="Subttulo"/>
              <w:rPr>
                <w:sz w:val="16"/>
                <w:szCs w:val="16"/>
              </w:rPr>
            </w:pPr>
            <w:r>
              <w:rPr>
                <w:sz w:val="16"/>
              </w:rPr>
              <w:t xml:space="preserve">           62.500 </w:t>
            </w:r>
          </w:p>
        </w:tc>
        <w:tc>
          <w:tcPr>
            <w:tcW w:w="679" w:type="dxa"/>
            <w:tcBorders>
              <w:top w:val="nil"/>
              <w:left w:val="nil"/>
              <w:bottom w:val="single" w:sz="8" w:space="0" w:color="auto"/>
              <w:right w:val="single" w:sz="8" w:space="0" w:color="auto"/>
            </w:tcBorders>
            <w:shd w:val="clear" w:color="auto" w:fill="auto"/>
            <w:noWrap/>
            <w:vAlign w:val="center"/>
            <w:hideMark/>
          </w:tcPr>
          <w:p w14:paraId="7A0D0F84"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621943FF"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7E527004" w14:textId="77777777" w:rsidR="001B17BF" w:rsidRPr="00BE2355" w:rsidRDefault="001B17BF" w:rsidP="00BA3DD6">
            <w:pPr>
              <w:pStyle w:val="Subttulo"/>
              <w:rPr>
                <w:sz w:val="16"/>
                <w:szCs w:val="16"/>
              </w:rPr>
            </w:pPr>
            <w:r>
              <w:rPr>
                <w:sz w:val="16"/>
              </w:rPr>
              <w:t xml:space="preserve">           62.500 </w:t>
            </w:r>
          </w:p>
        </w:tc>
        <w:tc>
          <w:tcPr>
            <w:tcW w:w="992" w:type="dxa"/>
            <w:tcBorders>
              <w:top w:val="nil"/>
              <w:left w:val="nil"/>
              <w:bottom w:val="single" w:sz="8" w:space="0" w:color="auto"/>
              <w:right w:val="single" w:sz="8" w:space="0" w:color="auto"/>
            </w:tcBorders>
            <w:shd w:val="clear" w:color="auto" w:fill="auto"/>
            <w:vAlign w:val="center"/>
            <w:hideMark/>
          </w:tcPr>
          <w:p w14:paraId="3BA03640"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64F8A28E"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82A481A" w14:textId="77777777" w:rsidR="001B17BF" w:rsidRPr="00BE2355" w:rsidRDefault="001B17BF" w:rsidP="00BA3DD6">
            <w:pPr>
              <w:pStyle w:val="Subttulo"/>
              <w:rPr>
                <w:sz w:val="16"/>
                <w:szCs w:val="16"/>
              </w:rPr>
            </w:pPr>
            <w:r>
              <w:rPr>
                <w:sz w:val="16"/>
              </w:rPr>
              <w:t>Consultores locales</w:t>
            </w:r>
          </w:p>
        </w:tc>
        <w:tc>
          <w:tcPr>
            <w:tcW w:w="1392" w:type="dxa"/>
            <w:tcBorders>
              <w:top w:val="nil"/>
              <w:left w:val="nil"/>
              <w:bottom w:val="single" w:sz="8" w:space="0" w:color="auto"/>
              <w:right w:val="single" w:sz="8" w:space="0" w:color="auto"/>
            </w:tcBorders>
            <w:shd w:val="clear" w:color="auto" w:fill="auto"/>
            <w:vAlign w:val="center"/>
            <w:hideMark/>
          </w:tcPr>
          <w:p w14:paraId="791CC75D" w14:textId="2575F25C" w:rsidR="001B17BF" w:rsidRPr="00BE2355" w:rsidRDefault="001B17BF" w:rsidP="008E7564">
            <w:pPr>
              <w:pStyle w:val="Subttulo"/>
              <w:rPr>
                <w:sz w:val="16"/>
                <w:szCs w:val="16"/>
              </w:rPr>
            </w:pPr>
            <w:r>
              <w:rPr>
                <w:sz w:val="16"/>
              </w:rPr>
              <w:t xml:space="preserve">Un Consultor Local para la Evaluación de </w:t>
            </w:r>
            <w:r w:rsidR="008E7564">
              <w:rPr>
                <w:sz w:val="16"/>
              </w:rPr>
              <w:t>M</w:t>
            </w:r>
            <w:r>
              <w:rPr>
                <w:sz w:val="16"/>
              </w:rPr>
              <w:t xml:space="preserve">itad de </w:t>
            </w:r>
            <w:r w:rsidR="008E7564">
              <w:rPr>
                <w:sz w:val="16"/>
              </w:rPr>
              <w:t>P</w:t>
            </w:r>
            <w:r>
              <w:rPr>
                <w:sz w:val="16"/>
              </w:rPr>
              <w:t xml:space="preserve">eríodo $10,000 y un Consultor Local para la Evaluación Final $10,000. Véase el cuadro presupuestario de </w:t>
            </w:r>
            <w:r w:rsidR="008E7564">
              <w:rPr>
                <w:sz w:val="16"/>
              </w:rPr>
              <w:t>M</w:t>
            </w:r>
            <w:r>
              <w:rPr>
                <w:sz w:val="16"/>
              </w:rPr>
              <w:t xml:space="preserve">onitoreo y </w:t>
            </w:r>
            <w:r w:rsidR="008E7564">
              <w:rPr>
                <w:sz w:val="16"/>
              </w:rPr>
              <w:t>E</w:t>
            </w:r>
            <w:r>
              <w:rPr>
                <w:sz w:val="16"/>
              </w:rPr>
              <w:t xml:space="preserve">valuación en la </w:t>
            </w:r>
            <w:r w:rsidR="008E7564">
              <w:rPr>
                <w:sz w:val="16"/>
              </w:rPr>
              <w:t>S</w:t>
            </w:r>
            <w:r>
              <w:rPr>
                <w:sz w:val="16"/>
              </w:rPr>
              <w:t>ección VI del PRODOC</w:t>
            </w:r>
          </w:p>
        </w:tc>
        <w:tc>
          <w:tcPr>
            <w:tcW w:w="868" w:type="dxa"/>
            <w:tcBorders>
              <w:top w:val="nil"/>
              <w:left w:val="nil"/>
              <w:bottom w:val="single" w:sz="8" w:space="0" w:color="auto"/>
              <w:right w:val="single" w:sz="8" w:space="0" w:color="auto"/>
            </w:tcBorders>
            <w:shd w:val="clear" w:color="auto" w:fill="auto"/>
            <w:noWrap/>
            <w:vAlign w:val="center"/>
            <w:hideMark/>
          </w:tcPr>
          <w:p w14:paraId="60192448"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F91D4C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89C51A5"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7FF51D1A"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796A5971" w14:textId="77777777" w:rsidR="001B17BF" w:rsidRPr="00BE2355" w:rsidRDefault="001B17BF" w:rsidP="00BA3DD6">
            <w:pPr>
              <w:pStyle w:val="Subttulo"/>
              <w:rPr>
                <w:sz w:val="16"/>
                <w:szCs w:val="16"/>
              </w:rPr>
            </w:pPr>
            <w:r>
              <w:rPr>
                <w:sz w:val="16"/>
              </w:rPr>
              <w:t xml:space="preserve">          20.000 </w:t>
            </w:r>
          </w:p>
        </w:tc>
        <w:tc>
          <w:tcPr>
            <w:tcW w:w="679" w:type="dxa"/>
            <w:tcBorders>
              <w:top w:val="nil"/>
              <w:left w:val="nil"/>
              <w:bottom w:val="single" w:sz="8" w:space="0" w:color="auto"/>
              <w:right w:val="single" w:sz="8" w:space="0" w:color="auto"/>
            </w:tcBorders>
            <w:shd w:val="clear" w:color="auto" w:fill="auto"/>
            <w:noWrap/>
            <w:vAlign w:val="center"/>
            <w:hideMark/>
          </w:tcPr>
          <w:p w14:paraId="7FF62C9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2218EC3B" w14:textId="77777777" w:rsidR="001B17BF" w:rsidRPr="00BE2355" w:rsidRDefault="001B17BF" w:rsidP="00BA3DD6">
            <w:pPr>
              <w:pStyle w:val="Subttulo"/>
              <w:rPr>
                <w:sz w:val="16"/>
                <w:szCs w:val="16"/>
              </w:rPr>
            </w:pPr>
            <w:r>
              <w:rPr>
                <w:sz w:val="16"/>
              </w:rPr>
              <w:t xml:space="preserve">           20.000 </w:t>
            </w:r>
          </w:p>
        </w:tc>
        <w:tc>
          <w:tcPr>
            <w:tcW w:w="992" w:type="dxa"/>
            <w:tcBorders>
              <w:top w:val="nil"/>
              <w:left w:val="nil"/>
              <w:bottom w:val="single" w:sz="8" w:space="0" w:color="auto"/>
              <w:right w:val="single" w:sz="8" w:space="0" w:color="auto"/>
            </w:tcBorders>
            <w:shd w:val="clear" w:color="auto" w:fill="auto"/>
            <w:vAlign w:val="center"/>
            <w:hideMark/>
          </w:tcPr>
          <w:p w14:paraId="312B4B68"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2DB4A387"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31811042" w14:textId="77777777" w:rsidR="001B17BF" w:rsidRPr="00BE2355" w:rsidRDefault="001B17BF" w:rsidP="00BA3DD6">
            <w:pPr>
              <w:pStyle w:val="Subttulo"/>
              <w:rPr>
                <w:sz w:val="16"/>
                <w:szCs w:val="16"/>
              </w:rPr>
            </w:pPr>
            <w:r>
              <w:rPr>
                <w:sz w:val="16"/>
              </w:rPr>
              <w:t>Consultores locales</w:t>
            </w:r>
          </w:p>
        </w:tc>
        <w:tc>
          <w:tcPr>
            <w:tcW w:w="1392" w:type="dxa"/>
            <w:tcBorders>
              <w:top w:val="nil"/>
              <w:left w:val="nil"/>
              <w:bottom w:val="single" w:sz="8" w:space="0" w:color="auto"/>
              <w:right w:val="single" w:sz="8" w:space="0" w:color="auto"/>
            </w:tcBorders>
            <w:shd w:val="clear" w:color="auto" w:fill="auto"/>
            <w:vAlign w:val="center"/>
            <w:hideMark/>
          </w:tcPr>
          <w:p w14:paraId="3F597251" w14:textId="7939F227" w:rsidR="001B17BF" w:rsidRPr="00BE2355" w:rsidRDefault="001B17BF" w:rsidP="008E7564">
            <w:pPr>
              <w:pStyle w:val="Subttulo"/>
              <w:rPr>
                <w:sz w:val="16"/>
                <w:szCs w:val="16"/>
              </w:rPr>
            </w:pPr>
            <w:r>
              <w:rPr>
                <w:sz w:val="16"/>
              </w:rPr>
              <w:t xml:space="preserve">Un </w:t>
            </w:r>
            <w:r w:rsidR="008E7564">
              <w:rPr>
                <w:sz w:val="16"/>
              </w:rPr>
              <w:t>C</w:t>
            </w:r>
            <w:r>
              <w:rPr>
                <w:sz w:val="16"/>
              </w:rPr>
              <w:t xml:space="preserve">onsultor </w:t>
            </w:r>
            <w:r w:rsidR="008E7564">
              <w:rPr>
                <w:sz w:val="16"/>
              </w:rPr>
              <w:t>L</w:t>
            </w:r>
            <w:r>
              <w:rPr>
                <w:sz w:val="16"/>
              </w:rPr>
              <w:t xml:space="preserve">ocal para apoyar el desarrollo y aplicación de una estrategia de comunicación y una campaña de sensibilización en el marco del Resultado 3.3. Para más información, véase el </w:t>
            </w:r>
            <w:r w:rsidR="008E7564">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65836C0F"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7DD56518"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7E944E43" w14:textId="77777777" w:rsidR="001B17BF" w:rsidRPr="00BE2355" w:rsidRDefault="001B17BF" w:rsidP="00BA3DD6">
            <w:pPr>
              <w:pStyle w:val="Subttulo"/>
              <w:rPr>
                <w:sz w:val="16"/>
                <w:szCs w:val="16"/>
              </w:rPr>
            </w:pPr>
            <w:r>
              <w:rPr>
                <w:sz w:val="16"/>
              </w:rPr>
              <w:t xml:space="preserve">                 85.000 </w:t>
            </w:r>
          </w:p>
        </w:tc>
        <w:tc>
          <w:tcPr>
            <w:tcW w:w="789" w:type="dxa"/>
            <w:tcBorders>
              <w:top w:val="nil"/>
              <w:left w:val="nil"/>
              <w:bottom w:val="single" w:sz="8" w:space="0" w:color="auto"/>
              <w:right w:val="single" w:sz="8" w:space="0" w:color="auto"/>
            </w:tcBorders>
            <w:shd w:val="clear" w:color="auto" w:fill="auto"/>
            <w:noWrap/>
            <w:vAlign w:val="center"/>
            <w:hideMark/>
          </w:tcPr>
          <w:p w14:paraId="1A8B6CFC" w14:textId="77777777" w:rsidR="001B17BF" w:rsidRPr="00BE2355" w:rsidRDefault="001B17BF" w:rsidP="00BA3DD6">
            <w:pPr>
              <w:pStyle w:val="Subttulo"/>
              <w:rPr>
                <w:sz w:val="16"/>
                <w:szCs w:val="16"/>
              </w:rPr>
            </w:pPr>
            <w:r>
              <w:rPr>
                <w:sz w:val="16"/>
              </w:rPr>
              <w:t xml:space="preserve">           85.000 </w:t>
            </w:r>
          </w:p>
        </w:tc>
        <w:tc>
          <w:tcPr>
            <w:tcW w:w="679" w:type="dxa"/>
            <w:tcBorders>
              <w:top w:val="nil"/>
              <w:left w:val="nil"/>
              <w:bottom w:val="single" w:sz="8" w:space="0" w:color="auto"/>
              <w:right w:val="single" w:sz="8" w:space="0" w:color="auto"/>
            </w:tcBorders>
            <w:shd w:val="clear" w:color="auto" w:fill="auto"/>
            <w:noWrap/>
            <w:vAlign w:val="center"/>
            <w:hideMark/>
          </w:tcPr>
          <w:p w14:paraId="71E0B0C6"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53EA82BB"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66A621DD" w14:textId="77777777" w:rsidR="001B17BF" w:rsidRPr="00BE2355" w:rsidRDefault="001B17BF" w:rsidP="00BA3DD6">
            <w:pPr>
              <w:pStyle w:val="Subttulo"/>
              <w:rPr>
                <w:sz w:val="16"/>
                <w:szCs w:val="16"/>
              </w:rPr>
            </w:pPr>
            <w:r>
              <w:rPr>
                <w:sz w:val="16"/>
              </w:rPr>
              <w:t xml:space="preserve">           85.000 </w:t>
            </w:r>
          </w:p>
        </w:tc>
        <w:tc>
          <w:tcPr>
            <w:tcW w:w="992" w:type="dxa"/>
            <w:tcBorders>
              <w:top w:val="nil"/>
              <w:left w:val="nil"/>
              <w:bottom w:val="single" w:sz="8" w:space="0" w:color="auto"/>
              <w:right w:val="single" w:sz="8" w:space="0" w:color="auto"/>
            </w:tcBorders>
            <w:shd w:val="clear" w:color="auto" w:fill="auto"/>
            <w:vAlign w:val="center"/>
            <w:hideMark/>
          </w:tcPr>
          <w:p w14:paraId="0E6E04A3"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74C2DFC0"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05F2425F" w14:textId="77777777" w:rsidR="001B17BF" w:rsidRPr="00BE2355" w:rsidRDefault="001B17BF" w:rsidP="00BA3DD6">
            <w:pPr>
              <w:pStyle w:val="Subttulo"/>
              <w:rPr>
                <w:sz w:val="16"/>
                <w:szCs w:val="16"/>
              </w:rPr>
            </w:pPr>
            <w:r>
              <w:rPr>
                <w:sz w:val="16"/>
              </w:rPr>
              <w:t>Consultores locales</w:t>
            </w:r>
          </w:p>
        </w:tc>
        <w:tc>
          <w:tcPr>
            <w:tcW w:w="1392" w:type="dxa"/>
            <w:tcBorders>
              <w:top w:val="nil"/>
              <w:left w:val="nil"/>
              <w:bottom w:val="single" w:sz="8" w:space="0" w:color="auto"/>
              <w:right w:val="single" w:sz="8" w:space="0" w:color="auto"/>
            </w:tcBorders>
            <w:shd w:val="clear" w:color="auto" w:fill="auto"/>
            <w:vAlign w:val="center"/>
            <w:hideMark/>
          </w:tcPr>
          <w:p w14:paraId="39E8DF33" w14:textId="19CF1FBE" w:rsidR="001B17BF" w:rsidRPr="00BE2355" w:rsidRDefault="001B17BF" w:rsidP="008E7564">
            <w:pPr>
              <w:pStyle w:val="Subttulo"/>
              <w:rPr>
                <w:sz w:val="16"/>
                <w:szCs w:val="16"/>
              </w:rPr>
            </w:pPr>
            <w:r>
              <w:rPr>
                <w:sz w:val="16"/>
              </w:rPr>
              <w:t xml:space="preserve">Un </w:t>
            </w:r>
            <w:r w:rsidR="008E7564">
              <w:rPr>
                <w:sz w:val="16"/>
              </w:rPr>
              <w:t>C</w:t>
            </w:r>
            <w:r>
              <w:rPr>
                <w:sz w:val="16"/>
              </w:rPr>
              <w:t xml:space="preserve">onsultor </w:t>
            </w:r>
            <w:r w:rsidR="008E7564">
              <w:rPr>
                <w:sz w:val="16"/>
              </w:rPr>
              <w:t>L</w:t>
            </w:r>
            <w:r>
              <w:rPr>
                <w:sz w:val="16"/>
              </w:rPr>
              <w:t xml:space="preserve">ocal para el desarrollo de los estudios de valoración económica + una persona local para el desarrollo del </w:t>
            </w:r>
            <w:r w:rsidR="00F253D9">
              <w:rPr>
                <w:sz w:val="16"/>
              </w:rPr>
              <w:t>M</w:t>
            </w:r>
            <w:r>
              <w:rPr>
                <w:sz w:val="16"/>
              </w:rPr>
              <w:t xml:space="preserve">ecanismo de </w:t>
            </w:r>
            <w:r w:rsidR="00F253D9">
              <w:rPr>
                <w:sz w:val="16"/>
              </w:rPr>
              <w:t>F</w:t>
            </w:r>
            <w:r>
              <w:rPr>
                <w:sz w:val="16"/>
              </w:rPr>
              <w:t xml:space="preserve">ondos </w:t>
            </w:r>
            <w:r w:rsidR="00F253D9">
              <w:rPr>
                <w:sz w:val="16"/>
              </w:rPr>
              <w:t>C</w:t>
            </w:r>
            <w:r>
              <w:rPr>
                <w:sz w:val="16"/>
              </w:rPr>
              <w:t xml:space="preserve">oncursables. Para más información, véase el </w:t>
            </w:r>
            <w:r w:rsidR="008E7564">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35C7733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3F9B7D43" w14:textId="77777777" w:rsidR="001B17BF" w:rsidRPr="00BE2355" w:rsidRDefault="001B17BF" w:rsidP="00BA3DD6">
            <w:pPr>
              <w:pStyle w:val="Subttulo"/>
              <w:rPr>
                <w:sz w:val="16"/>
                <w:szCs w:val="16"/>
              </w:rPr>
            </w:pPr>
            <w:r>
              <w:rPr>
                <w:sz w:val="16"/>
              </w:rPr>
              <w:t xml:space="preserve">                   130.000 </w:t>
            </w:r>
          </w:p>
        </w:tc>
        <w:tc>
          <w:tcPr>
            <w:tcW w:w="868" w:type="dxa"/>
            <w:tcBorders>
              <w:top w:val="nil"/>
              <w:left w:val="nil"/>
              <w:bottom w:val="single" w:sz="8" w:space="0" w:color="auto"/>
              <w:right w:val="single" w:sz="8" w:space="0" w:color="auto"/>
            </w:tcBorders>
            <w:shd w:val="clear" w:color="auto" w:fill="auto"/>
            <w:noWrap/>
            <w:vAlign w:val="center"/>
            <w:hideMark/>
          </w:tcPr>
          <w:p w14:paraId="4B215858"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5946FC1D" w14:textId="77777777" w:rsidR="001B17BF" w:rsidRPr="00BE2355" w:rsidRDefault="001B17BF" w:rsidP="00BA3DD6">
            <w:pPr>
              <w:pStyle w:val="Subttulo"/>
              <w:rPr>
                <w:sz w:val="16"/>
                <w:szCs w:val="16"/>
              </w:rPr>
            </w:pPr>
            <w:r>
              <w:rPr>
                <w:sz w:val="16"/>
              </w:rPr>
              <w:t xml:space="preserve">        130.000 </w:t>
            </w:r>
          </w:p>
        </w:tc>
        <w:tc>
          <w:tcPr>
            <w:tcW w:w="679" w:type="dxa"/>
            <w:tcBorders>
              <w:top w:val="nil"/>
              <w:left w:val="nil"/>
              <w:bottom w:val="single" w:sz="8" w:space="0" w:color="auto"/>
              <w:right w:val="single" w:sz="8" w:space="0" w:color="auto"/>
            </w:tcBorders>
            <w:shd w:val="clear" w:color="auto" w:fill="auto"/>
            <w:noWrap/>
            <w:vAlign w:val="center"/>
            <w:hideMark/>
          </w:tcPr>
          <w:p w14:paraId="1342BDB4"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02745BB7"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44EF2D3C" w14:textId="77777777" w:rsidR="001B17BF" w:rsidRPr="00BE2355" w:rsidRDefault="001B17BF" w:rsidP="00BA3DD6">
            <w:pPr>
              <w:pStyle w:val="Subttulo"/>
              <w:rPr>
                <w:sz w:val="16"/>
                <w:szCs w:val="16"/>
              </w:rPr>
            </w:pPr>
            <w:r>
              <w:rPr>
                <w:sz w:val="16"/>
              </w:rPr>
              <w:t xml:space="preserve">        130.000 </w:t>
            </w:r>
          </w:p>
        </w:tc>
        <w:tc>
          <w:tcPr>
            <w:tcW w:w="992" w:type="dxa"/>
            <w:tcBorders>
              <w:top w:val="nil"/>
              <w:left w:val="nil"/>
              <w:bottom w:val="single" w:sz="8" w:space="0" w:color="auto"/>
              <w:right w:val="single" w:sz="8" w:space="0" w:color="auto"/>
            </w:tcBorders>
            <w:shd w:val="clear" w:color="auto" w:fill="auto"/>
            <w:vAlign w:val="center"/>
            <w:hideMark/>
          </w:tcPr>
          <w:p w14:paraId="26A721A8"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1FACB0C8"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730ED204" w14:textId="77777777" w:rsidR="001B17BF" w:rsidRPr="00BE2355" w:rsidRDefault="001B17BF" w:rsidP="00BA3DD6">
            <w:pPr>
              <w:pStyle w:val="Subttulo"/>
              <w:rPr>
                <w:sz w:val="16"/>
                <w:szCs w:val="16"/>
              </w:rPr>
            </w:pPr>
            <w:r>
              <w:rPr>
                <w:sz w:val="16"/>
              </w:rPr>
              <w:t>Consultores locales</w:t>
            </w:r>
          </w:p>
        </w:tc>
        <w:tc>
          <w:tcPr>
            <w:tcW w:w="1392" w:type="dxa"/>
            <w:tcBorders>
              <w:top w:val="nil"/>
              <w:left w:val="nil"/>
              <w:bottom w:val="single" w:sz="8" w:space="0" w:color="auto"/>
              <w:right w:val="single" w:sz="8" w:space="0" w:color="auto"/>
            </w:tcBorders>
            <w:shd w:val="clear" w:color="auto" w:fill="auto"/>
            <w:vAlign w:val="center"/>
            <w:hideMark/>
          </w:tcPr>
          <w:p w14:paraId="1A9BDAAB" w14:textId="00D27072" w:rsidR="001B17BF" w:rsidRPr="00BE2355" w:rsidRDefault="001B17BF" w:rsidP="008E7564">
            <w:pPr>
              <w:pStyle w:val="Subttulo"/>
              <w:rPr>
                <w:sz w:val="16"/>
                <w:szCs w:val="16"/>
              </w:rPr>
            </w:pPr>
            <w:r>
              <w:rPr>
                <w:sz w:val="16"/>
              </w:rPr>
              <w:t xml:space="preserve">Un </w:t>
            </w:r>
            <w:r w:rsidR="008E7564">
              <w:rPr>
                <w:sz w:val="16"/>
              </w:rPr>
              <w:t>E</w:t>
            </w:r>
            <w:r>
              <w:rPr>
                <w:sz w:val="16"/>
              </w:rPr>
              <w:t xml:space="preserve">specialista </w:t>
            </w:r>
            <w:r w:rsidR="008E7564">
              <w:rPr>
                <w:sz w:val="16"/>
              </w:rPr>
              <w:t>I</w:t>
            </w:r>
            <w:r>
              <w:rPr>
                <w:sz w:val="16"/>
              </w:rPr>
              <w:t>nstitucional/</w:t>
            </w:r>
            <w:r w:rsidR="008E7564">
              <w:rPr>
                <w:sz w:val="16"/>
              </w:rPr>
              <w:t>J</w:t>
            </w:r>
            <w:r>
              <w:rPr>
                <w:sz w:val="16"/>
              </w:rPr>
              <w:t xml:space="preserve">urídico </w:t>
            </w:r>
            <w:r w:rsidR="008E7564">
              <w:rPr>
                <w:sz w:val="16"/>
              </w:rPr>
              <w:t>L</w:t>
            </w:r>
            <w:r>
              <w:rPr>
                <w:sz w:val="16"/>
              </w:rPr>
              <w:t>ocal para apoyar el diseño de la hoja de ruta jurídica y la redacción de los reglamentos/</w:t>
            </w:r>
            <w:r w:rsidR="00206AD8">
              <w:rPr>
                <w:sz w:val="16"/>
              </w:rPr>
              <w:t>políticas necesarias</w:t>
            </w:r>
            <w:r>
              <w:rPr>
                <w:sz w:val="16"/>
              </w:rPr>
              <w:t xml:space="preserve"> + 1 </w:t>
            </w:r>
            <w:r w:rsidR="008E7564">
              <w:rPr>
                <w:sz w:val="16"/>
              </w:rPr>
              <w:t>C</w:t>
            </w:r>
            <w:r>
              <w:rPr>
                <w:sz w:val="16"/>
              </w:rPr>
              <w:t xml:space="preserve">onsultor </w:t>
            </w:r>
            <w:r w:rsidR="008E7564">
              <w:rPr>
                <w:sz w:val="16"/>
              </w:rPr>
              <w:t>L</w:t>
            </w:r>
            <w:r>
              <w:rPr>
                <w:sz w:val="16"/>
              </w:rPr>
              <w:t xml:space="preserve">ocal para apoyar la formación en materia de Aduanas y </w:t>
            </w:r>
            <w:r w:rsidR="008E7564">
              <w:rPr>
                <w:sz w:val="16"/>
              </w:rPr>
              <w:t>e</w:t>
            </w:r>
            <w:r>
              <w:rPr>
                <w:sz w:val="16"/>
              </w:rPr>
              <w:t xml:space="preserve">jecución de la ley. Para más información, véase el </w:t>
            </w:r>
            <w:r w:rsidR="008E7564">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6820854C" w14:textId="77777777" w:rsidR="001B17BF" w:rsidRPr="00BE2355" w:rsidRDefault="001B17BF" w:rsidP="00BA3DD6">
            <w:pPr>
              <w:pStyle w:val="Subttulo"/>
              <w:rPr>
                <w:sz w:val="16"/>
                <w:szCs w:val="16"/>
              </w:rPr>
            </w:pPr>
            <w:r>
              <w:rPr>
                <w:sz w:val="16"/>
              </w:rPr>
              <w:t xml:space="preserve">              120.000 </w:t>
            </w:r>
          </w:p>
        </w:tc>
        <w:tc>
          <w:tcPr>
            <w:tcW w:w="868" w:type="dxa"/>
            <w:tcBorders>
              <w:top w:val="nil"/>
              <w:left w:val="nil"/>
              <w:bottom w:val="single" w:sz="8" w:space="0" w:color="auto"/>
              <w:right w:val="single" w:sz="8" w:space="0" w:color="auto"/>
            </w:tcBorders>
            <w:shd w:val="clear" w:color="auto" w:fill="auto"/>
            <w:noWrap/>
            <w:vAlign w:val="center"/>
            <w:hideMark/>
          </w:tcPr>
          <w:p w14:paraId="42A690C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B0CBF7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03191EC8" w14:textId="77777777" w:rsidR="001B17BF" w:rsidRPr="00BE2355" w:rsidRDefault="001B17BF" w:rsidP="00BA3DD6">
            <w:pPr>
              <w:pStyle w:val="Subttulo"/>
              <w:rPr>
                <w:sz w:val="16"/>
                <w:szCs w:val="16"/>
              </w:rPr>
            </w:pPr>
            <w:r>
              <w:rPr>
                <w:sz w:val="16"/>
              </w:rPr>
              <w:t xml:space="preserve">        120.000 </w:t>
            </w:r>
          </w:p>
        </w:tc>
        <w:tc>
          <w:tcPr>
            <w:tcW w:w="679" w:type="dxa"/>
            <w:tcBorders>
              <w:top w:val="nil"/>
              <w:left w:val="nil"/>
              <w:bottom w:val="single" w:sz="8" w:space="0" w:color="auto"/>
              <w:right w:val="single" w:sz="8" w:space="0" w:color="auto"/>
            </w:tcBorders>
            <w:shd w:val="clear" w:color="auto" w:fill="auto"/>
            <w:noWrap/>
            <w:vAlign w:val="center"/>
            <w:hideMark/>
          </w:tcPr>
          <w:p w14:paraId="75BE9221"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AF8F407"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2BB67AA6" w14:textId="77777777" w:rsidR="001B17BF" w:rsidRPr="00BE2355" w:rsidRDefault="001B17BF" w:rsidP="00BA3DD6">
            <w:pPr>
              <w:pStyle w:val="Subttulo"/>
              <w:rPr>
                <w:sz w:val="16"/>
                <w:szCs w:val="16"/>
              </w:rPr>
            </w:pPr>
            <w:r>
              <w:rPr>
                <w:sz w:val="16"/>
              </w:rPr>
              <w:t xml:space="preserve">        120.000 </w:t>
            </w:r>
          </w:p>
        </w:tc>
        <w:tc>
          <w:tcPr>
            <w:tcW w:w="992" w:type="dxa"/>
            <w:tcBorders>
              <w:top w:val="nil"/>
              <w:left w:val="nil"/>
              <w:bottom w:val="single" w:sz="8" w:space="0" w:color="auto"/>
              <w:right w:val="single" w:sz="8" w:space="0" w:color="auto"/>
            </w:tcBorders>
            <w:shd w:val="clear" w:color="auto" w:fill="auto"/>
            <w:vAlign w:val="center"/>
            <w:hideMark/>
          </w:tcPr>
          <w:p w14:paraId="128BFE6F"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1AC92A11"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3F06B4EF" w14:textId="77777777" w:rsidR="001B17BF" w:rsidRPr="00BE2355" w:rsidRDefault="001B17BF" w:rsidP="00BA3DD6">
            <w:pPr>
              <w:pStyle w:val="Subttulo"/>
              <w:rPr>
                <w:sz w:val="16"/>
                <w:szCs w:val="16"/>
              </w:rPr>
            </w:pPr>
            <w:r>
              <w:rPr>
                <w:sz w:val="16"/>
              </w:rPr>
              <w:t>Formación, talleres, reuniones</w:t>
            </w:r>
          </w:p>
        </w:tc>
        <w:tc>
          <w:tcPr>
            <w:tcW w:w="1392" w:type="dxa"/>
            <w:tcBorders>
              <w:top w:val="nil"/>
              <w:left w:val="nil"/>
              <w:bottom w:val="single" w:sz="8" w:space="0" w:color="auto"/>
              <w:right w:val="single" w:sz="8" w:space="0" w:color="auto"/>
            </w:tcBorders>
            <w:shd w:val="clear" w:color="auto" w:fill="auto"/>
            <w:vAlign w:val="center"/>
            <w:hideMark/>
          </w:tcPr>
          <w:p w14:paraId="7F580B37" w14:textId="0471E478" w:rsidR="001B17BF" w:rsidRPr="00BE2355" w:rsidRDefault="001B17BF" w:rsidP="008E7564">
            <w:pPr>
              <w:pStyle w:val="Subttulo"/>
              <w:rPr>
                <w:sz w:val="16"/>
                <w:szCs w:val="16"/>
              </w:rPr>
            </w:pPr>
            <w:r>
              <w:rPr>
                <w:sz w:val="16"/>
              </w:rPr>
              <w:t xml:space="preserve">Taller </w:t>
            </w:r>
            <w:r w:rsidR="008E7564">
              <w:rPr>
                <w:sz w:val="16"/>
              </w:rPr>
              <w:t>I</w:t>
            </w:r>
            <w:r>
              <w:rPr>
                <w:sz w:val="16"/>
              </w:rPr>
              <w:t>nicial (véase el cuadro presupuestario de Monitoreo y Evaluación para más detalles)</w:t>
            </w:r>
          </w:p>
        </w:tc>
        <w:tc>
          <w:tcPr>
            <w:tcW w:w="868" w:type="dxa"/>
            <w:tcBorders>
              <w:top w:val="nil"/>
              <w:left w:val="nil"/>
              <w:bottom w:val="single" w:sz="8" w:space="0" w:color="auto"/>
              <w:right w:val="single" w:sz="8" w:space="0" w:color="auto"/>
            </w:tcBorders>
            <w:shd w:val="clear" w:color="auto" w:fill="auto"/>
            <w:noWrap/>
            <w:vAlign w:val="center"/>
            <w:hideMark/>
          </w:tcPr>
          <w:p w14:paraId="6FB32760"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6FA8B61"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4C1EBA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6E7ADA62"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7A18C494" w14:textId="77777777" w:rsidR="001B17BF" w:rsidRPr="00BE2355" w:rsidRDefault="001B17BF" w:rsidP="00BA3DD6">
            <w:pPr>
              <w:pStyle w:val="Subttulo"/>
              <w:rPr>
                <w:sz w:val="16"/>
                <w:szCs w:val="16"/>
              </w:rPr>
            </w:pPr>
            <w:r>
              <w:rPr>
                <w:sz w:val="16"/>
              </w:rPr>
              <w:t xml:space="preserve">          10.000 </w:t>
            </w:r>
          </w:p>
        </w:tc>
        <w:tc>
          <w:tcPr>
            <w:tcW w:w="679" w:type="dxa"/>
            <w:tcBorders>
              <w:top w:val="nil"/>
              <w:left w:val="nil"/>
              <w:bottom w:val="single" w:sz="8" w:space="0" w:color="auto"/>
              <w:right w:val="single" w:sz="8" w:space="0" w:color="auto"/>
            </w:tcBorders>
            <w:shd w:val="clear" w:color="auto" w:fill="auto"/>
            <w:noWrap/>
            <w:vAlign w:val="center"/>
            <w:hideMark/>
          </w:tcPr>
          <w:p w14:paraId="233A6006"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11827C35" w14:textId="77777777" w:rsidR="001B17BF" w:rsidRPr="00BE2355" w:rsidRDefault="001B17BF" w:rsidP="00BA3DD6">
            <w:pPr>
              <w:pStyle w:val="Subttulo"/>
              <w:rPr>
                <w:sz w:val="16"/>
                <w:szCs w:val="16"/>
              </w:rPr>
            </w:pPr>
            <w:r>
              <w:rPr>
                <w:sz w:val="16"/>
              </w:rPr>
              <w:t xml:space="preserve">           10.000 </w:t>
            </w:r>
          </w:p>
        </w:tc>
        <w:tc>
          <w:tcPr>
            <w:tcW w:w="992" w:type="dxa"/>
            <w:tcBorders>
              <w:top w:val="nil"/>
              <w:left w:val="nil"/>
              <w:bottom w:val="single" w:sz="8" w:space="0" w:color="auto"/>
              <w:right w:val="single" w:sz="8" w:space="0" w:color="auto"/>
            </w:tcBorders>
            <w:shd w:val="clear" w:color="auto" w:fill="auto"/>
            <w:vAlign w:val="center"/>
            <w:hideMark/>
          </w:tcPr>
          <w:p w14:paraId="55E3AF4E"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610F43D"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325F82C7" w14:textId="77777777" w:rsidR="001B17BF" w:rsidRPr="00BE2355" w:rsidRDefault="001B17BF" w:rsidP="00BA3DD6">
            <w:pPr>
              <w:pStyle w:val="Subttulo"/>
              <w:rPr>
                <w:sz w:val="16"/>
                <w:szCs w:val="16"/>
              </w:rPr>
            </w:pPr>
            <w:r>
              <w:rPr>
                <w:sz w:val="16"/>
              </w:rPr>
              <w:t>Formación, talleres, reuniones</w:t>
            </w:r>
          </w:p>
        </w:tc>
        <w:tc>
          <w:tcPr>
            <w:tcW w:w="1392" w:type="dxa"/>
            <w:tcBorders>
              <w:top w:val="nil"/>
              <w:left w:val="nil"/>
              <w:bottom w:val="single" w:sz="8" w:space="0" w:color="auto"/>
              <w:right w:val="single" w:sz="8" w:space="0" w:color="auto"/>
            </w:tcBorders>
            <w:shd w:val="clear" w:color="auto" w:fill="auto"/>
            <w:vAlign w:val="center"/>
            <w:hideMark/>
          </w:tcPr>
          <w:p w14:paraId="1528D367" w14:textId="20568120" w:rsidR="001B17BF" w:rsidRPr="00BE2355" w:rsidRDefault="001B17BF" w:rsidP="00BA3DD6">
            <w:pPr>
              <w:pStyle w:val="Subttulo"/>
              <w:rPr>
                <w:sz w:val="16"/>
                <w:szCs w:val="16"/>
              </w:rPr>
            </w:pPr>
            <w:r>
              <w:rPr>
                <w:sz w:val="16"/>
              </w:rPr>
              <w:t>Formación y talleres sobre prácticas agrícolas sostenibles en el sector rural para apoyar la reducción de productos agroquímicos nocivos en la producción de cultivos</w:t>
            </w:r>
          </w:p>
        </w:tc>
        <w:tc>
          <w:tcPr>
            <w:tcW w:w="868" w:type="dxa"/>
            <w:tcBorders>
              <w:top w:val="nil"/>
              <w:left w:val="nil"/>
              <w:bottom w:val="single" w:sz="8" w:space="0" w:color="auto"/>
              <w:right w:val="single" w:sz="8" w:space="0" w:color="auto"/>
            </w:tcBorders>
            <w:shd w:val="clear" w:color="auto" w:fill="auto"/>
            <w:noWrap/>
            <w:vAlign w:val="center"/>
            <w:hideMark/>
          </w:tcPr>
          <w:p w14:paraId="5A42D85B"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172EEE7"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143F793" w14:textId="77777777" w:rsidR="001B17BF" w:rsidRPr="00BE2355" w:rsidRDefault="001B17BF" w:rsidP="00BA3DD6">
            <w:pPr>
              <w:pStyle w:val="Subttulo"/>
              <w:rPr>
                <w:sz w:val="16"/>
                <w:szCs w:val="16"/>
              </w:rPr>
            </w:pPr>
            <w:r>
              <w:rPr>
                <w:sz w:val="16"/>
              </w:rPr>
              <w:t xml:space="preserve">                 75.000 </w:t>
            </w:r>
          </w:p>
        </w:tc>
        <w:tc>
          <w:tcPr>
            <w:tcW w:w="789" w:type="dxa"/>
            <w:tcBorders>
              <w:top w:val="nil"/>
              <w:left w:val="nil"/>
              <w:bottom w:val="single" w:sz="8" w:space="0" w:color="auto"/>
              <w:right w:val="single" w:sz="8" w:space="0" w:color="auto"/>
            </w:tcBorders>
            <w:shd w:val="clear" w:color="auto" w:fill="auto"/>
            <w:noWrap/>
            <w:vAlign w:val="center"/>
            <w:hideMark/>
          </w:tcPr>
          <w:p w14:paraId="677D8C34" w14:textId="77777777" w:rsidR="001B17BF" w:rsidRPr="00BE2355" w:rsidRDefault="001B17BF" w:rsidP="00BA3DD6">
            <w:pPr>
              <w:pStyle w:val="Subttulo"/>
              <w:rPr>
                <w:sz w:val="16"/>
                <w:szCs w:val="16"/>
              </w:rPr>
            </w:pPr>
            <w:r>
              <w:rPr>
                <w:sz w:val="16"/>
              </w:rPr>
              <w:t xml:space="preserve">           75.000 </w:t>
            </w:r>
          </w:p>
        </w:tc>
        <w:tc>
          <w:tcPr>
            <w:tcW w:w="679" w:type="dxa"/>
            <w:tcBorders>
              <w:top w:val="nil"/>
              <w:left w:val="nil"/>
              <w:bottom w:val="single" w:sz="8" w:space="0" w:color="auto"/>
              <w:right w:val="single" w:sz="8" w:space="0" w:color="auto"/>
            </w:tcBorders>
            <w:shd w:val="clear" w:color="auto" w:fill="auto"/>
            <w:noWrap/>
            <w:vAlign w:val="center"/>
            <w:hideMark/>
          </w:tcPr>
          <w:p w14:paraId="5678A3DF"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6D337AF3"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6B00AD6B" w14:textId="77777777" w:rsidR="001B17BF" w:rsidRPr="00BE2355" w:rsidRDefault="001B17BF" w:rsidP="00BA3DD6">
            <w:pPr>
              <w:pStyle w:val="Subttulo"/>
              <w:rPr>
                <w:sz w:val="16"/>
                <w:szCs w:val="16"/>
              </w:rPr>
            </w:pPr>
            <w:r>
              <w:rPr>
                <w:sz w:val="16"/>
              </w:rPr>
              <w:t xml:space="preserve">           75.000 </w:t>
            </w:r>
          </w:p>
        </w:tc>
        <w:tc>
          <w:tcPr>
            <w:tcW w:w="992" w:type="dxa"/>
            <w:tcBorders>
              <w:top w:val="nil"/>
              <w:left w:val="nil"/>
              <w:bottom w:val="single" w:sz="8" w:space="0" w:color="auto"/>
              <w:right w:val="single" w:sz="8" w:space="0" w:color="auto"/>
            </w:tcBorders>
            <w:shd w:val="clear" w:color="auto" w:fill="auto"/>
            <w:vAlign w:val="center"/>
            <w:hideMark/>
          </w:tcPr>
          <w:p w14:paraId="1409C681"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6D138E0A"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376BCE6" w14:textId="77777777" w:rsidR="001B17BF" w:rsidRPr="00BE2355" w:rsidRDefault="001B17BF" w:rsidP="00BA3DD6">
            <w:pPr>
              <w:pStyle w:val="Subttulo"/>
              <w:rPr>
                <w:sz w:val="16"/>
                <w:szCs w:val="16"/>
              </w:rPr>
            </w:pPr>
            <w:r>
              <w:rPr>
                <w:sz w:val="16"/>
              </w:rPr>
              <w:t>Formación, talleres, reuniones</w:t>
            </w:r>
          </w:p>
        </w:tc>
        <w:tc>
          <w:tcPr>
            <w:tcW w:w="1392" w:type="dxa"/>
            <w:tcBorders>
              <w:top w:val="nil"/>
              <w:left w:val="nil"/>
              <w:bottom w:val="single" w:sz="8" w:space="0" w:color="auto"/>
              <w:right w:val="single" w:sz="8" w:space="0" w:color="auto"/>
            </w:tcBorders>
            <w:shd w:val="clear" w:color="auto" w:fill="auto"/>
            <w:vAlign w:val="center"/>
            <w:hideMark/>
          </w:tcPr>
          <w:p w14:paraId="5D399D3E" w14:textId="77777777" w:rsidR="001B17BF" w:rsidRPr="00BE2355" w:rsidRDefault="001B17BF" w:rsidP="00BA3DD6">
            <w:pPr>
              <w:pStyle w:val="Subttulo"/>
              <w:rPr>
                <w:sz w:val="16"/>
                <w:szCs w:val="16"/>
              </w:rPr>
            </w:pPr>
            <w:r>
              <w:rPr>
                <w:sz w:val="16"/>
              </w:rPr>
              <w:t>Talleres de formación, seminarios y reuniones para reforzar las capacidades de gestión del proyecto</w:t>
            </w:r>
          </w:p>
        </w:tc>
        <w:tc>
          <w:tcPr>
            <w:tcW w:w="868" w:type="dxa"/>
            <w:tcBorders>
              <w:top w:val="nil"/>
              <w:left w:val="nil"/>
              <w:bottom w:val="single" w:sz="8" w:space="0" w:color="auto"/>
              <w:right w:val="single" w:sz="8" w:space="0" w:color="auto"/>
            </w:tcBorders>
            <w:shd w:val="clear" w:color="auto" w:fill="auto"/>
            <w:noWrap/>
            <w:vAlign w:val="center"/>
            <w:hideMark/>
          </w:tcPr>
          <w:p w14:paraId="06523DA0"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C12DE6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1AEA962B"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348FC26B"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0A2251B3"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61A4F6CC" w14:textId="77777777" w:rsidR="001B17BF" w:rsidRPr="00BE2355" w:rsidRDefault="001B17BF" w:rsidP="00BA3DD6">
            <w:pPr>
              <w:pStyle w:val="Subttulo"/>
              <w:rPr>
                <w:sz w:val="16"/>
                <w:szCs w:val="16"/>
              </w:rPr>
            </w:pPr>
            <w:r>
              <w:rPr>
                <w:sz w:val="16"/>
              </w:rPr>
              <w:t xml:space="preserve">                   600 </w:t>
            </w:r>
          </w:p>
        </w:tc>
        <w:tc>
          <w:tcPr>
            <w:tcW w:w="789" w:type="dxa"/>
            <w:tcBorders>
              <w:top w:val="nil"/>
              <w:left w:val="nil"/>
              <w:bottom w:val="single" w:sz="8" w:space="0" w:color="auto"/>
              <w:right w:val="single" w:sz="8" w:space="0" w:color="auto"/>
            </w:tcBorders>
            <w:shd w:val="clear" w:color="auto" w:fill="auto"/>
            <w:vAlign w:val="center"/>
            <w:hideMark/>
          </w:tcPr>
          <w:p w14:paraId="109CE7D9" w14:textId="77777777" w:rsidR="001B17BF" w:rsidRPr="00BE2355" w:rsidRDefault="001B17BF" w:rsidP="00BA3DD6">
            <w:pPr>
              <w:pStyle w:val="Subttulo"/>
              <w:rPr>
                <w:sz w:val="16"/>
                <w:szCs w:val="16"/>
              </w:rPr>
            </w:pPr>
            <w:r>
              <w:rPr>
                <w:sz w:val="16"/>
              </w:rPr>
              <w:t xml:space="preserve">                  600 </w:t>
            </w:r>
          </w:p>
        </w:tc>
        <w:tc>
          <w:tcPr>
            <w:tcW w:w="992" w:type="dxa"/>
            <w:tcBorders>
              <w:top w:val="nil"/>
              <w:left w:val="nil"/>
              <w:bottom w:val="single" w:sz="8" w:space="0" w:color="auto"/>
              <w:right w:val="single" w:sz="8" w:space="0" w:color="auto"/>
            </w:tcBorders>
            <w:shd w:val="clear" w:color="auto" w:fill="auto"/>
            <w:vAlign w:val="center"/>
            <w:hideMark/>
          </w:tcPr>
          <w:p w14:paraId="6E772D58"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11812318"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23D0641" w14:textId="77777777" w:rsidR="001B17BF" w:rsidRPr="00BE2355" w:rsidRDefault="001B17BF" w:rsidP="00BA3DD6">
            <w:pPr>
              <w:pStyle w:val="Subttulo"/>
              <w:rPr>
                <w:sz w:val="16"/>
                <w:szCs w:val="16"/>
              </w:rPr>
            </w:pPr>
            <w:r>
              <w:rPr>
                <w:sz w:val="16"/>
              </w:rPr>
              <w:t>Formación, talleres, reuniones</w:t>
            </w:r>
          </w:p>
        </w:tc>
        <w:tc>
          <w:tcPr>
            <w:tcW w:w="1392" w:type="dxa"/>
            <w:tcBorders>
              <w:top w:val="nil"/>
              <w:left w:val="nil"/>
              <w:bottom w:val="single" w:sz="8" w:space="0" w:color="auto"/>
              <w:right w:val="single" w:sz="8" w:space="0" w:color="auto"/>
            </w:tcBorders>
            <w:shd w:val="clear" w:color="auto" w:fill="auto"/>
            <w:vAlign w:val="center"/>
            <w:hideMark/>
          </w:tcPr>
          <w:p w14:paraId="1A259F64" w14:textId="31A45E93" w:rsidR="001B17BF" w:rsidRPr="00BE2355" w:rsidRDefault="001B17BF" w:rsidP="00BA3DD6">
            <w:pPr>
              <w:pStyle w:val="Subttulo"/>
              <w:rPr>
                <w:sz w:val="16"/>
                <w:szCs w:val="16"/>
              </w:rPr>
            </w:pPr>
            <w:r>
              <w:rPr>
                <w:sz w:val="16"/>
              </w:rPr>
              <w:t>Formación para los Resultados 2.3, 2.4 y 2.5 para desarrollar la capacidad de las unidades de extensión gubernamentales, instituciones financieras y agricultores para la creación/adopción de mecanismos financieros sostenibles</w:t>
            </w:r>
          </w:p>
        </w:tc>
        <w:tc>
          <w:tcPr>
            <w:tcW w:w="868" w:type="dxa"/>
            <w:tcBorders>
              <w:top w:val="nil"/>
              <w:left w:val="nil"/>
              <w:bottom w:val="single" w:sz="8" w:space="0" w:color="auto"/>
              <w:right w:val="single" w:sz="8" w:space="0" w:color="auto"/>
            </w:tcBorders>
            <w:shd w:val="clear" w:color="auto" w:fill="auto"/>
            <w:noWrap/>
            <w:vAlign w:val="center"/>
            <w:hideMark/>
          </w:tcPr>
          <w:p w14:paraId="30608683"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2151880" w14:textId="77777777" w:rsidR="001B17BF" w:rsidRPr="00BE2355" w:rsidRDefault="001B17BF" w:rsidP="00BA3DD6">
            <w:pPr>
              <w:pStyle w:val="Subttulo"/>
              <w:rPr>
                <w:sz w:val="16"/>
                <w:szCs w:val="16"/>
              </w:rPr>
            </w:pPr>
            <w:r>
              <w:rPr>
                <w:sz w:val="16"/>
              </w:rPr>
              <w:t xml:space="preserve">                      62.524 </w:t>
            </w:r>
          </w:p>
        </w:tc>
        <w:tc>
          <w:tcPr>
            <w:tcW w:w="868" w:type="dxa"/>
            <w:tcBorders>
              <w:top w:val="nil"/>
              <w:left w:val="nil"/>
              <w:bottom w:val="single" w:sz="8" w:space="0" w:color="auto"/>
              <w:right w:val="single" w:sz="8" w:space="0" w:color="auto"/>
            </w:tcBorders>
            <w:shd w:val="clear" w:color="auto" w:fill="auto"/>
            <w:noWrap/>
            <w:vAlign w:val="center"/>
            <w:hideMark/>
          </w:tcPr>
          <w:p w14:paraId="7E598FDB"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4CF0CEF4" w14:textId="77777777" w:rsidR="001B17BF" w:rsidRPr="00BE2355" w:rsidRDefault="001B17BF" w:rsidP="00BA3DD6">
            <w:pPr>
              <w:pStyle w:val="Subttulo"/>
              <w:rPr>
                <w:sz w:val="16"/>
                <w:szCs w:val="16"/>
              </w:rPr>
            </w:pPr>
            <w:r>
              <w:rPr>
                <w:sz w:val="16"/>
              </w:rPr>
              <w:t xml:space="preserve">           62.524 </w:t>
            </w:r>
          </w:p>
        </w:tc>
        <w:tc>
          <w:tcPr>
            <w:tcW w:w="679" w:type="dxa"/>
            <w:tcBorders>
              <w:top w:val="nil"/>
              <w:left w:val="nil"/>
              <w:bottom w:val="single" w:sz="8" w:space="0" w:color="auto"/>
              <w:right w:val="single" w:sz="8" w:space="0" w:color="auto"/>
            </w:tcBorders>
            <w:shd w:val="clear" w:color="auto" w:fill="auto"/>
            <w:noWrap/>
            <w:vAlign w:val="center"/>
            <w:hideMark/>
          </w:tcPr>
          <w:p w14:paraId="4D4043ED"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357ABA68"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404E036B" w14:textId="77777777" w:rsidR="001B17BF" w:rsidRPr="00BE2355" w:rsidRDefault="001B17BF" w:rsidP="00BA3DD6">
            <w:pPr>
              <w:pStyle w:val="Subttulo"/>
              <w:rPr>
                <w:sz w:val="16"/>
                <w:szCs w:val="16"/>
              </w:rPr>
            </w:pPr>
            <w:r>
              <w:rPr>
                <w:sz w:val="16"/>
              </w:rPr>
              <w:t xml:space="preserve">           62.524 </w:t>
            </w:r>
          </w:p>
        </w:tc>
        <w:tc>
          <w:tcPr>
            <w:tcW w:w="992" w:type="dxa"/>
            <w:tcBorders>
              <w:top w:val="nil"/>
              <w:left w:val="nil"/>
              <w:bottom w:val="single" w:sz="8" w:space="0" w:color="auto"/>
              <w:right w:val="single" w:sz="8" w:space="0" w:color="auto"/>
            </w:tcBorders>
            <w:shd w:val="clear" w:color="auto" w:fill="auto"/>
            <w:vAlign w:val="center"/>
            <w:hideMark/>
          </w:tcPr>
          <w:p w14:paraId="0BE5FF55"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EFCD39B"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22C0093" w14:textId="77777777" w:rsidR="001B17BF" w:rsidRPr="00BE2355" w:rsidRDefault="001B17BF" w:rsidP="00BA3DD6">
            <w:pPr>
              <w:pStyle w:val="Subttulo"/>
              <w:rPr>
                <w:sz w:val="16"/>
                <w:szCs w:val="16"/>
              </w:rPr>
            </w:pPr>
            <w:r>
              <w:rPr>
                <w:sz w:val="16"/>
              </w:rPr>
              <w:t>Formación, talleres, reuniones</w:t>
            </w:r>
          </w:p>
        </w:tc>
        <w:tc>
          <w:tcPr>
            <w:tcW w:w="1392" w:type="dxa"/>
            <w:tcBorders>
              <w:top w:val="nil"/>
              <w:left w:val="nil"/>
              <w:bottom w:val="single" w:sz="8" w:space="0" w:color="auto"/>
              <w:right w:val="single" w:sz="8" w:space="0" w:color="auto"/>
            </w:tcBorders>
            <w:shd w:val="clear" w:color="auto" w:fill="auto"/>
            <w:vAlign w:val="center"/>
            <w:hideMark/>
          </w:tcPr>
          <w:p w14:paraId="0D1ECB5E" w14:textId="3031BE99" w:rsidR="001B17BF" w:rsidRPr="00BE2355" w:rsidRDefault="001B17BF" w:rsidP="00BA3DD6">
            <w:pPr>
              <w:pStyle w:val="Subttulo"/>
              <w:rPr>
                <w:sz w:val="16"/>
                <w:szCs w:val="16"/>
              </w:rPr>
            </w:pPr>
            <w:r>
              <w:rPr>
                <w:sz w:val="16"/>
              </w:rPr>
              <w:t>Formación en el marco del Componente 1 para el fortalecimiento institucional en la gestión de agroquímicos (incluidos los agroplásticos) y para evitar el comercio de importaciones ilegales; gastos de desarrollo de capacidades/formación de SESP</w:t>
            </w:r>
          </w:p>
        </w:tc>
        <w:tc>
          <w:tcPr>
            <w:tcW w:w="868" w:type="dxa"/>
            <w:tcBorders>
              <w:top w:val="nil"/>
              <w:left w:val="nil"/>
              <w:bottom w:val="single" w:sz="8" w:space="0" w:color="auto"/>
              <w:right w:val="single" w:sz="8" w:space="0" w:color="auto"/>
            </w:tcBorders>
            <w:shd w:val="clear" w:color="auto" w:fill="auto"/>
            <w:noWrap/>
            <w:vAlign w:val="center"/>
            <w:hideMark/>
          </w:tcPr>
          <w:p w14:paraId="716C7EF5" w14:textId="77777777" w:rsidR="001B17BF" w:rsidRPr="00BE2355" w:rsidRDefault="001B17BF" w:rsidP="00BA3DD6">
            <w:pPr>
              <w:pStyle w:val="Subttulo"/>
              <w:rPr>
                <w:sz w:val="16"/>
                <w:szCs w:val="16"/>
              </w:rPr>
            </w:pPr>
            <w:r>
              <w:rPr>
                <w:sz w:val="16"/>
              </w:rPr>
              <w:t xml:space="preserve">                 58.000 </w:t>
            </w:r>
          </w:p>
        </w:tc>
        <w:tc>
          <w:tcPr>
            <w:tcW w:w="868" w:type="dxa"/>
            <w:tcBorders>
              <w:top w:val="nil"/>
              <w:left w:val="nil"/>
              <w:bottom w:val="single" w:sz="8" w:space="0" w:color="auto"/>
              <w:right w:val="single" w:sz="8" w:space="0" w:color="auto"/>
            </w:tcBorders>
            <w:shd w:val="clear" w:color="auto" w:fill="auto"/>
            <w:noWrap/>
            <w:vAlign w:val="center"/>
            <w:hideMark/>
          </w:tcPr>
          <w:p w14:paraId="6A4F647A"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2CE96AF"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4A775C70" w14:textId="77777777" w:rsidR="001B17BF" w:rsidRPr="00BE2355" w:rsidRDefault="001B17BF" w:rsidP="00BA3DD6">
            <w:pPr>
              <w:pStyle w:val="Subttulo"/>
              <w:rPr>
                <w:sz w:val="16"/>
                <w:szCs w:val="16"/>
              </w:rPr>
            </w:pPr>
            <w:r>
              <w:rPr>
                <w:sz w:val="16"/>
              </w:rPr>
              <w:t xml:space="preserve">           58.000 </w:t>
            </w:r>
          </w:p>
        </w:tc>
        <w:tc>
          <w:tcPr>
            <w:tcW w:w="679" w:type="dxa"/>
            <w:tcBorders>
              <w:top w:val="nil"/>
              <w:left w:val="nil"/>
              <w:bottom w:val="single" w:sz="8" w:space="0" w:color="auto"/>
              <w:right w:val="single" w:sz="8" w:space="0" w:color="auto"/>
            </w:tcBorders>
            <w:shd w:val="clear" w:color="auto" w:fill="auto"/>
            <w:noWrap/>
            <w:vAlign w:val="center"/>
            <w:hideMark/>
          </w:tcPr>
          <w:p w14:paraId="60221C9D"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17B0A168"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6E2CDB9C" w14:textId="77777777" w:rsidR="001B17BF" w:rsidRPr="00BE2355" w:rsidRDefault="001B17BF" w:rsidP="00BA3DD6">
            <w:pPr>
              <w:pStyle w:val="Subttulo"/>
              <w:rPr>
                <w:sz w:val="16"/>
                <w:szCs w:val="16"/>
              </w:rPr>
            </w:pPr>
            <w:r>
              <w:rPr>
                <w:sz w:val="16"/>
              </w:rPr>
              <w:t xml:space="preserve">           58.000 </w:t>
            </w:r>
          </w:p>
        </w:tc>
        <w:tc>
          <w:tcPr>
            <w:tcW w:w="992" w:type="dxa"/>
            <w:tcBorders>
              <w:top w:val="nil"/>
              <w:left w:val="nil"/>
              <w:bottom w:val="single" w:sz="8" w:space="0" w:color="auto"/>
              <w:right w:val="single" w:sz="8" w:space="0" w:color="auto"/>
            </w:tcBorders>
            <w:shd w:val="clear" w:color="auto" w:fill="auto"/>
            <w:vAlign w:val="center"/>
            <w:hideMark/>
          </w:tcPr>
          <w:p w14:paraId="49F1DECA"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3EEE8251"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44ED48D" w14:textId="77777777" w:rsidR="001B17BF" w:rsidRPr="00BE2355" w:rsidRDefault="001B17BF" w:rsidP="00BA3DD6">
            <w:pPr>
              <w:pStyle w:val="Subttulo"/>
              <w:rPr>
                <w:sz w:val="16"/>
                <w:szCs w:val="16"/>
              </w:rPr>
            </w:pPr>
            <w:r>
              <w:rPr>
                <w:sz w:val="16"/>
              </w:rPr>
              <w:t>Viajes</w:t>
            </w:r>
          </w:p>
        </w:tc>
        <w:tc>
          <w:tcPr>
            <w:tcW w:w="1392" w:type="dxa"/>
            <w:tcBorders>
              <w:top w:val="nil"/>
              <w:left w:val="nil"/>
              <w:bottom w:val="single" w:sz="8" w:space="0" w:color="auto"/>
              <w:right w:val="single" w:sz="8" w:space="0" w:color="auto"/>
            </w:tcBorders>
            <w:shd w:val="clear" w:color="auto" w:fill="auto"/>
            <w:vAlign w:val="center"/>
            <w:hideMark/>
          </w:tcPr>
          <w:p w14:paraId="7F3CE6A2" w14:textId="449BAECD" w:rsidR="001B17BF" w:rsidRPr="00BE2355" w:rsidRDefault="001B17BF" w:rsidP="00D86F75">
            <w:pPr>
              <w:pStyle w:val="Subttulo"/>
              <w:rPr>
                <w:sz w:val="16"/>
                <w:szCs w:val="16"/>
              </w:rPr>
            </w:pPr>
            <w:r>
              <w:rPr>
                <w:sz w:val="16"/>
              </w:rPr>
              <w:t>Misiones de supervisión y aprendizaje. Véase el cuadro presupuestario de M</w:t>
            </w:r>
            <w:r w:rsidR="00D86F75">
              <w:rPr>
                <w:sz w:val="16"/>
              </w:rPr>
              <w:t>o</w:t>
            </w:r>
            <w:r>
              <w:rPr>
                <w:sz w:val="16"/>
              </w:rPr>
              <w:t xml:space="preserve">nitoreo y Evaluación en la </w:t>
            </w:r>
            <w:r w:rsidR="008E7564">
              <w:rPr>
                <w:sz w:val="16"/>
              </w:rPr>
              <w:t>S</w:t>
            </w:r>
            <w:r>
              <w:rPr>
                <w:sz w:val="16"/>
              </w:rPr>
              <w:t>ección VI de PRODOC</w:t>
            </w:r>
          </w:p>
        </w:tc>
        <w:tc>
          <w:tcPr>
            <w:tcW w:w="868" w:type="dxa"/>
            <w:tcBorders>
              <w:top w:val="nil"/>
              <w:left w:val="nil"/>
              <w:bottom w:val="single" w:sz="8" w:space="0" w:color="auto"/>
              <w:right w:val="single" w:sz="8" w:space="0" w:color="auto"/>
            </w:tcBorders>
            <w:shd w:val="clear" w:color="auto" w:fill="auto"/>
            <w:noWrap/>
            <w:vAlign w:val="center"/>
            <w:hideMark/>
          </w:tcPr>
          <w:p w14:paraId="5E68C4A5"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744CC814"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0A494D0"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04EDB89F"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2ED0630F" w14:textId="77777777" w:rsidR="001B17BF" w:rsidRPr="00BE2355" w:rsidRDefault="001B17BF" w:rsidP="00BA3DD6">
            <w:pPr>
              <w:pStyle w:val="Subttulo"/>
              <w:rPr>
                <w:sz w:val="16"/>
                <w:szCs w:val="16"/>
              </w:rPr>
            </w:pPr>
            <w:r>
              <w:rPr>
                <w:sz w:val="16"/>
              </w:rPr>
              <w:t xml:space="preserve">          20.000 </w:t>
            </w:r>
          </w:p>
        </w:tc>
        <w:tc>
          <w:tcPr>
            <w:tcW w:w="679" w:type="dxa"/>
            <w:tcBorders>
              <w:top w:val="nil"/>
              <w:left w:val="nil"/>
              <w:bottom w:val="single" w:sz="8" w:space="0" w:color="auto"/>
              <w:right w:val="single" w:sz="8" w:space="0" w:color="auto"/>
            </w:tcBorders>
            <w:shd w:val="clear" w:color="auto" w:fill="auto"/>
            <w:noWrap/>
            <w:vAlign w:val="center"/>
            <w:hideMark/>
          </w:tcPr>
          <w:p w14:paraId="0B75123D"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25497532" w14:textId="77777777" w:rsidR="001B17BF" w:rsidRPr="00BE2355" w:rsidRDefault="001B17BF" w:rsidP="00BA3DD6">
            <w:pPr>
              <w:pStyle w:val="Subttulo"/>
              <w:rPr>
                <w:sz w:val="16"/>
                <w:szCs w:val="16"/>
              </w:rPr>
            </w:pPr>
            <w:r>
              <w:rPr>
                <w:sz w:val="16"/>
              </w:rPr>
              <w:t xml:space="preserve">           20.000 </w:t>
            </w:r>
          </w:p>
        </w:tc>
        <w:tc>
          <w:tcPr>
            <w:tcW w:w="992" w:type="dxa"/>
            <w:tcBorders>
              <w:top w:val="nil"/>
              <w:left w:val="nil"/>
              <w:bottom w:val="single" w:sz="8" w:space="0" w:color="auto"/>
              <w:right w:val="single" w:sz="8" w:space="0" w:color="auto"/>
            </w:tcBorders>
            <w:shd w:val="clear" w:color="auto" w:fill="auto"/>
            <w:vAlign w:val="center"/>
            <w:hideMark/>
          </w:tcPr>
          <w:p w14:paraId="0E21BA23"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3A8B3F86"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5F0A40B4" w14:textId="77777777" w:rsidR="001B17BF" w:rsidRPr="00BE2355" w:rsidRDefault="001B17BF" w:rsidP="00BA3DD6">
            <w:pPr>
              <w:pStyle w:val="Subttulo"/>
              <w:rPr>
                <w:sz w:val="16"/>
                <w:szCs w:val="16"/>
              </w:rPr>
            </w:pPr>
            <w:r>
              <w:rPr>
                <w:sz w:val="16"/>
              </w:rPr>
              <w:t>Viajes</w:t>
            </w:r>
          </w:p>
        </w:tc>
        <w:tc>
          <w:tcPr>
            <w:tcW w:w="1392" w:type="dxa"/>
            <w:tcBorders>
              <w:top w:val="nil"/>
              <w:left w:val="nil"/>
              <w:bottom w:val="single" w:sz="8" w:space="0" w:color="auto"/>
              <w:right w:val="single" w:sz="8" w:space="0" w:color="auto"/>
            </w:tcBorders>
            <w:shd w:val="clear" w:color="auto" w:fill="auto"/>
            <w:vAlign w:val="center"/>
            <w:hideMark/>
          </w:tcPr>
          <w:p w14:paraId="27612D15" w14:textId="0F02F0FE" w:rsidR="001B17BF" w:rsidRPr="00BE2355" w:rsidRDefault="001B17BF" w:rsidP="008E7564">
            <w:pPr>
              <w:pStyle w:val="Subttulo"/>
              <w:rPr>
                <w:sz w:val="16"/>
                <w:szCs w:val="16"/>
              </w:rPr>
            </w:pPr>
            <w:r>
              <w:rPr>
                <w:sz w:val="16"/>
              </w:rPr>
              <w:t xml:space="preserve">Viajes para apoyar el intercambio de conocimientos, la comunicación y el apoyo a la capacitación local en el sector rural, incluida la participación en las actividades de Global FARM. Para más información, véase el </w:t>
            </w:r>
            <w:r w:rsidR="008E7564">
              <w:rPr>
                <w:sz w:val="16"/>
              </w:rPr>
              <w:t>A</w:t>
            </w:r>
            <w:r>
              <w:rPr>
                <w:sz w:val="16"/>
              </w:rPr>
              <w:t>nexo 7</w:t>
            </w:r>
          </w:p>
        </w:tc>
        <w:tc>
          <w:tcPr>
            <w:tcW w:w="868" w:type="dxa"/>
            <w:tcBorders>
              <w:top w:val="nil"/>
              <w:left w:val="nil"/>
              <w:bottom w:val="single" w:sz="8" w:space="0" w:color="auto"/>
              <w:right w:val="single" w:sz="8" w:space="0" w:color="auto"/>
            </w:tcBorders>
            <w:shd w:val="clear" w:color="auto" w:fill="auto"/>
            <w:noWrap/>
            <w:vAlign w:val="center"/>
            <w:hideMark/>
          </w:tcPr>
          <w:p w14:paraId="560B437D"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928E97B"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191C9B6" w14:textId="77777777" w:rsidR="001B17BF" w:rsidRPr="00BE2355" w:rsidRDefault="001B17BF" w:rsidP="00BA3DD6">
            <w:pPr>
              <w:pStyle w:val="Subttulo"/>
              <w:rPr>
                <w:sz w:val="16"/>
                <w:szCs w:val="16"/>
              </w:rPr>
            </w:pPr>
            <w:r>
              <w:rPr>
                <w:sz w:val="16"/>
              </w:rPr>
              <w:t xml:space="preserve">                 66.700 </w:t>
            </w:r>
          </w:p>
        </w:tc>
        <w:tc>
          <w:tcPr>
            <w:tcW w:w="789" w:type="dxa"/>
            <w:tcBorders>
              <w:top w:val="nil"/>
              <w:left w:val="nil"/>
              <w:bottom w:val="single" w:sz="8" w:space="0" w:color="auto"/>
              <w:right w:val="single" w:sz="8" w:space="0" w:color="auto"/>
            </w:tcBorders>
            <w:shd w:val="clear" w:color="auto" w:fill="auto"/>
            <w:noWrap/>
            <w:vAlign w:val="center"/>
            <w:hideMark/>
          </w:tcPr>
          <w:p w14:paraId="50F3FD2B" w14:textId="77777777" w:rsidR="001B17BF" w:rsidRPr="00BE2355" w:rsidRDefault="001B17BF" w:rsidP="00BA3DD6">
            <w:pPr>
              <w:pStyle w:val="Subttulo"/>
              <w:rPr>
                <w:sz w:val="16"/>
                <w:szCs w:val="16"/>
              </w:rPr>
            </w:pPr>
            <w:r>
              <w:rPr>
                <w:sz w:val="16"/>
              </w:rPr>
              <w:t xml:space="preserve">           66.700 </w:t>
            </w:r>
          </w:p>
        </w:tc>
        <w:tc>
          <w:tcPr>
            <w:tcW w:w="679" w:type="dxa"/>
            <w:tcBorders>
              <w:top w:val="nil"/>
              <w:left w:val="nil"/>
              <w:bottom w:val="single" w:sz="8" w:space="0" w:color="auto"/>
              <w:right w:val="single" w:sz="8" w:space="0" w:color="auto"/>
            </w:tcBorders>
            <w:shd w:val="clear" w:color="auto" w:fill="auto"/>
            <w:noWrap/>
            <w:vAlign w:val="center"/>
            <w:hideMark/>
          </w:tcPr>
          <w:p w14:paraId="3B444159"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448BD9C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442DCCEE" w14:textId="77777777" w:rsidR="001B17BF" w:rsidRPr="00BE2355" w:rsidRDefault="001B17BF" w:rsidP="00BA3DD6">
            <w:pPr>
              <w:pStyle w:val="Subttulo"/>
              <w:rPr>
                <w:sz w:val="16"/>
                <w:szCs w:val="16"/>
              </w:rPr>
            </w:pPr>
            <w:r>
              <w:rPr>
                <w:sz w:val="16"/>
              </w:rPr>
              <w:t xml:space="preserve">           66.700 </w:t>
            </w:r>
          </w:p>
        </w:tc>
        <w:tc>
          <w:tcPr>
            <w:tcW w:w="992" w:type="dxa"/>
            <w:tcBorders>
              <w:top w:val="nil"/>
              <w:left w:val="nil"/>
              <w:bottom w:val="single" w:sz="8" w:space="0" w:color="auto"/>
              <w:right w:val="single" w:sz="8" w:space="0" w:color="auto"/>
            </w:tcBorders>
            <w:shd w:val="clear" w:color="auto" w:fill="auto"/>
            <w:vAlign w:val="center"/>
            <w:hideMark/>
          </w:tcPr>
          <w:p w14:paraId="2C1B9E0E"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3EE4C55"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0B10D99D" w14:textId="77777777" w:rsidR="001B17BF" w:rsidRPr="00BE2355" w:rsidRDefault="001B17BF" w:rsidP="00BA3DD6">
            <w:pPr>
              <w:pStyle w:val="Subttulo"/>
              <w:rPr>
                <w:sz w:val="16"/>
                <w:szCs w:val="16"/>
              </w:rPr>
            </w:pPr>
            <w:r>
              <w:rPr>
                <w:sz w:val="16"/>
              </w:rPr>
              <w:t>Viajes</w:t>
            </w:r>
          </w:p>
        </w:tc>
        <w:tc>
          <w:tcPr>
            <w:tcW w:w="1392" w:type="dxa"/>
            <w:tcBorders>
              <w:top w:val="nil"/>
              <w:left w:val="nil"/>
              <w:bottom w:val="single" w:sz="8" w:space="0" w:color="auto"/>
              <w:right w:val="single" w:sz="8" w:space="0" w:color="auto"/>
            </w:tcBorders>
            <w:shd w:val="clear" w:color="auto" w:fill="auto"/>
            <w:vAlign w:val="center"/>
            <w:hideMark/>
          </w:tcPr>
          <w:p w14:paraId="20791F06" w14:textId="7EE3EBE1" w:rsidR="001B17BF" w:rsidRPr="00BE2355" w:rsidRDefault="001B17BF" w:rsidP="00BA3DD6">
            <w:pPr>
              <w:pStyle w:val="Subttulo"/>
              <w:rPr>
                <w:sz w:val="16"/>
                <w:szCs w:val="16"/>
              </w:rPr>
            </w:pPr>
            <w:r>
              <w:rPr>
                <w:sz w:val="16"/>
              </w:rPr>
              <w:t>Viajes para apoyar los Resultados 1.1 y 1.2 en la implicación y el refuerzo de la capacidad de las diferentes partes interesadas</w:t>
            </w:r>
          </w:p>
        </w:tc>
        <w:tc>
          <w:tcPr>
            <w:tcW w:w="868" w:type="dxa"/>
            <w:tcBorders>
              <w:top w:val="nil"/>
              <w:left w:val="nil"/>
              <w:bottom w:val="single" w:sz="8" w:space="0" w:color="auto"/>
              <w:right w:val="single" w:sz="8" w:space="0" w:color="auto"/>
            </w:tcBorders>
            <w:shd w:val="clear" w:color="auto" w:fill="auto"/>
            <w:noWrap/>
            <w:vAlign w:val="center"/>
            <w:hideMark/>
          </w:tcPr>
          <w:p w14:paraId="61A7EB7D" w14:textId="77777777" w:rsidR="001B17BF" w:rsidRPr="00BE2355" w:rsidRDefault="001B17BF" w:rsidP="00BA3DD6">
            <w:pPr>
              <w:pStyle w:val="Subttulo"/>
              <w:rPr>
                <w:sz w:val="16"/>
                <w:szCs w:val="16"/>
              </w:rPr>
            </w:pPr>
            <w:r>
              <w:rPr>
                <w:sz w:val="16"/>
              </w:rPr>
              <w:t xml:space="preserve">                 52.500 </w:t>
            </w:r>
          </w:p>
        </w:tc>
        <w:tc>
          <w:tcPr>
            <w:tcW w:w="868" w:type="dxa"/>
            <w:tcBorders>
              <w:top w:val="nil"/>
              <w:left w:val="nil"/>
              <w:bottom w:val="single" w:sz="8" w:space="0" w:color="auto"/>
              <w:right w:val="single" w:sz="8" w:space="0" w:color="auto"/>
            </w:tcBorders>
            <w:shd w:val="clear" w:color="auto" w:fill="auto"/>
            <w:noWrap/>
            <w:vAlign w:val="center"/>
            <w:hideMark/>
          </w:tcPr>
          <w:p w14:paraId="0202111A"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2456BB2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2E55D308" w14:textId="77777777" w:rsidR="001B17BF" w:rsidRPr="00BE2355" w:rsidRDefault="001B17BF" w:rsidP="00BA3DD6">
            <w:pPr>
              <w:pStyle w:val="Subttulo"/>
              <w:rPr>
                <w:sz w:val="16"/>
                <w:szCs w:val="16"/>
              </w:rPr>
            </w:pPr>
            <w:r>
              <w:rPr>
                <w:sz w:val="16"/>
              </w:rPr>
              <w:t xml:space="preserve">           52.500 </w:t>
            </w:r>
          </w:p>
        </w:tc>
        <w:tc>
          <w:tcPr>
            <w:tcW w:w="679" w:type="dxa"/>
            <w:tcBorders>
              <w:top w:val="nil"/>
              <w:left w:val="nil"/>
              <w:bottom w:val="single" w:sz="8" w:space="0" w:color="auto"/>
              <w:right w:val="single" w:sz="8" w:space="0" w:color="auto"/>
            </w:tcBorders>
            <w:shd w:val="clear" w:color="auto" w:fill="auto"/>
            <w:noWrap/>
            <w:vAlign w:val="center"/>
            <w:hideMark/>
          </w:tcPr>
          <w:p w14:paraId="2D8DB5EB"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3088D44F"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0C45AFAC" w14:textId="77777777" w:rsidR="001B17BF" w:rsidRPr="00BE2355" w:rsidRDefault="001B17BF" w:rsidP="00BA3DD6">
            <w:pPr>
              <w:pStyle w:val="Subttulo"/>
              <w:rPr>
                <w:sz w:val="16"/>
                <w:szCs w:val="16"/>
              </w:rPr>
            </w:pPr>
            <w:r>
              <w:rPr>
                <w:sz w:val="16"/>
              </w:rPr>
              <w:t xml:space="preserve">           52.500 </w:t>
            </w:r>
          </w:p>
        </w:tc>
        <w:tc>
          <w:tcPr>
            <w:tcW w:w="992" w:type="dxa"/>
            <w:tcBorders>
              <w:top w:val="nil"/>
              <w:left w:val="nil"/>
              <w:bottom w:val="single" w:sz="8" w:space="0" w:color="auto"/>
              <w:right w:val="single" w:sz="8" w:space="0" w:color="auto"/>
            </w:tcBorders>
            <w:shd w:val="clear" w:color="auto" w:fill="auto"/>
            <w:vAlign w:val="center"/>
            <w:hideMark/>
          </w:tcPr>
          <w:p w14:paraId="68710C35"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24ECAC19"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77F3351D" w14:textId="77777777" w:rsidR="001B17BF" w:rsidRPr="00BE2355" w:rsidRDefault="001B17BF" w:rsidP="00BA3DD6">
            <w:pPr>
              <w:pStyle w:val="Subttulo"/>
              <w:rPr>
                <w:sz w:val="16"/>
                <w:szCs w:val="16"/>
              </w:rPr>
            </w:pPr>
            <w:r>
              <w:rPr>
                <w:sz w:val="16"/>
              </w:rPr>
              <w:t>Viajes</w:t>
            </w:r>
          </w:p>
        </w:tc>
        <w:tc>
          <w:tcPr>
            <w:tcW w:w="1392" w:type="dxa"/>
            <w:tcBorders>
              <w:top w:val="nil"/>
              <w:left w:val="nil"/>
              <w:bottom w:val="single" w:sz="8" w:space="0" w:color="auto"/>
              <w:right w:val="single" w:sz="8" w:space="0" w:color="auto"/>
            </w:tcBorders>
            <w:shd w:val="clear" w:color="auto" w:fill="auto"/>
            <w:vAlign w:val="center"/>
            <w:hideMark/>
          </w:tcPr>
          <w:p w14:paraId="48498A61" w14:textId="08DD0C01" w:rsidR="001B17BF" w:rsidRPr="00BE2355" w:rsidRDefault="001B17BF" w:rsidP="008E7564">
            <w:pPr>
              <w:pStyle w:val="Subttulo"/>
              <w:rPr>
                <w:sz w:val="16"/>
                <w:szCs w:val="16"/>
              </w:rPr>
            </w:pPr>
            <w:r>
              <w:rPr>
                <w:sz w:val="16"/>
              </w:rPr>
              <w:t xml:space="preserve">Viajes para apoyar la ejecución de las actividades del Componente 2, principalmente en el marco de los </w:t>
            </w:r>
            <w:r w:rsidR="008E7564">
              <w:rPr>
                <w:sz w:val="16"/>
              </w:rPr>
              <w:t>R</w:t>
            </w:r>
            <w:r>
              <w:rPr>
                <w:sz w:val="16"/>
              </w:rPr>
              <w:t>esultados 2.3, 2.5 y 2.6</w:t>
            </w:r>
          </w:p>
        </w:tc>
        <w:tc>
          <w:tcPr>
            <w:tcW w:w="868" w:type="dxa"/>
            <w:tcBorders>
              <w:top w:val="nil"/>
              <w:left w:val="nil"/>
              <w:bottom w:val="single" w:sz="8" w:space="0" w:color="auto"/>
              <w:right w:val="single" w:sz="8" w:space="0" w:color="auto"/>
            </w:tcBorders>
            <w:shd w:val="clear" w:color="auto" w:fill="auto"/>
            <w:noWrap/>
            <w:vAlign w:val="center"/>
            <w:hideMark/>
          </w:tcPr>
          <w:p w14:paraId="484E73FE"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4C4BF6D" w14:textId="77777777" w:rsidR="001B17BF" w:rsidRPr="00BE2355" w:rsidRDefault="001B17BF" w:rsidP="00BA3DD6">
            <w:pPr>
              <w:pStyle w:val="Subttulo"/>
              <w:rPr>
                <w:sz w:val="16"/>
                <w:szCs w:val="16"/>
              </w:rPr>
            </w:pPr>
            <w:r>
              <w:rPr>
                <w:sz w:val="16"/>
              </w:rPr>
              <w:t xml:space="preserve">                      45.000 </w:t>
            </w:r>
          </w:p>
        </w:tc>
        <w:tc>
          <w:tcPr>
            <w:tcW w:w="868" w:type="dxa"/>
            <w:tcBorders>
              <w:top w:val="nil"/>
              <w:left w:val="nil"/>
              <w:bottom w:val="single" w:sz="8" w:space="0" w:color="auto"/>
              <w:right w:val="single" w:sz="8" w:space="0" w:color="auto"/>
            </w:tcBorders>
            <w:shd w:val="clear" w:color="auto" w:fill="auto"/>
            <w:noWrap/>
            <w:vAlign w:val="center"/>
            <w:hideMark/>
          </w:tcPr>
          <w:p w14:paraId="0AF07E8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473206C3" w14:textId="77777777" w:rsidR="001B17BF" w:rsidRPr="00BE2355" w:rsidRDefault="001B17BF" w:rsidP="00BA3DD6">
            <w:pPr>
              <w:pStyle w:val="Subttulo"/>
              <w:rPr>
                <w:sz w:val="16"/>
                <w:szCs w:val="16"/>
              </w:rPr>
            </w:pPr>
            <w:r>
              <w:rPr>
                <w:sz w:val="16"/>
              </w:rPr>
              <w:t xml:space="preserve">           45.000 </w:t>
            </w:r>
          </w:p>
        </w:tc>
        <w:tc>
          <w:tcPr>
            <w:tcW w:w="679" w:type="dxa"/>
            <w:tcBorders>
              <w:top w:val="nil"/>
              <w:left w:val="nil"/>
              <w:bottom w:val="single" w:sz="8" w:space="0" w:color="auto"/>
              <w:right w:val="single" w:sz="8" w:space="0" w:color="auto"/>
            </w:tcBorders>
            <w:shd w:val="clear" w:color="auto" w:fill="auto"/>
            <w:noWrap/>
            <w:vAlign w:val="center"/>
            <w:hideMark/>
          </w:tcPr>
          <w:p w14:paraId="653A2FE5"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044C41DB"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7C8723FB" w14:textId="77777777" w:rsidR="001B17BF" w:rsidRPr="00BE2355" w:rsidRDefault="001B17BF" w:rsidP="00BA3DD6">
            <w:pPr>
              <w:pStyle w:val="Subttulo"/>
              <w:rPr>
                <w:sz w:val="16"/>
                <w:szCs w:val="16"/>
              </w:rPr>
            </w:pPr>
            <w:r>
              <w:rPr>
                <w:sz w:val="16"/>
              </w:rPr>
              <w:t xml:space="preserve">           45.000 </w:t>
            </w:r>
          </w:p>
        </w:tc>
        <w:tc>
          <w:tcPr>
            <w:tcW w:w="992" w:type="dxa"/>
            <w:tcBorders>
              <w:top w:val="nil"/>
              <w:left w:val="nil"/>
              <w:bottom w:val="single" w:sz="8" w:space="0" w:color="auto"/>
              <w:right w:val="single" w:sz="8" w:space="0" w:color="auto"/>
            </w:tcBorders>
            <w:shd w:val="clear" w:color="auto" w:fill="auto"/>
            <w:vAlign w:val="center"/>
            <w:hideMark/>
          </w:tcPr>
          <w:p w14:paraId="677C4194"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28BBB84B"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693130D" w14:textId="77777777" w:rsidR="001B17BF" w:rsidRPr="00BE2355" w:rsidRDefault="001B17BF" w:rsidP="00BA3DD6">
            <w:pPr>
              <w:pStyle w:val="Subttulo"/>
              <w:rPr>
                <w:sz w:val="16"/>
                <w:szCs w:val="16"/>
              </w:rPr>
            </w:pPr>
            <w:r>
              <w:rPr>
                <w:sz w:val="16"/>
              </w:rPr>
              <w:t>Suministros de oficina</w:t>
            </w:r>
          </w:p>
        </w:tc>
        <w:tc>
          <w:tcPr>
            <w:tcW w:w="1392" w:type="dxa"/>
            <w:tcBorders>
              <w:top w:val="nil"/>
              <w:left w:val="nil"/>
              <w:bottom w:val="single" w:sz="8" w:space="0" w:color="auto"/>
              <w:right w:val="single" w:sz="8" w:space="0" w:color="auto"/>
            </w:tcBorders>
            <w:shd w:val="clear" w:color="auto" w:fill="auto"/>
            <w:vAlign w:val="center"/>
            <w:hideMark/>
          </w:tcPr>
          <w:p w14:paraId="734E96A3" w14:textId="5BAD9FC6" w:rsidR="001B17BF" w:rsidRPr="00BE2355" w:rsidRDefault="001B17BF" w:rsidP="00BA3DD6">
            <w:pPr>
              <w:pStyle w:val="Subttulo"/>
              <w:rPr>
                <w:sz w:val="16"/>
                <w:szCs w:val="16"/>
              </w:rPr>
            </w:pPr>
            <w:r>
              <w:rPr>
                <w:sz w:val="16"/>
              </w:rPr>
              <w:t>Material de oficina básico durante el periodo del proyecto</w:t>
            </w:r>
          </w:p>
        </w:tc>
        <w:tc>
          <w:tcPr>
            <w:tcW w:w="868" w:type="dxa"/>
            <w:tcBorders>
              <w:top w:val="nil"/>
              <w:left w:val="nil"/>
              <w:bottom w:val="single" w:sz="8" w:space="0" w:color="auto"/>
              <w:right w:val="single" w:sz="8" w:space="0" w:color="auto"/>
            </w:tcBorders>
            <w:shd w:val="clear" w:color="auto" w:fill="auto"/>
            <w:noWrap/>
            <w:vAlign w:val="center"/>
            <w:hideMark/>
          </w:tcPr>
          <w:p w14:paraId="28F5DEE8"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7B752F23"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99E4F25"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294F1AFB"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5ACACF2C"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317AA978" w14:textId="77777777" w:rsidR="001B17BF" w:rsidRPr="00BE2355" w:rsidRDefault="001B17BF" w:rsidP="00BA3DD6">
            <w:pPr>
              <w:pStyle w:val="Subttulo"/>
              <w:rPr>
                <w:sz w:val="16"/>
                <w:szCs w:val="16"/>
              </w:rPr>
            </w:pPr>
            <w:r>
              <w:rPr>
                <w:sz w:val="16"/>
              </w:rPr>
              <w:t xml:space="preserve">                   500 </w:t>
            </w:r>
          </w:p>
        </w:tc>
        <w:tc>
          <w:tcPr>
            <w:tcW w:w="789" w:type="dxa"/>
            <w:tcBorders>
              <w:top w:val="nil"/>
              <w:left w:val="nil"/>
              <w:bottom w:val="single" w:sz="8" w:space="0" w:color="auto"/>
              <w:right w:val="single" w:sz="8" w:space="0" w:color="auto"/>
            </w:tcBorders>
            <w:shd w:val="clear" w:color="auto" w:fill="auto"/>
            <w:vAlign w:val="center"/>
            <w:hideMark/>
          </w:tcPr>
          <w:p w14:paraId="49C43C4E" w14:textId="77777777" w:rsidR="001B17BF" w:rsidRPr="00BE2355" w:rsidRDefault="001B17BF" w:rsidP="00BA3DD6">
            <w:pPr>
              <w:pStyle w:val="Subttulo"/>
              <w:rPr>
                <w:sz w:val="16"/>
                <w:szCs w:val="16"/>
              </w:rPr>
            </w:pPr>
            <w:r>
              <w:rPr>
                <w:sz w:val="16"/>
              </w:rPr>
              <w:t xml:space="preserve">                  500 </w:t>
            </w:r>
          </w:p>
        </w:tc>
        <w:tc>
          <w:tcPr>
            <w:tcW w:w="992" w:type="dxa"/>
            <w:tcBorders>
              <w:top w:val="nil"/>
              <w:left w:val="nil"/>
              <w:bottom w:val="single" w:sz="8" w:space="0" w:color="auto"/>
              <w:right w:val="single" w:sz="8" w:space="0" w:color="auto"/>
            </w:tcBorders>
            <w:shd w:val="clear" w:color="auto" w:fill="auto"/>
            <w:vAlign w:val="center"/>
            <w:hideMark/>
          </w:tcPr>
          <w:p w14:paraId="084A62C4"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34C3CEAD"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4499ECD6"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601FB48B" w14:textId="2322402E" w:rsidR="001B17BF" w:rsidRPr="00BE2355" w:rsidRDefault="001B17BF" w:rsidP="008E7564">
            <w:pPr>
              <w:pStyle w:val="Subttulo"/>
              <w:rPr>
                <w:sz w:val="16"/>
                <w:szCs w:val="16"/>
              </w:rPr>
            </w:pPr>
            <w:r>
              <w:rPr>
                <w:sz w:val="16"/>
              </w:rPr>
              <w:t>Cost</w:t>
            </w:r>
            <w:r w:rsidR="008E7564">
              <w:rPr>
                <w:sz w:val="16"/>
              </w:rPr>
              <w:t>o</w:t>
            </w:r>
            <w:r>
              <w:rPr>
                <w:sz w:val="16"/>
              </w:rPr>
              <w:t>s de producción audiovisual e impresión para sensibilizar a los interesados sobre las repercusiones de los productos agroquímicos nocivos en la salud y el ambiente y fomentar un consumo responsable</w:t>
            </w:r>
          </w:p>
        </w:tc>
        <w:tc>
          <w:tcPr>
            <w:tcW w:w="868" w:type="dxa"/>
            <w:tcBorders>
              <w:top w:val="nil"/>
              <w:left w:val="nil"/>
              <w:bottom w:val="single" w:sz="8" w:space="0" w:color="auto"/>
              <w:right w:val="single" w:sz="8" w:space="0" w:color="auto"/>
            </w:tcBorders>
            <w:shd w:val="clear" w:color="auto" w:fill="auto"/>
            <w:noWrap/>
            <w:vAlign w:val="center"/>
            <w:hideMark/>
          </w:tcPr>
          <w:p w14:paraId="3B5E1A6E"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2428B0F3"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8191C97" w14:textId="77777777" w:rsidR="001B17BF" w:rsidRPr="00BE2355" w:rsidRDefault="001B17BF" w:rsidP="00BA3DD6">
            <w:pPr>
              <w:pStyle w:val="Subttulo"/>
              <w:rPr>
                <w:sz w:val="16"/>
                <w:szCs w:val="16"/>
              </w:rPr>
            </w:pPr>
            <w:r>
              <w:rPr>
                <w:sz w:val="16"/>
              </w:rPr>
              <w:t xml:space="preserve">                 60.000 </w:t>
            </w:r>
          </w:p>
        </w:tc>
        <w:tc>
          <w:tcPr>
            <w:tcW w:w="789" w:type="dxa"/>
            <w:tcBorders>
              <w:top w:val="nil"/>
              <w:left w:val="nil"/>
              <w:bottom w:val="single" w:sz="8" w:space="0" w:color="auto"/>
              <w:right w:val="single" w:sz="8" w:space="0" w:color="auto"/>
            </w:tcBorders>
            <w:shd w:val="clear" w:color="auto" w:fill="auto"/>
            <w:noWrap/>
            <w:vAlign w:val="center"/>
            <w:hideMark/>
          </w:tcPr>
          <w:p w14:paraId="066A9D2F" w14:textId="77777777" w:rsidR="001B17BF" w:rsidRPr="00BE2355" w:rsidRDefault="001B17BF" w:rsidP="00BA3DD6">
            <w:pPr>
              <w:pStyle w:val="Subttulo"/>
              <w:rPr>
                <w:sz w:val="16"/>
                <w:szCs w:val="16"/>
              </w:rPr>
            </w:pPr>
            <w:r>
              <w:rPr>
                <w:sz w:val="16"/>
              </w:rPr>
              <w:t xml:space="preserve">           60.000 </w:t>
            </w:r>
          </w:p>
        </w:tc>
        <w:tc>
          <w:tcPr>
            <w:tcW w:w="679" w:type="dxa"/>
            <w:tcBorders>
              <w:top w:val="nil"/>
              <w:left w:val="nil"/>
              <w:bottom w:val="single" w:sz="8" w:space="0" w:color="auto"/>
              <w:right w:val="single" w:sz="8" w:space="0" w:color="auto"/>
            </w:tcBorders>
            <w:shd w:val="clear" w:color="auto" w:fill="auto"/>
            <w:noWrap/>
            <w:vAlign w:val="center"/>
            <w:hideMark/>
          </w:tcPr>
          <w:p w14:paraId="431CBCC3"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40825085"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6257C353" w14:textId="77777777" w:rsidR="001B17BF" w:rsidRPr="00BE2355" w:rsidRDefault="001B17BF" w:rsidP="00BA3DD6">
            <w:pPr>
              <w:pStyle w:val="Subttulo"/>
              <w:rPr>
                <w:sz w:val="16"/>
                <w:szCs w:val="16"/>
              </w:rPr>
            </w:pPr>
            <w:r>
              <w:rPr>
                <w:sz w:val="16"/>
              </w:rPr>
              <w:t xml:space="preserve">           60.000 </w:t>
            </w:r>
          </w:p>
        </w:tc>
        <w:tc>
          <w:tcPr>
            <w:tcW w:w="992" w:type="dxa"/>
            <w:tcBorders>
              <w:top w:val="nil"/>
              <w:left w:val="nil"/>
              <w:bottom w:val="single" w:sz="8" w:space="0" w:color="auto"/>
              <w:right w:val="single" w:sz="8" w:space="0" w:color="auto"/>
            </w:tcBorders>
            <w:shd w:val="clear" w:color="auto" w:fill="auto"/>
            <w:vAlign w:val="center"/>
            <w:hideMark/>
          </w:tcPr>
          <w:p w14:paraId="5BED2C28"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6779A58A"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56DC9C03"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6859FEC5" w14:textId="7DCEA297" w:rsidR="001B17BF" w:rsidRPr="00BE2355" w:rsidRDefault="001B17BF" w:rsidP="008E7564">
            <w:pPr>
              <w:pStyle w:val="Subttulo"/>
              <w:rPr>
                <w:sz w:val="16"/>
                <w:szCs w:val="16"/>
              </w:rPr>
            </w:pPr>
            <w:r>
              <w:rPr>
                <w:sz w:val="16"/>
              </w:rPr>
              <w:t>Cost</w:t>
            </w:r>
            <w:r w:rsidR="008E7564">
              <w:rPr>
                <w:sz w:val="16"/>
              </w:rPr>
              <w:t>o</w:t>
            </w:r>
            <w:r>
              <w:rPr>
                <w:sz w:val="16"/>
              </w:rPr>
              <w:t xml:space="preserve">s de producción audiovisual y de impresión para apoyar el desarrollo de políticas, instrumentos políticos o marcos normativos influenciados (a nivel nacional o subnacional) para mejorar la gestión de los productos agroquímicos, así como apoyar los requisitos del </w:t>
            </w:r>
            <w:r w:rsidR="00EE65CF">
              <w:rPr>
                <w:sz w:val="16"/>
              </w:rPr>
              <w:t>ESMF</w:t>
            </w:r>
          </w:p>
        </w:tc>
        <w:tc>
          <w:tcPr>
            <w:tcW w:w="868" w:type="dxa"/>
            <w:tcBorders>
              <w:top w:val="nil"/>
              <w:left w:val="nil"/>
              <w:bottom w:val="single" w:sz="8" w:space="0" w:color="auto"/>
              <w:right w:val="single" w:sz="8" w:space="0" w:color="auto"/>
            </w:tcBorders>
            <w:shd w:val="clear" w:color="auto" w:fill="auto"/>
            <w:noWrap/>
            <w:vAlign w:val="center"/>
            <w:hideMark/>
          </w:tcPr>
          <w:p w14:paraId="5F8FCA0B" w14:textId="77777777" w:rsidR="001B17BF" w:rsidRPr="00BE2355" w:rsidRDefault="001B17BF" w:rsidP="00BA3DD6">
            <w:pPr>
              <w:pStyle w:val="Subttulo"/>
              <w:rPr>
                <w:sz w:val="16"/>
                <w:szCs w:val="16"/>
              </w:rPr>
            </w:pPr>
            <w:r>
              <w:rPr>
                <w:sz w:val="16"/>
              </w:rPr>
              <w:t xml:space="preserve">                 45.000 </w:t>
            </w:r>
          </w:p>
        </w:tc>
        <w:tc>
          <w:tcPr>
            <w:tcW w:w="868" w:type="dxa"/>
            <w:tcBorders>
              <w:top w:val="nil"/>
              <w:left w:val="nil"/>
              <w:bottom w:val="single" w:sz="8" w:space="0" w:color="auto"/>
              <w:right w:val="single" w:sz="8" w:space="0" w:color="auto"/>
            </w:tcBorders>
            <w:shd w:val="clear" w:color="auto" w:fill="auto"/>
            <w:noWrap/>
            <w:vAlign w:val="center"/>
            <w:hideMark/>
          </w:tcPr>
          <w:p w14:paraId="2A46F937"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7FD37810"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6EB1E9C8" w14:textId="77777777" w:rsidR="001B17BF" w:rsidRPr="00BE2355" w:rsidRDefault="001B17BF" w:rsidP="00BA3DD6">
            <w:pPr>
              <w:pStyle w:val="Subttulo"/>
              <w:rPr>
                <w:sz w:val="16"/>
                <w:szCs w:val="16"/>
              </w:rPr>
            </w:pPr>
            <w:r>
              <w:rPr>
                <w:sz w:val="16"/>
              </w:rPr>
              <w:t xml:space="preserve">           45.000 </w:t>
            </w:r>
          </w:p>
        </w:tc>
        <w:tc>
          <w:tcPr>
            <w:tcW w:w="679" w:type="dxa"/>
            <w:tcBorders>
              <w:top w:val="nil"/>
              <w:left w:val="nil"/>
              <w:bottom w:val="single" w:sz="8" w:space="0" w:color="auto"/>
              <w:right w:val="single" w:sz="8" w:space="0" w:color="auto"/>
            </w:tcBorders>
            <w:shd w:val="clear" w:color="auto" w:fill="auto"/>
            <w:noWrap/>
            <w:vAlign w:val="center"/>
            <w:hideMark/>
          </w:tcPr>
          <w:p w14:paraId="3A62941E"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72D9237A"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0F3304B2" w14:textId="77777777" w:rsidR="001B17BF" w:rsidRPr="00BE2355" w:rsidRDefault="001B17BF" w:rsidP="00BA3DD6">
            <w:pPr>
              <w:pStyle w:val="Subttulo"/>
              <w:rPr>
                <w:sz w:val="16"/>
                <w:szCs w:val="16"/>
              </w:rPr>
            </w:pPr>
            <w:r>
              <w:rPr>
                <w:sz w:val="16"/>
              </w:rPr>
              <w:t xml:space="preserve">           45.000 </w:t>
            </w:r>
          </w:p>
        </w:tc>
        <w:tc>
          <w:tcPr>
            <w:tcW w:w="992" w:type="dxa"/>
            <w:tcBorders>
              <w:top w:val="nil"/>
              <w:left w:val="nil"/>
              <w:bottom w:val="single" w:sz="8" w:space="0" w:color="auto"/>
              <w:right w:val="single" w:sz="8" w:space="0" w:color="auto"/>
            </w:tcBorders>
            <w:shd w:val="clear" w:color="auto" w:fill="auto"/>
            <w:vAlign w:val="center"/>
            <w:hideMark/>
          </w:tcPr>
          <w:p w14:paraId="3347E06E"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41A68F3E"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40D08735"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1ADFE18F" w14:textId="7372ABC8" w:rsidR="001B17BF" w:rsidRPr="00BE2355" w:rsidRDefault="001B17BF" w:rsidP="00BA3DD6">
            <w:pPr>
              <w:pStyle w:val="Subttulo"/>
              <w:rPr>
                <w:sz w:val="16"/>
                <w:szCs w:val="16"/>
              </w:rPr>
            </w:pPr>
            <w:r>
              <w:rPr>
                <w:sz w:val="16"/>
              </w:rPr>
              <w:t>Seguro para los equipos informáticos del proyecto</w:t>
            </w:r>
          </w:p>
        </w:tc>
        <w:tc>
          <w:tcPr>
            <w:tcW w:w="868" w:type="dxa"/>
            <w:tcBorders>
              <w:top w:val="nil"/>
              <w:left w:val="nil"/>
              <w:bottom w:val="single" w:sz="8" w:space="0" w:color="auto"/>
              <w:right w:val="single" w:sz="8" w:space="0" w:color="auto"/>
            </w:tcBorders>
            <w:shd w:val="clear" w:color="auto" w:fill="auto"/>
            <w:noWrap/>
            <w:vAlign w:val="center"/>
            <w:hideMark/>
          </w:tcPr>
          <w:p w14:paraId="19DCF49B"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CA0A6FD"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A331918"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255677C0"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013CC5EA"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13814839" w14:textId="77777777" w:rsidR="001B17BF" w:rsidRPr="00BE2355" w:rsidRDefault="001B17BF" w:rsidP="00BA3DD6">
            <w:pPr>
              <w:pStyle w:val="Subttulo"/>
              <w:rPr>
                <w:sz w:val="16"/>
                <w:szCs w:val="16"/>
              </w:rPr>
            </w:pPr>
            <w:r>
              <w:rPr>
                <w:sz w:val="16"/>
              </w:rPr>
              <w:t xml:space="preserve">                   400 </w:t>
            </w:r>
          </w:p>
        </w:tc>
        <w:tc>
          <w:tcPr>
            <w:tcW w:w="789" w:type="dxa"/>
            <w:tcBorders>
              <w:top w:val="nil"/>
              <w:left w:val="nil"/>
              <w:bottom w:val="single" w:sz="8" w:space="0" w:color="auto"/>
              <w:right w:val="single" w:sz="8" w:space="0" w:color="auto"/>
            </w:tcBorders>
            <w:shd w:val="clear" w:color="auto" w:fill="auto"/>
            <w:vAlign w:val="center"/>
            <w:hideMark/>
          </w:tcPr>
          <w:p w14:paraId="61BC7E9C" w14:textId="77777777" w:rsidR="001B17BF" w:rsidRPr="00BE2355" w:rsidRDefault="001B17BF" w:rsidP="00BA3DD6">
            <w:pPr>
              <w:pStyle w:val="Subttulo"/>
              <w:rPr>
                <w:sz w:val="16"/>
                <w:szCs w:val="16"/>
              </w:rPr>
            </w:pPr>
            <w:r>
              <w:rPr>
                <w:sz w:val="16"/>
              </w:rPr>
              <w:t xml:space="preserve">                  400 </w:t>
            </w:r>
          </w:p>
        </w:tc>
        <w:tc>
          <w:tcPr>
            <w:tcW w:w="992" w:type="dxa"/>
            <w:tcBorders>
              <w:top w:val="nil"/>
              <w:left w:val="nil"/>
              <w:bottom w:val="single" w:sz="8" w:space="0" w:color="auto"/>
              <w:right w:val="single" w:sz="8" w:space="0" w:color="auto"/>
            </w:tcBorders>
            <w:shd w:val="clear" w:color="auto" w:fill="auto"/>
            <w:vAlign w:val="center"/>
            <w:hideMark/>
          </w:tcPr>
          <w:p w14:paraId="17520C17"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BAB9E71"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2DD222E7"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7191C88A" w14:textId="0C6AA0F0" w:rsidR="001B17BF" w:rsidRPr="00BE2355" w:rsidRDefault="001B17BF" w:rsidP="00BA3DD6">
            <w:pPr>
              <w:pStyle w:val="Subttulo"/>
              <w:rPr>
                <w:sz w:val="16"/>
                <w:szCs w:val="16"/>
              </w:rPr>
            </w:pPr>
            <w:r>
              <w:rPr>
                <w:sz w:val="16"/>
              </w:rPr>
              <w:t>Alquiler de oficinas para la duración del proyecto</w:t>
            </w:r>
          </w:p>
        </w:tc>
        <w:tc>
          <w:tcPr>
            <w:tcW w:w="868" w:type="dxa"/>
            <w:tcBorders>
              <w:top w:val="nil"/>
              <w:left w:val="nil"/>
              <w:bottom w:val="single" w:sz="8" w:space="0" w:color="auto"/>
              <w:right w:val="single" w:sz="8" w:space="0" w:color="auto"/>
            </w:tcBorders>
            <w:shd w:val="clear" w:color="auto" w:fill="auto"/>
            <w:noWrap/>
            <w:vAlign w:val="center"/>
            <w:hideMark/>
          </w:tcPr>
          <w:p w14:paraId="00C7410F"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771797B7"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F243B52"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0C049721"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27267467"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094C5BBA" w14:textId="77777777" w:rsidR="001B17BF" w:rsidRPr="00BE2355" w:rsidRDefault="001B17BF" w:rsidP="00BA3DD6">
            <w:pPr>
              <w:pStyle w:val="Subttulo"/>
              <w:rPr>
                <w:sz w:val="16"/>
                <w:szCs w:val="16"/>
              </w:rPr>
            </w:pPr>
            <w:r>
              <w:rPr>
                <w:sz w:val="16"/>
              </w:rPr>
              <w:t xml:space="preserve">            10.000 </w:t>
            </w:r>
          </w:p>
        </w:tc>
        <w:tc>
          <w:tcPr>
            <w:tcW w:w="789" w:type="dxa"/>
            <w:tcBorders>
              <w:top w:val="nil"/>
              <w:left w:val="nil"/>
              <w:bottom w:val="single" w:sz="8" w:space="0" w:color="auto"/>
              <w:right w:val="single" w:sz="8" w:space="0" w:color="auto"/>
            </w:tcBorders>
            <w:shd w:val="clear" w:color="auto" w:fill="auto"/>
            <w:vAlign w:val="center"/>
            <w:hideMark/>
          </w:tcPr>
          <w:p w14:paraId="5167ACE9" w14:textId="77777777" w:rsidR="001B17BF" w:rsidRPr="00BE2355" w:rsidRDefault="001B17BF" w:rsidP="00BA3DD6">
            <w:pPr>
              <w:pStyle w:val="Subttulo"/>
              <w:rPr>
                <w:sz w:val="16"/>
                <w:szCs w:val="16"/>
              </w:rPr>
            </w:pPr>
            <w:r>
              <w:rPr>
                <w:sz w:val="16"/>
              </w:rPr>
              <w:t xml:space="preserve">           10.000 </w:t>
            </w:r>
          </w:p>
        </w:tc>
        <w:tc>
          <w:tcPr>
            <w:tcW w:w="992" w:type="dxa"/>
            <w:tcBorders>
              <w:top w:val="nil"/>
              <w:left w:val="nil"/>
              <w:bottom w:val="single" w:sz="8" w:space="0" w:color="auto"/>
              <w:right w:val="single" w:sz="8" w:space="0" w:color="auto"/>
            </w:tcBorders>
            <w:shd w:val="clear" w:color="auto" w:fill="auto"/>
            <w:vAlign w:val="center"/>
            <w:hideMark/>
          </w:tcPr>
          <w:p w14:paraId="11614548"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6E5A100"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1EA333C"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70BC6AFF" w14:textId="7D612998" w:rsidR="001B17BF" w:rsidRPr="00BE2355" w:rsidRDefault="001B17BF" w:rsidP="00BA3DD6">
            <w:pPr>
              <w:pStyle w:val="Subttulo"/>
              <w:rPr>
                <w:sz w:val="16"/>
                <w:szCs w:val="16"/>
              </w:rPr>
            </w:pPr>
            <w:r>
              <w:rPr>
                <w:sz w:val="16"/>
              </w:rPr>
              <w:t>Impresión y producción para apoyar el desarrollo de estudios económicos y actividades de sensibilización entre las partes interesadas</w:t>
            </w:r>
            <w:r w:rsidR="009559DF">
              <w:rPr>
                <w:sz w:val="16"/>
              </w:rPr>
              <w:t>.</w:t>
            </w:r>
          </w:p>
        </w:tc>
        <w:tc>
          <w:tcPr>
            <w:tcW w:w="868" w:type="dxa"/>
            <w:tcBorders>
              <w:top w:val="nil"/>
              <w:left w:val="nil"/>
              <w:bottom w:val="single" w:sz="8" w:space="0" w:color="auto"/>
              <w:right w:val="single" w:sz="8" w:space="0" w:color="auto"/>
            </w:tcBorders>
            <w:shd w:val="clear" w:color="auto" w:fill="auto"/>
            <w:noWrap/>
            <w:vAlign w:val="center"/>
            <w:hideMark/>
          </w:tcPr>
          <w:p w14:paraId="0761AF8D"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99871E3" w14:textId="77777777" w:rsidR="001B17BF" w:rsidRPr="00BE2355" w:rsidRDefault="001B17BF" w:rsidP="00BA3DD6">
            <w:pPr>
              <w:pStyle w:val="Subttulo"/>
              <w:rPr>
                <w:sz w:val="16"/>
                <w:szCs w:val="16"/>
              </w:rPr>
            </w:pPr>
            <w:r>
              <w:rPr>
                <w:sz w:val="16"/>
              </w:rPr>
              <w:t xml:space="preserve">                      40.000 </w:t>
            </w:r>
          </w:p>
        </w:tc>
        <w:tc>
          <w:tcPr>
            <w:tcW w:w="868" w:type="dxa"/>
            <w:tcBorders>
              <w:top w:val="nil"/>
              <w:left w:val="nil"/>
              <w:bottom w:val="single" w:sz="8" w:space="0" w:color="auto"/>
              <w:right w:val="single" w:sz="8" w:space="0" w:color="auto"/>
            </w:tcBorders>
            <w:shd w:val="clear" w:color="auto" w:fill="auto"/>
            <w:noWrap/>
            <w:vAlign w:val="center"/>
            <w:hideMark/>
          </w:tcPr>
          <w:p w14:paraId="7855FE1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1602608D" w14:textId="77777777" w:rsidR="001B17BF" w:rsidRPr="00BE2355" w:rsidRDefault="001B17BF" w:rsidP="00BA3DD6">
            <w:pPr>
              <w:pStyle w:val="Subttulo"/>
              <w:rPr>
                <w:sz w:val="16"/>
                <w:szCs w:val="16"/>
              </w:rPr>
            </w:pPr>
            <w:r>
              <w:rPr>
                <w:sz w:val="16"/>
              </w:rPr>
              <w:t xml:space="preserve">           40.000 </w:t>
            </w:r>
          </w:p>
        </w:tc>
        <w:tc>
          <w:tcPr>
            <w:tcW w:w="679" w:type="dxa"/>
            <w:tcBorders>
              <w:top w:val="nil"/>
              <w:left w:val="nil"/>
              <w:bottom w:val="single" w:sz="8" w:space="0" w:color="auto"/>
              <w:right w:val="single" w:sz="8" w:space="0" w:color="auto"/>
            </w:tcBorders>
            <w:shd w:val="clear" w:color="auto" w:fill="auto"/>
            <w:noWrap/>
            <w:vAlign w:val="center"/>
            <w:hideMark/>
          </w:tcPr>
          <w:p w14:paraId="743EB5BF"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4CF46E4"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3EDF5EE3" w14:textId="77777777" w:rsidR="001B17BF" w:rsidRPr="00BE2355" w:rsidRDefault="001B17BF" w:rsidP="00BA3DD6">
            <w:pPr>
              <w:pStyle w:val="Subttulo"/>
              <w:rPr>
                <w:sz w:val="16"/>
                <w:szCs w:val="16"/>
              </w:rPr>
            </w:pPr>
            <w:r>
              <w:rPr>
                <w:sz w:val="16"/>
              </w:rPr>
              <w:t xml:space="preserve">           40.000 </w:t>
            </w:r>
          </w:p>
        </w:tc>
        <w:tc>
          <w:tcPr>
            <w:tcW w:w="992" w:type="dxa"/>
            <w:tcBorders>
              <w:top w:val="nil"/>
              <w:left w:val="nil"/>
              <w:bottom w:val="single" w:sz="8" w:space="0" w:color="auto"/>
              <w:right w:val="single" w:sz="8" w:space="0" w:color="auto"/>
            </w:tcBorders>
            <w:shd w:val="clear" w:color="auto" w:fill="auto"/>
            <w:vAlign w:val="center"/>
            <w:hideMark/>
          </w:tcPr>
          <w:p w14:paraId="1A47FDF0"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403FD3CD" w14:textId="77777777" w:rsidTr="00BA3DD6">
        <w:trPr>
          <w:trHeight w:val="1756"/>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425E5B69"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38E59FE4" w14:textId="58316AA3" w:rsidR="001B17BF" w:rsidRPr="00BE2355" w:rsidRDefault="001B17BF" w:rsidP="008E7564">
            <w:pPr>
              <w:pStyle w:val="Subttulo"/>
              <w:rPr>
                <w:sz w:val="16"/>
                <w:szCs w:val="16"/>
              </w:rPr>
            </w:pPr>
            <w:r>
              <w:rPr>
                <w:sz w:val="16"/>
              </w:rPr>
              <w:t xml:space="preserve">Materiales necesarios para la ejecución de las actividades de campo dentro de los </w:t>
            </w:r>
            <w:r w:rsidR="008E7564">
              <w:rPr>
                <w:sz w:val="16"/>
              </w:rPr>
              <w:t>R</w:t>
            </w:r>
            <w:r>
              <w:rPr>
                <w:sz w:val="16"/>
              </w:rPr>
              <w:t xml:space="preserve">esultados 2.3: equipos de protección personal, etiquetas, mangueras, material de muestreo, etc. </w:t>
            </w:r>
            <w:r w:rsidR="008E7564">
              <w:rPr>
                <w:sz w:val="16"/>
              </w:rPr>
              <w:t>p</w:t>
            </w:r>
            <w:r>
              <w:rPr>
                <w:sz w:val="16"/>
              </w:rPr>
              <w:t>ara la asistencia técnica a los agricultores que adopten prácticas de producción sostenible aplicando mecanismos financieros; y 2.5</w:t>
            </w:r>
            <w:r w:rsidR="008E7564">
              <w:rPr>
                <w:sz w:val="16"/>
              </w:rPr>
              <w:t>:</w:t>
            </w:r>
            <w:r>
              <w:rPr>
                <w:sz w:val="16"/>
              </w:rPr>
              <w:t xml:space="preserve">  contenedores de almacenamiento, mangueras de riego, equipos de protección personal, material de muestreo, equipos de medición y etiquetas </w:t>
            </w:r>
          </w:p>
        </w:tc>
        <w:tc>
          <w:tcPr>
            <w:tcW w:w="868" w:type="dxa"/>
            <w:tcBorders>
              <w:top w:val="nil"/>
              <w:left w:val="nil"/>
              <w:bottom w:val="single" w:sz="8" w:space="0" w:color="auto"/>
              <w:right w:val="single" w:sz="8" w:space="0" w:color="auto"/>
            </w:tcBorders>
            <w:shd w:val="clear" w:color="auto" w:fill="auto"/>
            <w:noWrap/>
            <w:vAlign w:val="center"/>
            <w:hideMark/>
          </w:tcPr>
          <w:p w14:paraId="5C33B203"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641022B" w14:textId="77777777" w:rsidR="001B17BF" w:rsidRPr="00BE2355" w:rsidRDefault="001B17BF" w:rsidP="00BA3DD6">
            <w:pPr>
              <w:pStyle w:val="Subttulo"/>
              <w:rPr>
                <w:sz w:val="16"/>
                <w:szCs w:val="16"/>
              </w:rPr>
            </w:pPr>
            <w:r>
              <w:rPr>
                <w:sz w:val="16"/>
              </w:rPr>
              <w:t xml:space="preserve">                      80.000 </w:t>
            </w:r>
          </w:p>
        </w:tc>
        <w:tc>
          <w:tcPr>
            <w:tcW w:w="868" w:type="dxa"/>
            <w:tcBorders>
              <w:top w:val="nil"/>
              <w:left w:val="nil"/>
              <w:bottom w:val="single" w:sz="8" w:space="0" w:color="auto"/>
              <w:right w:val="single" w:sz="8" w:space="0" w:color="auto"/>
            </w:tcBorders>
            <w:shd w:val="clear" w:color="auto" w:fill="auto"/>
            <w:noWrap/>
            <w:vAlign w:val="center"/>
            <w:hideMark/>
          </w:tcPr>
          <w:p w14:paraId="46FD06B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73F82F56" w14:textId="77777777" w:rsidR="001B17BF" w:rsidRPr="00BE2355" w:rsidRDefault="001B17BF" w:rsidP="00BA3DD6">
            <w:pPr>
              <w:pStyle w:val="Subttulo"/>
              <w:rPr>
                <w:sz w:val="16"/>
                <w:szCs w:val="16"/>
              </w:rPr>
            </w:pPr>
            <w:r>
              <w:rPr>
                <w:sz w:val="16"/>
              </w:rPr>
              <w:t xml:space="preserve">           80.000 </w:t>
            </w:r>
          </w:p>
        </w:tc>
        <w:tc>
          <w:tcPr>
            <w:tcW w:w="679" w:type="dxa"/>
            <w:tcBorders>
              <w:top w:val="nil"/>
              <w:left w:val="nil"/>
              <w:bottom w:val="single" w:sz="8" w:space="0" w:color="auto"/>
              <w:right w:val="single" w:sz="8" w:space="0" w:color="auto"/>
            </w:tcBorders>
            <w:shd w:val="clear" w:color="auto" w:fill="auto"/>
            <w:noWrap/>
            <w:vAlign w:val="center"/>
            <w:hideMark/>
          </w:tcPr>
          <w:p w14:paraId="133CFCAB"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25B5DA81"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4C8C4B0C" w14:textId="77777777" w:rsidR="001B17BF" w:rsidRPr="00BE2355" w:rsidRDefault="001B17BF" w:rsidP="00BA3DD6">
            <w:pPr>
              <w:pStyle w:val="Subttulo"/>
              <w:rPr>
                <w:sz w:val="16"/>
                <w:szCs w:val="16"/>
              </w:rPr>
            </w:pPr>
            <w:r>
              <w:rPr>
                <w:sz w:val="16"/>
              </w:rPr>
              <w:t xml:space="preserve">           80.000 </w:t>
            </w:r>
          </w:p>
        </w:tc>
        <w:tc>
          <w:tcPr>
            <w:tcW w:w="992" w:type="dxa"/>
            <w:tcBorders>
              <w:top w:val="nil"/>
              <w:left w:val="nil"/>
              <w:bottom w:val="single" w:sz="8" w:space="0" w:color="auto"/>
              <w:right w:val="single" w:sz="8" w:space="0" w:color="auto"/>
            </w:tcBorders>
            <w:shd w:val="clear" w:color="auto" w:fill="auto"/>
            <w:vAlign w:val="center"/>
            <w:hideMark/>
          </w:tcPr>
          <w:p w14:paraId="3D27F070"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6B567A96"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BAD3484"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6EC48C02" w14:textId="2CD2A735" w:rsidR="001B17BF" w:rsidRPr="00BE2355" w:rsidRDefault="001B17BF" w:rsidP="00BA3DD6">
            <w:pPr>
              <w:pStyle w:val="Subttulo"/>
              <w:rPr>
                <w:sz w:val="16"/>
                <w:szCs w:val="16"/>
              </w:rPr>
            </w:pPr>
            <w:r>
              <w:rPr>
                <w:sz w:val="16"/>
              </w:rPr>
              <w:t>Traducción de MTR y TE</w:t>
            </w:r>
          </w:p>
        </w:tc>
        <w:tc>
          <w:tcPr>
            <w:tcW w:w="868" w:type="dxa"/>
            <w:tcBorders>
              <w:top w:val="nil"/>
              <w:left w:val="nil"/>
              <w:bottom w:val="single" w:sz="8" w:space="0" w:color="auto"/>
              <w:right w:val="single" w:sz="8" w:space="0" w:color="auto"/>
            </w:tcBorders>
            <w:shd w:val="clear" w:color="auto" w:fill="auto"/>
            <w:noWrap/>
            <w:vAlign w:val="center"/>
            <w:hideMark/>
          </w:tcPr>
          <w:p w14:paraId="053C23D6"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6F378D00"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4129250C"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627F1480"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404255DB" w14:textId="77777777" w:rsidR="001B17BF" w:rsidRPr="00BE2355" w:rsidRDefault="001B17BF" w:rsidP="00BA3DD6">
            <w:pPr>
              <w:pStyle w:val="Subttulo"/>
              <w:rPr>
                <w:sz w:val="16"/>
                <w:szCs w:val="16"/>
              </w:rPr>
            </w:pPr>
            <w:r>
              <w:rPr>
                <w:sz w:val="16"/>
              </w:rPr>
              <w:t xml:space="preserve">          10.000 </w:t>
            </w:r>
          </w:p>
        </w:tc>
        <w:tc>
          <w:tcPr>
            <w:tcW w:w="679" w:type="dxa"/>
            <w:tcBorders>
              <w:top w:val="nil"/>
              <w:left w:val="nil"/>
              <w:bottom w:val="single" w:sz="8" w:space="0" w:color="auto"/>
              <w:right w:val="single" w:sz="8" w:space="0" w:color="auto"/>
            </w:tcBorders>
            <w:shd w:val="clear" w:color="auto" w:fill="auto"/>
            <w:noWrap/>
            <w:vAlign w:val="center"/>
            <w:hideMark/>
          </w:tcPr>
          <w:p w14:paraId="4BE486DA"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vAlign w:val="center"/>
            <w:hideMark/>
          </w:tcPr>
          <w:p w14:paraId="1916404D" w14:textId="77777777" w:rsidR="001B17BF" w:rsidRPr="00BE2355" w:rsidRDefault="001B17BF" w:rsidP="00BA3DD6">
            <w:pPr>
              <w:pStyle w:val="Subttulo"/>
              <w:rPr>
                <w:sz w:val="16"/>
                <w:szCs w:val="16"/>
              </w:rPr>
            </w:pPr>
            <w:r>
              <w:rPr>
                <w:sz w:val="16"/>
              </w:rPr>
              <w:t xml:space="preserve">           10.000 </w:t>
            </w:r>
          </w:p>
        </w:tc>
        <w:tc>
          <w:tcPr>
            <w:tcW w:w="992" w:type="dxa"/>
            <w:tcBorders>
              <w:top w:val="nil"/>
              <w:left w:val="nil"/>
              <w:bottom w:val="single" w:sz="8" w:space="0" w:color="auto"/>
              <w:right w:val="single" w:sz="8" w:space="0" w:color="auto"/>
            </w:tcBorders>
            <w:shd w:val="clear" w:color="auto" w:fill="auto"/>
            <w:vAlign w:val="center"/>
            <w:hideMark/>
          </w:tcPr>
          <w:p w14:paraId="05AD7B0E"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1B17BF" w14:paraId="5585B076" w14:textId="77777777" w:rsidTr="00BA3DD6">
        <w:trPr>
          <w:trHeight w:val="1321"/>
        </w:trPr>
        <w:tc>
          <w:tcPr>
            <w:tcW w:w="1197" w:type="dxa"/>
            <w:tcBorders>
              <w:top w:val="nil"/>
              <w:left w:val="single" w:sz="8" w:space="0" w:color="auto"/>
              <w:bottom w:val="single" w:sz="8" w:space="0" w:color="auto"/>
              <w:right w:val="single" w:sz="8" w:space="0" w:color="auto"/>
            </w:tcBorders>
            <w:shd w:val="clear" w:color="auto" w:fill="auto"/>
            <w:noWrap/>
            <w:vAlign w:val="center"/>
            <w:hideMark/>
          </w:tcPr>
          <w:p w14:paraId="6FA9B6AA" w14:textId="77777777" w:rsidR="001B17BF" w:rsidRPr="00BE2355" w:rsidRDefault="001B17BF" w:rsidP="00BA3DD6">
            <w:pPr>
              <w:pStyle w:val="Subttulo"/>
              <w:rPr>
                <w:sz w:val="16"/>
                <w:szCs w:val="16"/>
              </w:rPr>
            </w:pPr>
            <w:r>
              <w:rPr>
                <w:sz w:val="16"/>
              </w:rPr>
              <w:t>Otros gastos operativos</w:t>
            </w:r>
          </w:p>
        </w:tc>
        <w:tc>
          <w:tcPr>
            <w:tcW w:w="1392" w:type="dxa"/>
            <w:tcBorders>
              <w:top w:val="nil"/>
              <w:left w:val="nil"/>
              <w:bottom w:val="single" w:sz="8" w:space="0" w:color="auto"/>
              <w:right w:val="single" w:sz="8" w:space="0" w:color="auto"/>
            </w:tcBorders>
            <w:shd w:val="clear" w:color="auto" w:fill="auto"/>
            <w:vAlign w:val="center"/>
            <w:hideMark/>
          </w:tcPr>
          <w:p w14:paraId="5CD1806E" w14:textId="7AD4CB00" w:rsidR="001B17BF" w:rsidRPr="00BE2355" w:rsidRDefault="001B17BF" w:rsidP="00BA3DD6">
            <w:pPr>
              <w:pStyle w:val="Subttulo"/>
              <w:rPr>
                <w:sz w:val="16"/>
                <w:szCs w:val="16"/>
              </w:rPr>
            </w:pPr>
            <w:r>
              <w:rPr>
                <w:sz w:val="16"/>
              </w:rPr>
              <w:t>Auditoría obligatoria del PNUD (2.500 USD anuales durante 4 años)</w:t>
            </w:r>
          </w:p>
        </w:tc>
        <w:tc>
          <w:tcPr>
            <w:tcW w:w="868" w:type="dxa"/>
            <w:tcBorders>
              <w:top w:val="nil"/>
              <w:left w:val="nil"/>
              <w:bottom w:val="single" w:sz="8" w:space="0" w:color="auto"/>
              <w:right w:val="single" w:sz="8" w:space="0" w:color="auto"/>
            </w:tcBorders>
            <w:shd w:val="clear" w:color="auto" w:fill="auto"/>
            <w:noWrap/>
            <w:vAlign w:val="center"/>
            <w:hideMark/>
          </w:tcPr>
          <w:p w14:paraId="6C38F2B8"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5FC47939"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auto" w:fill="auto"/>
            <w:noWrap/>
            <w:vAlign w:val="center"/>
            <w:hideMark/>
          </w:tcPr>
          <w:p w14:paraId="0F6B6DA1" w14:textId="77777777" w:rsidR="001B17BF" w:rsidRPr="00BE2355" w:rsidRDefault="001B17BF" w:rsidP="00BA3DD6">
            <w:pPr>
              <w:pStyle w:val="Subttulo"/>
              <w:rPr>
                <w:sz w:val="16"/>
                <w:szCs w:val="16"/>
              </w:rPr>
            </w:pPr>
            <w:r>
              <w:rPr>
                <w:sz w:val="16"/>
              </w:rPr>
              <w:t> </w:t>
            </w:r>
          </w:p>
        </w:tc>
        <w:tc>
          <w:tcPr>
            <w:tcW w:w="789" w:type="dxa"/>
            <w:tcBorders>
              <w:top w:val="nil"/>
              <w:left w:val="nil"/>
              <w:bottom w:val="single" w:sz="8" w:space="0" w:color="auto"/>
              <w:right w:val="single" w:sz="8" w:space="0" w:color="auto"/>
            </w:tcBorders>
            <w:shd w:val="clear" w:color="auto" w:fill="auto"/>
            <w:noWrap/>
            <w:vAlign w:val="center"/>
            <w:hideMark/>
          </w:tcPr>
          <w:p w14:paraId="27597EE0" w14:textId="77777777" w:rsidR="001B17BF" w:rsidRPr="00BE2355" w:rsidRDefault="001B17BF" w:rsidP="00BA3DD6">
            <w:pPr>
              <w:pStyle w:val="Subttulo"/>
              <w:rPr>
                <w:sz w:val="16"/>
                <w:szCs w:val="16"/>
              </w:rPr>
            </w:pPr>
            <w:r>
              <w:rPr>
                <w:sz w:val="16"/>
              </w:rPr>
              <w:t xml:space="preserve">                        -   </w:t>
            </w:r>
          </w:p>
        </w:tc>
        <w:tc>
          <w:tcPr>
            <w:tcW w:w="679" w:type="dxa"/>
            <w:tcBorders>
              <w:top w:val="nil"/>
              <w:left w:val="nil"/>
              <w:bottom w:val="single" w:sz="8" w:space="0" w:color="auto"/>
              <w:right w:val="single" w:sz="8" w:space="0" w:color="auto"/>
            </w:tcBorders>
            <w:shd w:val="clear" w:color="auto" w:fill="auto"/>
            <w:noWrap/>
            <w:vAlign w:val="center"/>
            <w:hideMark/>
          </w:tcPr>
          <w:p w14:paraId="2F65127F" w14:textId="77777777" w:rsidR="001B17BF" w:rsidRPr="00BE2355" w:rsidRDefault="001B17BF" w:rsidP="00BA3DD6">
            <w:pPr>
              <w:pStyle w:val="Subttulo"/>
              <w:rPr>
                <w:sz w:val="16"/>
                <w:szCs w:val="16"/>
              </w:rPr>
            </w:pPr>
            <w:r>
              <w:rPr>
                <w:sz w:val="16"/>
              </w:rPr>
              <w:t> </w:t>
            </w:r>
          </w:p>
        </w:tc>
        <w:tc>
          <w:tcPr>
            <w:tcW w:w="679" w:type="dxa"/>
            <w:tcBorders>
              <w:top w:val="nil"/>
              <w:left w:val="nil"/>
              <w:bottom w:val="single" w:sz="8" w:space="0" w:color="auto"/>
              <w:right w:val="single" w:sz="8" w:space="0" w:color="auto"/>
            </w:tcBorders>
            <w:shd w:val="clear" w:color="auto" w:fill="auto"/>
            <w:noWrap/>
            <w:vAlign w:val="center"/>
            <w:hideMark/>
          </w:tcPr>
          <w:p w14:paraId="538351AD" w14:textId="77777777" w:rsidR="001B17BF" w:rsidRPr="00BE2355" w:rsidRDefault="001B17BF" w:rsidP="00BA3DD6">
            <w:pPr>
              <w:pStyle w:val="Subttulo"/>
              <w:rPr>
                <w:sz w:val="16"/>
                <w:szCs w:val="16"/>
              </w:rPr>
            </w:pPr>
            <w:r>
              <w:rPr>
                <w:sz w:val="16"/>
              </w:rPr>
              <w:t xml:space="preserve">            10.000 </w:t>
            </w:r>
          </w:p>
        </w:tc>
        <w:tc>
          <w:tcPr>
            <w:tcW w:w="789" w:type="dxa"/>
            <w:tcBorders>
              <w:top w:val="nil"/>
              <w:left w:val="nil"/>
              <w:bottom w:val="single" w:sz="8" w:space="0" w:color="auto"/>
              <w:right w:val="single" w:sz="8" w:space="0" w:color="auto"/>
            </w:tcBorders>
            <w:shd w:val="clear" w:color="auto" w:fill="auto"/>
            <w:vAlign w:val="center"/>
            <w:hideMark/>
          </w:tcPr>
          <w:p w14:paraId="6FE134E2" w14:textId="77777777" w:rsidR="001B17BF" w:rsidRPr="00BE2355" w:rsidRDefault="001B17BF" w:rsidP="00BA3DD6">
            <w:pPr>
              <w:pStyle w:val="Subttulo"/>
              <w:rPr>
                <w:sz w:val="16"/>
                <w:szCs w:val="16"/>
              </w:rPr>
            </w:pPr>
            <w:r>
              <w:rPr>
                <w:sz w:val="16"/>
              </w:rPr>
              <w:t xml:space="preserve">           10.000 </w:t>
            </w:r>
          </w:p>
        </w:tc>
        <w:tc>
          <w:tcPr>
            <w:tcW w:w="992" w:type="dxa"/>
            <w:tcBorders>
              <w:top w:val="nil"/>
              <w:left w:val="nil"/>
              <w:bottom w:val="single" w:sz="8" w:space="0" w:color="auto"/>
              <w:right w:val="single" w:sz="8" w:space="0" w:color="auto"/>
            </w:tcBorders>
            <w:shd w:val="clear" w:color="auto" w:fill="auto"/>
            <w:vAlign w:val="center"/>
            <w:hideMark/>
          </w:tcPr>
          <w:p w14:paraId="2DB6B68B" w14:textId="77777777" w:rsidR="001B17BF" w:rsidRPr="00BE2355" w:rsidRDefault="001B17BF" w:rsidP="00BA3DD6">
            <w:pPr>
              <w:pStyle w:val="Subttulo"/>
              <w:rPr>
                <w:sz w:val="16"/>
                <w:szCs w:val="16"/>
              </w:rPr>
            </w:pPr>
            <w:r>
              <w:rPr>
                <w:sz w:val="16"/>
              </w:rPr>
              <w:t>Ministerio de Medio Ambiente, Agua y Transición Ecológica (MAATE)</w:t>
            </w:r>
          </w:p>
        </w:tc>
      </w:tr>
      <w:tr w:rsidR="001B17BF" w:rsidRPr="00BE2355" w14:paraId="63D7B9A4" w14:textId="77777777" w:rsidTr="00BA3DD6">
        <w:trPr>
          <w:trHeight w:val="304"/>
        </w:trPr>
        <w:tc>
          <w:tcPr>
            <w:tcW w:w="1197" w:type="dxa"/>
            <w:tcBorders>
              <w:top w:val="nil"/>
              <w:left w:val="single" w:sz="8" w:space="0" w:color="auto"/>
              <w:bottom w:val="single" w:sz="8" w:space="0" w:color="auto"/>
              <w:right w:val="single" w:sz="8" w:space="0" w:color="auto"/>
            </w:tcBorders>
            <w:shd w:val="clear" w:color="000000" w:fill="D9E1F2"/>
            <w:noWrap/>
            <w:vAlign w:val="center"/>
            <w:hideMark/>
          </w:tcPr>
          <w:p w14:paraId="04CF8107" w14:textId="77777777" w:rsidR="001B17BF" w:rsidRPr="00BE2355" w:rsidRDefault="001B17BF" w:rsidP="00BA3DD6">
            <w:pPr>
              <w:pStyle w:val="Subttulo"/>
              <w:rPr>
                <w:sz w:val="16"/>
                <w:szCs w:val="16"/>
              </w:rPr>
            </w:pPr>
            <w:r>
              <w:rPr>
                <w:sz w:val="16"/>
              </w:rPr>
              <w:t>Total general</w:t>
            </w:r>
          </w:p>
        </w:tc>
        <w:tc>
          <w:tcPr>
            <w:tcW w:w="1392" w:type="dxa"/>
            <w:tcBorders>
              <w:top w:val="nil"/>
              <w:left w:val="nil"/>
              <w:bottom w:val="single" w:sz="8" w:space="0" w:color="auto"/>
              <w:right w:val="single" w:sz="8" w:space="0" w:color="auto"/>
            </w:tcBorders>
            <w:shd w:val="clear" w:color="000000" w:fill="D9E1F2"/>
            <w:noWrap/>
            <w:vAlign w:val="center"/>
            <w:hideMark/>
          </w:tcPr>
          <w:p w14:paraId="27959B13" w14:textId="77777777" w:rsidR="001B17BF" w:rsidRPr="00BE2355" w:rsidRDefault="001B17BF" w:rsidP="00BA3DD6">
            <w:pPr>
              <w:pStyle w:val="Subttulo"/>
              <w:rPr>
                <w:sz w:val="16"/>
                <w:szCs w:val="16"/>
              </w:rPr>
            </w:pPr>
            <w:r>
              <w:rPr>
                <w:sz w:val="16"/>
              </w:rPr>
              <w:t> </w:t>
            </w:r>
          </w:p>
        </w:tc>
        <w:tc>
          <w:tcPr>
            <w:tcW w:w="868" w:type="dxa"/>
            <w:tcBorders>
              <w:top w:val="nil"/>
              <w:left w:val="nil"/>
              <w:bottom w:val="single" w:sz="8" w:space="0" w:color="auto"/>
              <w:right w:val="single" w:sz="8" w:space="0" w:color="auto"/>
            </w:tcBorders>
            <w:shd w:val="clear" w:color="000000" w:fill="D9E1F2"/>
            <w:noWrap/>
            <w:vAlign w:val="center"/>
            <w:hideMark/>
          </w:tcPr>
          <w:p w14:paraId="316ADDDA" w14:textId="77777777" w:rsidR="001B17BF" w:rsidRPr="00BE2355" w:rsidRDefault="001B17BF" w:rsidP="00BA3DD6">
            <w:pPr>
              <w:pStyle w:val="Subttulo"/>
              <w:rPr>
                <w:sz w:val="16"/>
                <w:szCs w:val="16"/>
              </w:rPr>
            </w:pPr>
            <w:r>
              <w:rPr>
                <w:sz w:val="16"/>
              </w:rPr>
              <w:t xml:space="preserve">              800.000 </w:t>
            </w:r>
          </w:p>
        </w:tc>
        <w:tc>
          <w:tcPr>
            <w:tcW w:w="868" w:type="dxa"/>
            <w:tcBorders>
              <w:top w:val="nil"/>
              <w:left w:val="nil"/>
              <w:bottom w:val="single" w:sz="8" w:space="0" w:color="auto"/>
              <w:right w:val="single" w:sz="8" w:space="0" w:color="auto"/>
            </w:tcBorders>
            <w:shd w:val="clear" w:color="000000" w:fill="D9E1F2"/>
            <w:noWrap/>
            <w:vAlign w:val="center"/>
            <w:hideMark/>
          </w:tcPr>
          <w:p w14:paraId="6BCDC5A4" w14:textId="77777777" w:rsidR="001B17BF" w:rsidRPr="00BE2355" w:rsidRDefault="001B17BF" w:rsidP="00BA3DD6">
            <w:pPr>
              <w:pStyle w:val="Subttulo"/>
              <w:rPr>
                <w:sz w:val="16"/>
                <w:szCs w:val="16"/>
              </w:rPr>
            </w:pPr>
            <w:r>
              <w:rPr>
                <w:sz w:val="16"/>
              </w:rPr>
              <w:t xml:space="preserve">              2.154.524 </w:t>
            </w:r>
          </w:p>
        </w:tc>
        <w:tc>
          <w:tcPr>
            <w:tcW w:w="868" w:type="dxa"/>
            <w:tcBorders>
              <w:top w:val="nil"/>
              <w:left w:val="nil"/>
              <w:bottom w:val="single" w:sz="8" w:space="0" w:color="auto"/>
              <w:right w:val="single" w:sz="8" w:space="0" w:color="auto"/>
            </w:tcBorders>
            <w:shd w:val="clear" w:color="000000" w:fill="D9E1F2"/>
            <w:noWrap/>
            <w:vAlign w:val="center"/>
            <w:hideMark/>
          </w:tcPr>
          <w:p w14:paraId="50240F6D" w14:textId="77777777" w:rsidR="001B17BF" w:rsidRPr="00BE2355" w:rsidRDefault="001B17BF" w:rsidP="00BA3DD6">
            <w:pPr>
              <w:pStyle w:val="Subttulo"/>
              <w:rPr>
                <w:sz w:val="16"/>
                <w:szCs w:val="16"/>
              </w:rPr>
            </w:pPr>
            <w:r>
              <w:rPr>
                <w:sz w:val="16"/>
              </w:rPr>
              <w:t xml:space="preserve">              665.000 </w:t>
            </w:r>
          </w:p>
        </w:tc>
        <w:tc>
          <w:tcPr>
            <w:tcW w:w="789" w:type="dxa"/>
            <w:tcBorders>
              <w:top w:val="nil"/>
              <w:left w:val="nil"/>
              <w:bottom w:val="single" w:sz="8" w:space="0" w:color="auto"/>
              <w:right w:val="single" w:sz="8" w:space="0" w:color="auto"/>
            </w:tcBorders>
            <w:shd w:val="clear" w:color="000000" w:fill="D9E1F2"/>
            <w:noWrap/>
            <w:vAlign w:val="center"/>
            <w:hideMark/>
          </w:tcPr>
          <w:p w14:paraId="1270A357" w14:textId="77777777" w:rsidR="001B17BF" w:rsidRPr="00BE2355" w:rsidRDefault="001B17BF" w:rsidP="00BA3DD6">
            <w:pPr>
              <w:pStyle w:val="Subttulo"/>
              <w:rPr>
                <w:sz w:val="16"/>
                <w:szCs w:val="16"/>
              </w:rPr>
            </w:pPr>
            <w:r>
              <w:rPr>
                <w:sz w:val="16"/>
              </w:rPr>
              <w:t xml:space="preserve">   3.619.524 </w:t>
            </w:r>
          </w:p>
        </w:tc>
        <w:tc>
          <w:tcPr>
            <w:tcW w:w="679" w:type="dxa"/>
            <w:tcBorders>
              <w:top w:val="nil"/>
              <w:left w:val="nil"/>
              <w:bottom w:val="single" w:sz="8" w:space="0" w:color="auto"/>
              <w:right w:val="single" w:sz="8" w:space="0" w:color="auto"/>
            </w:tcBorders>
            <w:shd w:val="clear" w:color="000000" w:fill="D9E1F2"/>
            <w:noWrap/>
            <w:vAlign w:val="center"/>
            <w:hideMark/>
          </w:tcPr>
          <w:p w14:paraId="0636F2D0" w14:textId="77777777" w:rsidR="001B17BF" w:rsidRPr="00BE2355" w:rsidRDefault="001B17BF" w:rsidP="00BA3DD6">
            <w:pPr>
              <w:pStyle w:val="Subttulo"/>
              <w:rPr>
                <w:sz w:val="16"/>
                <w:szCs w:val="16"/>
              </w:rPr>
            </w:pPr>
            <w:r>
              <w:rPr>
                <w:sz w:val="16"/>
              </w:rPr>
              <w:t xml:space="preserve">       190.000 </w:t>
            </w:r>
          </w:p>
        </w:tc>
        <w:tc>
          <w:tcPr>
            <w:tcW w:w="679" w:type="dxa"/>
            <w:tcBorders>
              <w:top w:val="nil"/>
              <w:left w:val="nil"/>
              <w:bottom w:val="single" w:sz="8" w:space="0" w:color="auto"/>
              <w:right w:val="single" w:sz="8" w:space="0" w:color="auto"/>
            </w:tcBorders>
            <w:shd w:val="clear" w:color="000000" w:fill="D9E1F2"/>
            <w:noWrap/>
            <w:vAlign w:val="center"/>
            <w:hideMark/>
          </w:tcPr>
          <w:p w14:paraId="050DBD81" w14:textId="77777777" w:rsidR="001B17BF" w:rsidRPr="00BE2355" w:rsidRDefault="001B17BF" w:rsidP="00BA3DD6">
            <w:pPr>
              <w:pStyle w:val="Subttulo"/>
              <w:rPr>
                <w:sz w:val="16"/>
                <w:szCs w:val="16"/>
              </w:rPr>
            </w:pPr>
            <w:r>
              <w:rPr>
                <w:sz w:val="16"/>
              </w:rPr>
              <w:t xml:space="preserve">         190.476 </w:t>
            </w:r>
          </w:p>
        </w:tc>
        <w:tc>
          <w:tcPr>
            <w:tcW w:w="789" w:type="dxa"/>
            <w:tcBorders>
              <w:top w:val="nil"/>
              <w:left w:val="nil"/>
              <w:bottom w:val="single" w:sz="8" w:space="0" w:color="auto"/>
              <w:right w:val="single" w:sz="8" w:space="0" w:color="auto"/>
            </w:tcBorders>
            <w:shd w:val="clear" w:color="000000" w:fill="D9E1F2"/>
            <w:noWrap/>
            <w:vAlign w:val="center"/>
            <w:hideMark/>
          </w:tcPr>
          <w:p w14:paraId="7B2BAA38" w14:textId="77777777" w:rsidR="001B17BF" w:rsidRPr="00BE2355" w:rsidRDefault="001B17BF" w:rsidP="00BA3DD6">
            <w:pPr>
              <w:pStyle w:val="Subttulo"/>
              <w:rPr>
                <w:sz w:val="16"/>
                <w:szCs w:val="16"/>
              </w:rPr>
            </w:pPr>
            <w:r>
              <w:rPr>
                <w:sz w:val="16"/>
              </w:rPr>
              <w:t xml:space="preserve">   4.000.000 </w:t>
            </w:r>
          </w:p>
        </w:tc>
        <w:tc>
          <w:tcPr>
            <w:tcW w:w="992" w:type="dxa"/>
            <w:tcBorders>
              <w:top w:val="nil"/>
              <w:left w:val="nil"/>
              <w:bottom w:val="single" w:sz="8" w:space="0" w:color="auto"/>
              <w:right w:val="single" w:sz="8" w:space="0" w:color="auto"/>
            </w:tcBorders>
            <w:shd w:val="clear" w:color="000000" w:fill="D9E1F2"/>
            <w:noWrap/>
            <w:vAlign w:val="center"/>
            <w:hideMark/>
          </w:tcPr>
          <w:p w14:paraId="552E1490" w14:textId="77777777" w:rsidR="001B17BF" w:rsidRPr="00BE2355" w:rsidRDefault="001B17BF" w:rsidP="00BA3DD6">
            <w:pPr>
              <w:pStyle w:val="Subttulo"/>
              <w:rPr>
                <w:sz w:val="16"/>
                <w:szCs w:val="16"/>
              </w:rPr>
            </w:pPr>
            <w:r>
              <w:rPr>
                <w:sz w:val="16"/>
              </w:rPr>
              <w:t> </w:t>
            </w:r>
          </w:p>
        </w:tc>
      </w:tr>
    </w:tbl>
    <w:p w14:paraId="65F9C6E8" w14:textId="77777777" w:rsidR="001B17BF" w:rsidRPr="00BE2355" w:rsidRDefault="001B17BF" w:rsidP="001B17BF">
      <w:pPr>
        <w:pStyle w:val="Subttulo"/>
        <w:rPr>
          <w:sz w:val="16"/>
          <w:szCs w:val="16"/>
        </w:rPr>
      </w:pPr>
    </w:p>
    <w:p w14:paraId="77C93CD0" w14:textId="77777777" w:rsidR="001B17BF" w:rsidRPr="00DC294C" w:rsidRDefault="001B17BF" w:rsidP="00B554E2">
      <w:pPr>
        <w:keepNext/>
        <w:spacing w:after="60"/>
        <w:jc w:val="both"/>
        <w:outlineLvl w:val="1"/>
        <w:rPr>
          <w:rFonts w:asciiTheme="minorHAnsi" w:hAnsiTheme="minorHAnsi" w:cstheme="minorHAnsi"/>
          <w:lang w:val="en-US"/>
        </w:rPr>
      </w:pPr>
    </w:p>
    <w:sectPr w:rsidR="001B17BF" w:rsidRPr="00DC294C" w:rsidSect="00985DF1">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D7D03" w14:textId="77777777" w:rsidR="006A7311" w:rsidRDefault="006A7311" w:rsidP="00966EF0">
      <w:r>
        <w:separator/>
      </w:r>
    </w:p>
  </w:endnote>
  <w:endnote w:type="continuationSeparator" w:id="0">
    <w:p w14:paraId="08906DE0" w14:textId="77777777" w:rsidR="006A7311" w:rsidRDefault="006A7311" w:rsidP="00966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Myriad Pro">
    <w:altName w:val="Times New Roman"/>
    <w:panose1 w:val="00000000000000000000"/>
    <w:charset w:val="00"/>
    <w:family w:val="swiss"/>
    <w:notTrueType/>
    <w:pitch w:val="variable"/>
    <w:sig w:usb0="A00002AF" w:usb1="5000204B" w:usb2="00000000" w:usb3="00000000" w:csb0="0000009F" w:csb1="00000000"/>
  </w:font>
  <w:font w:name="Meiryo">
    <w:charset w:val="80"/>
    <w:family w:val="swiss"/>
    <w:pitch w:val="variable"/>
    <w:sig w:usb0="E00002FF" w:usb1="6AC7FFFF" w:usb2="08000012" w:usb3="00000000" w:csb0="0002009F" w:csb1="00000000"/>
  </w:font>
  <w:font w:name="Helvetica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E646" w14:textId="50FF37AC" w:rsidR="00E23E05" w:rsidRPr="0086069F" w:rsidRDefault="00E23E05" w:rsidP="00BA3DD6">
    <w:pPr>
      <w:pStyle w:val="Piedepgina"/>
      <w:pBdr>
        <w:top w:val="single" w:sz="4" w:space="1" w:color="D9D9D9"/>
      </w:pBdr>
      <w:jc w:val="right"/>
      <w:rPr>
        <w:sz w:val="18"/>
        <w:szCs w:val="18"/>
      </w:rPr>
    </w:pPr>
    <w:r w:rsidRPr="0086069F">
      <w:rPr>
        <w:sz w:val="18"/>
      </w:rPr>
      <w:fldChar w:fldCharType="begin"/>
    </w:r>
    <w:r w:rsidRPr="0086069F">
      <w:rPr>
        <w:sz w:val="18"/>
      </w:rPr>
      <w:instrText xml:space="preserve"> PAGE   \* MERGEFORMAT </w:instrText>
    </w:r>
    <w:r w:rsidRPr="0086069F">
      <w:rPr>
        <w:sz w:val="18"/>
      </w:rPr>
      <w:fldChar w:fldCharType="separate"/>
    </w:r>
    <w:r w:rsidR="00A73848">
      <w:rPr>
        <w:noProof/>
        <w:sz w:val="18"/>
      </w:rPr>
      <w:t>70</w:t>
    </w:r>
    <w:r w:rsidRPr="0086069F">
      <w:rPr>
        <w:sz w:val="18"/>
      </w:rPr>
      <w:fldChar w:fldCharType="end"/>
    </w:r>
    <w:r>
      <w:rPr>
        <w:sz w:val="18"/>
      </w:rPr>
      <w:t xml:space="preserve"> | </w:t>
    </w:r>
    <w:r>
      <w:rPr>
        <w:color w:val="7F7F7F"/>
        <w:sz w:val="18"/>
      </w:rPr>
      <w:t>Página</w:t>
    </w:r>
  </w:p>
  <w:p w14:paraId="7F98E81D" w14:textId="77777777" w:rsidR="00E23E05" w:rsidRDefault="00E23E0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370E" w14:textId="4C718852" w:rsidR="00E23E05" w:rsidRPr="00CE62FD" w:rsidRDefault="00E23E05" w:rsidP="00BA3DD6">
    <w:pPr>
      <w:pStyle w:val="Piedepgina"/>
      <w:pBdr>
        <w:top w:val="single" w:sz="4" w:space="1" w:color="D9D9D9"/>
      </w:pBdr>
      <w:tabs>
        <w:tab w:val="left" w:pos="345"/>
        <w:tab w:val="right" w:pos="9360"/>
      </w:tabs>
      <w:jc w:val="right"/>
      <w:rPr>
        <w:sz w:val="18"/>
        <w:szCs w:val="18"/>
      </w:rPr>
    </w:pPr>
    <w:r>
      <w:rPr>
        <w:sz w:val="18"/>
      </w:rPr>
      <w:tab/>
    </w:r>
    <w:r>
      <w:rPr>
        <w:sz w:val="18"/>
      </w:rPr>
      <w:tab/>
    </w:r>
    <w:r>
      <w:rPr>
        <w:sz w:val="18"/>
      </w:rPr>
      <w:tab/>
    </w:r>
    <w:r>
      <w:rPr>
        <w:sz w:val="18"/>
      </w:rPr>
      <w:tab/>
    </w:r>
    <w:r w:rsidRPr="00CE62FD">
      <w:rPr>
        <w:sz w:val="18"/>
      </w:rPr>
      <w:fldChar w:fldCharType="begin"/>
    </w:r>
    <w:r w:rsidRPr="00CE62FD">
      <w:rPr>
        <w:sz w:val="18"/>
      </w:rPr>
      <w:instrText xml:space="preserve"> PAGE   \* MERGEFORMAT </w:instrText>
    </w:r>
    <w:r w:rsidRPr="00CE62FD">
      <w:rPr>
        <w:sz w:val="18"/>
      </w:rPr>
      <w:fldChar w:fldCharType="separate"/>
    </w:r>
    <w:r w:rsidR="00E2737F">
      <w:rPr>
        <w:noProof/>
        <w:sz w:val="18"/>
      </w:rPr>
      <w:t>93</w:t>
    </w:r>
    <w:r w:rsidRPr="00CE62FD">
      <w:rPr>
        <w:sz w:val="18"/>
      </w:rPr>
      <w:fldChar w:fldCharType="end"/>
    </w:r>
    <w:r>
      <w:rPr>
        <w:sz w:val="18"/>
      </w:rPr>
      <w:t xml:space="preserve"> | </w:t>
    </w:r>
    <w:r>
      <w:rPr>
        <w:color w:val="7F7F7F"/>
        <w:sz w:val="18"/>
      </w:rPr>
      <w:t>Página</w:t>
    </w:r>
  </w:p>
  <w:p w14:paraId="5F5AD067" w14:textId="77777777" w:rsidR="00E23E05" w:rsidRDefault="00E23E0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E23E05" w:rsidRDefault="00E23E05" w:rsidP="00BA3DD6">
    <w:pPr>
      <w:pStyle w:val="Encabezado"/>
    </w:pPr>
  </w:p>
  <w:p w14:paraId="61F74C47" w14:textId="61538885" w:rsidR="00E23E05" w:rsidRDefault="00E23E05" w:rsidP="00BA3DD6">
    <w:pPr>
      <w:pStyle w:val="Piedepgina"/>
      <w:pBdr>
        <w:top w:val="single" w:sz="4" w:space="1" w:color="D9D9D9"/>
      </w:pBdr>
      <w:jc w:val="right"/>
    </w:pPr>
    <w:r>
      <w:fldChar w:fldCharType="begin"/>
    </w:r>
    <w:r>
      <w:instrText xml:space="preserve"> PAGE   \* MERGEFORMAT </w:instrText>
    </w:r>
    <w:r>
      <w:fldChar w:fldCharType="separate"/>
    </w:r>
    <w:r w:rsidR="00D86F75">
      <w:rPr>
        <w:noProof/>
      </w:rPr>
      <w:t>115</w:t>
    </w:r>
    <w:r>
      <w:fldChar w:fldCharType="end"/>
    </w:r>
    <w:r>
      <w:t xml:space="preserve"> | </w:t>
    </w:r>
    <w:r>
      <w:rPr>
        <w:color w:val="7F7F7F"/>
      </w:rPr>
      <w:t>Página</w:t>
    </w:r>
  </w:p>
  <w:p w14:paraId="67361788" w14:textId="77777777" w:rsidR="00E23E05" w:rsidRDefault="00E23E05" w:rsidP="00BA3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2A3DD" w14:textId="77777777" w:rsidR="006A7311" w:rsidRDefault="006A7311" w:rsidP="00966EF0">
      <w:r>
        <w:separator/>
      </w:r>
    </w:p>
  </w:footnote>
  <w:footnote w:type="continuationSeparator" w:id="0">
    <w:p w14:paraId="3C119FA1" w14:textId="77777777" w:rsidR="006A7311" w:rsidRDefault="006A7311" w:rsidP="00966EF0">
      <w:r>
        <w:continuationSeparator/>
      </w:r>
    </w:p>
  </w:footnote>
  <w:footnote w:id="1">
    <w:p w14:paraId="66602D63" w14:textId="654A5671" w:rsidR="00E23E05" w:rsidRPr="00821E59" w:rsidRDefault="00E23E05" w:rsidP="00136309">
      <w:pPr>
        <w:pStyle w:val="Textonotapie"/>
        <w:rPr>
          <w:rFonts w:cstheme="minorHAnsi"/>
          <w:sz w:val="18"/>
          <w:szCs w:val="18"/>
        </w:rPr>
      </w:pPr>
      <w:r>
        <w:rPr>
          <w:rStyle w:val="Refdenotaalpie"/>
          <w:rFonts w:asciiTheme="minorHAnsi" w:hAnsiTheme="minorHAnsi" w:cstheme="minorHAnsi"/>
          <w:szCs w:val="18"/>
        </w:rPr>
        <w:footnoteRef/>
      </w:r>
      <w:r>
        <w:rPr>
          <w:sz w:val="18"/>
        </w:rPr>
        <w:t xml:space="preserve"> Durante 5 años de ejecución del proyecto y 5 años después de su finalización, según lo acordado por el </w:t>
      </w:r>
      <w:r w:rsidR="002F0B32">
        <w:rPr>
          <w:sz w:val="18"/>
        </w:rPr>
        <w:t>P</w:t>
      </w:r>
      <w:r>
        <w:rPr>
          <w:sz w:val="18"/>
        </w:rPr>
        <w:t>rograma Global FARM.</w:t>
      </w:r>
    </w:p>
  </w:footnote>
  <w:footnote w:id="2">
    <w:p w14:paraId="6A1C3636" w14:textId="3AA36CB2" w:rsidR="00E23E05" w:rsidRPr="00821E59" w:rsidRDefault="00E23E05" w:rsidP="00966EF0">
      <w:pPr>
        <w:pStyle w:val="fn1"/>
        <w:rPr>
          <w:i/>
          <w:szCs w:val="18"/>
          <w:highlight w:val="yellow"/>
        </w:rPr>
      </w:pPr>
      <w:r>
        <w:rPr>
          <w:rStyle w:val="Refdenotaalpie"/>
          <w:rFonts w:asciiTheme="minorHAnsi" w:hAnsiTheme="minorHAnsi" w:cstheme="minorHAnsi"/>
          <w:szCs w:val="18"/>
        </w:rPr>
        <w:footnoteRef/>
      </w:r>
      <w:r>
        <w:rPr>
          <w:rFonts w:asciiTheme="minorHAnsi" w:hAnsiTheme="minorHAnsi"/>
        </w:rPr>
        <w:t xml:space="preserve"> No se requiere cuando el PNUD es el Socio en la Implementación (ej. modalidad de ejecución directa, DIM).</w:t>
      </w:r>
    </w:p>
  </w:footnote>
  <w:footnote w:id="3">
    <w:p w14:paraId="5758A748" w14:textId="0AE0EABA" w:rsidR="00E23E05" w:rsidRPr="00EB09F1" w:rsidRDefault="00E23E05" w:rsidP="00966EF0">
      <w:pPr>
        <w:pStyle w:val="fn1"/>
        <w:rPr>
          <w:rFonts w:asciiTheme="minorHAnsi" w:hAnsiTheme="minorHAnsi" w:cstheme="minorHAnsi"/>
          <w:iCs/>
        </w:rPr>
      </w:pPr>
      <w:r>
        <w:rPr>
          <w:rStyle w:val="Refdenotaalpie"/>
          <w:rFonts w:asciiTheme="minorHAnsi" w:hAnsiTheme="minorHAnsi" w:cstheme="minorHAnsi"/>
          <w:iCs/>
          <w:szCs w:val="18"/>
        </w:rPr>
        <w:footnoteRef/>
      </w:r>
      <w:r>
        <w:rPr>
          <w:rFonts w:asciiTheme="minorHAnsi" w:hAnsiTheme="minorHAnsi"/>
        </w:rPr>
        <w:t xml:space="preserve"> En el caso de los proyectos </w:t>
      </w:r>
      <w:r>
        <w:rPr>
          <w:rFonts w:asciiTheme="minorHAnsi" w:hAnsiTheme="minorHAnsi"/>
          <w:lang w:val="es-EC"/>
        </w:rPr>
        <w:t>NIM</w:t>
      </w:r>
      <w:r>
        <w:rPr>
          <w:rFonts w:asciiTheme="minorHAnsi" w:hAnsiTheme="minorHAnsi"/>
        </w:rPr>
        <w:t>, se trata del Representante Residente.</w:t>
      </w:r>
    </w:p>
  </w:footnote>
  <w:footnote w:id="4">
    <w:p w14:paraId="1DDE7521" w14:textId="662E1E78" w:rsidR="00E23E05" w:rsidRPr="00821E59" w:rsidRDefault="00E23E05" w:rsidP="00755EA0">
      <w:pPr>
        <w:pStyle w:val="Textonotapie"/>
        <w:rPr>
          <w:sz w:val="18"/>
          <w:szCs w:val="18"/>
        </w:rPr>
      </w:pPr>
      <w:r>
        <w:rPr>
          <w:rStyle w:val="Refdenotaalpie"/>
          <w:szCs w:val="18"/>
        </w:rPr>
        <w:footnoteRef/>
      </w:r>
      <w:r>
        <w:rPr>
          <w:sz w:val="18"/>
        </w:rPr>
        <w:t xml:space="preserve"> Instituto Nacional de Estadística y Censo (INEC), </w:t>
      </w:r>
      <w:hyperlink r:id="rId1" w:history="1">
        <w:r>
          <w:rPr>
            <w:rStyle w:val="Hipervnculo"/>
            <w:sz w:val="18"/>
          </w:rPr>
          <w:t>https://www.ecuadorencifras.gob.ec/estadisticas/</w:t>
        </w:r>
      </w:hyperlink>
      <w:r>
        <w:rPr>
          <w:sz w:val="18"/>
        </w:rPr>
        <w:t xml:space="preserve"> - </w:t>
      </w:r>
      <w:r w:rsidR="00081619">
        <w:rPr>
          <w:sz w:val="18"/>
        </w:rPr>
        <w:t>marzo</w:t>
      </w:r>
      <w:r>
        <w:rPr>
          <w:sz w:val="18"/>
        </w:rPr>
        <w:t xml:space="preserve"> de 2022</w:t>
      </w:r>
    </w:p>
  </w:footnote>
  <w:footnote w:id="5">
    <w:p w14:paraId="110F0BC9" w14:textId="77777777" w:rsidR="00E23E05" w:rsidRPr="00821E59" w:rsidRDefault="00E23E05" w:rsidP="00EB3BB4">
      <w:pPr>
        <w:pStyle w:val="Textonotapie"/>
        <w:rPr>
          <w:rFonts w:cstheme="minorHAnsi"/>
          <w:sz w:val="18"/>
          <w:szCs w:val="18"/>
        </w:rPr>
      </w:pPr>
      <w:r>
        <w:rPr>
          <w:rStyle w:val="Refdenotaalpie"/>
          <w:szCs w:val="18"/>
        </w:rPr>
        <w:footnoteRef/>
      </w:r>
      <w:r>
        <w:rPr>
          <w:sz w:val="18"/>
        </w:rPr>
        <w:t xml:space="preserve"> </w:t>
      </w:r>
      <w:hyperlink r:id="rId2" w:history="1">
        <w:r>
          <w:rPr>
            <w:rStyle w:val="Hipervnculo"/>
            <w:sz w:val="18"/>
          </w:rPr>
          <w:t>http://sipa.agricultura.gob.ec/index.php/indicador-agrosocial</w:t>
        </w:r>
      </w:hyperlink>
      <w:r>
        <w:rPr>
          <w:sz w:val="18"/>
        </w:rPr>
        <w:t xml:space="preserve"> </w:t>
      </w:r>
    </w:p>
  </w:footnote>
  <w:footnote w:id="6">
    <w:p w14:paraId="6843DAFD" w14:textId="71A49E31" w:rsidR="00E23E05" w:rsidRPr="00821E59" w:rsidRDefault="00E23E05" w:rsidP="00625F26">
      <w:pPr>
        <w:pStyle w:val="Textonotapie"/>
        <w:rPr>
          <w:rFonts w:cstheme="minorHAnsi"/>
          <w:sz w:val="18"/>
          <w:szCs w:val="18"/>
        </w:rPr>
      </w:pPr>
      <w:r>
        <w:rPr>
          <w:rStyle w:val="Refdenotaalpie"/>
          <w:rFonts w:asciiTheme="minorHAnsi" w:hAnsiTheme="minorHAnsi" w:cstheme="minorHAnsi"/>
          <w:szCs w:val="18"/>
        </w:rPr>
        <w:footnoteRef/>
      </w:r>
      <w:r>
        <w:rPr>
          <w:sz w:val="18"/>
        </w:rPr>
        <w:t xml:space="preserve"> </w:t>
      </w:r>
      <w:hyperlink r:id="rId3" w:history="1">
        <w:r>
          <w:rPr>
            <w:rStyle w:val="Hipervnculo"/>
            <w:sz w:val="18"/>
          </w:rPr>
          <w:t>http://sipa.agricultura.gob.ec/index.php/indicador-agroeconomico</w:t>
        </w:r>
      </w:hyperlink>
      <w:r>
        <w:rPr>
          <w:sz w:val="18"/>
        </w:rPr>
        <w:t xml:space="preserve"> </w:t>
      </w:r>
    </w:p>
  </w:footnote>
  <w:footnote w:id="7">
    <w:p w14:paraId="008AC9A4" w14:textId="486CDFC2" w:rsidR="00E23E05" w:rsidRPr="00821E59" w:rsidRDefault="00E23E05">
      <w:pPr>
        <w:pStyle w:val="Textonotapie"/>
        <w:rPr>
          <w:sz w:val="18"/>
          <w:szCs w:val="18"/>
        </w:rPr>
      </w:pPr>
      <w:r>
        <w:rPr>
          <w:rStyle w:val="Refdenotaalpie"/>
          <w:szCs w:val="18"/>
        </w:rPr>
        <w:footnoteRef/>
      </w:r>
      <w:r>
        <w:rPr>
          <w:sz w:val="18"/>
        </w:rPr>
        <w:t xml:space="preserve"> </w:t>
      </w:r>
      <w:hyperlink r:id="rId4" w:history="1">
        <w:r>
          <w:rPr>
            <w:rStyle w:val="Hipervnculo"/>
            <w:sz w:val="18"/>
          </w:rPr>
          <w:t>https://www.agricultura.gob.ec/ecuador-promueve-inversiones-en-sector-agropecuario/</w:t>
        </w:r>
      </w:hyperlink>
      <w:r>
        <w:rPr>
          <w:sz w:val="18"/>
        </w:rPr>
        <w:t xml:space="preserve"> </w:t>
      </w:r>
    </w:p>
  </w:footnote>
  <w:footnote w:id="8">
    <w:p w14:paraId="0E7BC264" w14:textId="47391320" w:rsidR="00E23E05" w:rsidRPr="00821E59" w:rsidRDefault="00E23E05">
      <w:pPr>
        <w:pStyle w:val="Textonotapie"/>
        <w:rPr>
          <w:sz w:val="18"/>
          <w:szCs w:val="18"/>
        </w:rPr>
      </w:pPr>
      <w:r>
        <w:rPr>
          <w:rStyle w:val="Refdenotaalpie"/>
          <w:szCs w:val="18"/>
        </w:rPr>
        <w:footnoteRef/>
      </w:r>
      <w:r>
        <w:rPr>
          <w:sz w:val="18"/>
        </w:rPr>
        <w:t xml:space="preserve"> </w:t>
      </w:r>
      <w:r>
        <w:rPr>
          <w:color w:val="000000"/>
          <w:sz w:val="18"/>
          <w:shd w:val="clear" w:color="auto" w:fill="FFFFFF"/>
        </w:rPr>
        <w:t xml:space="preserve">Censo Nacional Agrícola (2000), </w:t>
      </w:r>
      <w:hyperlink r:id="rId5" w:history="1">
        <w:r>
          <w:rPr>
            <w:rStyle w:val="Hipervnculo"/>
            <w:sz w:val="18"/>
          </w:rPr>
          <w:t>https://www.ecuadorencifras.gob.ec/censo-nacional-agropecuario/</w:t>
        </w:r>
      </w:hyperlink>
      <w:r>
        <w:rPr>
          <w:sz w:val="18"/>
        </w:rPr>
        <w:t xml:space="preserve"> </w:t>
      </w:r>
    </w:p>
  </w:footnote>
  <w:footnote w:id="9">
    <w:p w14:paraId="515776D1" w14:textId="597BF2A4" w:rsidR="00E23E05" w:rsidRPr="00821E59" w:rsidRDefault="00E23E05" w:rsidP="00803515">
      <w:pPr>
        <w:pStyle w:val="Textonotapie"/>
        <w:rPr>
          <w:sz w:val="18"/>
          <w:szCs w:val="18"/>
        </w:rPr>
      </w:pPr>
      <w:r>
        <w:rPr>
          <w:rStyle w:val="Refdenotaalpie"/>
          <w:szCs w:val="18"/>
        </w:rPr>
        <w:footnoteRef/>
      </w:r>
      <w:r>
        <w:rPr>
          <w:sz w:val="18"/>
        </w:rPr>
        <w:t xml:space="preserve"> Encuesta sobre la superficie y la producción agrícola - ESPAC 2020, </w:t>
      </w:r>
      <w:hyperlink r:id="rId6" w:history="1">
        <w:r>
          <w:rPr>
            <w:rStyle w:val="Hipervnculo"/>
            <w:sz w:val="18"/>
          </w:rPr>
          <w:t>https://www.ecuadorencifras.gob.ec/estadisticas-agropecuarias-2/</w:t>
        </w:r>
      </w:hyperlink>
      <w:r>
        <w:rPr>
          <w:sz w:val="18"/>
        </w:rPr>
        <w:t xml:space="preserve"> </w:t>
      </w:r>
    </w:p>
  </w:footnote>
  <w:footnote w:id="10">
    <w:p w14:paraId="1926559B" w14:textId="1D9C35F6" w:rsidR="00E23E05" w:rsidRPr="0042426B" w:rsidRDefault="00E23E05">
      <w:pPr>
        <w:pStyle w:val="Textonotapie"/>
      </w:pPr>
      <w:r>
        <w:rPr>
          <w:rStyle w:val="Refdenotaalpie"/>
          <w:szCs w:val="18"/>
        </w:rPr>
        <w:footnoteRef/>
      </w:r>
      <w:r>
        <w:rPr>
          <w:sz w:val="18"/>
        </w:rPr>
        <w:t xml:space="preserve"> </w:t>
      </w:r>
      <w:hyperlink r:id="rId7" w:history="1">
        <w:r>
          <w:rPr>
            <w:rStyle w:val="Hipervnculo"/>
            <w:sz w:val="18"/>
          </w:rPr>
          <w:t>http://sipa.agricultura.gob.ec/index.php/cifras-agroproductivas</w:t>
        </w:r>
      </w:hyperlink>
      <w:r>
        <w:t xml:space="preserve"> </w:t>
      </w:r>
    </w:p>
  </w:footnote>
  <w:footnote w:id="11">
    <w:p w14:paraId="2FC37283" w14:textId="77777777" w:rsidR="00E23E05" w:rsidRPr="00821E59" w:rsidRDefault="00E23E05" w:rsidP="00C14232">
      <w:pPr>
        <w:pStyle w:val="Textonotapie"/>
        <w:rPr>
          <w:sz w:val="18"/>
          <w:szCs w:val="18"/>
        </w:rPr>
      </w:pPr>
      <w:r>
        <w:rPr>
          <w:rStyle w:val="Refdenotaalpie"/>
          <w:szCs w:val="18"/>
        </w:rPr>
        <w:footnoteRef/>
      </w:r>
      <w:r>
        <w:rPr>
          <w:sz w:val="18"/>
        </w:rPr>
        <w:t xml:space="preserve"> Principales empresas que realizan aproximadamente el 80% de las importaciones, en orden descendente. </w:t>
      </w:r>
      <w:hyperlink r:id="rId8" w:history="1">
        <w:r>
          <w:rPr>
            <w:rStyle w:val="Hipervnculo"/>
            <w:sz w:val="18"/>
          </w:rPr>
          <w:t>http://sipa.agricultura.gob.ec/index.php/comportamiento-insumos/comportamiento-2020</w:t>
        </w:r>
      </w:hyperlink>
      <w:r>
        <w:rPr>
          <w:sz w:val="18"/>
        </w:rPr>
        <w:t>.</w:t>
      </w:r>
    </w:p>
  </w:footnote>
  <w:footnote w:id="12">
    <w:p w14:paraId="53B79FEE" w14:textId="5E6F5C44" w:rsidR="00E23E05" w:rsidRPr="00821E59" w:rsidRDefault="00E23E05">
      <w:pPr>
        <w:pStyle w:val="Textonotapie"/>
        <w:rPr>
          <w:sz w:val="18"/>
          <w:szCs w:val="18"/>
        </w:rPr>
      </w:pPr>
      <w:r>
        <w:rPr>
          <w:rStyle w:val="Refdenotaalpie"/>
          <w:szCs w:val="18"/>
        </w:rPr>
        <w:footnoteRef/>
      </w:r>
      <w:r>
        <w:rPr>
          <w:sz w:val="18"/>
        </w:rPr>
        <w:t xml:space="preserve"> Encuesta de Superficie y Producción Agropecuaria Continua (ESPAC)</w:t>
      </w:r>
      <w:r>
        <w:rPr>
          <w:rFonts w:ascii="Calibri" w:hAnsi="Calibri"/>
          <w:sz w:val="18"/>
        </w:rPr>
        <w:t xml:space="preserve"> 2020</w:t>
      </w:r>
    </w:p>
  </w:footnote>
  <w:footnote w:id="13">
    <w:p w14:paraId="700FF71F" w14:textId="286B50D8" w:rsidR="00E23E05" w:rsidRPr="00821E59" w:rsidRDefault="00E23E05">
      <w:pPr>
        <w:pStyle w:val="Textonotapie"/>
        <w:rPr>
          <w:sz w:val="18"/>
          <w:szCs w:val="18"/>
        </w:rPr>
      </w:pPr>
      <w:r>
        <w:rPr>
          <w:rStyle w:val="Refdenotaalpie"/>
          <w:szCs w:val="18"/>
        </w:rPr>
        <w:footnoteRef/>
      </w:r>
      <w:r>
        <w:rPr>
          <w:sz w:val="18"/>
        </w:rPr>
        <w:t xml:space="preserve"> Incluye: plaguicidas caducados, sin registro, deteriorados, sin etiqueta, material contaminados y prohibidos.</w:t>
      </w:r>
    </w:p>
  </w:footnote>
  <w:footnote w:id="14">
    <w:p w14:paraId="3E6618B5" w14:textId="78DC16D7" w:rsidR="00E23E05" w:rsidRPr="00821E59" w:rsidRDefault="00E23E05">
      <w:pPr>
        <w:pStyle w:val="Textonotapie"/>
        <w:rPr>
          <w:sz w:val="18"/>
          <w:szCs w:val="18"/>
        </w:rPr>
      </w:pPr>
      <w:r>
        <w:rPr>
          <w:rStyle w:val="Refdenotaalpie"/>
          <w:szCs w:val="18"/>
        </w:rPr>
        <w:footnoteRef/>
      </w:r>
      <w:r>
        <w:rPr>
          <w:sz w:val="18"/>
        </w:rPr>
        <w:t xml:space="preserve"> Resumen Ejecutivo de los Diagnósticos Territoriales del Sector Agrario - </w:t>
      </w:r>
      <w:hyperlink r:id="rId9" w:history="1">
        <w:r>
          <w:rPr>
            <w:rStyle w:val="Hipervnculo"/>
            <w:sz w:val="18"/>
          </w:rPr>
          <w:t>https://www.agricultura.gob.ec/wp-content/uploads/2020/08/Resumen-Ejecutivo-Diagnósticos-Territoriales-del-Sector-Agrario_14-08-2020-1_compressed.pdf</w:t>
        </w:r>
      </w:hyperlink>
      <w:r>
        <w:rPr>
          <w:sz w:val="18"/>
        </w:rPr>
        <w:t xml:space="preserve"> </w:t>
      </w:r>
    </w:p>
  </w:footnote>
  <w:footnote w:id="15">
    <w:p w14:paraId="36A430A4" w14:textId="6FE31BF1" w:rsidR="00E23E05" w:rsidRPr="00CD0D37" w:rsidRDefault="00E23E05" w:rsidP="00CD0D37">
      <w:pPr>
        <w:pStyle w:val="Textonotapie"/>
      </w:pPr>
      <w:r>
        <w:rPr>
          <w:rStyle w:val="Refdenotaalpie"/>
          <w:szCs w:val="18"/>
        </w:rPr>
        <w:footnoteRef/>
      </w:r>
      <w:r>
        <w:rPr>
          <w:sz w:val="18"/>
        </w:rPr>
        <w:t xml:space="preserve"> Los datos de 2017 y 2018 se estimaron a partir de la información de GRECI (2019, 2020 y 2021).</w:t>
      </w:r>
    </w:p>
  </w:footnote>
  <w:footnote w:id="16">
    <w:p w14:paraId="707DBEC0" w14:textId="401FC89B" w:rsidR="00E23E05" w:rsidRPr="00821E59" w:rsidRDefault="00E23E05">
      <w:pPr>
        <w:pStyle w:val="Textonotapie"/>
        <w:rPr>
          <w:sz w:val="18"/>
          <w:szCs w:val="18"/>
        </w:rPr>
      </w:pPr>
      <w:r>
        <w:rPr>
          <w:rStyle w:val="Refdenotaalpie"/>
          <w:szCs w:val="18"/>
        </w:rPr>
        <w:footnoteRef/>
      </w:r>
      <w:r>
        <w:rPr>
          <w:sz w:val="18"/>
        </w:rPr>
        <w:t xml:space="preserve"> Centro Latinoamericano para el Desarrollo Rural </w:t>
      </w:r>
      <w:hyperlink r:id="rId10" w:history="1">
        <w:r>
          <w:rPr>
            <w:rStyle w:val="Hipervnculo"/>
            <w:sz w:val="18"/>
          </w:rPr>
          <w:t>https://www.rimisp.org/wp-content/uploads/2022/04/13-Ecuador.pdf</w:t>
        </w:r>
      </w:hyperlink>
      <w:r>
        <w:rPr>
          <w:sz w:val="18"/>
        </w:rPr>
        <w:t xml:space="preserve"> </w:t>
      </w:r>
    </w:p>
  </w:footnote>
  <w:footnote w:id="17">
    <w:p w14:paraId="58109C72" w14:textId="7FB2A5F6" w:rsidR="00E23E05" w:rsidRPr="00821E59" w:rsidRDefault="00E23E05">
      <w:pPr>
        <w:pStyle w:val="Textonotapie"/>
        <w:rPr>
          <w:sz w:val="18"/>
          <w:szCs w:val="18"/>
        </w:rPr>
      </w:pPr>
      <w:r>
        <w:rPr>
          <w:rStyle w:val="Refdenotaalpie"/>
          <w:szCs w:val="18"/>
        </w:rPr>
        <w:footnoteRef/>
      </w:r>
      <w:r>
        <w:rPr>
          <w:sz w:val="18"/>
        </w:rPr>
        <w:t xml:space="preserve"> </w:t>
      </w:r>
      <w:hyperlink r:id="rId11" w:history="1">
        <w:r>
          <w:rPr>
            <w:rStyle w:val="Hipervnculo"/>
            <w:sz w:val="18"/>
          </w:rPr>
          <w:t>https://www.planificacion.gob.ec/wp-content/uploads/2021/09/Plan-de-Creación-de-Oportunidades-2021-2025-Aprobado.pdf</w:t>
        </w:r>
      </w:hyperlink>
      <w:r>
        <w:rPr>
          <w:sz w:val="18"/>
        </w:rPr>
        <w:t xml:space="preserve"> </w:t>
      </w:r>
    </w:p>
  </w:footnote>
  <w:footnote w:id="18">
    <w:p w14:paraId="7C9FD7E2" w14:textId="485C209B" w:rsidR="00E23E05" w:rsidRPr="00821E59" w:rsidRDefault="00E23E05">
      <w:pPr>
        <w:pStyle w:val="Textonotapie"/>
        <w:rPr>
          <w:sz w:val="18"/>
          <w:szCs w:val="18"/>
        </w:rPr>
      </w:pPr>
      <w:r>
        <w:rPr>
          <w:rStyle w:val="Refdenotaalpie"/>
          <w:szCs w:val="18"/>
        </w:rPr>
        <w:footnoteRef/>
      </w:r>
      <w:r>
        <w:rPr>
          <w:sz w:val="18"/>
        </w:rPr>
        <w:t xml:space="preserve"> Según lo acordado en el Programa FARM, los BAG son el resultado de cinco (5) años de ejecución del proyecto más cinco (5) años posteriores.</w:t>
      </w:r>
    </w:p>
  </w:footnote>
  <w:footnote w:id="19">
    <w:p w14:paraId="0DD050C4" w14:textId="76B3E628" w:rsidR="00E23E05" w:rsidRPr="00821E59" w:rsidRDefault="00E23E05">
      <w:pPr>
        <w:pStyle w:val="Textonotapie"/>
        <w:rPr>
          <w:sz w:val="18"/>
          <w:szCs w:val="18"/>
        </w:rPr>
      </w:pPr>
      <w:r>
        <w:rPr>
          <w:rStyle w:val="Refdenotaalpie"/>
          <w:szCs w:val="18"/>
        </w:rPr>
        <w:footnoteRef/>
      </w:r>
      <w:r>
        <w:rPr>
          <w:sz w:val="18"/>
        </w:rPr>
        <w:t xml:space="preserve"> Las demostraciones se enmarcarán dentro del marco normativo de AGROCALIDAD o la CAN. Si no se dispone de un procedimiento legal, las pruebas se realizarán basándose en las mejores prácticas disponibles a nivel internacional.</w:t>
      </w:r>
    </w:p>
  </w:footnote>
  <w:footnote w:id="20">
    <w:p w14:paraId="0E4C4204" w14:textId="53C74A62" w:rsidR="00E23E05" w:rsidRPr="00821E59" w:rsidRDefault="00E23E05">
      <w:pPr>
        <w:pStyle w:val="Textonotapie"/>
        <w:rPr>
          <w:sz w:val="18"/>
          <w:szCs w:val="18"/>
        </w:rPr>
      </w:pPr>
      <w:r>
        <w:rPr>
          <w:rStyle w:val="Refdenotaalpie"/>
          <w:szCs w:val="18"/>
        </w:rPr>
        <w:footnoteRef/>
      </w:r>
      <w:r>
        <w:rPr>
          <w:sz w:val="18"/>
        </w:rPr>
        <w:t xml:space="preserve"> Los productos agroquímicos que serán objeto de los estudios se definirán en la fase de ejecución del proyecto, en consulta con el Comité Técnico Nacional de Plaguicidas.</w:t>
      </w:r>
    </w:p>
  </w:footnote>
  <w:footnote w:id="21">
    <w:p w14:paraId="46505BE3" w14:textId="6F608C6D" w:rsidR="00E23E05" w:rsidRPr="00821E59" w:rsidRDefault="00E23E05">
      <w:pPr>
        <w:pStyle w:val="Textonotapie"/>
        <w:rPr>
          <w:sz w:val="18"/>
          <w:szCs w:val="18"/>
        </w:rPr>
      </w:pPr>
      <w:r>
        <w:rPr>
          <w:rStyle w:val="Refdenotaalpie"/>
          <w:szCs w:val="18"/>
        </w:rPr>
        <w:footnoteRef/>
      </w:r>
      <w:r>
        <w:rPr>
          <w:sz w:val="18"/>
        </w:rPr>
        <w:t xml:space="preserve"> </w:t>
      </w:r>
      <w:hyperlink r:id="rId12" w:history="1">
        <w:r>
          <w:rPr>
            <w:rStyle w:val="Hipervnculo"/>
            <w:sz w:val="18"/>
          </w:rPr>
          <w:t>https://www.undp.org/publications/precision-agriculture-smallholder-farmers</w:t>
        </w:r>
      </w:hyperlink>
      <w:r>
        <w:rPr>
          <w:sz w:val="18"/>
        </w:rPr>
        <w:t xml:space="preserve"> </w:t>
      </w:r>
    </w:p>
  </w:footnote>
  <w:footnote w:id="22">
    <w:p w14:paraId="0202B469" w14:textId="6E91853D" w:rsidR="00E23E05" w:rsidRPr="003716B1" w:rsidRDefault="00E23E05" w:rsidP="003716B1">
      <w:pPr>
        <w:rPr>
          <w:rFonts w:asciiTheme="minorHAnsi" w:hAnsiTheme="minorHAnsi" w:cstheme="minorHAnsi"/>
          <w:sz w:val="18"/>
          <w:szCs w:val="18"/>
        </w:rPr>
      </w:pPr>
      <w:r>
        <w:rPr>
          <w:rStyle w:val="Refdenotaalpie"/>
          <w:rFonts w:asciiTheme="minorHAnsi" w:hAnsiTheme="minorHAnsi" w:cstheme="minorHAnsi"/>
          <w:szCs w:val="18"/>
        </w:rPr>
        <w:footnoteRef/>
      </w:r>
      <w:r>
        <w:rPr>
          <w:rFonts w:asciiTheme="minorHAnsi" w:hAnsiTheme="minorHAnsi"/>
          <w:sz w:val="18"/>
        </w:rPr>
        <w:t xml:space="preserve"> Resak: </w:t>
      </w:r>
      <w:hyperlink r:id="rId13" w:history="1">
        <w:r>
          <w:rPr>
            <w:rStyle w:val="Hipervnculo"/>
            <w:rFonts w:asciiTheme="minorHAnsi" w:hAnsiTheme="minorHAnsi"/>
            <w:sz w:val="18"/>
          </w:rPr>
          <w:t>https://www.youtube.com/watch?v=MZIVTmo4few</w:t>
        </w:r>
      </w:hyperlink>
      <w:r>
        <w:rPr>
          <w:rFonts w:asciiTheme="minorHAnsi" w:hAnsiTheme="minorHAnsi"/>
          <w:sz w:val="18"/>
        </w:rPr>
        <w:t xml:space="preserve"> y </w:t>
      </w:r>
      <w:hyperlink r:id="rId14" w:history="1">
        <w:r>
          <w:rPr>
            <w:rStyle w:val="Hipervnculo"/>
            <w:rFonts w:asciiTheme="minorHAnsi" w:hAnsiTheme="minorHAnsi"/>
            <w:sz w:val="18"/>
          </w:rPr>
          <w:t>https://www.facebook.com/aso.resak.1</w:t>
        </w:r>
      </w:hyperlink>
      <w:r>
        <w:rPr>
          <w:rFonts w:asciiTheme="minorHAnsi" w:hAnsiTheme="minorHAnsi"/>
          <w:sz w:val="18"/>
        </w:rPr>
        <w:t xml:space="preserve"> CEPROCAFÉ: </w:t>
      </w:r>
      <w:hyperlink r:id="rId15" w:history="1">
        <w:r>
          <w:rPr>
            <w:rStyle w:val="Hipervnculo"/>
            <w:rFonts w:asciiTheme="minorHAnsi" w:hAnsiTheme="minorHAnsi"/>
            <w:sz w:val="18"/>
          </w:rPr>
          <w:t>https://www.facebook.com/ceprocafe</w:t>
        </w:r>
      </w:hyperlink>
      <w:r>
        <w:rPr>
          <w:rStyle w:val="Hipervnculo"/>
          <w:rFonts w:asciiTheme="minorHAnsi" w:hAnsiTheme="minorHAnsi"/>
          <w:sz w:val="18"/>
        </w:rPr>
        <w:t xml:space="preserve"> </w:t>
      </w:r>
      <w:r>
        <w:rPr>
          <w:rFonts w:asciiTheme="minorHAnsi" w:hAnsiTheme="minorHAnsi"/>
          <w:sz w:val="18"/>
        </w:rPr>
        <w:t xml:space="preserve">INTI </w:t>
      </w:r>
      <w:hyperlink r:id="rId16" w:history="1">
        <w:r>
          <w:rPr>
            <w:rStyle w:val="Hipervnculo"/>
            <w:rFonts w:asciiTheme="minorHAnsi" w:hAnsiTheme="minorHAnsi"/>
            <w:sz w:val="18"/>
          </w:rPr>
          <w:t>https://www.facebook.com/AsoInti</w:t>
        </w:r>
      </w:hyperlink>
      <w:r>
        <w:rPr>
          <w:rFonts w:asciiTheme="minorHAnsi" w:hAnsiTheme="minorHAnsi"/>
          <w:sz w:val="18"/>
        </w:rPr>
        <w:t xml:space="preserve"> </w:t>
      </w:r>
    </w:p>
    <w:p w14:paraId="34640525" w14:textId="3CCFC72F" w:rsidR="00E23E05" w:rsidRPr="003716B1" w:rsidRDefault="00E23E05">
      <w:pPr>
        <w:pStyle w:val="Textonotapie"/>
        <w:rPr>
          <w:rFonts w:cstheme="minorHAnsi"/>
          <w:sz w:val="18"/>
          <w:szCs w:val="18"/>
        </w:rPr>
      </w:pPr>
    </w:p>
  </w:footnote>
  <w:footnote w:id="23">
    <w:p w14:paraId="3E78E25F" w14:textId="79C2086E" w:rsidR="00E23E05" w:rsidRPr="00821E59" w:rsidRDefault="00E23E05">
      <w:pPr>
        <w:pStyle w:val="Textonotapie"/>
        <w:rPr>
          <w:sz w:val="18"/>
          <w:szCs w:val="18"/>
        </w:rPr>
      </w:pPr>
      <w:r>
        <w:rPr>
          <w:rStyle w:val="Refdenotaalpie"/>
          <w:szCs w:val="18"/>
        </w:rPr>
        <w:footnoteRef/>
      </w:r>
      <w:r>
        <w:rPr>
          <w:sz w:val="18"/>
        </w:rPr>
        <w:t xml:space="preserve"> La actividad considerará la coordinación con el/la Líder comunitario(a) para la gestión del agua (Juntas de Agua) que los Gobiernos Autónomos Descentralizados (GADs) establecerán como unidades de gestión que apoyan la formulación e implementación de proyectos básicos.</w:t>
      </w:r>
    </w:p>
  </w:footnote>
  <w:footnote w:id="24">
    <w:p w14:paraId="3EB9B142" w14:textId="33C85B5D" w:rsidR="00E23E05" w:rsidRPr="00821E59" w:rsidRDefault="00E23E05" w:rsidP="00E35641">
      <w:pPr>
        <w:pStyle w:val="Textonotapie"/>
        <w:rPr>
          <w:rFonts w:ascii="Calibri" w:hAnsi="Calibri"/>
          <w:sz w:val="18"/>
          <w:szCs w:val="18"/>
          <w:highlight w:val="yellow"/>
        </w:rPr>
      </w:pPr>
      <w:r>
        <w:rPr>
          <w:rFonts w:ascii="Calibri" w:hAnsi="Calibri"/>
          <w:sz w:val="18"/>
          <w:szCs w:val="18"/>
          <w:vertAlign w:val="superscript"/>
        </w:rPr>
        <w:footnoteRef/>
      </w:r>
      <w:r>
        <w:rPr>
          <w:rFonts w:ascii="Calibri" w:hAnsi="Calibri"/>
          <w:sz w:val="18"/>
          <w:vertAlign w:val="superscript"/>
        </w:rPr>
        <w:t xml:space="preserve"> </w:t>
      </w:r>
      <w:r>
        <w:rPr>
          <w:rFonts w:ascii="Calibri" w:hAnsi="Calibri"/>
          <w:b/>
          <w:sz w:val="18"/>
        </w:rPr>
        <w:t>Emisión</w:t>
      </w:r>
      <w:r>
        <w:rPr>
          <w:rFonts w:ascii="Calibri" w:hAnsi="Calibri"/>
          <w:sz w:val="18"/>
        </w:rPr>
        <w:t xml:space="preserve">: emanación de sustancia química hacia la atmósfera; </w:t>
      </w:r>
      <w:r>
        <w:rPr>
          <w:rFonts w:ascii="Calibri" w:hAnsi="Calibri"/>
          <w:b/>
          <w:sz w:val="18"/>
        </w:rPr>
        <w:t>Liberación</w:t>
      </w:r>
      <w:r>
        <w:rPr>
          <w:rFonts w:ascii="Calibri" w:hAnsi="Calibri"/>
          <w:sz w:val="18"/>
        </w:rPr>
        <w:t>: emanación de sustancia química hacia el agua y el suelo. En este documento de proyecto, el término "</w:t>
      </w:r>
      <w:r>
        <w:rPr>
          <w:rFonts w:ascii="Calibri" w:hAnsi="Calibri"/>
          <w:b/>
          <w:sz w:val="18"/>
        </w:rPr>
        <w:t>liberación</w:t>
      </w:r>
      <w:r>
        <w:rPr>
          <w:rFonts w:ascii="Calibri" w:hAnsi="Calibri"/>
          <w:sz w:val="18"/>
        </w:rPr>
        <w:t xml:space="preserve">" se utilizará para indicar la </w:t>
      </w:r>
      <w:r>
        <w:rPr>
          <w:rFonts w:ascii="Calibri" w:hAnsi="Calibri"/>
          <w:b/>
          <w:sz w:val="18"/>
        </w:rPr>
        <w:t>emanación de una sustancia química a la atmósfera, el agua y el suelo</w:t>
      </w:r>
      <w:r>
        <w:rPr>
          <w:rFonts w:ascii="Calibri" w:hAnsi="Calibri"/>
          <w:sz w:val="18"/>
        </w:rPr>
        <w:t xml:space="preserve">. </w:t>
      </w:r>
    </w:p>
  </w:footnote>
  <w:footnote w:id="25">
    <w:p w14:paraId="5E92271B" w14:textId="687C8BE1" w:rsidR="00E23E05" w:rsidRPr="00257A99" w:rsidRDefault="00E23E05">
      <w:pPr>
        <w:pStyle w:val="Textonotapie"/>
        <w:rPr>
          <w:lang w:val="en-US"/>
        </w:rPr>
      </w:pPr>
      <w:r>
        <w:rPr>
          <w:rStyle w:val="Refdenotaalpie"/>
        </w:rPr>
        <w:footnoteRef/>
      </w:r>
      <w:r w:rsidRPr="00257A99">
        <w:rPr>
          <w:sz w:val="18"/>
          <w:lang w:val="en-US"/>
        </w:rPr>
        <w:t xml:space="preserve"> </w:t>
      </w:r>
      <w:hyperlink r:id="rId17" w:history="1">
        <w:r w:rsidRPr="00257A99">
          <w:rPr>
            <w:rStyle w:val="Hipervnculo"/>
            <w:color w:val="000000"/>
            <w:sz w:val="18"/>
            <w:lang w:val="en-US"/>
          </w:rPr>
          <w:t>https://panorama.solutions/en</w:t>
        </w:r>
      </w:hyperlink>
      <w:r w:rsidRPr="00257A99">
        <w:rPr>
          <w:sz w:val="18"/>
          <w:lang w:val="en-US"/>
        </w:rPr>
        <w:t xml:space="preserve"> </w:t>
      </w:r>
    </w:p>
  </w:footnote>
  <w:footnote w:id="26">
    <w:p w14:paraId="06455AB1" w14:textId="3E64C263" w:rsidR="00E23E05" w:rsidRPr="00257A99" w:rsidRDefault="00E23E05" w:rsidP="005638C4">
      <w:pPr>
        <w:pStyle w:val="Textonotapie"/>
        <w:rPr>
          <w:lang w:val="en-US"/>
        </w:rPr>
      </w:pPr>
      <w:r>
        <w:rPr>
          <w:rStyle w:val="Refdenotaalpie"/>
          <w:rFonts w:ascii="Calibri" w:eastAsia="Calibri" w:hAnsi="Calibri" w:cs="Calibri"/>
          <w:szCs w:val="18"/>
        </w:rPr>
        <w:footnoteRef/>
      </w:r>
      <w:r w:rsidRPr="00257A99">
        <w:rPr>
          <w:rFonts w:ascii="Calibri" w:hAnsi="Calibri"/>
          <w:sz w:val="18"/>
          <w:lang w:val="en-US"/>
        </w:rPr>
        <w:t xml:space="preserve"> FAO (2018) </w:t>
      </w:r>
      <w:r w:rsidRPr="00257A99">
        <w:rPr>
          <w:rFonts w:ascii="Calibri" w:hAnsi="Calibri"/>
          <w:i/>
          <w:sz w:val="18"/>
          <w:lang w:val="en-US"/>
        </w:rPr>
        <w:t xml:space="preserve">World Food and Agriculture – Statistical Pocketbook </w:t>
      </w:r>
      <w:hyperlink r:id="rId18">
        <w:r w:rsidRPr="00257A99">
          <w:rPr>
            <w:rStyle w:val="Hipervnculo"/>
            <w:rFonts w:ascii="Calibri" w:hAnsi="Calibri"/>
            <w:sz w:val="18"/>
            <w:lang w:val="en-US"/>
          </w:rPr>
          <w:t>https://doi.org/10.4060/CA1796EN</w:t>
        </w:r>
      </w:hyperlink>
    </w:p>
  </w:footnote>
  <w:footnote w:id="27">
    <w:p w14:paraId="0D156E2B" w14:textId="6F9D7EA7" w:rsidR="00E23E05" w:rsidRPr="009C7E97" w:rsidRDefault="00E23E05">
      <w:pPr>
        <w:pStyle w:val="Textonotapie"/>
      </w:pPr>
      <w:r>
        <w:rPr>
          <w:rStyle w:val="Refdenotaalpie"/>
        </w:rPr>
        <w:footnoteRef/>
      </w:r>
      <w:r>
        <w:t xml:space="preserve"> </w:t>
      </w:r>
      <w:r>
        <w:rPr>
          <w:color w:val="000000" w:themeColor="text1"/>
          <w:sz w:val="18"/>
        </w:rPr>
        <w:t>Es importante tener en cuenta que, en el caso de este FSP derivado, no hay actividades de cofinanciación relevantes que deban incluirse en la descripción de resultados de esta sección.</w:t>
      </w:r>
    </w:p>
  </w:footnote>
  <w:footnote w:id="28">
    <w:p w14:paraId="190919F8" w14:textId="65067160" w:rsidR="00E23E05" w:rsidRPr="00AE3DDE" w:rsidRDefault="00E23E05" w:rsidP="00966EF0">
      <w:pPr>
        <w:pStyle w:val="fn1"/>
        <w:rPr>
          <w:rFonts w:asciiTheme="minorHAnsi" w:hAnsiTheme="minorHAnsi" w:cstheme="minorHAnsi"/>
          <w:iCs/>
          <w:szCs w:val="18"/>
        </w:rPr>
      </w:pPr>
      <w:r>
        <w:rPr>
          <w:rStyle w:val="Refdenotaalpie"/>
          <w:rFonts w:asciiTheme="minorHAnsi" w:hAnsiTheme="minorHAnsi" w:cstheme="minorHAnsi"/>
          <w:iCs/>
          <w:szCs w:val="18"/>
        </w:rPr>
        <w:footnoteRef/>
      </w:r>
      <w:r>
        <w:rPr>
          <w:rFonts w:asciiTheme="minorHAnsi" w:hAnsiTheme="minorHAnsi"/>
        </w:rPr>
        <w:t xml:space="preserve"> Los niveles objetivo de línea base, a mediano plazo y al final del proyecto deben expresarse en la misma unidad neutra de análisis que el indicador correspondiente. La línea base es el estado o condición actual/original y debe cuantificarse. La línea base puede ser cero cuando proceda, dado que el proyecto no ha comenzado. La línea de base debe establecerse antes de presentar el Documento del Proyecto al FMAM para su aprobación final. Los valores de referencia se utilizarán para medir el éxito del proyecto mediante el monitoreo y evaluación de la ejecución. </w:t>
      </w:r>
    </w:p>
  </w:footnote>
  <w:footnote w:id="29">
    <w:p w14:paraId="0D361172" w14:textId="62FA916F" w:rsidR="00E23E05" w:rsidRPr="00AE3DDE" w:rsidRDefault="00E23E05" w:rsidP="00966EF0">
      <w:pPr>
        <w:pStyle w:val="fn1"/>
        <w:rPr>
          <w:rFonts w:asciiTheme="minorHAnsi" w:hAnsiTheme="minorHAnsi" w:cstheme="minorHAnsi"/>
          <w:iCs/>
          <w:szCs w:val="18"/>
        </w:rPr>
      </w:pPr>
      <w:r>
        <w:rPr>
          <w:rStyle w:val="Refdenotaalpie"/>
          <w:rFonts w:asciiTheme="minorHAnsi" w:hAnsiTheme="minorHAnsi" w:cstheme="minorHAnsi"/>
          <w:iCs/>
          <w:szCs w:val="18"/>
        </w:rPr>
        <w:footnoteRef/>
      </w:r>
      <w:r>
        <w:rPr>
          <w:rFonts w:asciiTheme="minorHAnsi" w:hAnsiTheme="minorHAnsi"/>
        </w:rPr>
        <w:t xml:space="preserve"> El objetivo es el cambio en el valor de línea base que se alcanzará en la revisión a mediano plazo y, de nuevo, en la Evaluación Final.</w:t>
      </w:r>
    </w:p>
  </w:footnote>
  <w:footnote w:id="30">
    <w:p w14:paraId="30471FAC" w14:textId="0362BD66" w:rsidR="00E23E05" w:rsidRPr="00213CC1" w:rsidRDefault="00E23E05">
      <w:pPr>
        <w:pStyle w:val="Textonotapie"/>
      </w:pPr>
      <w:r>
        <w:rPr>
          <w:rStyle w:val="Refdenotaalpie"/>
        </w:rPr>
        <w:footnoteRef/>
      </w:r>
      <w:r>
        <w:t xml:space="preserve"> </w:t>
      </w:r>
      <w:r>
        <w:rPr>
          <w:sz w:val="18"/>
        </w:rPr>
        <w:t>Según lo acordado durante la fase de diseño del FARM, los GEB</w:t>
      </w:r>
      <w:r w:rsidR="001F57ED">
        <w:rPr>
          <w:sz w:val="18"/>
        </w:rPr>
        <w:t xml:space="preserve"> (Beneficios Ambientales Globales)</w:t>
      </w:r>
      <w:r>
        <w:rPr>
          <w:sz w:val="18"/>
        </w:rPr>
        <w:t xml:space="preserve"> se miden 5 años después de la ejecución del proyecto: los GEI mitigados acumulados ascenderán a 1.128 Tm en Ecuador cinco (5) años después de la ejecución del proyecto.</w:t>
      </w:r>
    </w:p>
  </w:footnote>
  <w:footnote w:id="31">
    <w:p w14:paraId="0F5C84E9" w14:textId="2C752432" w:rsidR="00E23E05" w:rsidRPr="00984D5D" w:rsidRDefault="00E23E05">
      <w:pPr>
        <w:pStyle w:val="Textonotapie"/>
      </w:pPr>
      <w:r>
        <w:rPr>
          <w:rStyle w:val="Refdenotaalpie"/>
        </w:rPr>
        <w:footnoteRef/>
      </w:r>
      <w:r>
        <w:t xml:space="preserve"> </w:t>
      </w:r>
      <w:r>
        <w:rPr>
          <w:sz w:val="18"/>
        </w:rPr>
        <w:t xml:space="preserve">PAPs: </w:t>
      </w:r>
      <w:r>
        <w:rPr>
          <w:rFonts w:ascii="Calibri" w:hAnsi="Calibri"/>
          <w:sz w:val="18"/>
        </w:rPr>
        <w:t>Paraquat,</w:t>
      </w:r>
      <w:r>
        <w:rPr>
          <w:sz w:val="18"/>
        </w:rPr>
        <w:t xml:space="preserve"> </w:t>
      </w:r>
      <w:r>
        <w:rPr>
          <w:rFonts w:ascii="Calibri" w:hAnsi="Calibri"/>
          <w:sz w:val="18"/>
        </w:rPr>
        <w:t xml:space="preserve">Metomilo, Lambda-cihalotrina, Fosfuro de </w:t>
      </w:r>
      <w:r w:rsidR="00DC46DA">
        <w:rPr>
          <w:rFonts w:ascii="Calibri" w:hAnsi="Calibri"/>
          <w:sz w:val="18"/>
        </w:rPr>
        <w:t>A</w:t>
      </w:r>
      <w:r>
        <w:rPr>
          <w:rFonts w:ascii="Calibri" w:hAnsi="Calibri"/>
          <w:sz w:val="18"/>
        </w:rPr>
        <w:t>luminio, Oxamilo</w:t>
      </w:r>
    </w:p>
  </w:footnote>
  <w:footnote w:id="32">
    <w:p w14:paraId="0F9699A6" w14:textId="32EA148B" w:rsidR="00E23E05" w:rsidRPr="00AE3DDE" w:rsidRDefault="00E23E05">
      <w:pPr>
        <w:pStyle w:val="Textonotapie"/>
        <w:rPr>
          <w:rFonts w:cstheme="minorHAnsi"/>
          <w:iCs/>
          <w:sz w:val="18"/>
          <w:szCs w:val="18"/>
        </w:rPr>
      </w:pPr>
      <w:r>
        <w:rPr>
          <w:rStyle w:val="Refdenotaalpie"/>
          <w:rFonts w:asciiTheme="minorHAnsi" w:hAnsiTheme="minorHAnsi" w:cstheme="minorHAnsi"/>
          <w:iCs/>
          <w:szCs w:val="18"/>
        </w:rPr>
        <w:footnoteRef/>
      </w:r>
      <w:r>
        <w:rPr>
          <w:sz w:val="18"/>
        </w:rPr>
        <w:t xml:space="preserve"> Tal y como se acordó durante la fase de diseño del FARM, los GEBs se miden 5 años después de la implementación del proyecto: la cantidad total de pesticidas COPs/PAPs evitados ascenderá a 2.700 Tm (783 Tm de COPs y 1.917 de PAPs) en Ecuador cinco (5) años después de la implementación del proyecto.</w:t>
      </w:r>
    </w:p>
  </w:footnote>
  <w:footnote w:id="33">
    <w:p w14:paraId="1A029B95" w14:textId="578D7A73" w:rsidR="00E23E05" w:rsidRPr="003A2836" w:rsidRDefault="00E23E05">
      <w:pPr>
        <w:pStyle w:val="Textonotapie"/>
      </w:pPr>
      <w:r>
        <w:rPr>
          <w:rStyle w:val="Refdenotaalpie"/>
        </w:rPr>
        <w:footnoteRef/>
      </w:r>
      <w:r>
        <w:t xml:space="preserve"> </w:t>
      </w:r>
      <w:r>
        <w:rPr>
          <w:sz w:val="18"/>
        </w:rPr>
        <w:t xml:space="preserve">Tal y como se acordó durante la fase de diseño del FARM, los GEB se miden 5 años después de la ejecución del proyecto: la </w:t>
      </w:r>
      <w:r w:rsidR="00626B84" w:rsidRPr="00626B84">
        <w:rPr>
          <w:sz w:val="18"/>
        </w:rPr>
        <w:t xml:space="preserve">prevención </w:t>
      </w:r>
      <w:r>
        <w:rPr>
          <w:sz w:val="18"/>
        </w:rPr>
        <w:t>acumulada de emisiones de COPs a la atmósfera ascenderá a 19,7 gTEQ en Ecuador cinco (5) años después de la ejecución del proyecto.</w:t>
      </w:r>
    </w:p>
  </w:footnote>
  <w:footnote w:id="34">
    <w:p w14:paraId="52E41C11" w14:textId="77777777" w:rsidR="00E23E05" w:rsidRPr="007D6873" w:rsidRDefault="00E23E05" w:rsidP="00966EF0">
      <w:pPr>
        <w:pStyle w:val="fn1"/>
        <w:rPr>
          <w:rFonts w:cs="Segoe UI"/>
          <w:color w:val="000000"/>
          <w:szCs w:val="18"/>
          <w:lang w:val="en-US"/>
        </w:rPr>
      </w:pPr>
      <w:r>
        <w:rPr>
          <w:rStyle w:val="Refdenotaalpie"/>
          <w:szCs w:val="18"/>
        </w:rPr>
        <w:footnoteRef/>
      </w:r>
      <w:r w:rsidRPr="007D6873">
        <w:rPr>
          <w:lang w:val="en-US"/>
        </w:rPr>
        <w:t xml:space="preserve"> </w:t>
      </w:r>
      <w:r w:rsidRPr="007D6873">
        <w:rPr>
          <w:sz w:val="16"/>
          <w:lang w:val="en-US"/>
        </w:rPr>
        <w:t xml:space="preserve">See </w:t>
      </w:r>
      <w:hyperlink r:id="rId19" w:history="1">
        <w:r w:rsidRPr="007D6873">
          <w:rPr>
            <w:rStyle w:val="Hipervnculo"/>
            <w:sz w:val="16"/>
            <w:lang w:val="en-US"/>
          </w:rPr>
          <w:t>https://www.thegef.org/gef/policies_guidelines</w:t>
        </w:r>
      </w:hyperlink>
    </w:p>
  </w:footnote>
  <w:footnote w:id="35">
    <w:p w14:paraId="141591CB" w14:textId="77777777" w:rsidR="00E23E05" w:rsidRPr="007D6873" w:rsidRDefault="00E23E05" w:rsidP="00966EF0">
      <w:pPr>
        <w:pStyle w:val="fn1"/>
        <w:jc w:val="left"/>
        <w:rPr>
          <w:szCs w:val="18"/>
          <w:lang w:val="fr-CA"/>
        </w:rPr>
      </w:pPr>
      <w:r>
        <w:rPr>
          <w:rStyle w:val="Refdenotaalpie"/>
          <w:szCs w:val="18"/>
        </w:rPr>
        <w:footnoteRef/>
      </w:r>
      <w:r w:rsidRPr="007D6873">
        <w:rPr>
          <w:lang w:val="fr-CA"/>
        </w:rPr>
        <w:t xml:space="preserve">  </w:t>
      </w:r>
      <w:r w:rsidRPr="007D6873">
        <w:rPr>
          <w:color w:val="000000"/>
          <w:lang w:val="fr-CA"/>
        </w:rPr>
        <w:t>Véase http://www.undp.org/content/undp/en/home/operations/transparency/information_disclosurepolicy/</w:t>
      </w:r>
    </w:p>
  </w:footnote>
  <w:footnote w:id="36">
    <w:p w14:paraId="1A86D584" w14:textId="77777777" w:rsidR="00E23E05" w:rsidRPr="007D6873" w:rsidRDefault="00E23E05" w:rsidP="00966EF0">
      <w:pPr>
        <w:pStyle w:val="fn1"/>
        <w:rPr>
          <w:szCs w:val="18"/>
          <w:lang w:val="fr-CA"/>
        </w:rPr>
      </w:pPr>
      <w:r>
        <w:rPr>
          <w:rStyle w:val="Refdenotaalpie"/>
          <w:szCs w:val="18"/>
        </w:rPr>
        <w:footnoteRef/>
      </w:r>
      <w:r w:rsidRPr="007D6873">
        <w:rPr>
          <w:lang w:val="fr-CA"/>
        </w:rPr>
        <w:t xml:space="preserve">  </w:t>
      </w:r>
      <w:r w:rsidRPr="007D6873">
        <w:rPr>
          <w:color w:val="000000"/>
          <w:lang w:val="fr-CA"/>
        </w:rPr>
        <w:t>Véase https://www.thegef.org/gef/policies_guidelines</w:t>
      </w:r>
    </w:p>
  </w:footnote>
  <w:footnote w:id="37">
    <w:p w14:paraId="41B9E858" w14:textId="78170BA6" w:rsidR="00E23E05" w:rsidRPr="00821E59" w:rsidRDefault="00E23E05" w:rsidP="00966EF0">
      <w:pPr>
        <w:pStyle w:val="fn1"/>
        <w:rPr>
          <w:szCs w:val="18"/>
        </w:rPr>
      </w:pPr>
      <w:r>
        <w:rPr>
          <w:rStyle w:val="Refdenotaalpie"/>
          <w:szCs w:val="18"/>
        </w:rPr>
        <w:footnoteRef/>
      </w:r>
      <w:r>
        <w:t xml:space="preserve"> Los métodos de recopilación de datos deben describir las herramientas específicas utilizadas para recopilar datos e información adicional necesaria para apoyar el monitoreo. El PIR no puede utilizarse como fuente de verificación.</w:t>
      </w:r>
    </w:p>
  </w:footnote>
  <w:footnote w:id="38">
    <w:p w14:paraId="3C12F74D" w14:textId="094C3CE6" w:rsidR="00E23E05" w:rsidRPr="00821E59" w:rsidRDefault="00E23E05">
      <w:pPr>
        <w:pStyle w:val="Textonotapie"/>
        <w:rPr>
          <w:sz w:val="18"/>
          <w:szCs w:val="18"/>
        </w:rPr>
      </w:pPr>
      <w:r>
        <w:rPr>
          <w:rStyle w:val="Refdenotaalpie"/>
          <w:szCs w:val="18"/>
        </w:rPr>
        <w:footnoteRef/>
      </w:r>
      <w:r>
        <w:rPr>
          <w:sz w:val="18"/>
        </w:rPr>
        <w:t xml:space="preserve"> Las cartas de cofinanciación de los socios comprometidos figuran en el Anexo 15.</w:t>
      </w:r>
    </w:p>
  </w:footnote>
  <w:footnote w:id="39">
    <w:p w14:paraId="14134513" w14:textId="77777777" w:rsidR="00E23E05" w:rsidRPr="002903E3" w:rsidRDefault="00E23E05" w:rsidP="00966EF0">
      <w:pPr>
        <w:pStyle w:val="fn1"/>
        <w:jc w:val="left"/>
        <w:rPr>
          <w:szCs w:val="18"/>
          <w:lang w:val="en-US"/>
        </w:rPr>
      </w:pPr>
      <w:r>
        <w:rPr>
          <w:rStyle w:val="Refdenotaalpie"/>
          <w:rFonts w:ascii="Calibri" w:hAnsi="Calibri"/>
          <w:szCs w:val="18"/>
        </w:rPr>
        <w:footnoteRef/>
      </w:r>
      <w:r w:rsidRPr="002903E3">
        <w:rPr>
          <w:lang w:val="en-US"/>
        </w:rPr>
        <w:t xml:space="preserve"> Véase </w:t>
      </w:r>
      <w:hyperlink r:id="rId20" w:history="1">
        <w:r w:rsidRPr="002903E3">
          <w:rPr>
            <w:rStyle w:val="Hipervnculo"/>
            <w:lang w:val="en-US"/>
          </w:rPr>
          <w:t>https://popp.undp.org/_layouts/15/WopiFrame.aspx?sourcedoc=/UNDP_POPP_DOCUMENT_LIBRARY/Public/PPM_Project Management_Closing.docx&amp;action=default.</w:t>
        </w:r>
      </w:hyperlink>
      <w:r w:rsidRPr="002903E3">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E23E05" w:rsidRPr="00424365" w:rsidRDefault="00E23E05" w:rsidP="00BA3DD6">
    <w:pPr>
      <w:pStyle w:val="Encabezado"/>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2038"/>
    <w:multiLevelType w:val="hybridMultilevel"/>
    <w:tmpl w:val="555AB970"/>
    <w:lvl w:ilvl="0" w:tplc="080A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D93813"/>
    <w:multiLevelType w:val="hybridMultilevel"/>
    <w:tmpl w:val="C5CA853E"/>
    <w:lvl w:ilvl="0" w:tplc="3E78E61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14619CB"/>
    <w:multiLevelType w:val="hybridMultilevel"/>
    <w:tmpl w:val="10AAC4E8"/>
    <w:lvl w:ilvl="0" w:tplc="55D2C6E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1A0736C"/>
    <w:multiLevelType w:val="hybridMultilevel"/>
    <w:tmpl w:val="594C16F8"/>
    <w:lvl w:ilvl="0" w:tplc="300466B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3DE7DE0"/>
    <w:multiLevelType w:val="hybridMultilevel"/>
    <w:tmpl w:val="0B26EC1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B03DA"/>
    <w:multiLevelType w:val="hybridMultilevel"/>
    <w:tmpl w:val="FE8288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6265FF3"/>
    <w:multiLevelType w:val="hybridMultilevel"/>
    <w:tmpl w:val="53DC8CBE"/>
    <w:lvl w:ilvl="0" w:tplc="84AAE4B8">
      <w:start w:val="14"/>
      <w:numFmt w:val="decimal"/>
      <w:lvlText w:val="%1."/>
      <w:lvlJc w:val="left"/>
      <w:pPr>
        <w:ind w:left="360" w:hanging="360"/>
      </w:pPr>
      <w:rPr>
        <w:rFonts w:ascii="Arial" w:hAnsi="Arial" w:cs="Aria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1D66AE"/>
    <w:multiLevelType w:val="hybridMultilevel"/>
    <w:tmpl w:val="D434780E"/>
    <w:lvl w:ilvl="0" w:tplc="1954108C">
      <w:start w:val="50"/>
      <w:numFmt w:val="decimal"/>
      <w:lvlText w:val="%1."/>
      <w:lvlJc w:val="left"/>
      <w:pPr>
        <w:ind w:left="502" w:hanging="360"/>
      </w:pPr>
      <w:rPr>
        <w:rFonts w:asciiTheme="majorHAnsi" w:hAnsiTheme="majorHAnsi" w:cstheme="majorHAnsi" w:hint="default"/>
        <w:b w:val="0"/>
        <w:i w:val="0"/>
        <w:color w:val="auto"/>
        <w:sz w:val="20"/>
        <w:szCs w:val="22"/>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147EA954">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7D365E"/>
    <w:multiLevelType w:val="hybridMultilevel"/>
    <w:tmpl w:val="00A88A24"/>
    <w:lvl w:ilvl="0" w:tplc="A72CC19E">
      <w:start w:val="4"/>
      <w:numFmt w:val="bullet"/>
      <w:lvlText w:val="-"/>
      <w:lvlJc w:val="left"/>
      <w:pPr>
        <w:ind w:left="720" w:hanging="360"/>
      </w:pPr>
      <w:rPr>
        <w:rFonts w:ascii="Calibri" w:eastAsia="Times New Roman"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1CF75D27"/>
    <w:multiLevelType w:val="hybridMultilevel"/>
    <w:tmpl w:val="10AAC4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021AF8"/>
    <w:multiLevelType w:val="hybridMultilevel"/>
    <w:tmpl w:val="B5DEB118"/>
    <w:lvl w:ilvl="0" w:tplc="55D2C6E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90D00FB"/>
    <w:multiLevelType w:val="hybridMultilevel"/>
    <w:tmpl w:val="00A2BB4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34D3D28"/>
    <w:multiLevelType w:val="hybridMultilevel"/>
    <w:tmpl w:val="091CF35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3D441665"/>
    <w:multiLevelType w:val="hybridMultilevel"/>
    <w:tmpl w:val="8F703B3A"/>
    <w:lvl w:ilvl="0" w:tplc="89D8C79A">
      <w:start w:val="1"/>
      <w:numFmt w:val="lowerLetter"/>
      <w:lvlText w:val="%1)"/>
      <w:lvlJc w:val="left"/>
      <w:pPr>
        <w:ind w:left="720" w:hanging="360"/>
      </w:pPr>
      <w:rPr>
        <w:rFonts w:asciiTheme="minorHAnsi" w:eastAsia="Times New Roman" w:hAnsiTheme="minorHAnsi" w:cstheme="minorHAns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B07BA2"/>
    <w:multiLevelType w:val="hybridMultilevel"/>
    <w:tmpl w:val="A20E65FE"/>
    <w:lvl w:ilvl="0" w:tplc="FD58C1AE">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BC10066"/>
    <w:multiLevelType w:val="hybridMultilevel"/>
    <w:tmpl w:val="087A7FD0"/>
    <w:lvl w:ilvl="0" w:tplc="4C48F08E">
      <w:start w:val="1"/>
      <w:numFmt w:val="lowerRoman"/>
      <w:lvlText w:val="%1)"/>
      <w:lvlJc w:val="left"/>
      <w:pPr>
        <w:ind w:left="949" w:hanging="720"/>
      </w:pPr>
      <w:rPr>
        <w:rFonts w:hint="default"/>
      </w:rPr>
    </w:lvl>
    <w:lvl w:ilvl="1" w:tplc="040C0019" w:tentative="1">
      <w:start w:val="1"/>
      <w:numFmt w:val="lowerLetter"/>
      <w:lvlText w:val="%2."/>
      <w:lvlJc w:val="left"/>
      <w:pPr>
        <w:ind w:left="1309" w:hanging="360"/>
      </w:pPr>
    </w:lvl>
    <w:lvl w:ilvl="2" w:tplc="040C001B" w:tentative="1">
      <w:start w:val="1"/>
      <w:numFmt w:val="lowerRoman"/>
      <w:lvlText w:val="%3."/>
      <w:lvlJc w:val="right"/>
      <w:pPr>
        <w:ind w:left="2029" w:hanging="180"/>
      </w:pPr>
    </w:lvl>
    <w:lvl w:ilvl="3" w:tplc="040C000F" w:tentative="1">
      <w:start w:val="1"/>
      <w:numFmt w:val="decimal"/>
      <w:lvlText w:val="%4."/>
      <w:lvlJc w:val="left"/>
      <w:pPr>
        <w:ind w:left="2749" w:hanging="360"/>
      </w:pPr>
    </w:lvl>
    <w:lvl w:ilvl="4" w:tplc="040C0019" w:tentative="1">
      <w:start w:val="1"/>
      <w:numFmt w:val="lowerLetter"/>
      <w:lvlText w:val="%5."/>
      <w:lvlJc w:val="left"/>
      <w:pPr>
        <w:ind w:left="3469" w:hanging="360"/>
      </w:pPr>
    </w:lvl>
    <w:lvl w:ilvl="5" w:tplc="040C001B" w:tentative="1">
      <w:start w:val="1"/>
      <w:numFmt w:val="lowerRoman"/>
      <w:lvlText w:val="%6."/>
      <w:lvlJc w:val="right"/>
      <w:pPr>
        <w:ind w:left="4189" w:hanging="180"/>
      </w:pPr>
    </w:lvl>
    <w:lvl w:ilvl="6" w:tplc="040C000F" w:tentative="1">
      <w:start w:val="1"/>
      <w:numFmt w:val="decimal"/>
      <w:lvlText w:val="%7."/>
      <w:lvlJc w:val="left"/>
      <w:pPr>
        <w:ind w:left="4909" w:hanging="360"/>
      </w:pPr>
    </w:lvl>
    <w:lvl w:ilvl="7" w:tplc="040C0019" w:tentative="1">
      <w:start w:val="1"/>
      <w:numFmt w:val="lowerLetter"/>
      <w:lvlText w:val="%8."/>
      <w:lvlJc w:val="left"/>
      <w:pPr>
        <w:ind w:left="5629" w:hanging="360"/>
      </w:pPr>
    </w:lvl>
    <w:lvl w:ilvl="8" w:tplc="040C001B" w:tentative="1">
      <w:start w:val="1"/>
      <w:numFmt w:val="lowerRoman"/>
      <w:lvlText w:val="%9."/>
      <w:lvlJc w:val="right"/>
      <w:pPr>
        <w:ind w:left="6349" w:hanging="180"/>
      </w:pPr>
    </w:lvl>
  </w:abstractNum>
  <w:abstractNum w:abstractNumId="31"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B86CE7"/>
    <w:multiLevelType w:val="hybridMultilevel"/>
    <w:tmpl w:val="63D09BE0"/>
    <w:lvl w:ilvl="0" w:tplc="D400AD02">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65575F"/>
    <w:multiLevelType w:val="hybridMultilevel"/>
    <w:tmpl w:val="137834F6"/>
    <w:lvl w:ilvl="0" w:tplc="A8AA36D0">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EC47023"/>
    <w:multiLevelType w:val="hybridMultilevel"/>
    <w:tmpl w:val="10AAC4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6" w15:restartNumberingAfterBreak="0">
    <w:nsid w:val="51270491"/>
    <w:multiLevelType w:val="hybridMultilevel"/>
    <w:tmpl w:val="0DC45A74"/>
    <w:lvl w:ilvl="0" w:tplc="DDF0E4EC">
      <w:start w:val="1"/>
      <w:numFmt w:val="lowerRoman"/>
      <w:lvlText w:val="%1)"/>
      <w:lvlJc w:val="left"/>
      <w:pPr>
        <w:ind w:left="720" w:hanging="360"/>
      </w:pPr>
      <w:rPr>
        <w:rFonts w:asciiTheme="minorHAnsi" w:hAnsiTheme="minorHAnsi" w:cstheme="minorHAnsi"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EB1646"/>
    <w:multiLevelType w:val="hybridMultilevel"/>
    <w:tmpl w:val="6D6AE636"/>
    <w:lvl w:ilvl="0" w:tplc="FFFFFFFF">
      <w:start w:val="4"/>
      <w:numFmt w:val="bullet"/>
      <w:lvlText w:val="-"/>
      <w:lvlJc w:val="left"/>
      <w:pPr>
        <w:ind w:left="720" w:hanging="360"/>
      </w:pPr>
      <w:rPr>
        <w:rFonts w:ascii="Calibri" w:eastAsia="Times New Roman" w:hAnsi="Calibri" w:cs="Calibri" w:hint="default"/>
      </w:rPr>
    </w:lvl>
    <w:lvl w:ilvl="1" w:tplc="54304942">
      <w:numFmt w:val="bullet"/>
      <w:lvlText w:val="-"/>
      <w:lvlJc w:val="left"/>
      <w:pPr>
        <w:ind w:left="144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5A9576D"/>
    <w:multiLevelType w:val="hybridMultilevel"/>
    <w:tmpl w:val="1898015A"/>
    <w:lvl w:ilvl="0" w:tplc="DDF0E4EC">
      <w:start w:val="1"/>
      <w:numFmt w:val="lowerRoman"/>
      <w:lvlText w:val="%1)"/>
      <w:lvlJc w:val="left"/>
      <w:pPr>
        <w:ind w:left="720" w:hanging="360"/>
      </w:pPr>
      <w:rPr>
        <w:rFonts w:asciiTheme="minorHAnsi" w:hAnsiTheme="minorHAnsi" w:cstheme="minorHAnsi"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A39597C"/>
    <w:multiLevelType w:val="hybridMultilevel"/>
    <w:tmpl w:val="E9D678BE"/>
    <w:lvl w:ilvl="0" w:tplc="C3E49B86">
      <w:start w:val="1"/>
      <w:numFmt w:val="lowerLetter"/>
      <w:lvlText w:val="%1)"/>
      <w:lvlJc w:val="left"/>
      <w:pPr>
        <w:ind w:left="720" w:hanging="360"/>
      </w:pPr>
      <w:rPr>
        <w:rFonts w:eastAsia="SimSu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B7E150E"/>
    <w:multiLevelType w:val="hybridMultilevel"/>
    <w:tmpl w:val="CB24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5B2E22"/>
    <w:multiLevelType w:val="hybridMultilevel"/>
    <w:tmpl w:val="2EA01E90"/>
    <w:lvl w:ilvl="0" w:tplc="DACA1F5E">
      <w:start w:val="2"/>
      <w:numFmt w:val="lowerRoman"/>
      <w:lvlText w:val="%1)"/>
      <w:lvlJc w:val="left"/>
      <w:pPr>
        <w:ind w:left="720" w:hanging="360"/>
      </w:pPr>
      <w:rPr>
        <w:rFonts w:ascii="Calibri" w:hAnsi="Calibri" w:cs="Calibri"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0DD2313"/>
    <w:multiLevelType w:val="hybridMultilevel"/>
    <w:tmpl w:val="FFFFFFFF"/>
    <w:lvl w:ilvl="0" w:tplc="A600DA5E">
      <w:start w:val="1"/>
      <w:numFmt w:val="bullet"/>
      <w:lvlText w:val=""/>
      <w:lvlJc w:val="left"/>
      <w:pPr>
        <w:ind w:left="720" w:hanging="360"/>
      </w:pPr>
      <w:rPr>
        <w:rFonts w:ascii="Symbol" w:hAnsi="Symbol" w:hint="default"/>
      </w:rPr>
    </w:lvl>
    <w:lvl w:ilvl="1" w:tplc="F2B6FA18">
      <w:start w:val="1"/>
      <w:numFmt w:val="bullet"/>
      <w:lvlText w:val="o"/>
      <w:lvlJc w:val="left"/>
      <w:pPr>
        <w:ind w:left="1440" w:hanging="360"/>
      </w:pPr>
      <w:rPr>
        <w:rFonts w:ascii="Courier New" w:hAnsi="Courier New" w:hint="default"/>
      </w:rPr>
    </w:lvl>
    <w:lvl w:ilvl="2" w:tplc="0A42EA40">
      <w:start w:val="1"/>
      <w:numFmt w:val="bullet"/>
      <w:lvlText w:val=""/>
      <w:lvlJc w:val="left"/>
      <w:pPr>
        <w:ind w:left="2160" w:hanging="360"/>
      </w:pPr>
      <w:rPr>
        <w:rFonts w:ascii="Wingdings" w:hAnsi="Wingdings" w:hint="default"/>
      </w:rPr>
    </w:lvl>
    <w:lvl w:ilvl="3" w:tplc="1F44B7D2">
      <w:start w:val="1"/>
      <w:numFmt w:val="bullet"/>
      <w:lvlText w:val=""/>
      <w:lvlJc w:val="left"/>
      <w:pPr>
        <w:ind w:left="2880" w:hanging="360"/>
      </w:pPr>
      <w:rPr>
        <w:rFonts w:ascii="Symbol" w:hAnsi="Symbol" w:hint="default"/>
      </w:rPr>
    </w:lvl>
    <w:lvl w:ilvl="4" w:tplc="AD1C780E">
      <w:start w:val="1"/>
      <w:numFmt w:val="bullet"/>
      <w:lvlText w:val="o"/>
      <w:lvlJc w:val="left"/>
      <w:pPr>
        <w:ind w:left="3600" w:hanging="360"/>
      </w:pPr>
      <w:rPr>
        <w:rFonts w:ascii="Courier New" w:hAnsi="Courier New" w:hint="default"/>
      </w:rPr>
    </w:lvl>
    <w:lvl w:ilvl="5" w:tplc="451E1822">
      <w:start w:val="1"/>
      <w:numFmt w:val="bullet"/>
      <w:lvlText w:val=""/>
      <w:lvlJc w:val="left"/>
      <w:pPr>
        <w:ind w:left="4320" w:hanging="360"/>
      </w:pPr>
      <w:rPr>
        <w:rFonts w:ascii="Wingdings" w:hAnsi="Wingdings" w:hint="default"/>
      </w:rPr>
    </w:lvl>
    <w:lvl w:ilvl="6" w:tplc="530E9C9C">
      <w:start w:val="1"/>
      <w:numFmt w:val="bullet"/>
      <w:lvlText w:val=""/>
      <w:lvlJc w:val="left"/>
      <w:pPr>
        <w:ind w:left="5040" w:hanging="360"/>
      </w:pPr>
      <w:rPr>
        <w:rFonts w:ascii="Symbol" w:hAnsi="Symbol" w:hint="default"/>
      </w:rPr>
    </w:lvl>
    <w:lvl w:ilvl="7" w:tplc="8EACEF70">
      <w:start w:val="1"/>
      <w:numFmt w:val="bullet"/>
      <w:lvlText w:val="o"/>
      <w:lvlJc w:val="left"/>
      <w:pPr>
        <w:ind w:left="5760" w:hanging="360"/>
      </w:pPr>
      <w:rPr>
        <w:rFonts w:ascii="Courier New" w:hAnsi="Courier New" w:hint="default"/>
      </w:rPr>
    </w:lvl>
    <w:lvl w:ilvl="8" w:tplc="60109F0C">
      <w:start w:val="1"/>
      <w:numFmt w:val="bullet"/>
      <w:lvlText w:val=""/>
      <w:lvlJc w:val="left"/>
      <w:pPr>
        <w:ind w:left="6480" w:hanging="360"/>
      </w:pPr>
      <w:rPr>
        <w:rFonts w:ascii="Wingdings" w:hAnsi="Wingdings" w:hint="default"/>
      </w:rPr>
    </w:lvl>
  </w:abstractNum>
  <w:abstractNum w:abstractNumId="46" w15:restartNumberingAfterBreak="0">
    <w:nsid w:val="72295049"/>
    <w:multiLevelType w:val="hybridMultilevel"/>
    <w:tmpl w:val="138E8474"/>
    <w:lvl w:ilvl="0" w:tplc="8208DB1C">
      <w:start w:val="1"/>
      <w:numFmt w:val="lowerRoman"/>
      <w:lvlText w:val="%1."/>
      <w:lvlJc w:val="left"/>
      <w:pPr>
        <w:ind w:left="567" w:hanging="207"/>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A584800"/>
    <w:multiLevelType w:val="hybridMultilevel"/>
    <w:tmpl w:val="CA56F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50174485">
    <w:abstractNumId w:val="14"/>
  </w:num>
  <w:num w:numId="2" w16cid:durableId="656954454">
    <w:abstractNumId w:val="5"/>
  </w:num>
  <w:num w:numId="3" w16cid:durableId="1422293997">
    <w:abstractNumId w:val="40"/>
  </w:num>
  <w:num w:numId="4" w16cid:durableId="161239183">
    <w:abstractNumId w:val="22"/>
  </w:num>
  <w:num w:numId="5" w16cid:durableId="1608079730">
    <w:abstractNumId w:val="11"/>
  </w:num>
  <w:num w:numId="6" w16cid:durableId="1777946819">
    <w:abstractNumId w:val="27"/>
  </w:num>
  <w:num w:numId="7" w16cid:durableId="260067882">
    <w:abstractNumId w:val="8"/>
  </w:num>
  <w:num w:numId="8" w16cid:durableId="939069367">
    <w:abstractNumId w:val="50"/>
  </w:num>
  <w:num w:numId="9" w16cid:durableId="190727754">
    <w:abstractNumId w:val="38"/>
  </w:num>
  <w:num w:numId="10" w16cid:durableId="984773396">
    <w:abstractNumId w:val="9"/>
  </w:num>
  <w:num w:numId="11" w16cid:durableId="587464772">
    <w:abstractNumId w:val="35"/>
  </w:num>
  <w:num w:numId="12" w16cid:durableId="1406297597">
    <w:abstractNumId w:val="26"/>
  </w:num>
  <w:num w:numId="13" w16cid:durableId="409812177">
    <w:abstractNumId w:val="47"/>
  </w:num>
  <w:num w:numId="14" w16cid:durableId="884366292">
    <w:abstractNumId w:val="7"/>
  </w:num>
  <w:num w:numId="15" w16cid:durableId="986280379">
    <w:abstractNumId w:val="13"/>
  </w:num>
  <w:num w:numId="16" w16cid:durableId="1565989113">
    <w:abstractNumId w:val="10"/>
  </w:num>
  <w:num w:numId="17" w16cid:durableId="1995333957">
    <w:abstractNumId w:val="29"/>
  </w:num>
  <w:num w:numId="18" w16cid:durableId="2104912030">
    <w:abstractNumId w:val="19"/>
  </w:num>
  <w:num w:numId="19" w16cid:durableId="893080816">
    <w:abstractNumId w:val="48"/>
  </w:num>
  <w:num w:numId="20" w16cid:durableId="962662165">
    <w:abstractNumId w:val="45"/>
  </w:num>
  <w:num w:numId="21" w16cid:durableId="1448890770">
    <w:abstractNumId w:val="24"/>
  </w:num>
  <w:num w:numId="22" w16cid:durableId="1128545886">
    <w:abstractNumId w:val="33"/>
  </w:num>
  <w:num w:numId="23" w16cid:durableId="911089003">
    <w:abstractNumId w:val="17"/>
  </w:num>
  <w:num w:numId="24" w16cid:durableId="7149240">
    <w:abstractNumId w:val="41"/>
  </w:num>
  <w:num w:numId="25" w16cid:durableId="659774400">
    <w:abstractNumId w:val="28"/>
  </w:num>
  <w:num w:numId="26" w16cid:durableId="516818810">
    <w:abstractNumId w:val="4"/>
  </w:num>
  <w:num w:numId="27" w16cid:durableId="1906335445">
    <w:abstractNumId w:val="0"/>
  </w:num>
  <w:num w:numId="28" w16cid:durableId="693502164">
    <w:abstractNumId w:val="44"/>
  </w:num>
  <w:num w:numId="29" w16cid:durableId="472336633">
    <w:abstractNumId w:val="49"/>
  </w:num>
  <w:num w:numId="30" w16cid:durableId="1470198795">
    <w:abstractNumId w:val="6"/>
  </w:num>
  <w:num w:numId="31" w16cid:durableId="1610042930">
    <w:abstractNumId w:val="30"/>
  </w:num>
  <w:num w:numId="32" w16cid:durableId="1557012566">
    <w:abstractNumId w:val="2"/>
  </w:num>
  <w:num w:numId="33" w16cid:durableId="3896250">
    <w:abstractNumId w:val="34"/>
  </w:num>
  <w:num w:numId="34" w16cid:durableId="627200643">
    <w:abstractNumId w:val="20"/>
  </w:num>
  <w:num w:numId="35" w16cid:durableId="1100835198">
    <w:abstractNumId w:val="16"/>
  </w:num>
  <w:num w:numId="36" w16cid:durableId="818350123">
    <w:abstractNumId w:val="18"/>
  </w:num>
  <w:num w:numId="37" w16cid:durableId="132798773">
    <w:abstractNumId w:val="43"/>
  </w:num>
  <w:num w:numId="38" w16cid:durableId="758986254">
    <w:abstractNumId w:val="46"/>
  </w:num>
  <w:num w:numId="39" w16cid:durableId="372728428">
    <w:abstractNumId w:val="1"/>
  </w:num>
  <w:num w:numId="40" w16cid:durableId="431049533">
    <w:abstractNumId w:val="36"/>
  </w:num>
  <w:num w:numId="41" w16cid:durableId="914512004">
    <w:abstractNumId w:val="37"/>
  </w:num>
  <w:num w:numId="42" w16cid:durableId="1695034200">
    <w:abstractNumId w:val="42"/>
  </w:num>
  <w:num w:numId="43" w16cid:durableId="225646557">
    <w:abstractNumId w:val="25"/>
  </w:num>
  <w:num w:numId="44" w16cid:durableId="606162736">
    <w:abstractNumId w:val="3"/>
  </w:num>
  <w:num w:numId="45" w16cid:durableId="1852451838">
    <w:abstractNumId w:val="23"/>
  </w:num>
  <w:num w:numId="46" w16cid:durableId="1473869538">
    <w:abstractNumId w:val="31"/>
  </w:num>
  <w:num w:numId="47" w16cid:durableId="947546978">
    <w:abstractNumId w:val="39"/>
  </w:num>
  <w:num w:numId="48" w16cid:durableId="1630472192">
    <w:abstractNumId w:val="32"/>
  </w:num>
  <w:num w:numId="49" w16cid:durableId="191193693">
    <w:abstractNumId w:val="15"/>
  </w:num>
  <w:num w:numId="50" w16cid:durableId="1494953536">
    <w:abstractNumId w:val="12"/>
  </w:num>
  <w:num w:numId="51" w16cid:durableId="777530865">
    <w:abstractNumId w:val="2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581"/>
    <w:rsid w:val="00000782"/>
    <w:rsid w:val="00000BA7"/>
    <w:rsid w:val="00001C46"/>
    <w:rsid w:val="00002037"/>
    <w:rsid w:val="00003569"/>
    <w:rsid w:val="00004239"/>
    <w:rsid w:val="000042C2"/>
    <w:rsid w:val="0000443B"/>
    <w:rsid w:val="000046A4"/>
    <w:rsid w:val="000054EA"/>
    <w:rsid w:val="00005775"/>
    <w:rsid w:val="00006870"/>
    <w:rsid w:val="00007410"/>
    <w:rsid w:val="00010044"/>
    <w:rsid w:val="000105D0"/>
    <w:rsid w:val="00010B96"/>
    <w:rsid w:val="000117B5"/>
    <w:rsid w:val="000120B3"/>
    <w:rsid w:val="00012F9C"/>
    <w:rsid w:val="00013922"/>
    <w:rsid w:val="00013A7E"/>
    <w:rsid w:val="00013CF0"/>
    <w:rsid w:val="0001429C"/>
    <w:rsid w:val="00015084"/>
    <w:rsid w:val="00015160"/>
    <w:rsid w:val="000155C3"/>
    <w:rsid w:val="00015A0A"/>
    <w:rsid w:val="00015DAD"/>
    <w:rsid w:val="00015FFE"/>
    <w:rsid w:val="0001625B"/>
    <w:rsid w:val="00016ABC"/>
    <w:rsid w:val="00017F66"/>
    <w:rsid w:val="000200E2"/>
    <w:rsid w:val="00020555"/>
    <w:rsid w:val="00021603"/>
    <w:rsid w:val="00022289"/>
    <w:rsid w:val="000223E9"/>
    <w:rsid w:val="00022972"/>
    <w:rsid w:val="00022C4D"/>
    <w:rsid w:val="00022E6A"/>
    <w:rsid w:val="000241FF"/>
    <w:rsid w:val="000242F3"/>
    <w:rsid w:val="00024396"/>
    <w:rsid w:val="0002553C"/>
    <w:rsid w:val="000259B9"/>
    <w:rsid w:val="00027380"/>
    <w:rsid w:val="000278E2"/>
    <w:rsid w:val="000300F3"/>
    <w:rsid w:val="000303D2"/>
    <w:rsid w:val="00032D49"/>
    <w:rsid w:val="00033126"/>
    <w:rsid w:val="0003353F"/>
    <w:rsid w:val="00033F69"/>
    <w:rsid w:val="00035BD2"/>
    <w:rsid w:val="00036894"/>
    <w:rsid w:val="0003795E"/>
    <w:rsid w:val="00037BA4"/>
    <w:rsid w:val="00040C44"/>
    <w:rsid w:val="00041730"/>
    <w:rsid w:val="00042EBB"/>
    <w:rsid w:val="000434EF"/>
    <w:rsid w:val="00043554"/>
    <w:rsid w:val="00043695"/>
    <w:rsid w:val="00043910"/>
    <w:rsid w:val="00043A23"/>
    <w:rsid w:val="000444B0"/>
    <w:rsid w:val="00044F8A"/>
    <w:rsid w:val="00044FCF"/>
    <w:rsid w:val="0004524C"/>
    <w:rsid w:val="0004633A"/>
    <w:rsid w:val="0004661C"/>
    <w:rsid w:val="00046990"/>
    <w:rsid w:val="00046EB9"/>
    <w:rsid w:val="00047130"/>
    <w:rsid w:val="0004764E"/>
    <w:rsid w:val="00047FD6"/>
    <w:rsid w:val="00050287"/>
    <w:rsid w:val="00050414"/>
    <w:rsid w:val="000510E8"/>
    <w:rsid w:val="00051CFB"/>
    <w:rsid w:val="00052368"/>
    <w:rsid w:val="00052CEB"/>
    <w:rsid w:val="00052E17"/>
    <w:rsid w:val="00052F03"/>
    <w:rsid w:val="00053232"/>
    <w:rsid w:val="0005324C"/>
    <w:rsid w:val="0005359E"/>
    <w:rsid w:val="00053C4D"/>
    <w:rsid w:val="00053F75"/>
    <w:rsid w:val="00054A1B"/>
    <w:rsid w:val="00055861"/>
    <w:rsid w:val="00055E12"/>
    <w:rsid w:val="000568AF"/>
    <w:rsid w:val="0005774D"/>
    <w:rsid w:val="000577DA"/>
    <w:rsid w:val="00060EEE"/>
    <w:rsid w:val="00061A1C"/>
    <w:rsid w:val="00061B1A"/>
    <w:rsid w:val="00063208"/>
    <w:rsid w:val="00064DE8"/>
    <w:rsid w:val="00065F40"/>
    <w:rsid w:val="00066991"/>
    <w:rsid w:val="00070321"/>
    <w:rsid w:val="00070B7C"/>
    <w:rsid w:val="000720AA"/>
    <w:rsid w:val="0007230F"/>
    <w:rsid w:val="0007286C"/>
    <w:rsid w:val="00072C43"/>
    <w:rsid w:val="00072EEA"/>
    <w:rsid w:val="00074DF3"/>
    <w:rsid w:val="0007502A"/>
    <w:rsid w:val="000755BC"/>
    <w:rsid w:val="00075A20"/>
    <w:rsid w:val="00075A8A"/>
    <w:rsid w:val="0007611F"/>
    <w:rsid w:val="000766C3"/>
    <w:rsid w:val="00076CE6"/>
    <w:rsid w:val="0007740B"/>
    <w:rsid w:val="00080022"/>
    <w:rsid w:val="00081619"/>
    <w:rsid w:val="000816D6"/>
    <w:rsid w:val="00081CD0"/>
    <w:rsid w:val="00082E9E"/>
    <w:rsid w:val="00082EC0"/>
    <w:rsid w:val="000831EB"/>
    <w:rsid w:val="00083466"/>
    <w:rsid w:val="00083F19"/>
    <w:rsid w:val="00084A28"/>
    <w:rsid w:val="00085679"/>
    <w:rsid w:val="00085B07"/>
    <w:rsid w:val="000875E1"/>
    <w:rsid w:val="00087ACE"/>
    <w:rsid w:val="00087C4D"/>
    <w:rsid w:val="00091221"/>
    <w:rsid w:val="000916BE"/>
    <w:rsid w:val="00091B24"/>
    <w:rsid w:val="00091ED9"/>
    <w:rsid w:val="00092D4B"/>
    <w:rsid w:val="00092F31"/>
    <w:rsid w:val="00093D67"/>
    <w:rsid w:val="00094411"/>
    <w:rsid w:val="0009467E"/>
    <w:rsid w:val="00096A1C"/>
    <w:rsid w:val="00097311"/>
    <w:rsid w:val="000977C0"/>
    <w:rsid w:val="000A0527"/>
    <w:rsid w:val="000A147D"/>
    <w:rsid w:val="000A1523"/>
    <w:rsid w:val="000A158A"/>
    <w:rsid w:val="000A1870"/>
    <w:rsid w:val="000A25AC"/>
    <w:rsid w:val="000A3B53"/>
    <w:rsid w:val="000A3C1B"/>
    <w:rsid w:val="000A3EA0"/>
    <w:rsid w:val="000A3FE4"/>
    <w:rsid w:val="000A41FF"/>
    <w:rsid w:val="000A4317"/>
    <w:rsid w:val="000A54D4"/>
    <w:rsid w:val="000A57AD"/>
    <w:rsid w:val="000A5A3E"/>
    <w:rsid w:val="000A5D87"/>
    <w:rsid w:val="000A5E30"/>
    <w:rsid w:val="000A6A41"/>
    <w:rsid w:val="000A6AF0"/>
    <w:rsid w:val="000A6C46"/>
    <w:rsid w:val="000B3D0A"/>
    <w:rsid w:val="000B58F0"/>
    <w:rsid w:val="000B5E79"/>
    <w:rsid w:val="000B6F94"/>
    <w:rsid w:val="000B7249"/>
    <w:rsid w:val="000B7990"/>
    <w:rsid w:val="000C0748"/>
    <w:rsid w:val="000C0E37"/>
    <w:rsid w:val="000C0F20"/>
    <w:rsid w:val="000C1BAD"/>
    <w:rsid w:val="000C2025"/>
    <w:rsid w:val="000C2570"/>
    <w:rsid w:val="000C3CA6"/>
    <w:rsid w:val="000C5037"/>
    <w:rsid w:val="000C52F9"/>
    <w:rsid w:val="000C5558"/>
    <w:rsid w:val="000C58BF"/>
    <w:rsid w:val="000C650F"/>
    <w:rsid w:val="000C6D00"/>
    <w:rsid w:val="000C78C7"/>
    <w:rsid w:val="000D15D4"/>
    <w:rsid w:val="000D1775"/>
    <w:rsid w:val="000D2568"/>
    <w:rsid w:val="000D27EC"/>
    <w:rsid w:val="000D2F43"/>
    <w:rsid w:val="000D319F"/>
    <w:rsid w:val="000D41EB"/>
    <w:rsid w:val="000D4209"/>
    <w:rsid w:val="000D596F"/>
    <w:rsid w:val="000D5A8A"/>
    <w:rsid w:val="000D6C25"/>
    <w:rsid w:val="000D7729"/>
    <w:rsid w:val="000D7EB2"/>
    <w:rsid w:val="000E03E0"/>
    <w:rsid w:val="000E0B50"/>
    <w:rsid w:val="000E18C8"/>
    <w:rsid w:val="000E218E"/>
    <w:rsid w:val="000E280D"/>
    <w:rsid w:val="000E3E8D"/>
    <w:rsid w:val="000E48FD"/>
    <w:rsid w:val="000E4AC6"/>
    <w:rsid w:val="000E4AD2"/>
    <w:rsid w:val="000E4CAE"/>
    <w:rsid w:val="000E4D3B"/>
    <w:rsid w:val="000E5132"/>
    <w:rsid w:val="000E5520"/>
    <w:rsid w:val="000E5ACE"/>
    <w:rsid w:val="000E5B6E"/>
    <w:rsid w:val="000E64D4"/>
    <w:rsid w:val="000E67BE"/>
    <w:rsid w:val="000E68D6"/>
    <w:rsid w:val="000E7E9A"/>
    <w:rsid w:val="000F0335"/>
    <w:rsid w:val="000F057F"/>
    <w:rsid w:val="000F14BD"/>
    <w:rsid w:val="000F1F80"/>
    <w:rsid w:val="000F21BD"/>
    <w:rsid w:val="000F294E"/>
    <w:rsid w:val="000F422C"/>
    <w:rsid w:val="000F4604"/>
    <w:rsid w:val="000F4A0C"/>
    <w:rsid w:val="000F4A77"/>
    <w:rsid w:val="000F5657"/>
    <w:rsid w:val="000F6C51"/>
    <w:rsid w:val="000F7EC4"/>
    <w:rsid w:val="0010073E"/>
    <w:rsid w:val="0010093F"/>
    <w:rsid w:val="001010B7"/>
    <w:rsid w:val="00102C16"/>
    <w:rsid w:val="00103411"/>
    <w:rsid w:val="0010453B"/>
    <w:rsid w:val="00104883"/>
    <w:rsid w:val="00106451"/>
    <w:rsid w:val="00106A88"/>
    <w:rsid w:val="001073AA"/>
    <w:rsid w:val="0011281C"/>
    <w:rsid w:val="00113423"/>
    <w:rsid w:val="00113C79"/>
    <w:rsid w:val="0011416D"/>
    <w:rsid w:val="00114BFB"/>
    <w:rsid w:val="00114FDA"/>
    <w:rsid w:val="0011518F"/>
    <w:rsid w:val="001159D0"/>
    <w:rsid w:val="00115BC5"/>
    <w:rsid w:val="00115D09"/>
    <w:rsid w:val="00115F1B"/>
    <w:rsid w:val="00116214"/>
    <w:rsid w:val="00116D8D"/>
    <w:rsid w:val="001175EE"/>
    <w:rsid w:val="0012038F"/>
    <w:rsid w:val="001207FF"/>
    <w:rsid w:val="001214FE"/>
    <w:rsid w:val="00121F2A"/>
    <w:rsid w:val="00122133"/>
    <w:rsid w:val="0012286B"/>
    <w:rsid w:val="00122EFF"/>
    <w:rsid w:val="001231D3"/>
    <w:rsid w:val="00123DF4"/>
    <w:rsid w:val="0012462A"/>
    <w:rsid w:val="00124809"/>
    <w:rsid w:val="00124C32"/>
    <w:rsid w:val="001265A6"/>
    <w:rsid w:val="00126818"/>
    <w:rsid w:val="00127576"/>
    <w:rsid w:val="001302AA"/>
    <w:rsid w:val="001314F6"/>
    <w:rsid w:val="00131ACC"/>
    <w:rsid w:val="00131E1E"/>
    <w:rsid w:val="00132E76"/>
    <w:rsid w:val="001337E4"/>
    <w:rsid w:val="00134175"/>
    <w:rsid w:val="001361BF"/>
    <w:rsid w:val="00136309"/>
    <w:rsid w:val="00140D10"/>
    <w:rsid w:val="00141BB7"/>
    <w:rsid w:val="001428F5"/>
    <w:rsid w:val="00142ABB"/>
    <w:rsid w:val="00142C71"/>
    <w:rsid w:val="00142F12"/>
    <w:rsid w:val="00144339"/>
    <w:rsid w:val="00144C24"/>
    <w:rsid w:val="001451FB"/>
    <w:rsid w:val="00146593"/>
    <w:rsid w:val="001476BD"/>
    <w:rsid w:val="001508BC"/>
    <w:rsid w:val="00151728"/>
    <w:rsid w:val="00152DC4"/>
    <w:rsid w:val="00153FE8"/>
    <w:rsid w:val="0015575E"/>
    <w:rsid w:val="0015590D"/>
    <w:rsid w:val="00155914"/>
    <w:rsid w:val="00155D8B"/>
    <w:rsid w:val="00156FCA"/>
    <w:rsid w:val="001571D0"/>
    <w:rsid w:val="00157E82"/>
    <w:rsid w:val="001601FD"/>
    <w:rsid w:val="001608C2"/>
    <w:rsid w:val="00160992"/>
    <w:rsid w:val="00161467"/>
    <w:rsid w:val="00161639"/>
    <w:rsid w:val="00161991"/>
    <w:rsid w:val="00162BA5"/>
    <w:rsid w:val="00163085"/>
    <w:rsid w:val="00163D36"/>
    <w:rsid w:val="00164EC0"/>
    <w:rsid w:val="00165418"/>
    <w:rsid w:val="001660FE"/>
    <w:rsid w:val="00167920"/>
    <w:rsid w:val="00170609"/>
    <w:rsid w:val="0017116E"/>
    <w:rsid w:val="00171476"/>
    <w:rsid w:val="0017196F"/>
    <w:rsid w:val="00172FAD"/>
    <w:rsid w:val="0017340A"/>
    <w:rsid w:val="0017390D"/>
    <w:rsid w:val="00176A6E"/>
    <w:rsid w:val="00177127"/>
    <w:rsid w:val="00177FFC"/>
    <w:rsid w:val="0018037D"/>
    <w:rsid w:val="00180DEA"/>
    <w:rsid w:val="0018107D"/>
    <w:rsid w:val="001815BC"/>
    <w:rsid w:val="00181C45"/>
    <w:rsid w:val="00182611"/>
    <w:rsid w:val="0018299A"/>
    <w:rsid w:val="00182F17"/>
    <w:rsid w:val="00183626"/>
    <w:rsid w:val="00183758"/>
    <w:rsid w:val="001839C9"/>
    <w:rsid w:val="00185126"/>
    <w:rsid w:val="00185C5B"/>
    <w:rsid w:val="001866A3"/>
    <w:rsid w:val="001908D4"/>
    <w:rsid w:val="001910D0"/>
    <w:rsid w:val="00191556"/>
    <w:rsid w:val="0019212E"/>
    <w:rsid w:val="00192A48"/>
    <w:rsid w:val="00192E10"/>
    <w:rsid w:val="001933B6"/>
    <w:rsid w:val="001946CC"/>
    <w:rsid w:val="00194943"/>
    <w:rsid w:val="001949B4"/>
    <w:rsid w:val="00194CCF"/>
    <w:rsid w:val="001956B8"/>
    <w:rsid w:val="00195E86"/>
    <w:rsid w:val="00195EF3"/>
    <w:rsid w:val="00196F24"/>
    <w:rsid w:val="00196F2B"/>
    <w:rsid w:val="001971F9"/>
    <w:rsid w:val="0019735C"/>
    <w:rsid w:val="00197CC6"/>
    <w:rsid w:val="001A0131"/>
    <w:rsid w:val="001A013A"/>
    <w:rsid w:val="001A0E36"/>
    <w:rsid w:val="001A0F47"/>
    <w:rsid w:val="001A128F"/>
    <w:rsid w:val="001A1767"/>
    <w:rsid w:val="001A2067"/>
    <w:rsid w:val="001A2A67"/>
    <w:rsid w:val="001A329B"/>
    <w:rsid w:val="001A35B8"/>
    <w:rsid w:val="001A3775"/>
    <w:rsid w:val="001A4213"/>
    <w:rsid w:val="001A422C"/>
    <w:rsid w:val="001A4553"/>
    <w:rsid w:val="001A4DB0"/>
    <w:rsid w:val="001A5998"/>
    <w:rsid w:val="001A5D90"/>
    <w:rsid w:val="001A5E38"/>
    <w:rsid w:val="001A5E5F"/>
    <w:rsid w:val="001A68AC"/>
    <w:rsid w:val="001A7AF7"/>
    <w:rsid w:val="001B020A"/>
    <w:rsid w:val="001B0465"/>
    <w:rsid w:val="001B14C2"/>
    <w:rsid w:val="001B17BF"/>
    <w:rsid w:val="001B2316"/>
    <w:rsid w:val="001B2EC3"/>
    <w:rsid w:val="001B3664"/>
    <w:rsid w:val="001B400B"/>
    <w:rsid w:val="001B4349"/>
    <w:rsid w:val="001B4E02"/>
    <w:rsid w:val="001B5314"/>
    <w:rsid w:val="001B6699"/>
    <w:rsid w:val="001B6A60"/>
    <w:rsid w:val="001C0DAE"/>
    <w:rsid w:val="001C21A0"/>
    <w:rsid w:val="001C2ABF"/>
    <w:rsid w:val="001C2DC9"/>
    <w:rsid w:val="001C3632"/>
    <w:rsid w:val="001C5829"/>
    <w:rsid w:val="001C6A77"/>
    <w:rsid w:val="001C7682"/>
    <w:rsid w:val="001C7CB7"/>
    <w:rsid w:val="001C7D5C"/>
    <w:rsid w:val="001C7EA0"/>
    <w:rsid w:val="001D1DF0"/>
    <w:rsid w:val="001D2179"/>
    <w:rsid w:val="001D3B22"/>
    <w:rsid w:val="001D3CC7"/>
    <w:rsid w:val="001D3EC2"/>
    <w:rsid w:val="001D3F57"/>
    <w:rsid w:val="001D4786"/>
    <w:rsid w:val="001D5F86"/>
    <w:rsid w:val="001D7634"/>
    <w:rsid w:val="001E0D2B"/>
    <w:rsid w:val="001E162C"/>
    <w:rsid w:val="001E1784"/>
    <w:rsid w:val="001E1815"/>
    <w:rsid w:val="001E2F68"/>
    <w:rsid w:val="001E3FBA"/>
    <w:rsid w:val="001E5459"/>
    <w:rsid w:val="001E5A65"/>
    <w:rsid w:val="001E610F"/>
    <w:rsid w:val="001F0D15"/>
    <w:rsid w:val="001F15CA"/>
    <w:rsid w:val="001F1A3E"/>
    <w:rsid w:val="001F1DF1"/>
    <w:rsid w:val="001F257B"/>
    <w:rsid w:val="001F2D4F"/>
    <w:rsid w:val="001F39D1"/>
    <w:rsid w:val="001F46E0"/>
    <w:rsid w:val="001F50F6"/>
    <w:rsid w:val="001F5360"/>
    <w:rsid w:val="001F5491"/>
    <w:rsid w:val="001F55C2"/>
    <w:rsid w:val="001F57ED"/>
    <w:rsid w:val="001F6BD4"/>
    <w:rsid w:val="001F728C"/>
    <w:rsid w:val="001F7748"/>
    <w:rsid w:val="001F7753"/>
    <w:rsid w:val="001F77C3"/>
    <w:rsid w:val="001F7FC6"/>
    <w:rsid w:val="00200285"/>
    <w:rsid w:val="00201064"/>
    <w:rsid w:val="00201D7D"/>
    <w:rsid w:val="0020319A"/>
    <w:rsid w:val="0020624B"/>
    <w:rsid w:val="0020633A"/>
    <w:rsid w:val="00206377"/>
    <w:rsid w:val="002069A0"/>
    <w:rsid w:val="00206AD8"/>
    <w:rsid w:val="002072E9"/>
    <w:rsid w:val="00207F16"/>
    <w:rsid w:val="002107D8"/>
    <w:rsid w:val="00211301"/>
    <w:rsid w:val="00211994"/>
    <w:rsid w:val="002125B9"/>
    <w:rsid w:val="00212656"/>
    <w:rsid w:val="00213C25"/>
    <w:rsid w:val="00213CC1"/>
    <w:rsid w:val="0021487B"/>
    <w:rsid w:val="002152FE"/>
    <w:rsid w:val="00216A22"/>
    <w:rsid w:val="00217670"/>
    <w:rsid w:val="00220374"/>
    <w:rsid w:val="00220B3C"/>
    <w:rsid w:val="002213AC"/>
    <w:rsid w:val="00221D47"/>
    <w:rsid w:val="00222BAC"/>
    <w:rsid w:val="00222EBA"/>
    <w:rsid w:val="00223572"/>
    <w:rsid w:val="002235BD"/>
    <w:rsid w:val="00224AF0"/>
    <w:rsid w:val="00224B54"/>
    <w:rsid w:val="00226649"/>
    <w:rsid w:val="00226C26"/>
    <w:rsid w:val="00226EFF"/>
    <w:rsid w:val="00227B30"/>
    <w:rsid w:val="00230BAF"/>
    <w:rsid w:val="00231378"/>
    <w:rsid w:val="00231F71"/>
    <w:rsid w:val="00232381"/>
    <w:rsid w:val="002324C6"/>
    <w:rsid w:val="00234806"/>
    <w:rsid w:val="002351E8"/>
    <w:rsid w:val="00235541"/>
    <w:rsid w:val="00236B8F"/>
    <w:rsid w:val="00236C0B"/>
    <w:rsid w:val="00237165"/>
    <w:rsid w:val="002376B0"/>
    <w:rsid w:val="0023798B"/>
    <w:rsid w:val="002379EA"/>
    <w:rsid w:val="002410F5"/>
    <w:rsid w:val="0024192C"/>
    <w:rsid w:val="00243182"/>
    <w:rsid w:val="002445F4"/>
    <w:rsid w:val="00244914"/>
    <w:rsid w:val="00245714"/>
    <w:rsid w:val="002459A6"/>
    <w:rsid w:val="00245FEA"/>
    <w:rsid w:val="00246C08"/>
    <w:rsid w:val="00246D1A"/>
    <w:rsid w:val="002475FF"/>
    <w:rsid w:val="0024771A"/>
    <w:rsid w:val="00250BC9"/>
    <w:rsid w:val="00251D47"/>
    <w:rsid w:val="002536B5"/>
    <w:rsid w:val="00253F0C"/>
    <w:rsid w:val="002541EE"/>
    <w:rsid w:val="00254322"/>
    <w:rsid w:val="00254558"/>
    <w:rsid w:val="00254742"/>
    <w:rsid w:val="00254A81"/>
    <w:rsid w:val="00255959"/>
    <w:rsid w:val="002559B7"/>
    <w:rsid w:val="00256D1D"/>
    <w:rsid w:val="002574ED"/>
    <w:rsid w:val="0025774D"/>
    <w:rsid w:val="00257A99"/>
    <w:rsid w:val="002621DD"/>
    <w:rsid w:val="0026343E"/>
    <w:rsid w:val="002638D7"/>
    <w:rsid w:val="0026481E"/>
    <w:rsid w:val="00265856"/>
    <w:rsid w:val="00265A43"/>
    <w:rsid w:val="00267D20"/>
    <w:rsid w:val="00270A7A"/>
    <w:rsid w:val="00271319"/>
    <w:rsid w:val="00271BE6"/>
    <w:rsid w:val="00273AFD"/>
    <w:rsid w:val="002744C0"/>
    <w:rsid w:val="00274AE2"/>
    <w:rsid w:val="00274DCD"/>
    <w:rsid w:val="00276E31"/>
    <w:rsid w:val="002770C1"/>
    <w:rsid w:val="00277E25"/>
    <w:rsid w:val="00280190"/>
    <w:rsid w:val="002804E9"/>
    <w:rsid w:val="00280534"/>
    <w:rsid w:val="002805A9"/>
    <w:rsid w:val="00280639"/>
    <w:rsid w:val="00280D29"/>
    <w:rsid w:val="00280D7C"/>
    <w:rsid w:val="00281578"/>
    <w:rsid w:val="002816E8"/>
    <w:rsid w:val="00281EDE"/>
    <w:rsid w:val="002831FF"/>
    <w:rsid w:val="002840E9"/>
    <w:rsid w:val="00284B67"/>
    <w:rsid w:val="00285E5B"/>
    <w:rsid w:val="002863DA"/>
    <w:rsid w:val="00286EA2"/>
    <w:rsid w:val="002872BA"/>
    <w:rsid w:val="002875B6"/>
    <w:rsid w:val="002878AC"/>
    <w:rsid w:val="00287904"/>
    <w:rsid w:val="00287F35"/>
    <w:rsid w:val="002903E3"/>
    <w:rsid w:val="002919F7"/>
    <w:rsid w:val="00292FE3"/>
    <w:rsid w:val="0029381F"/>
    <w:rsid w:val="00295758"/>
    <w:rsid w:val="00295771"/>
    <w:rsid w:val="00295E31"/>
    <w:rsid w:val="00296ED4"/>
    <w:rsid w:val="00296F2B"/>
    <w:rsid w:val="0029740B"/>
    <w:rsid w:val="002A14AE"/>
    <w:rsid w:val="002A1849"/>
    <w:rsid w:val="002A1CD8"/>
    <w:rsid w:val="002A1F32"/>
    <w:rsid w:val="002A43D8"/>
    <w:rsid w:val="002A44EF"/>
    <w:rsid w:val="002A463E"/>
    <w:rsid w:val="002A4D02"/>
    <w:rsid w:val="002A50C7"/>
    <w:rsid w:val="002A59BB"/>
    <w:rsid w:val="002A65EB"/>
    <w:rsid w:val="002A6C28"/>
    <w:rsid w:val="002A6D79"/>
    <w:rsid w:val="002A7332"/>
    <w:rsid w:val="002A7D83"/>
    <w:rsid w:val="002B0098"/>
    <w:rsid w:val="002B01C9"/>
    <w:rsid w:val="002B02F7"/>
    <w:rsid w:val="002B0867"/>
    <w:rsid w:val="002B087E"/>
    <w:rsid w:val="002B10C1"/>
    <w:rsid w:val="002B119C"/>
    <w:rsid w:val="002B14BC"/>
    <w:rsid w:val="002B1728"/>
    <w:rsid w:val="002B176A"/>
    <w:rsid w:val="002B19E7"/>
    <w:rsid w:val="002B1F2D"/>
    <w:rsid w:val="002B252F"/>
    <w:rsid w:val="002B324C"/>
    <w:rsid w:val="002B3759"/>
    <w:rsid w:val="002B3B89"/>
    <w:rsid w:val="002B4C8E"/>
    <w:rsid w:val="002B4E9E"/>
    <w:rsid w:val="002B559B"/>
    <w:rsid w:val="002B6756"/>
    <w:rsid w:val="002B789B"/>
    <w:rsid w:val="002C0FBF"/>
    <w:rsid w:val="002C2ED4"/>
    <w:rsid w:val="002C3750"/>
    <w:rsid w:val="002C39CF"/>
    <w:rsid w:val="002C40AC"/>
    <w:rsid w:val="002C4503"/>
    <w:rsid w:val="002C4DAD"/>
    <w:rsid w:val="002C7046"/>
    <w:rsid w:val="002C71A2"/>
    <w:rsid w:val="002C753E"/>
    <w:rsid w:val="002D15B9"/>
    <w:rsid w:val="002D338A"/>
    <w:rsid w:val="002D358F"/>
    <w:rsid w:val="002D3AFE"/>
    <w:rsid w:val="002D4603"/>
    <w:rsid w:val="002D4E12"/>
    <w:rsid w:val="002D54F2"/>
    <w:rsid w:val="002D6291"/>
    <w:rsid w:val="002D6405"/>
    <w:rsid w:val="002D64E1"/>
    <w:rsid w:val="002D6B1A"/>
    <w:rsid w:val="002D6F09"/>
    <w:rsid w:val="002D7DBC"/>
    <w:rsid w:val="002E16F9"/>
    <w:rsid w:val="002E23DB"/>
    <w:rsid w:val="002E25F1"/>
    <w:rsid w:val="002E43B7"/>
    <w:rsid w:val="002E450E"/>
    <w:rsid w:val="002E57BC"/>
    <w:rsid w:val="002E5B07"/>
    <w:rsid w:val="002E5B59"/>
    <w:rsid w:val="002E5F61"/>
    <w:rsid w:val="002E6CF0"/>
    <w:rsid w:val="002F0B32"/>
    <w:rsid w:val="002F0EA4"/>
    <w:rsid w:val="002F0FE2"/>
    <w:rsid w:val="002F1616"/>
    <w:rsid w:val="002F27EF"/>
    <w:rsid w:val="002F351E"/>
    <w:rsid w:val="002F41EC"/>
    <w:rsid w:val="002F5AAC"/>
    <w:rsid w:val="002F65C5"/>
    <w:rsid w:val="002F72A0"/>
    <w:rsid w:val="002F7866"/>
    <w:rsid w:val="00300266"/>
    <w:rsid w:val="0030112B"/>
    <w:rsid w:val="00302FF3"/>
    <w:rsid w:val="00303D38"/>
    <w:rsid w:val="00303F67"/>
    <w:rsid w:val="00304393"/>
    <w:rsid w:val="003051C5"/>
    <w:rsid w:val="0030632C"/>
    <w:rsid w:val="003064BB"/>
    <w:rsid w:val="0030667A"/>
    <w:rsid w:val="003079DF"/>
    <w:rsid w:val="00307CF5"/>
    <w:rsid w:val="00310314"/>
    <w:rsid w:val="0031033A"/>
    <w:rsid w:val="00310BB0"/>
    <w:rsid w:val="00311254"/>
    <w:rsid w:val="00313678"/>
    <w:rsid w:val="00313A63"/>
    <w:rsid w:val="00313D43"/>
    <w:rsid w:val="00314EF8"/>
    <w:rsid w:val="0031503D"/>
    <w:rsid w:val="0031526A"/>
    <w:rsid w:val="003154C3"/>
    <w:rsid w:val="00316322"/>
    <w:rsid w:val="00316C1D"/>
    <w:rsid w:val="00316DEA"/>
    <w:rsid w:val="00316FD3"/>
    <w:rsid w:val="00320C03"/>
    <w:rsid w:val="00320F5E"/>
    <w:rsid w:val="00321098"/>
    <w:rsid w:val="003213D1"/>
    <w:rsid w:val="00321D16"/>
    <w:rsid w:val="00324162"/>
    <w:rsid w:val="003264DC"/>
    <w:rsid w:val="00327136"/>
    <w:rsid w:val="003271A9"/>
    <w:rsid w:val="003279D4"/>
    <w:rsid w:val="00327F22"/>
    <w:rsid w:val="00331048"/>
    <w:rsid w:val="0033157A"/>
    <w:rsid w:val="00331B49"/>
    <w:rsid w:val="00331B88"/>
    <w:rsid w:val="00331F12"/>
    <w:rsid w:val="00331F8F"/>
    <w:rsid w:val="0033228B"/>
    <w:rsid w:val="00332900"/>
    <w:rsid w:val="00334693"/>
    <w:rsid w:val="00334E7A"/>
    <w:rsid w:val="00335956"/>
    <w:rsid w:val="00335A80"/>
    <w:rsid w:val="0033693C"/>
    <w:rsid w:val="00336E90"/>
    <w:rsid w:val="00336EF5"/>
    <w:rsid w:val="00337CDB"/>
    <w:rsid w:val="00337F5E"/>
    <w:rsid w:val="003401ED"/>
    <w:rsid w:val="0034023C"/>
    <w:rsid w:val="00340504"/>
    <w:rsid w:val="00340FAF"/>
    <w:rsid w:val="00341EBC"/>
    <w:rsid w:val="003424B3"/>
    <w:rsid w:val="00343360"/>
    <w:rsid w:val="003438A7"/>
    <w:rsid w:val="00344293"/>
    <w:rsid w:val="003448E5"/>
    <w:rsid w:val="0034505C"/>
    <w:rsid w:val="003456B9"/>
    <w:rsid w:val="00346D29"/>
    <w:rsid w:val="00346FB8"/>
    <w:rsid w:val="00347908"/>
    <w:rsid w:val="003509B9"/>
    <w:rsid w:val="00351BA5"/>
    <w:rsid w:val="00352E4B"/>
    <w:rsid w:val="00353B94"/>
    <w:rsid w:val="003541BC"/>
    <w:rsid w:val="003541CA"/>
    <w:rsid w:val="0035498C"/>
    <w:rsid w:val="003555F0"/>
    <w:rsid w:val="00355E90"/>
    <w:rsid w:val="00356666"/>
    <w:rsid w:val="00356C93"/>
    <w:rsid w:val="00356E4B"/>
    <w:rsid w:val="00356E57"/>
    <w:rsid w:val="003570ED"/>
    <w:rsid w:val="00357139"/>
    <w:rsid w:val="003575DA"/>
    <w:rsid w:val="00357838"/>
    <w:rsid w:val="00357C0D"/>
    <w:rsid w:val="00357F77"/>
    <w:rsid w:val="003601F2"/>
    <w:rsid w:val="00360631"/>
    <w:rsid w:val="00360D35"/>
    <w:rsid w:val="00360FEE"/>
    <w:rsid w:val="00361B75"/>
    <w:rsid w:val="0036209E"/>
    <w:rsid w:val="003623B1"/>
    <w:rsid w:val="00362F5A"/>
    <w:rsid w:val="0036301B"/>
    <w:rsid w:val="0036306A"/>
    <w:rsid w:val="00363944"/>
    <w:rsid w:val="00363FB7"/>
    <w:rsid w:val="00364123"/>
    <w:rsid w:val="00364239"/>
    <w:rsid w:val="00364462"/>
    <w:rsid w:val="003647C7"/>
    <w:rsid w:val="00365217"/>
    <w:rsid w:val="0036574F"/>
    <w:rsid w:val="00366DCC"/>
    <w:rsid w:val="00367177"/>
    <w:rsid w:val="003672CB"/>
    <w:rsid w:val="003674AD"/>
    <w:rsid w:val="00367563"/>
    <w:rsid w:val="0036789F"/>
    <w:rsid w:val="00370D8A"/>
    <w:rsid w:val="00370E01"/>
    <w:rsid w:val="003716B1"/>
    <w:rsid w:val="00371AE1"/>
    <w:rsid w:val="00373410"/>
    <w:rsid w:val="00373DF1"/>
    <w:rsid w:val="00373DFA"/>
    <w:rsid w:val="003747B8"/>
    <w:rsid w:val="00375096"/>
    <w:rsid w:val="00376147"/>
    <w:rsid w:val="003762D7"/>
    <w:rsid w:val="00377A50"/>
    <w:rsid w:val="003800C0"/>
    <w:rsid w:val="003802C6"/>
    <w:rsid w:val="003804DB"/>
    <w:rsid w:val="0038265A"/>
    <w:rsid w:val="0038299A"/>
    <w:rsid w:val="00383007"/>
    <w:rsid w:val="00383987"/>
    <w:rsid w:val="003844C0"/>
    <w:rsid w:val="00390A05"/>
    <w:rsid w:val="0039237E"/>
    <w:rsid w:val="00393780"/>
    <w:rsid w:val="0039397C"/>
    <w:rsid w:val="00393E2E"/>
    <w:rsid w:val="0039501C"/>
    <w:rsid w:val="00395854"/>
    <w:rsid w:val="00395C1E"/>
    <w:rsid w:val="00397857"/>
    <w:rsid w:val="003A09E8"/>
    <w:rsid w:val="003A0C39"/>
    <w:rsid w:val="003A1389"/>
    <w:rsid w:val="003A15B2"/>
    <w:rsid w:val="003A1AE6"/>
    <w:rsid w:val="003A2150"/>
    <w:rsid w:val="003A2836"/>
    <w:rsid w:val="003A3970"/>
    <w:rsid w:val="003A3FF1"/>
    <w:rsid w:val="003A5281"/>
    <w:rsid w:val="003A54A8"/>
    <w:rsid w:val="003A60E0"/>
    <w:rsid w:val="003A6590"/>
    <w:rsid w:val="003A6EF1"/>
    <w:rsid w:val="003A7355"/>
    <w:rsid w:val="003B1014"/>
    <w:rsid w:val="003B13E1"/>
    <w:rsid w:val="003B146E"/>
    <w:rsid w:val="003B1542"/>
    <w:rsid w:val="003B1F35"/>
    <w:rsid w:val="003B2B0C"/>
    <w:rsid w:val="003B2CB0"/>
    <w:rsid w:val="003B3CB2"/>
    <w:rsid w:val="003B4CB4"/>
    <w:rsid w:val="003B4EE5"/>
    <w:rsid w:val="003B50D8"/>
    <w:rsid w:val="003B5746"/>
    <w:rsid w:val="003B5E7A"/>
    <w:rsid w:val="003B6673"/>
    <w:rsid w:val="003C0162"/>
    <w:rsid w:val="003C01DE"/>
    <w:rsid w:val="003C0B2A"/>
    <w:rsid w:val="003C0FF9"/>
    <w:rsid w:val="003C2C9D"/>
    <w:rsid w:val="003C313B"/>
    <w:rsid w:val="003C32EB"/>
    <w:rsid w:val="003C3964"/>
    <w:rsid w:val="003C43CC"/>
    <w:rsid w:val="003C4FF2"/>
    <w:rsid w:val="003C51F3"/>
    <w:rsid w:val="003C61C4"/>
    <w:rsid w:val="003C620D"/>
    <w:rsid w:val="003C6319"/>
    <w:rsid w:val="003C74F1"/>
    <w:rsid w:val="003D0C12"/>
    <w:rsid w:val="003D1D13"/>
    <w:rsid w:val="003D28E6"/>
    <w:rsid w:val="003D2A18"/>
    <w:rsid w:val="003D2A1C"/>
    <w:rsid w:val="003D2DE1"/>
    <w:rsid w:val="003D2EC1"/>
    <w:rsid w:val="003D472B"/>
    <w:rsid w:val="003D4A8F"/>
    <w:rsid w:val="003D4ADE"/>
    <w:rsid w:val="003D4BF1"/>
    <w:rsid w:val="003D55BC"/>
    <w:rsid w:val="003D5898"/>
    <w:rsid w:val="003D5FCE"/>
    <w:rsid w:val="003D62F2"/>
    <w:rsid w:val="003D6F1F"/>
    <w:rsid w:val="003D73D6"/>
    <w:rsid w:val="003D7B62"/>
    <w:rsid w:val="003E0A97"/>
    <w:rsid w:val="003E0F27"/>
    <w:rsid w:val="003E197F"/>
    <w:rsid w:val="003E228A"/>
    <w:rsid w:val="003E2421"/>
    <w:rsid w:val="003E3E81"/>
    <w:rsid w:val="003E4C4A"/>
    <w:rsid w:val="003E5914"/>
    <w:rsid w:val="003E6710"/>
    <w:rsid w:val="003F0237"/>
    <w:rsid w:val="003F0E9F"/>
    <w:rsid w:val="003F0F0B"/>
    <w:rsid w:val="003F1D5D"/>
    <w:rsid w:val="003F28B1"/>
    <w:rsid w:val="003F30E2"/>
    <w:rsid w:val="003F3F5B"/>
    <w:rsid w:val="003F4543"/>
    <w:rsid w:val="003F486B"/>
    <w:rsid w:val="003F64A2"/>
    <w:rsid w:val="003F6661"/>
    <w:rsid w:val="003F698D"/>
    <w:rsid w:val="003F730B"/>
    <w:rsid w:val="003F7312"/>
    <w:rsid w:val="00400052"/>
    <w:rsid w:val="00400B87"/>
    <w:rsid w:val="0040111C"/>
    <w:rsid w:val="0040114C"/>
    <w:rsid w:val="004017DE"/>
    <w:rsid w:val="00401A33"/>
    <w:rsid w:val="00402C18"/>
    <w:rsid w:val="00402D60"/>
    <w:rsid w:val="00403FF0"/>
    <w:rsid w:val="00404136"/>
    <w:rsid w:val="0040431D"/>
    <w:rsid w:val="004046E5"/>
    <w:rsid w:val="00405385"/>
    <w:rsid w:val="00405B0F"/>
    <w:rsid w:val="00406FBB"/>
    <w:rsid w:val="00407CB6"/>
    <w:rsid w:val="00410315"/>
    <w:rsid w:val="004104F3"/>
    <w:rsid w:val="00410905"/>
    <w:rsid w:val="004109A8"/>
    <w:rsid w:val="004114B1"/>
    <w:rsid w:val="004123DB"/>
    <w:rsid w:val="00412CD9"/>
    <w:rsid w:val="0041335B"/>
    <w:rsid w:val="004133BC"/>
    <w:rsid w:val="0041377D"/>
    <w:rsid w:val="00413A28"/>
    <w:rsid w:val="0041605A"/>
    <w:rsid w:val="004160A9"/>
    <w:rsid w:val="004163B6"/>
    <w:rsid w:val="00417C68"/>
    <w:rsid w:val="00417EEF"/>
    <w:rsid w:val="00417F12"/>
    <w:rsid w:val="004207AF"/>
    <w:rsid w:val="00420A59"/>
    <w:rsid w:val="004214D8"/>
    <w:rsid w:val="0042226C"/>
    <w:rsid w:val="00422C16"/>
    <w:rsid w:val="00422DA4"/>
    <w:rsid w:val="00423D60"/>
    <w:rsid w:val="00423E28"/>
    <w:rsid w:val="0042426B"/>
    <w:rsid w:val="00424D78"/>
    <w:rsid w:val="00424DE0"/>
    <w:rsid w:val="00425021"/>
    <w:rsid w:val="004256F2"/>
    <w:rsid w:val="004264E4"/>
    <w:rsid w:val="00426996"/>
    <w:rsid w:val="00427098"/>
    <w:rsid w:val="0042751F"/>
    <w:rsid w:val="00430183"/>
    <w:rsid w:val="004312B9"/>
    <w:rsid w:val="00431375"/>
    <w:rsid w:val="004315D7"/>
    <w:rsid w:val="00432A41"/>
    <w:rsid w:val="00432A70"/>
    <w:rsid w:val="00432C71"/>
    <w:rsid w:val="004343CE"/>
    <w:rsid w:val="00434793"/>
    <w:rsid w:val="00435C15"/>
    <w:rsid w:val="00436D22"/>
    <w:rsid w:val="00436FD1"/>
    <w:rsid w:val="00437A07"/>
    <w:rsid w:val="0044025E"/>
    <w:rsid w:val="00441AC2"/>
    <w:rsid w:val="0044265A"/>
    <w:rsid w:val="004430A0"/>
    <w:rsid w:val="00443582"/>
    <w:rsid w:val="00443B13"/>
    <w:rsid w:val="00443D43"/>
    <w:rsid w:val="004443E9"/>
    <w:rsid w:val="0044440B"/>
    <w:rsid w:val="00444B7C"/>
    <w:rsid w:val="004455D2"/>
    <w:rsid w:val="00445DAA"/>
    <w:rsid w:val="00446BAB"/>
    <w:rsid w:val="00450A2F"/>
    <w:rsid w:val="00450B09"/>
    <w:rsid w:val="00451CEA"/>
    <w:rsid w:val="00452C08"/>
    <w:rsid w:val="00452FA4"/>
    <w:rsid w:val="00454213"/>
    <w:rsid w:val="00454E9B"/>
    <w:rsid w:val="004550F8"/>
    <w:rsid w:val="004551EB"/>
    <w:rsid w:val="0045528C"/>
    <w:rsid w:val="004553CF"/>
    <w:rsid w:val="0045595C"/>
    <w:rsid w:val="004559A4"/>
    <w:rsid w:val="0045636A"/>
    <w:rsid w:val="004564CC"/>
    <w:rsid w:val="00457527"/>
    <w:rsid w:val="00457892"/>
    <w:rsid w:val="004579E9"/>
    <w:rsid w:val="004600E4"/>
    <w:rsid w:val="004615DD"/>
    <w:rsid w:val="0046176B"/>
    <w:rsid w:val="00462B02"/>
    <w:rsid w:val="004637CA"/>
    <w:rsid w:val="0046452F"/>
    <w:rsid w:val="004650A3"/>
    <w:rsid w:val="00465308"/>
    <w:rsid w:val="004667F5"/>
    <w:rsid w:val="00467883"/>
    <w:rsid w:val="00467EEF"/>
    <w:rsid w:val="00471370"/>
    <w:rsid w:val="004713BF"/>
    <w:rsid w:val="004714AE"/>
    <w:rsid w:val="00471FE5"/>
    <w:rsid w:val="004723B1"/>
    <w:rsid w:val="00472662"/>
    <w:rsid w:val="00473469"/>
    <w:rsid w:val="004734E7"/>
    <w:rsid w:val="004738F7"/>
    <w:rsid w:val="00474AE4"/>
    <w:rsid w:val="00474CFC"/>
    <w:rsid w:val="004750D1"/>
    <w:rsid w:val="004766C8"/>
    <w:rsid w:val="00476D87"/>
    <w:rsid w:val="00477A9E"/>
    <w:rsid w:val="00477EE0"/>
    <w:rsid w:val="00480459"/>
    <w:rsid w:val="00480CB7"/>
    <w:rsid w:val="00481674"/>
    <w:rsid w:val="00481CAC"/>
    <w:rsid w:val="00482C3C"/>
    <w:rsid w:val="0048436E"/>
    <w:rsid w:val="00484522"/>
    <w:rsid w:val="00484EB6"/>
    <w:rsid w:val="00484EF1"/>
    <w:rsid w:val="00485119"/>
    <w:rsid w:val="0048570B"/>
    <w:rsid w:val="00485D2D"/>
    <w:rsid w:val="004869AD"/>
    <w:rsid w:val="00486D33"/>
    <w:rsid w:val="0049068D"/>
    <w:rsid w:val="00491D4B"/>
    <w:rsid w:val="0049226C"/>
    <w:rsid w:val="004932D0"/>
    <w:rsid w:val="004939E3"/>
    <w:rsid w:val="00493BF1"/>
    <w:rsid w:val="0049467D"/>
    <w:rsid w:val="00494B43"/>
    <w:rsid w:val="00495442"/>
    <w:rsid w:val="004959CD"/>
    <w:rsid w:val="00495E3B"/>
    <w:rsid w:val="004962AF"/>
    <w:rsid w:val="004963B5"/>
    <w:rsid w:val="0049691B"/>
    <w:rsid w:val="00497A66"/>
    <w:rsid w:val="004A05BB"/>
    <w:rsid w:val="004A0664"/>
    <w:rsid w:val="004A0977"/>
    <w:rsid w:val="004A2078"/>
    <w:rsid w:val="004A2519"/>
    <w:rsid w:val="004A28E3"/>
    <w:rsid w:val="004A2EB2"/>
    <w:rsid w:val="004A4C37"/>
    <w:rsid w:val="004A604D"/>
    <w:rsid w:val="004A68FD"/>
    <w:rsid w:val="004A7944"/>
    <w:rsid w:val="004A7F20"/>
    <w:rsid w:val="004B0127"/>
    <w:rsid w:val="004B03DA"/>
    <w:rsid w:val="004B0EA5"/>
    <w:rsid w:val="004B1371"/>
    <w:rsid w:val="004B142B"/>
    <w:rsid w:val="004B2169"/>
    <w:rsid w:val="004B3194"/>
    <w:rsid w:val="004B31DA"/>
    <w:rsid w:val="004B4114"/>
    <w:rsid w:val="004B43AC"/>
    <w:rsid w:val="004B4566"/>
    <w:rsid w:val="004B5444"/>
    <w:rsid w:val="004B5D34"/>
    <w:rsid w:val="004B6666"/>
    <w:rsid w:val="004B6940"/>
    <w:rsid w:val="004B7192"/>
    <w:rsid w:val="004B74A3"/>
    <w:rsid w:val="004C0DCD"/>
    <w:rsid w:val="004C1144"/>
    <w:rsid w:val="004C2BAF"/>
    <w:rsid w:val="004C2E3E"/>
    <w:rsid w:val="004C35BB"/>
    <w:rsid w:val="004C37F4"/>
    <w:rsid w:val="004C3C53"/>
    <w:rsid w:val="004C3F7C"/>
    <w:rsid w:val="004C484D"/>
    <w:rsid w:val="004C5359"/>
    <w:rsid w:val="004C6D01"/>
    <w:rsid w:val="004C711E"/>
    <w:rsid w:val="004C74DF"/>
    <w:rsid w:val="004C76EF"/>
    <w:rsid w:val="004C78F4"/>
    <w:rsid w:val="004C7A54"/>
    <w:rsid w:val="004C7DFA"/>
    <w:rsid w:val="004D00E5"/>
    <w:rsid w:val="004D0AC8"/>
    <w:rsid w:val="004D0D44"/>
    <w:rsid w:val="004D1377"/>
    <w:rsid w:val="004D1932"/>
    <w:rsid w:val="004D2B5E"/>
    <w:rsid w:val="004D2CA4"/>
    <w:rsid w:val="004D3150"/>
    <w:rsid w:val="004D3267"/>
    <w:rsid w:val="004D3425"/>
    <w:rsid w:val="004D35A1"/>
    <w:rsid w:val="004D4243"/>
    <w:rsid w:val="004D451E"/>
    <w:rsid w:val="004D4942"/>
    <w:rsid w:val="004D5665"/>
    <w:rsid w:val="004E06A1"/>
    <w:rsid w:val="004E1773"/>
    <w:rsid w:val="004E1BC3"/>
    <w:rsid w:val="004E1C04"/>
    <w:rsid w:val="004E2209"/>
    <w:rsid w:val="004E2DB3"/>
    <w:rsid w:val="004E391B"/>
    <w:rsid w:val="004E3F27"/>
    <w:rsid w:val="004E4409"/>
    <w:rsid w:val="004E4486"/>
    <w:rsid w:val="004E45B5"/>
    <w:rsid w:val="004E5F20"/>
    <w:rsid w:val="004E7059"/>
    <w:rsid w:val="004E7770"/>
    <w:rsid w:val="004E78BD"/>
    <w:rsid w:val="004E79B0"/>
    <w:rsid w:val="004E7C14"/>
    <w:rsid w:val="004F0341"/>
    <w:rsid w:val="004F0DC3"/>
    <w:rsid w:val="004F15AC"/>
    <w:rsid w:val="004F168F"/>
    <w:rsid w:val="004F1FEC"/>
    <w:rsid w:val="004F240F"/>
    <w:rsid w:val="004F2ABC"/>
    <w:rsid w:val="004F3F29"/>
    <w:rsid w:val="004F4AF1"/>
    <w:rsid w:val="004F4C39"/>
    <w:rsid w:val="004F4F53"/>
    <w:rsid w:val="004F52F3"/>
    <w:rsid w:val="004F55F7"/>
    <w:rsid w:val="004F5E79"/>
    <w:rsid w:val="004F5EC6"/>
    <w:rsid w:val="004F6D16"/>
    <w:rsid w:val="00500040"/>
    <w:rsid w:val="0050018E"/>
    <w:rsid w:val="00500585"/>
    <w:rsid w:val="00500694"/>
    <w:rsid w:val="00500A15"/>
    <w:rsid w:val="00500D40"/>
    <w:rsid w:val="00501042"/>
    <w:rsid w:val="005015E2"/>
    <w:rsid w:val="005037EB"/>
    <w:rsid w:val="00503C46"/>
    <w:rsid w:val="00503DEF"/>
    <w:rsid w:val="00503F85"/>
    <w:rsid w:val="0050425A"/>
    <w:rsid w:val="00504A7C"/>
    <w:rsid w:val="00504F3D"/>
    <w:rsid w:val="00505825"/>
    <w:rsid w:val="0050595A"/>
    <w:rsid w:val="00507341"/>
    <w:rsid w:val="00507361"/>
    <w:rsid w:val="00507E8D"/>
    <w:rsid w:val="00510245"/>
    <w:rsid w:val="005104FD"/>
    <w:rsid w:val="00510591"/>
    <w:rsid w:val="00510C04"/>
    <w:rsid w:val="0051299E"/>
    <w:rsid w:val="005132BB"/>
    <w:rsid w:val="00513D95"/>
    <w:rsid w:val="005145F2"/>
    <w:rsid w:val="00514D13"/>
    <w:rsid w:val="0051617B"/>
    <w:rsid w:val="00516A7B"/>
    <w:rsid w:val="005176EC"/>
    <w:rsid w:val="005178AB"/>
    <w:rsid w:val="00517E47"/>
    <w:rsid w:val="00520567"/>
    <w:rsid w:val="00520BC9"/>
    <w:rsid w:val="00520D20"/>
    <w:rsid w:val="0052200B"/>
    <w:rsid w:val="005229CC"/>
    <w:rsid w:val="00523268"/>
    <w:rsid w:val="0052344E"/>
    <w:rsid w:val="0052391D"/>
    <w:rsid w:val="00524D92"/>
    <w:rsid w:val="0052538C"/>
    <w:rsid w:val="00525AB8"/>
    <w:rsid w:val="00525BA6"/>
    <w:rsid w:val="00527455"/>
    <w:rsid w:val="00527B79"/>
    <w:rsid w:val="00527BC6"/>
    <w:rsid w:val="00527BCA"/>
    <w:rsid w:val="00531814"/>
    <w:rsid w:val="00533C31"/>
    <w:rsid w:val="00534536"/>
    <w:rsid w:val="0053518C"/>
    <w:rsid w:val="0053575C"/>
    <w:rsid w:val="00535B19"/>
    <w:rsid w:val="00535C14"/>
    <w:rsid w:val="00535E29"/>
    <w:rsid w:val="00536058"/>
    <w:rsid w:val="00536A95"/>
    <w:rsid w:val="005372DE"/>
    <w:rsid w:val="00537302"/>
    <w:rsid w:val="005407A4"/>
    <w:rsid w:val="00540900"/>
    <w:rsid w:val="005409E5"/>
    <w:rsid w:val="00541084"/>
    <w:rsid w:val="005410AD"/>
    <w:rsid w:val="0054119D"/>
    <w:rsid w:val="00541817"/>
    <w:rsid w:val="00541934"/>
    <w:rsid w:val="00542AE9"/>
    <w:rsid w:val="00544A17"/>
    <w:rsid w:val="00544CB5"/>
    <w:rsid w:val="00544E29"/>
    <w:rsid w:val="005450AF"/>
    <w:rsid w:val="00545288"/>
    <w:rsid w:val="0054628D"/>
    <w:rsid w:val="0054665C"/>
    <w:rsid w:val="005466A9"/>
    <w:rsid w:val="00546B05"/>
    <w:rsid w:val="00547514"/>
    <w:rsid w:val="00547E01"/>
    <w:rsid w:val="00550358"/>
    <w:rsid w:val="00550531"/>
    <w:rsid w:val="005505B4"/>
    <w:rsid w:val="005511DD"/>
    <w:rsid w:val="0055150E"/>
    <w:rsid w:val="00551933"/>
    <w:rsid w:val="00551987"/>
    <w:rsid w:val="005521BF"/>
    <w:rsid w:val="005535BA"/>
    <w:rsid w:val="00554101"/>
    <w:rsid w:val="005558BF"/>
    <w:rsid w:val="005564EA"/>
    <w:rsid w:val="00556665"/>
    <w:rsid w:val="005567AE"/>
    <w:rsid w:val="0055776C"/>
    <w:rsid w:val="0056003F"/>
    <w:rsid w:val="00560856"/>
    <w:rsid w:val="00560ED2"/>
    <w:rsid w:val="005614F9"/>
    <w:rsid w:val="00561A36"/>
    <w:rsid w:val="005621D2"/>
    <w:rsid w:val="00562817"/>
    <w:rsid w:val="00562A66"/>
    <w:rsid w:val="00562E85"/>
    <w:rsid w:val="00563229"/>
    <w:rsid w:val="005633E6"/>
    <w:rsid w:val="005637D4"/>
    <w:rsid w:val="005638C4"/>
    <w:rsid w:val="00564266"/>
    <w:rsid w:val="00565360"/>
    <w:rsid w:val="0056568C"/>
    <w:rsid w:val="00567786"/>
    <w:rsid w:val="005701A5"/>
    <w:rsid w:val="00572504"/>
    <w:rsid w:val="00573882"/>
    <w:rsid w:val="00573DAB"/>
    <w:rsid w:val="00574162"/>
    <w:rsid w:val="00574369"/>
    <w:rsid w:val="00574605"/>
    <w:rsid w:val="005749DB"/>
    <w:rsid w:val="0057525E"/>
    <w:rsid w:val="005753E6"/>
    <w:rsid w:val="0057591B"/>
    <w:rsid w:val="00576B06"/>
    <w:rsid w:val="00576F30"/>
    <w:rsid w:val="005774F0"/>
    <w:rsid w:val="00577972"/>
    <w:rsid w:val="00577F01"/>
    <w:rsid w:val="005809A6"/>
    <w:rsid w:val="00580AE6"/>
    <w:rsid w:val="0058145D"/>
    <w:rsid w:val="00582901"/>
    <w:rsid w:val="00582FE9"/>
    <w:rsid w:val="00583161"/>
    <w:rsid w:val="00583398"/>
    <w:rsid w:val="0058372F"/>
    <w:rsid w:val="005837F6"/>
    <w:rsid w:val="005838B5"/>
    <w:rsid w:val="005839BB"/>
    <w:rsid w:val="00583FE0"/>
    <w:rsid w:val="005845A1"/>
    <w:rsid w:val="00584690"/>
    <w:rsid w:val="00584A34"/>
    <w:rsid w:val="00584C60"/>
    <w:rsid w:val="00584CA3"/>
    <w:rsid w:val="00584D5E"/>
    <w:rsid w:val="00584F58"/>
    <w:rsid w:val="0058591B"/>
    <w:rsid w:val="00585F21"/>
    <w:rsid w:val="00586228"/>
    <w:rsid w:val="005863AE"/>
    <w:rsid w:val="00586D3B"/>
    <w:rsid w:val="005875E6"/>
    <w:rsid w:val="00587619"/>
    <w:rsid w:val="005876F2"/>
    <w:rsid w:val="0058781C"/>
    <w:rsid w:val="00590698"/>
    <w:rsid w:val="0059084C"/>
    <w:rsid w:val="00591654"/>
    <w:rsid w:val="00591A5E"/>
    <w:rsid w:val="00591DCB"/>
    <w:rsid w:val="0059248A"/>
    <w:rsid w:val="005940A8"/>
    <w:rsid w:val="005940DC"/>
    <w:rsid w:val="005946C6"/>
    <w:rsid w:val="005949A4"/>
    <w:rsid w:val="005956C9"/>
    <w:rsid w:val="0059627D"/>
    <w:rsid w:val="0059738E"/>
    <w:rsid w:val="005A0FE9"/>
    <w:rsid w:val="005A1CF6"/>
    <w:rsid w:val="005A2180"/>
    <w:rsid w:val="005A22B4"/>
    <w:rsid w:val="005A26D5"/>
    <w:rsid w:val="005A33D7"/>
    <w:rsid w:val="005A34DE"/>
    <w:rsid w:val="005A3C3F"/>
    <w:rsid w:val="005A4F0B"/>
    <w:rsid w:val="005A51C7"/>
    <w:rsid w:val="005A6E4C"/>
    <w:rsid w:val="005A7764"/>
    <w:rsid w:val="005A7854"/>
    <w:rsid w:val="005B0E5F"/>
    <w:rsid w:val="005B1A47"/>
    <w:rsid w:val="005B1E28"/>
    <w:rsid w:val="005B29CD"/>
    <w:rsid w:val="005B32CA"/>
    <w:rsid w:val="005B38AC"/>
    <w:rsid w:val="005B3E3D"/>
    <w:rsid w:val="005B3E98"/>
    <w:rsid w:val="005B4371"/>
    <w:rsid w:val="005B4986"/>
    <w:rsid w:val="005B5041"/>
    <w:rsid w:val="005B6826"/>
    <w:rsid w:val="005B700A"/>
    <w:rsid w:val="005C0299"/>
    <w:rsid w:val="005C1BAF"/>
    <w:rsid w:val="005C1E51"/>
    <w:rsid w:val="005C296C"/>
    <w:rsid w:val="005C3A71"/>
    <w:rsid w:val="005C4031"/>
    <w:rsid w:val="005C42BA"/>
    <w:rsid w:val="005C435E"/>
    <w:rsid w:val="005C45D0"/>
    <w:rsid w:val="005C49C6"/>
    <w:rsid w:val="005C4A86"/>
    <w:rsid w:val="005C4FE6"/>
    <w:rsid w:val="005C5098"/>
    <w:rsid w:val="005C5936"/>
    <w:rsid w:val="005C62A6"/>
    <w:rsid w:val="005C6F10"/>
    <w:rsid w:val="005C7C0F"/>
    <w:rsid w:val="005D003C"/>
    <w:rsid w:val="005D0179"/>
    <w:rsid w:val="005D1461"/>
    <w:rsid w:val="005D1AAF"/>
    <w:rsid w:val="005D24BA"/>
    <w:rsid w:val="005D271D"/>
    <w:rsid w:val="005D3406"/>
    <w:rsid w:val="005D3548"/>
    <w:rsid w:val="005D3DBA"/>
    <w:rsid w:val="005D5EC9"/>
    <w:rsid w:val="005D6734"/>
    <w:rsid w:val="005D68EB"/>
    <w:rsid w:val="005D75E8"/>
    <w:rsid w:val="005D7EB9"/>
    <w:rsid w:val="005E0002"/>
    <w:rsid w:val="005E004B"/>
    <w:rsid w:val="005E01B4"/>
    <w:rsid w:val="005E07D9"/>
    <w:rsid w:val="005E10C1"/>
    <w:rsid w:val="005E3105"/>
    <w:rsid w:val="005E32EA"/>
    <w:rsid w:val="005E3AEE"/>
    <w:rsid w:val="005E4222"/>
    <w:rsid w:val="005E534D"/>
    <w:rsid w:val="005E5FBB"/>
    <w:rsid w:val="005E687F"/>
    <w:rsid w:val="005E715E"/>
    <w:rsid w:val="005E777E"/>
    <w:rsid w:val="005F0604"/>
    <w:rsid w:val="005F0BA6"/>
    <w:rsid w:val="005F0C33"/>
    <w:rsid w:val="005F1398"/>
    <w:rsid w:val="005F1522"/>
    <w:rsid w:val="005F1698"/>
    <w:rsid w:val="005F1EC4"/>
    <w:rsid w:val="005F303C"/>
    <w:rsid w:val="005F311D"/>
    <w:rsid w:val="005F3208"/>
    <w:rsid w:val="005F4987"/>
    <w:rsid w:val="005F5125"/>
    <w:rsid w:val="005F52ED"/>
    <w:rsid w:val="005F60B4"/>
    <w:rsid w:val="005F693D"/>
    <w:rsid w:val="005F6FA2"/>
    <w:rsid w:val="005F6FCA"/>
    <w:rsid w:val="00600574"/>
    <w:rsid w:val="00600BFF"/>
    <w:rsid w:val="00600EED"/>
    <w:rsid w:val="006025DE"/>
    <w:rsid w:val="006035A9"/>
    <w:rsid w:val="0060402A"/>
    <w:rsid w:val="006045C3"/>
    <w:rsid w:val="00604909"/>
    <w:rsid w:val="006049CE"/>
    <w:rsid w:val="00604A3B"/>
    <w:rsid w:val="00605DFD"/>
    <w:rsid w:val="00606CE0"/>
    <w:rsid w:val="00607F4F"/>
    <w:rsid w:val="0061075F"/>
    <w:rsid w:val="00610ED9"/>
    <w:rsid w:val="006115CD"/>
    <w:rsid w:val="00611D0F"/>
    <w:rsid w:val="00611E57"/>
    <w:rsid w:val="006122A4"/>
    <w:rsid w:val="006128CB"/>
    <w:rsid w:val="00612D24"/>
    <w:rsid w:val="006130EA"/>
    <w:rsid w:val="0061320A"/>
    <w:rsid w:val="006143AF"/>
    <w:rsid w:val="006154C9"/>
    <w:rsid w:val="0061647E"/>
    <w:rsid w:val="0061657C"/>
    <w:rsid w:val="006168E8"/>
    <w:rsid w:val="00616942"/>
    <w:rsid w:val="00616B9C"/>
    <w:rsid w:val="00616BCD"/>
    <w:rsid w:val="00616CF1"/>
    <w:rsid w:val="00617742"/>
    <w:rsid w:val="00620B8D"/>
    <w:rsid w:val="00620C4B"/>
    <w:rsid w:val="0062125B"/>
    <w:rsid w:val="00621EF1"/>
    <w:rsid w:val="00625F26"/>
    <w:rsid w:val="00626B84"/>
    <w:rsid w:val="006270AC"/>
    <w:rsid w:val="00627278"/>
    <w:rsid w:val="006306BF"/>
    <w:rsid w:val="00630981"/>
    <w:rsid w:val="00631C08"/>
    <w:rsid w:val="00632C7B"/>
    <w:rsid w:val="006340DD"/>
    <w:rsid w:val="0063457B"/>
    <w:rsid w:val="00635111"/>
    <w:rsid w:val="006354D9"/>
    <w:rsid w:val="006358E4"/>
    <w:rsid w:val="006373E2"/>
    <w:rsid w:val="00640741"/>
    <w:rsid w:val="00641174"/>
    <w:rsid w:val="006411BF"/>
    <w:rsid w:val="006412F6"/>
    <w:rsid w:val="006429EC"/>
    <w:rsid w:val="00642D7C"/>
    <w:rsid w:val="00643F34"/>
    <w:rsid w:val="00644284"/>
    <w:rsid w:val="006449C3"/>
    <w:rsid w:val="00644A8E"/>
    <w:rsid w:val="0064508D"/>
    <w:rsid w:val="00645359"/>
    <w:rsid w:val="0064539C"/>
    <w:rsid w:val="006454C0"/>
    <w:rsid w:val="00646018"/>
    <w:rsid w:val="006467B7"/>
    <w:rsid w:val="00647B28"/>
    <w:rsid w:val="00647F5D"/>
    <w:rsid w:val="0065114E"/>
    <w:rsid w:val="00651192"/>
    <w:rsid w:val="006514C9"/>
    <w:rsid w:val="006515A0"/>
    <w:rsid w:val="00651617"/>
    <w:rsid w:val="006518F5"/>
    <w:rsid w:val="0065285C"/>
    <w:rsid w:val="00652ACD"/>
    <w:rsid w:val="006549B1"/>
    <w:rsid w:val="0065508A"/>
    <w:rsid w:val="00656424"/>
    <w:rsid w:val="0065686F"/>
    <w:rsid w:val="00657CBB"/>
    <w:rsid w:val="0066195A"/>
    <w:rsid w:val="00661CD4"/>
    <w:rsid w:val="006638B9"/>
    <w:rsid w:val="006641A6"/>
    <w:rsid w:val="00665510"/>
    <w:rsid w:val="00665660"/>
    <w:rsid w:val="0066657E"/>
    <w:rsid w:val="00666DF7"/>
    <w:rsid w:val="00667137"/>
    <w:rsid w:val="00667A5F"/>
    <w:rsid w:val="00667EC2"/>
    <w:rsid w:val="00671011"/>
    <w:rsid w:val="00671AAD"/>
    <w:rsid w:val="00671FDF"/>
    <w:rsid w:val="0067203A"/>
    <w:rsid w:val="00673787"/>
    <w:rsid w:val="0067386C"/>
    <w:rsid w:val="00673D73"/>
    <w:rsid w:val="0067495C"/>
    <w:rsid w:val="00674C7C"/>
    <w:rsid w:val="00675901"/>
    <w:rsid w:val="006765F4"/>
    <w:rsid w:val="00676F91"/>
    <w:rsid w:val="006773F0"/>
    <w:rsid w:val="00677F26"/>
    <w:rsid w:val="00680A28"/>
    <w:rsid w:val="0068124B"/>
    <w:rsid w:val="00681A5C"/>
    <w:rsid w:val="00681FAA"/>
    <w:rsid w:val="00682608"/>
    <w:rsid w:val="00682B92"/>
    <w:rsid w:val="0068356D"/>
    <w:rsid w:val="00683B92"/>
    <w:rsid w:val="00686372"/>
    <w:rsid w:val="00686466"/>
    <w:rsid w:val="00687095"/>
    <w:rsid w:val="00687BE3"/>
    <w:rsid w:val="006901B1"/>
    <w:rsid w:val="006913F4"/>
    <w:rsid w:val="00691BAB"/>
    <w:rsid w:val="00692243"/>
    <w:rsid w:val="0069267A"/>
    <w:rsid w:val="006935DC"/>
    <w:rsid w:val="0069365D"/>
    <w:rsid w:val="00694173"/>
    <w:rsid w:val="00694A4E"/>
    <w:rsid w:val="00694F35"/>
    <w:rsid w:val="006957BD"/>
    <w:rsid w:val="006969A8"/>
    <w:rsid w:val="00696D3D"/>
    <w:rsid w:val="00697412"/>
    <w:rsid w:val="006976EE"/>
    <w:rsid w:val="00697973"/>
    <w:rsid w:val="006A0CC1"/>
    <w:rsid w:val="006A1620"/>
    <w:rsid w:val="006A2083"/>
    <w:rsid w:val="006A2458"/>
    <w:rsid w:val="006A2562"/>
    <w:rsid w:val="006A257A"/>
    <w:rsid w:val="006A2A7E"/>
    <w:rsid w:val="006A2C29"/>
    <w:rsid w:val="006A315B"/>
    <w:rsid w:val="006A3BAD"/>
    <w:rsid w:val="006A4BF7"/>
    <w:rsid w:val="006A51C1"/>
    <w:rsid w:val="006A6986"/>
    <w:rsid w:val="006A70A5"/>
    <w:rsid w:val="006A7311"/>
    <w:rsid w:val="006B2621"/>
    <w:rsid w:val="006B2C5B"/>
    <w:rsid w:val="006B33CD"/>
    <w:rsid w:val="006B3CC4"/>
    <w:rsid w:val="006B4744"/>
    <w:rsid w:val="006B53A0"/>
    <w:rsid w:val="006B5889"/>
    <w:rsid w:val="006B5AA6"/>
    <w:rsid w:val="006B685B"/>
    <w:rsid w:val="006B7570"/>
    <w:rsid w:val="006B76C2"/>
    <w:rsid w:val="006C0566"/>
    <w:rsid w:val="006C0F25"/>
    <w:rsid w:val="006C1DA6"/>
    <w:rsid w:val="006C2093"/>
    <w:rsid w:val="006C31DA"/>
    <w:rsid w:val="006C33C4"/>
    <w:rsid w:val="006C3672"/>
    <w:rsid w:val="006C373F"/>
    <w:rsid w:val="006C487D"/>
    <w:rsid w:val="006C5688"/>
    <w:rsid w:val="006C5962"/>
    <w:rsid w:val="006C5E82"/>
    <w:rsid w:val="006C64A7"/>
    <w:rsid w:val="006C7D3D"/>
    <w:rsid w:val="006C7F28"/>
    <w:rsid w:val="006D09B1"/>
    <w:rsid w:val="006D117C"/>
    <w:rsid w:val="006D1C77"/>
    <w:rsid w:val="006D2D0E"/>
    <w:rsid w:val="006D39DF"/>
    <w:rsid w:val="006D3BF1"/>
    <w:rsid w:val="006D4FE7"/>
    <w:rsid w:val="006D5A1A"/>
    <w:rsid w:val="006D5B8C"/>
    <w:rsid w:val="006D6961"/>
    <w:rsid w:val="006D6A10"/>
    <w:rsid w:val="006D6C91"/>
    <w:rsid w:val="006D6EC7"/>
    <w:rsid w:val="006D7252"/>
    <w:rsid w:val="006E036C"/>
    <w:rsid w:val="006E27CA"/>
    <w:rsid w:val="006E2B62"/>
    <w:rsid w:val="006E542A"/>
    <w:rsid w:val="006E570D"/>
    <w:rsid w:val="006E584C"/>
    <w:rsid w:val="006E5AFB"/>
    <w:rsid w:val="006E5CFA"/>
    <w:rsid w:val="006E67F4"/>
    <w:rsid w:val="006E74A1"/>
    <w:rsid w:val="006E74A8"/>
    <w:rsid w:val="006F0394"/>
    <w:rsid w:val="006F0E8D"/>
    <w:rsid w:val="006F0EE2"/>
    <w:rsid w:val="006F1F58"/>
    <w:rsid w:val="006F2B10"/>
    <w:rsid w:val="006F3E46"/>
    <w:rsid w:val="006F4FB2"/>
    <w:rsid w:val="006F654A"/>
    <w:rsid w:val="006F6609"/>
    <w:rsid w:val="006F72E1"/>
    <w:rsid w:val="006F766F"/>
    <w:rsid w:val="006F7EDF"/>
    <w:rsid w:val="007000F9"/>
    <w:rsid w:val="00700E42"/>
    <w:rsid w:val="00701138"/>
    <w:rsid w:val="00701558"/>
    <w:rsid w:val="00701742"/>
    <w:rsid w:val="007020FF"/>
    <w:rsid w:val="00702D3A"/>
    <w:rsid w:val="00702FA3"/>
    <w:rsid w:val="00703380"/>
    <w:rsid w:val="00703C0B"/>
    <w:rsid w:val="007045F1"/>
    <w:rsid w:val="00704D76"/>
    <w:rsid w:val="00705581"/>
    <w:rsid w:val="00705641"/>
    <w:rsid w:val="00705F38"/>
    <w:rsid w:val="007060FA"/>
    <w:rsid w:val="00706BFE"/>
    <w:rsid w:val="00706CA2"/>
    <w:rsid w:val="00707175"/>
    <w:rsid w:val="0070775F"/>
    <w:rsid w:val="00707CB6"/>
    <w:rsid w:val="00711643"/>
    <w:rsid w:val="00713D5B"/>
    <w:rsid w:val="00713E39"/>
    <w:rsid w:val="00715201"/>
    <w:rsid w:val="00715EF0"/>
    <w:rsid w:val="007163AD"/>
    <w:rsid w:val="00716C69"/>
    <w:rsid w:val="007203FF"/>
    <w:rsid w:val="00721316"/>
    <w:rsid w:val="007217FC"/>
    <w:rsid w:val="007231A2"/>
    <w:rsid w:val="00724FAB"/>
    <w:rsid w:val="007260C6"/>
    <w:rsid w:val="007261FF"/>
    <w:rsid w:val="007263F9"/>
    <w:rsid w:val="007268D6"/>
    <w:rsid w:val="00730011"/>
    <w:rsid w:val="00730638"/>
    <w:rsid w:val="00730722"/>
    <w:rsid w:val="00730755"/>
    <w:rsid w:val="00730967"/>
    <w:rsid w:val="00730B6B"/>
    <w:rsid w:val="007325CF"/>
    <w:rsid w:val="007329A7"/>
    <w:rsid w:val="007329D1"/>
    <w:rsid w:val="00733027"/>
    <w:rsid w:val="007341D9"/>
    <w:rsid w:val="007374C4"/>
    <w:rsid w:val="00741E04"/>
    <w:rsid w:val="007420BB"/>
    <w:rsid w:val="007432FC"/>
    <w:rsid w:val="00743617"/>
    <w:rsid w:val="00744070"/>
    <w:rsid w:val="0074437F"/>
    <w:rsid w:val="007444C5"/>
    <w:rsid w:val="007444CB"/>
    <w:rsid w:val="00744815"/>
    <w:rsid w:val="007450BC"/>
    <w:rsid w:val="0074658F"/>
    <w:rsid w:val="0074747D"/>
    <w:rsid w:val="007507BB"/>
    <w:rsid w:val="00750ACC"/>
    <w:rsid w:val="00750F91"/>
    <w:rsid w:val="00751072"/>
    <w:rsid w:val="007517DE"/>
    <w:rsid w:val="00752F12"/>
    <w:rsid w:val="00753A7D"/>
    <w:rsid w:val="00754075"/>
    <w:rsid w:val="00754697"/>
    <w:rsid w:val="00755EA0"/>
    <w:rsid w:val="00755EA9"/>
    <w:rsid w:val="007560BA"/>
    <w:rsid w:val="00756251"/>
    <w:rsid w:val="007601B3"/>
    <w:rsid w:val="0076026C"/>
    <w:rsid w:val="007604D9"/>
    <w:rsid w:val="007605FC"/>
    <w:rsid w:val="00760C1E"/>
    <w:rsid w:val="0076149E"/>
    <w:rsid w:val="007616EC"/>
    <w:rsid w:val="00761AE4"/>
    <w:rsid w:val="00761FB5"/>
    <w:rsid w:val="00762396"/>
    <w:rsid w:val="0076304E"/>
    <w:rsid w:val="007639B5"/>
    <w:rsid w:val="007641BD"/>
    <w:rsid w:val="00764AF3"/>
    <w:rsid w:val="00765424"/>
    <w:rsid w:val="00766369"/>
    <w:rsid w:val="00766CB3"/>
    <w:rsid w:val="00767FDA"/>
    <w:rsid w:val="00770581"/>
    <w:rsid w:val="00770772"/>
    <w:rsid w:val="007708FE"/>
    <w:rsid w:val="00771779"/>
    <w:rsid w:val="007720C4"/>
    <w:rsid w:val="00772A5C"/>
    <w:rsid w:val="0077373F"/>
    <w:rsid w:val="00773847"/>
    <w:rsid w:val="00773D71"/>
    <w:rsid w:val="007744B6"/>
    <w:rsid w:val="00775942"/>
    <w:rsid w:val="007772B2"/>
    <w:rsid w:val="00777F42"/>
    <w:rsid w:val="0078002D"/>
    <w:rsid w:val="00781285"/>
    <w:rsid w:val="00781E6A"/>
    <w:rsid w:val="007826DB"/>
    <w:rsid w:val="00782B9E"/>
    <w:rsid w:val="00782CC4"/>
    <w:rsid w:val="00783285"/>
    <w:rsid w:val="00783B87"/>
    <w:rsid w:val="00785B20"/>
    <w:rsid w:val="00785C97"/>
    <w:rsid w:val="00786762"/>
    <w:rsid w:val="0078740F"/>
    <w:rsid w:val="00787BAF"/>
    <w:rsid w:val="00790618"/>
    <w:rsid w:val="00790755"/>
    <w:rsid w:val="00790CA3"/>
    <w:rsid w:val="0079222B"/>
    <w:rsid w:val="007927B1"/>
    <w:rsid w:val="00792C96"/>
    <w:rsid w:val="0079422F"/>
    <w:rsid w:val="007948D0"/>
    <w:rsid w:val="00794B82"/>
    <w:rsid w:val="00794C01"/>
    <w:rsid w:val="00794D3C"/>
    <w:rsid w:val="00795478"/>
    <w:rsid w:val="00795734"/>
    <w:rsid w:val="007960FE"/>
    <w:rsid w:val="007961A2"/>
    <w:rsid w:val="007963D4"/>
    <w:rsid w:val="007963EF"/>
    <w:rsid w:val="007A0319"/>
    <w:rsid w:val="007A0571"/>
    <w:rsid w:val="007A1BBC"/>
    <w:rsid w:val="007A2663"/>
    <w:rsid w:val="007A2969"/>
    <w:rsid w:val="007A36E4"/>
    <w:rsid w:val="007A3DC6"/>
    <w:rsid w:val="007A3F98"/>
    <w:rsid w:val="007A40EB"/>
    <w:rsid w:val="007A4E16"/>
    <w:rsid w:val="007A56A7"/>
    <w:rsid w:val="007A7E63"/>
    <w:rsid w:val="007B1283"/>
    <w:rsid w:val="007B1CF5"/>
    <w:rsid w:val="007B1EDE"/>
    <w:rsid w:val="007B1FEA"/>
    <w:rsid w:val="007B20A0"/>
    <w:rsid w:val="007B2640"/>
    <w:rsid w:val="007B30EE"/>
    <w:rsid w:val="007B32CD"/>
    <w:rsid w:val="007B3BBB"/>
    <w:rsid w:val="007B47CE"/>
    <w:rsid w:val="007B58B8"/>
    <w:rsid w:val="007B75FF"/>
    <w:rsid w:val="007B79DA"/>
    <w:rsid w:val="007B7A0B"/>
    <w:rsid w:val="007C024D"/>
    <w:rsid w:val="007C076D"/>
    <w:rsid w:val="007C14ED"/>
    <w:rsid w:val="007C1A7A"/>
    <w:rsid w:val="007C1ED1"/>
    <w:rsid w:val="007C2CE2"/>
    <w:rsid w:val="007C3363"/>
    <w:rsid w:val="007C45F6"/>
    <w:rsid w:val="007C4B99"/>
    <w:rsid w:val="007C5123"/>
    <w:rsid w:val="007C52F3"/>
    <w:rsid w:val="007C64AF"/>
    <w:rsid w:val="007C730C"/>
    <w:rsid w:val="007C784C"/>
    <w:rsid w:val="007C7B72"/>
    <w:rsid w:val="007C7C93"/>
    <w:rsid w:val="007D0029"/>
    <w:rsid w:val="007D0422"/>
    <w:rsid w:val="007D05FC"/>
    <w:rsid w:val="007D244B"/>
    <w:rsid w:val="007D275F"/>
    <w:rsid w:val="007D3858"/>
    <w:rsid w:val="007D3DF4"/>
    <w:rsid w:val="007D4423"/>
    <w:rsid w:val="007D497C"/>
    <w:rsid w:val="007D6873"/>
    <w:rsid w:val="007D7770"/>
    <w:rsid w:val="007E1812"/>
    <w:rsid w:val="007E1907"/>
    <w:rsid w:val="007E1AC5"/>
    <w:rsid w:val="007E1CDD"/>
    <w:rsid w:val="007E2409"/>
    <w:rsid w:val="007E33EA"/>
    <w:rsid w:val="007E3B40"/>
    <w:rsid w:val="007E3C59"/>
    <w:rsid w:val="007E55CB"/>
    <w:rsid w:val="007E6420"/>
    <w:rsid w:val="007E6B26"/>
    <w:rsid w:val="007E7321"/>
    <w:rsid w:val="007E745B"/>
    <w:rsid w:val="007E7690"/>
    <w:rsid w:val="007F012A"/>
    <w:rsid w:val="007F09C8"/>
    <w:rsid w:val="007F30C3"/>
    <w:rsid w:val="007F4115"/>
    <w:rsid w:val="007F43E0"/>
    <w:rsid w:val="007F6EFB"/>
    <w:rsid w:val="008006FE"/>
    <w:rsid w:val="00801048"/>
    <w:rsid w:val="008019F8"/>
    <w:rsid w:val="00802BE5"/>
    <w:rsid w:val="00803515"/>
    <w:rsid w:val="00805123"/>
    <w:rsid w:val="00805940"/>
    <w:rsid w:val="0080676B"/>
    <w:rsid w:val="008073B9"/>
    <w:rsid w:val="008105E5"/>
    <w:rsid w:val="00811E37"/>
    <w:rsid w:val="00811E8A"/>
    <w:rsid w:val="0081258B"/>
    <w:rsid w:val="008126AC"/>
    <w:rsid w:val="00812AA0"/>
    <w:rsid w:val="00812C2B"/>
    <w:rsid w:val="00812EE9"/>
    <w:rsid w:val="00812EFF"/>
    <w:rsid w:val="008133E0"/>
    <w:rsid w:val="00813464"/>
    <w:rsid w:val="00813638"/>
    <w:rsid w:val="00813D85"/>
    <w:rsid w:val="00814AA4"/>
    <w:rsid w:val="00814C1C"/>
    <w:rsid w:val="008169CD"/>
    <w:rsid w:val="0081754C"/>
    <w:rsid w:val="00817691"/>
    <w:rsid w:val="008200A1"/>
    <w:rsid w:val="008200C8"/>
    <w:rsid w:val="0082157D"/>
    <w:rsid w:val="00821E59"/>
    <w:rsid w:val="0082356B"/>
    <w:rsid w:val="008245BF"/>
    <w:rsid w:val="00824782"/>
    <w:rsid w:val="008249C3"/>
    <w:rsid w:val="00824B6C"/>
    <w:rsid w:val="00824F4D"/>
    <w:rsid w:val="0082515F"/>
    <w:rsid w:val="008253A7"/>
    <w:rsid w:val="00825E9D"/>
    <w:rsid w:val="00826511"/>
    <w:rsid w:val="00827143"/>
    <w:rsid w:val="00827271"/>
    <w:rsid w:val="00827301"/>
    <w:rsid w:val="0082774C"/>
    <w:rsid w:val="00827A8F"/>
    <w:rsid w:val="008310F1"/>
    <w:rsid w:val="00831BC4"/>
    <w:rsid w:val="008325AB"/>
    <w:rsid w:val="008328D0"/>
    <w:rsid w:val="008338CE"/>
    <w:rsid w:val="00833FFA"/>
    <w:rsid w:val="0083422D"/>
    <w:rsid w:val="00834551"/>
    <w:rsid w:val="00835666"/>
    <w:rsid w:val="00837E94"/>
    <w:rsid w:val="0084033C"/>
    <w:rsid w:val="008408DF"/>
    <w:rsid w:val="00840ECA"/>
    <w:rsid w:val="00841987"/>
    <w:rsid w:val="0084275C"/>
    <w:rsid w:val="00843E08"/>
    <w:rsid w:val="00845134"/>
    <w:rsid w:val="008456F8"/>
    <w:rsid w:val="00846071"/>
    <w:rsid w:val="0084623C"/>
    <w:rsid w:val="008462B9"/>
    <w:rsid w:val="0084695F"/>
    <w:rsid w:val="00846D6B"/>
    <w:rsid w:val="0084704B"/>
    <w:rsid w:val="008475DE"/>
    <w:rsid w:val="00850AE3"/>
    <w:rsid w:val="00850BF3"/>
    <w:rsid w:val="00850FBD"/>
    <w:rsid w:val="00851A8D"/>
    <w:rsid w:val="00853078"/>
    <w:rsid w:val="0085340C"/>
    <w:rsid w:val="008540E9"/>
    <w:rsid w:val="0085483F"/>
    <w:rsid w:val="00854F6F"/>
    <w:rsid w:val="00855A57"/>
    <w:rsid w:val="00855BCD"/>
    <w:rsid w:val="00855CD9"/>
    <w:rsid w:val="008563EA"/>
    <w:rsid w:val="00856C9D"/>
    <w:rsid w:val="00857A99"/>
    <w:rsid w:val="00857AED"/>
    <w:rsid w:val="00857BB6"/>
    <w:rsid w:val="00860E5C"/>
    <w:rsid w:val="00862D13"/>
    <w:rsid w:val="00863180"/>
    <w:rsid w:val="008637AF"/>
    <w:rsid w:val="00864127"/>
    <w:rsid w:val="00865207"/>
    <w:rsid w:val="00866102"/>
    <w:rsid w:val="008661B9"/>
    <w:rsid w:val="0086650A"/>
    <w:rsid w:val="00866BD4"/>
    <w:rsid w:val="00867E21"/>
    <w:rsid w:val="0087020D"/>
    <w:rsid w:val="00870DF7"/>
    <w:rsid w:val="008714CA"/>
    <w:rsid w:val="008714F6"/>
    <w:rsid w:val="00872761"/>
    <w:rsid w:val="0087458E"/>
    <w:rsid w:val="00875294"/>
    <w:rsid w:val="008752DF"/>
    <w:rsid w:val="00875762"/>
    <w:rsid w:val="00875D3C"/>
    <w:rsid w:val="00876634"/>
    <w:rsid w:val="0088171B"/>
    <w:rsid w:val="00881898"/>
    <w:rsid w:val="00881A14"/>
    <w:rsid w:val="00881C42"/>
    <w:rsid w:val="00882C2E"/>
    <w:rsid w:val="00882FA1"/>
    <w:rsid w:val="0088303A"/>
    <w:rsid w:val="00883339"/>
    <w:rsid w:val="0088338C"/>
    <w:rsid w:val="008856F1"/>
    <w:rsid w:val="00885778"/>
    <w:rsid w:val="00887AC2"/>
    <w:rsid w:val="00887FE4"/>
    <w:rsid w:val="00891B21"/>
    <w:rsid w:val="00891BF0"/>
    <w:rsid w:val="00891D5C"/>
    <w:rsid w:val="0089272A"/>
    <w:rsid w:val="00892840"/>
    <w:rsid w:val="00892B7F"/>
    <w:rsid w:val="008932AE"/>
    <w:rsid w:val="008933AF"/>
    <w:rsid w:val="0089357D"/>
    <w:rsid w:val="00894B9A"/>
    <w:rsid w:val="0089528A"/>
    <w:rsid w:val="00895350"/>
    <w:rsid w:val="00896E5B"/>
    <w:rsid w:val="00897329"/>
    <w:rsid w:val="00897E55"/>
    <w:rsid w:val="00897F61"/>
    <w:rsid w:val="008A01FD"/>
    <w:rsid w:val="008A0608"/>
    <w:rsid w:val="008A0B2D"/>
    <w:rsid w:val="008A1BFA"/>
    <w:rsid w:val="008A20FA"/>
    <w:rsid w:val="008A2742"/>
    <w:rsid w:val="008A28EA"/>
    <w:rsid w:val="008A4042"/>
    <w:rsid w:val="008A610C"/>
    <w:rsid w:val="008A6C44"/>
    <w:rsid w:val="008A6CCD"/>
    <w:rsid w:val="008A6CD8"/>
    <w:rsid w:val="008A7659"/>
    <w:rsid w:val="008B0AD2"/>
    <w:rsid w:val="008B127A"/>
    <w:rsid w:val="008B3A4C"/>
    <w:rsid w:val="008B3B83"/>
    <w:rsid w:val="008B3CDC"/>
    <w:rsid w:val="008B4380"/>
    <w:rsid w:val="008B4449"/>
    <w:rsid w:val="008B44EA"/>
    <w:rsid w:val="008B4DD4"/>
    <w:rsid w:val="008B540A"/>
    <w:rsid w:val="008B6DF2"/>
    <w:rsid w:val="008C093B"/>
    <w:rsid w:val="008C11CB"/>
    <w:rsid w:val="008C14C0"/>
    <w:rsid w:val="008C15A6"/>
    <w:rsid w:val="008C2FA1"/>
    <w:rsid w:val="008C4294"/>
    <w:rsid w:val="008C515A"/>
    <w:rsid w:val="008C686E"/>
    <w:rsid w:val="008C6A6D"/>
    <w:rsid w:val="008C75F3"/>
    <w:rsid w:val="008D09D9"/>
    <w:rsid w:val="008D09EA"/>
    <w:rsid w:val="008D137D"/>
    <w:rsid w:val="008D1624"/>
    <w:rsid w:val="008D2C08"/>
    <w:rsid w:val="008D311B"/>
    <w:rsid w:val="008D31B6"/>
    <w:rsid w:val="008D37FB"/>
    <w:rsid w:val="008D4B64"/>
    <w:rsid w:val="008D5223"/>
    <w:rsid w:val="008D5A85"/>
    <w:rsid w:val="008D5B49"/>
    <w:rsid w:val="008D6E0D"/>
    <w:rsid w:val="008D76BD"/>
    <w:rsid w:val="008E0A4B"/>
    <w:rsid w:val="008E14CE"/>
    <w:rsid w:val="008E1A39"/>
    <w:rsid w:val="008E1C6E"/>
    <w:rsid w:val="008E251F"/>
    <w:rsid w:val="008E2556"/>
    <w:rsid w:val="008E2BFC"/>
    <w:rsid w:val="008E3390"/>
    <w:rsid w:val="008E3E39"/>
    <w:rsid w:val="008E47FF"/>
    <w:rsid w:val="008E4E46"/>
    <w:rsid w:val="008E55F1"/>
    <w:rsid w:val="008E5765"/>
    <w:rsid w:val="008E5AE9"/>
    <w:rsid w:val="008E71EB"/>
    <w:rsid w:val="008E7267"/>
    <w:rsid w:val="008E7564"/>
    <w:rsid w:val="008E7E52"/>
    <w:rsid w:val="008F02B2"/>
    <w:rsid w:val="008F0822"/>
    <w:rsid w:val="008F0B93"/>
    <w:rsid w:val="008F1001"/>
    <w:rsid w:val="008F27B9"/>
    <w:rsid w:val="008F30BE"/>
    <w:rsid w:val="008F3497"/>
    <w:rsid w:val="008F3AC4"/>
    <w:rsid w:val="008F3D41"/>
    <w:rsid w:val="008F4219"/>
    <w:rsid w:val="008F43F8"/>
    <w:rsid w:val="008F45A3"/>
    <w:rsid w:val="008F4C22"/>
    <w:rsid w:val="008F5654"/>
    <w:rsid w:val="008F56B1"/>
    <w:rsid w:val="008F5C6B"/>
    <w:rsid w:val="008F63C9"/>
    <w:rsid w:val="008F79C2"/>
    <w:rsid w:val="008F7CF1"/>
    <w:rsid w:val="0090045C"/>
    <w:rsid w:val="009007DC"/>
    <w:rsid w:val="00900C43"/>
    <w:rsid w:val="00900C83"/>
    <w:rsid w:val="009024C2"/>
    <w:rsid w:val="00902BCF"/>
    <w:rsid w:val="00903E2E"/>
    <w:rsid w:val="00904A68"/>
    <w:rsid w:val="00905D4E"/>
    <w:rsid w:val="00906076"/>
    <w:rsid w:val="0090702B"/>
    <w:rsid w:val="009077D3"/>
    <w:rsid w:val="00907C4F"/>
    <w:rsid w:val="0091024E"/>
    <w:rsid w:val="009109E1"/>
    <w:rsid w:val="00910F06"/>
    <w:rsid w:val="00911C69"/>
    <w:rsid w:val="00911D80"/>
    <w:rsid w:val="00911EB4"/>
    <w:rsid w:val="00914A48"/>
    <w:rsid w:val="00914C84"/>
    <w:rsid w:val="00917339"/>
    <w:rsid w:val="009225A8"/>
    <w:rsid w:val="009228DB"/>
    <w:rsid w:val="00923023"/>
    <w:rsid w:val="00923628"/>
    <w:rsid w:val="00923B48"/>
    <w:rsid w:val="00923E7A"/>
    <w:rsid w:val="00923F2C"/>
    <w:rsid w:val="00924F17"/>
    <w:rsid w:val="0092568C"/>
    <w:rsid w:val="009257FF"/>
    <w:rsid w:val="00925F4D"/>
    <w:rsid w:val="00926013"/>
    <w:rsid w:val="009261EC"/>
    <w:rsid w:val="00926D38"/>
    <w:rsid w:val="00927146"/>
    <w:rsid w:val="009271B4"/>
    <w:rsid w:val="009302CA"/>
    <w:rsid w:val="00930635"/>
    <w:rsid w:val="00930B0F"/>
    <w:rsid w:val="00931886"/>
    <w:rsid w:val="00932C60"/>
    <w:rsid w:val="00932CBC"/>
    <w:rsid w:val="00932DEF"/>
    <w:rsid w:val="009337F2"/>
    <w:rsid w:val="00934EEA"/>
    <w:rsid w:val="00935076"/>
    <w:rsid w:val="00936A33"/>
    <w:rsid w:val="009375E9"/>
    <w:rsid w:val="0093782B"/>
    <w:rsid w:val="00940791"/>
    <w:rsid w:val="009407E2"/>
    <w:rsid w:val="00940F62"/>
    <w:rsid w:val="009412B9"/>
    <w:rsid w:val="0094179E"/>
    <w:rsid w:val="0094254A"/>
    <w:rsid w:val="00943E1D"/>
    <w:rsid w:val="00944D0D"/>
    <w:rsid w:val="009453AC"/>
    <w:rsid w:val="00945706"/>
    <w:rsid w:val="00946E13"/>
    <w:rsid w:val="0094703A"/>
    <w:rsid w:val="00947554"/>
    <w:rsid w:val="00947640"/>
    <w:rsid w:val="0094799F"/>
    <w:rsid w:val="00947FCF"/>
    <w:rsid w:val="00950AE4"/>
    <w:rsid w:val="00950B61"/>
    <w:rsid w:val="00950C5C"/>
    <w:rsid w:val="00951DE3"/>
    <w:rsid w:val="00952187"/>
    <w:rsid w:val="0095244B"/>
    <w:rsid w:val="00952694"/>
    <w:rsid w:val="00952974"/>
    <w:rsid w:val="00952AEB"/>
    <w:rsid w:val="0095442D"/>
    <w:rsid w:val="009559DF"/>
    <w:rsid w:val="00961066"/>
    <w:rsid w:val="00961698"/>
    <w:rsid w:val="009622CC"/>
    <w:rsid w:val="00962A90"/>
    <w:rsid w:val="00963A06"/>
    <w:rsid w:val="0096514E"/>
    <w:rsid w:val="00965673"/>
    <w:rsid w:val="00965765"/>
    <w:rsid w:val="00965F13"/>
    <w:rsid w:val="00965F4E"/>
    <w:rsid w:val="00966B9F"/>
    <w:rsid w:val="00966EF0"/>
    <w:rsid w:val="009672B0"/>
    <w:rsid w:val="00967D1C"/>
    <w:rsid w:val="00967ECB"/>
    <w:rsid w:val="00971FBF"/>
    <w:rsid w:val="009728AE"/>
    <w:rsid w:val="0097303B"/>
    <w:rsid w:val="0097387A"/>
    <w:rsid w:val="00973A54"/>
    <w:rsid w:val="00974CEC"/>
    <w:rsid w:val="00974E83"/>
    <w:rsid w:val="00974FB0"/>
    <w:rsid w:val="00975811"/>
    <w:rsid w:val="00976473"/>
    <w:rsid w:val="009764CB"/>
    <w:rsid w:val="009769B2"/>
    <w:rsid w:val="00976CB7"/>
    <w:rsid w:val="00976FB5"/>
    <w:rsid w:val="00977546"/>
    <w:rsid w:val="0098200B"/>
    <w:rsid w:val="00984211"/>
    <w:rsid w:val="00984D5D"/>
    <w:rsid w:val="00985966"/>
    <w:rsid w:val="00985DF1"/>
    <w:rsid w:val="00986931"/>
    <w:rsid w:val="0098761E"/>
    <w:rsid w:val="009877C0"/>
    <w:rsid w:val="00987927"/>
    <w:rsid w:val="00987CF6"/>
    <w:rsid w:val="0099028A"/>
    <w:rsid w:val="00990DCA"/>
    <w:rsid w:val="009911CA"/>
    <w:rsid w:val="00991A52"/>
    <w:rsid w:val="009922E3"/>
    <w:rsid w:val="009937CD"/>
    <w:rsid w:val="00994258"/>
    <w:rsid w:val="00994559"/>
    <w:rsid w:val="00995C7F"/>
    <w:rsid w:val="00995CC4"/>
    <w:rsid w:val="00995E6D"/>
    <w:rsid w:val="00996925"/>
    <w:rsid w:val="00997280"/>
    <w:rsid w:val="009975C4"/>
    <w:rsid w:val="00997CB1"/>
    <w:rsid w:val="00997CF2"/>
    <w:rsid w:val="009A0135"/>
    <w:rsid w:val="009A040B"/>
    <w:rsid w:val="009A09F6"/>
    <w:rsid w:val="009A171D"/>
    <w:rsid w:val="009A192E"/>
    <w:rsid w:val="009A2A9F"/>
    <w:rsid w:val="009A37D2"/>
    <w:rsid w:val="009A397A"/>
    <w:rsid w:val="009A4245"/>
    <w:rsid w:val="009A43A2"/>
    <w:rsid w:val="009A48A6"/>
    <w:rsid w:val="009A5977"/>
    <w:rsid w:val="009A5D83"/>
    <w:rsid w:val="009A6598"/>
    <w:rsid w:val="009A76CA"/>
    <w:rsid w:val="009B09D0"/>
    <w:rsid w:val="009B179C"/>
    <w:rsid w:val="009B1CD4"/>
    <w:rsid w:val="009B1D47"/>
    <w:rsid w:val="009B1DF7"/>
    <w:rsid w:val="009B2B57"/>
    <w:rsid w:val="009B2C70"/>
    <w:rsid w:val="009B3488"/>
    <w:rsid w:val="009B349E"/>
    <w:rsid w:val="009B36E1"/>
    <w:rsid w:val="009B3713"/>
    <w:rsid w:val="009B4058"/>
    <w:rsid w:val="009B45B1"/>
    <w:rsid w:val="009B4F1C"/>
    <w:rsid w:val="009B54A4"/>
    <w:rsid w:val="009B59AF"/>
    <w:rsid w:val="009B59B1"/>
    <w:rsid w:val="009B5E12"/>
    <w:rsid w:val="009B65F7"/>
    <w:rsid w:val="009B68C8"/>
    <w:rsid w:val="009B6C87"/>
    <w:rsid w:val="009B79FF"/>
    <w:rsid w:val="009C0073"/>
    <w:rsid w:val="009C05D7"/>
    <w:rsid w:val="009C06CF"/>
    <w:rsid w:val="009C07C1"/>
    <w:rsid w:val="009C13A2"/>
    <w:rsid w:val="009C14A8"/>
    <w:rsid w:val="009C18C9"/>
    <w:rsid w:val="009C2322"/>
    <w:rsid w:val="009C2716"/>
    <w:rsid w:val="009C2A64"/>
    <w:rsid w:val="009C301B"/>
    <w:rsid w:val="009C52C3"/>
    <w:rsid w:val="009C647E"/>
    <w:rsid w:val="009C6728"/>
    <w:rsid w:val="009C6F27"/>
    <w:rsid w:val="009C749F"/>
    <w:rsid w:val="009C7B80"/>
    <w:rsid w:val="009C7E97"/>
    <w:rsid w:val="009D0796"/>
    <w:rsid w:val="009D09CA"/>
    <w:rsid w:val="009D13C6"/>
    <w:rsid w:val="009D1501"/>
    <w:rsid w:val="009D2FA3"/>
    <w:rsid w:val="009D33A0"/>
    <w:rsid w:val="009D3782"/>
    <w:rsid w:val="009D3EB1"/>
    <w:rsid w:val="009D3F92"/>
    <w:rsid w:val="009D4037"/>
    <w:rsid w:val="009D4E03"/>
    <w:rsid w:val="009D525D"/>
    <w:rsid w:val="009D53E3"/>
    <w:rsid w:val="009D5A13"/>
    <w:rsid w:val="009D6A7C"/>
    <w:rsid w:val="009D6D71"/>
    <w:rsid w:val="009D752E"/>
    <w:rsid w:val="009D7576"/>
    <w:rsid w:val="009D7672"/>
    <w:rsid w:val="009E06A0"/>
    <w:rsid w:val="009E088A"/>
    <w:rsid w:val="009E13BC"/>
    <w:rsid w:val="009E1C4B"/>
    <w:rsid w:val="009E1DE9"/>
    <w:rsid w:val="009E1FB6"/>
    <w:rsid w:val="009E2BCC"/>
    <w:rsid w:val="009E2C5B"/>
    <w:rsid w:val="009E40F4"/>
    <w:rsid w:val="009E4663"/>
    <w:rsid w:val="009E48D6"/>
    <w:rsid w:val="009E6008"/>
    <w:rsid w:val="009E6A02"/>
    <w:rsid w:val="009E6B4B"/>
    <w:rsid w:val="009E711B"/>
    <w:rsid w:val="009E79D4"/>
    <w:rsid w:val="009F061D"/>
    <w:rsid w:val="009F183A"/>
    <w:rsid w:val="009F2A47"/>
    <w:rsid w:val="009F2E71"/>
    <w:rsid w:val="009F3661"/>
    <w:rsid w:val="009F3C85"/>
    <w:rsid w:val="009F4837"/>
    <w:rsid w:val="009F4A6F"/>
    <w:rsid w:val="009F63A6"/>
    <w:rsid w:val="009F6866"/>
    <w:rsid w:val="009F6EAF"/>
    <w:rsid w:val="009F7D19"/>
    <w:rsid w:val="00A00AEA"/>
    <w:rsid w:val="00A01653"/>
    <w:rsid w:val="00A01ED7"/>
    <w:rsid w:val="00A02971"/>
    <w:rsid w:val="00A03EF6"/>
    <w:rsid w:val="00A04D70"/>
    <w:rsid w:val="00A05F3C"/>
    <w:rsid w:val="00A06C50"/>
    <w:rsid w:val="00A07063"/>
    <w:rsid w:val="00A0739B"/>
    <w:rsid w:val="00A078C9"/>
    <w:rsid w:val="00A10097"/>
    <w:rsid w:val="00A1063C"/>
    <w:rsid w:val="00A10A1E"/>
    <w:rsid w:val="00A12180"/>
    <w:rsid w:val="00A12E2D"/>
    <w:rsid w:val="00A135C8"/>
    <w:rsid w:val="00A13F50"/>
    <w:rsid w:val="00A15128"/>
    <w:rsid w:val="00A15601"/>
    <w:rsid w:val="00A16718"/>
    <w:rsid w:val="00A16CEF"/>
    <w:rsid w:val="00A17539"/>
    <w:rsid w:val="00A175FB"/>
    <w:rsid w:val="00A2026D"/>
    <w:rsid w:val="00A2196D"/>
    <w:rsid w:val="00A21A38"/>
    <w:rsid w:val="00A228CE"/>
    <w:rsid w:val="00A230A0"/>
    <w:rsid w:val="00A23444"/>
    <w:rsid w:val="00A24416"/>
    <w:rsid w:val="00A249AD"/>
    <w:rsid w:val="00A25B75"/>
    <w:rsid w:val="00A25BD4"/>
    <w:rsid w:val="00A2753B"/>
    <w:rsid w:val="00A27AC6"/>
    <w:rsid w:val="00A30162"/>
    <w:rsid w:val="00A30B5E"/>
    <w:rsid w:val="00A31077"/>
    <w:rsid w:val="00A316ED"/>
    <w:rsid w:val="00A31862"/>
    <w:rsid w:val="00A3298E"/>
    <w:rsid w:val="00A32F8E"/>
    <w:rsid w:val="00A33042"/>
    <w:rsid w:val="00A33068"/>
    <w:rsid w:val="00A33160"/>
    <w:rsid w:val="00A34A01"/>
    <w:rsid w:val="00A34E57"/>
    <w:rsid w:val="00A35753"/>
    <w:rsid w:val="00A36007"/>
    <w:rsid w:val="00A37473"/>
    <w:rsid w:val="00A4021A"/>
    <w:rsid w:val="00A40C0E"/>
    <w:rsid w:val="00A40CFC"/>
    <w:rsid w:val="00A41C37"/>
    <w:rsid w:val="00A4212E"/>
    <w:rsid w:val="00A42C20"/>
    <w:rsid w:val="00A431C3"/>
    <w:rsid w:val="00A44065"/>
    <w:rsid w:val="00A4474F"/>
    <w:rsid w:val="00A44F68"/>
    <w:rsid w:val="00A4603B"/>
    <w:rsid w:val="00A465F3"/>
    <w:rsid w:val="00A476A1"/>
    <w:rsid w:val="00A50A20"/>
    <w:rsid w:val="00A5203C"/>
    <w:rsid w:val="00A52721"/>
    <w:rsid w:val="00A52F23"/>
    <w:rsid w:val="00A52F61"/>
    <w:rsid w:val="00A53A47"/>
    <w:rsid w:val="00A54792"/>
    <w:rsid w:val="00A549FD"/>
    <w:rsid w:val="00A54A15"/>
    <w:rsid w:val="00A5620A"/>
    <w:rsid w:val="00A562E4"/>
    <w:rsid w:val="00A578EB"/>
    <w:rsid w:val="00A600FA"/>
    <w:rsid w:val="00A60453"/>
    <w:rsid w:val="00A60529"/>
    <w:rsid w:val="00A608A4"/>
    <w:rsid w:val="00A60ADF"/>
    <w:rsid w:val="00A61411"/>
    <w:rsid w:val="00A61848"/>
    <w:rsid w:val="00A61B3E"/>
    <w:rsid w:val="00A63222"/>
    <w:rsid w:val="00A63673"/>
    <w:rsid w:val="00A64DC4"/>
    <w:rsid w:val="00A64EBD"/>
    <w:rsid w:val="00A656B3"/>
    <w:rsid w:val="00A6708B"/>
    <w:rsid w:val="00A67531"/>
    <w:rsid w:val="00A67A3C"/>
    <w:rsid w:val="00A709A6"/>
    <w:rsid w:val="00A7122F"/>
    <w:rsid w:val="00A713BD"/>
    <w:rsid w:val="00A716C8"/>
    <w:rsid w:val="00A720FA"/>
    <w:rsid w:val="00A73848"/>
    <w:rsid w:val="00A73A60"/>
    <w:rsid w:val="00A73D43"/>
    <w:rsid w:val="00A73E78"/>
    <w:rsid w:val="00A74019"/>
    <w:rsid w:val="00A74297"/>
    <w:rsid w:val="00A74883"/>
    <w:rsid w:val="00A7492A"/>
    <w:rsid w:val="00A75CF4"/>
    <w:rsid w:val="00A75FDA"/>
    <w:rsid w:val="00A76567"/>
    <w:rsid w:val="00A76B29"/>
    <w:rsid w:val="00A77C99"/>
    <w:rsid w:val="00A77F13"/>
    <w:rsid w:val="00A8015B"/>
    <w:rsid w:val="00A803BE"/>
    <w:rsid w:val="00A81668"/>
    <w:rsid w:val="00A826EF"/>
    <w:rsid w:val="00A82EF6"/>
    <w:rsid w:val="00A82FC9"/>
    <w:rsid w:val="00A8401B"/>
    <w:rsid w:val="00A84554"/>
    <w:rsid w:val="00A84918"/>
    <w:rsid w:val="00A86257"/>
    <w:rsid w:val="00A86CE2"/>
    <w:rsid w:val="00A871A0"/>
    <w:rsid w:val="00A910E7"/>
    <w:rsid w:val="00A91421"/>
    <w:rsid w:val="00A92AAC"/>
    <w:rsid w:val="00A92E93"/>
    <w:rsid w:val="00A9351F"/>
    <w:rsid w:val="00A93A34"/>
    <w:rsid w:val="00A93ABF"/>
    <w:rsid w:val="00A93DDC"/>
    <w:rsid w:val="00A9401E"/>
    <w:rsid w:val="00A9431F"/>
    <w:rsid w:val="00A97203"/>
    <w:rsid w:val="00A9775D"/>
    <w:rsid w:val="00A97B8B"/>
    <w:rsid w:val="00AA1582"/>
    <w:rsid w:val="00AA15D2"/>
    <w:rsid w:val="00AA343B"/>
    <w:rsid w:val="00AA38AE"/>
    <w:rsid w:val="00AA391A"/>
    <w:rsid w:val="00AA3A5C"/>
    <w:rsid w:val="00AA476C"/>
    <w:rsid w:val="00AA4955"/>
    <w:rsid w:val="00AA4DB4"/>
    <w:rsid w:val="00AA54D9"/>
    <w:rsid w:val="00AA707A"/>
    <w:rsid w:val="00AA7982"/>
    <w:rsid w:val="00AA79EB"/>
    <w:rsid w:val="00AA7A04"/>
    <w:rsid w:val="00AB1265"/>
    <w:rsid w:val="00AB1D29"/>
    <w:rsid w:val="00AB2127"/>
    <w:rsid w:val="00AB26E5"/>
    <w:rsid w:val="00AB32DC"/>
    <w:rsid w:val="00AB370E"/>
    <w:rsid w:val="00AB3C84"/>
    <w:rsid w:val="00AB3E7F"/>
    <w:rsid w:val="00AB3E8E"/>
    <w:rsid w:val="00AB4569"/>
    <w:rsid w:val="00AB4625"/>
    <w:rsid w:val="00AB559B"/>
    <w:rsid w:val="00AB5A2C"/>
    <w:rsid w:val="00AB68D6"/>
    <w:rsid w:val="00AB72FB"/>
    <w:rsid w:val="00AB76A9"/>
    <w:rsid w:val="00AB7774"/>
    <w:rsid w:val="00AB7E6A"/>
    <w:rsid w:val="00AC07B6"/>
    <w:rsid w:val="00AC0B92"/>
    <w:rsid w:val="00AC25B7"/>
    <w:rsid w:val="00AC2D93"/>
    <w:rsid w:val="00AC3097"/>
    <w:rsid w:val="00AC30CF"/>
    <w:rsid w:val="00AC34A3"/>
    <w:rsid w:val="00AC37B7"/>
    <w:rsid w:val="00AC473C"/>
    <w:rsid w:val="00AC557B"/>
    <w:rsid w:val="00AC5AE0"/>
    <w:rsid w:val="00AC5DB8"/>
    <w:rsid w:val="00AC616A"/>
    <w:rsid w:val="00AC7046"/>
    <w:rsid w:val="00AC72F9"/>
    <w:rsid w:val="00AC7780"/>
    <w:rsid w:val="00AC7EE4"/>
    <w:rsid w:val="00AD0883"/>
    <w:rsid w:val="00AD1619"/>
    <w:rsid w:val="00AD21D7"/>
    <w:rsid w:val="00AD340F"/>
    <w:rsid w:val="00AD36F7"/>
    <w:rsid w:val="00AD3763"/>
    <w:rsid w:val="00AD3E82"/>
    <w:rsid w:val="00AD47A9"/>
    <w:rsid w:val="00AD4E50"/>
    <w:rsid w:val="00AD53E0"/>
    <w:rsid w:val="00AD5C07"/>
    <w:rsid w:val="00AD6474"/>
    <w:rsid w:val="00AE09F0"/>
    <w:rsid w:val="00AE1116"/>
    <w:rsid w:val="00AE30CF"/>
    <w:rsid w:val="00AE396C"/>
    <w:rsid w:val="00AE3DDE"/>
    <w:rsid w:val="00AE44F4"/>
    <w:rsid w:val="00AE5262"/>
    <w:rsid w:val="00AE5F6E"/>
    <w:rsid w:val="00AE6257"/>
    <w:rsid w:val="00AE72DB"/>
    <w:rsid w:val="00AE7656"/>
    <w:rsid w:val="00AE7987"/>
    <w:rsid w:val="00AE7F21"/>
    <w:rsid w:val="00AF0820"/>
    <w:rsid w:val="00AF0F63"/>
    <w:rsid w:val="00AF1150"/>
    <w:rsid w:val="00AF138B"/>
    <w:rsid w:val="00AF1E6B"/>
    <w:rsid w:val="00AF2053"/>
    <w:rsid w:val="00AF2313"/>
    <w:rsid w:val="00AF3B0E"/>
    <w:rsid w:val="00AF498F"/>
    <w:rsid w:val="00AF4DF6"/>
    <w:rsid w:val="00AF539C"/>
    <w:rsid w:val="00AF5443"/>
    <w:rsid w:val="00AF595D"/>
    <w:rsid w:val="00AF66BC"/>
    <w:rsid w:val="00B001BB"/>
    <w:rsid w:val="00B004B4"/>
    <w:rsid w:val="00B01FFF"/>
    <w:rsid w:val="00B028D7"/>
    <w:rsid w:val="00B034D8"/>
    <w:rsid w:val="00B03F0B"/>
    <w:rsid w:val="00B04F80"/>
    <w:rsid w:val="00B0508B"/>
    <w:rsid w:val="00B05BA9"/>
    <w:rsid w:val="00B05E42"/>
    <w:rsid w:val="00B07C8F"/>
    <w:rsid w:val="00B10402"/>
    <w:rsid w:val="00B10B93"/>
    <w:rsid w:val="00B11E8E"/>
    <w:rsid w:val="00B12A27"/>
    <w:rsid w:val="00B12F42"/>
    <w:rsid w:val="00B12F7B"/>
    <w:rsid w:val="00B13C31"/>
    <w:rsid w:val="00B14025"/>
    <w:rsid w:val="00B152D0"/>
    <w:rsid w:val="00B1541D"/>
    <w:rsid w:val="00B155F8"/>
    <w:rsid w:val="00B15BAC"/>
    <w:rsid w:val="00B169FC"/>
    <w:rsid w:val="00B17B97"/>
    <w:rsid w:val="00B17C5A"/>
    <w:rsid w:val="00B2288B"/>
    <w:rsid w:val="00B238AA"/>
    <w:rsid w:val="00B23BC9"/>
    <w:rsid w:val="00B23BD1"/>
    <w:rsid w:val="00B23C87"/>
    <w:rsid w:val="00B23DF6"/>
    <w:rsid w:val="00B240C0"/>
    <w:rsid w:val="00B24AEF"/>
    <w:rsid w:val="00B25523"/>
    <w:rsid w:val="00B26848"/>
    <w:rsid w:val="00B27108"/>
    <w:rsid w:val="00B2717C"/>
    <w:rsid w:val="00B300CC"/>
    <w:rsid w:val="00B31667"/>
    <w:rsid w:val="00B31C0C"/>
    <w:rsid w:val="00B31E40"/>
    <w:rsid w:val="00B32C67"/>
    <w:rsid w:val="00B32E5E"/>
    <w:rsid w:val="00B335D7"/>
    <w:rsid w:val="00B348F1"/>
    <w:rsid w:val="00B350CD"/>
    <w:rsid w:val="00B35A6E"/>
    <w:rsid w:val="00B3606D"/>
    <w:rsid w:val="00B365DF"/>
    <w:rsid w:val="00B36BEC"/>
    <w:rsid w:val="00B3778B"/>
    <w:rsid w:val="00B37E47"/>
    <w:rsid w:val="00B401A1"/>
    <w:rsid w:val="00B40560"/>
    <w:rsid w:val="00B40698"/>
    <w:rsid w:val="00B40DE9"/>
    <w:rsid w:val="00B40F61"/>
    <w:rsid w:val="00B41CFE"/>
    <w:rsid w:val="00B4228E"/>
    <w:rsid w:val="00B425EE"/>
    <w:rsid w:val="00B42D7A"/>
    <w:rsid w:val="00B42DD2"/>
    <w:rsid w:val="00B436A3"/>
    <w:rsid w:val="00B436A6"/>
    <w:rsid w:val="00B436D3"/>
    <w:rsid w:val="00B43AC9"/>
    <w:rsid w:val="00B43BBC"/>
    <w:rsid w:val="00B450FD"/>
    <w:rsid w:val="00B451F0"/>
    <w:rsid w:val="00B45BF8"/>
    <w:rsid w:val="00B45C78"/>
    <w:rsid w:val="00B4651A"/>
    <w:rsid w:val="00B474ED"/>
    <w:rsid w:val="00B47BBF"/>
    <w:rsid w:val="00B50533"/>
    <w:rsid w:val="00B5104A"/>
    <w:rsid w:val="00B51200"/>
    <w:rsid w:val="00B51555"/>
    <w:rsid w:val="00B519EA"/>
    <w:rsid w:val="00B51EE7"/>
    <w:rsid w:val="00B521EE"/>
    <w:rsid w:val="00B52D28"/>
    <w:rsid w:val="00B53637"/>
    <w:rsid w:val="00B53875"/>
    <w:rsid w:val="00B53ED7"/>
    <w:rsid w:val="00B542DB"/>
    <w:rsid w:val="00B542E7"/>
    <w:rsid w:val="00B554E2"/>
    <w:rsid w:val="00B558DA"/>
    <w:rsid w:val="00B56543"/>
    <w:rsid w:val="00B57022"/>
    <w:rsid w:val="00B57518"/>
    <w:rsid w:val="00B60935"/>
    <w:rsid w:val="00B6216F"/>
    <w:rsid w:val="00B63539"/>
    <w:rsid w:val="00B63589"/>
    <w:rsid w:val="00B65BB6"/>
    <w:rsid w:val="00B665FA"/>
    <w:rsid w:val="00B66CA0"/>
    <w:rsid w:val="00B67C85"/>
    <w:rsid w:val="00B67D39"/>
    <w:rsid w:val="00B70358"/>
    <w:rsid w:val="00B71037"/>
    <w:rsid w:val="00B7157E"/>
    <w:rsid w:val="00B715D2"/>
    <w:rsid w:val="00B71CAA"/>
    <w:rsid w:val="00B72E0C"/>
    <w:rsid w:val="00B73300"/>
    <w:rsid w:val="00B73986"/>
    <w:rsid w:val="00B73B3E"/>
    <w:rsid w:val="00B74E59"/>
    <w:rsid w:val="00B76D07"/>
    <w:rsid w:val="00B76EFC"/>
    <w:rsid w:val="00B7713C"/>
    <w:rsid w:val="00B775D9"/>
    <w:rsid w:val="00B7771A"/>
    <w:rsid w:val="00B806C8"/>
    <w:rsid w:val="00B811EF"/>
    <w:rsid w:val="00B81244"/>
    <w:rsid w:val="00B81979"/>
    <w:rsid w:val="00B81A1C"/>
    <w:rsid w:val="00B821C4"/>
    <w:rsid w:val="00B82B12"/>
    <w:rsid w:val="00B82DDF"/>
    <w:rsid w:val="00B82F3A"/>
    <w:rsid w:val="00B830DF"/>
    <w:rsid w:val="00B83EC2"/>
    <w:rsid w:val="00B8468F"/>
    <w:rsid w:val="00B84F1E"/>
    <w:rsid w:val="00B86232"/>
    <w:rsid w:val="00B8675F"/>
    <w:rsid w:val="00B8692D"/>
    <w:rsid w:val="00B86CE2"/>
    <w:rsid w:val="00B86F80"/>
    <w:rsid w:val="00B87F6E"/>
    <w:rsid w:val="00B907A3"/>
    <w:rsid w:val="00B909B3"/>
    <w:rsid w:val="00B90B8C"/>
    <w:rsid w:val="00B90E01"/>
    <w:rsid w:val="00B916DB"/>
    <w:rsid w:val="00B92A1D"/>
    <w:rsid w:val="00B92D56"/>
    <w:rsid w:val="00B92ED2"/>
    <w:rsid w:val="00B9357C"/>
    <w:rsid w:val="00B93767"/>
    <w:rsid w:val="00B94090"/>
    <w:rsid w:val="00B94689"/>
    <w:rsid w:val="00B946EA"/>
    <w:rsid w:val="00B947A1"/>
    <w:rsid w:val="00B9505B"/>
    <w:rsid w:val="00B96493"/>
    <w:rsid w:val="00B97462"/>
    <w:rsid w:val="00B97496"/>
    <w:rsid w:val="00B97A33"/>
    <w:rsid w:val="00BA0765"/>
    <w:rsid w:val="00BA110B"/>
    <w:rsid w:val="00BA266E"/>
    <w:rsid w:val="00BA2EE5"/>
    <w:rsid w:val="00BA3DD6"/>
    <w:rsid w:val="00BA4245"/>
    <w:rsid w:val="00BA5A93"/>
    <w:rsid w:val="00BA5E5C"/>
    <w:rsid w:val="00BA7163"/>
    <w:rsid w:val="00BB09D8"/>
    <w:rsid w:val="00BB0E7A"/>
    <w:rsid w:val="00BB1588"/>
    <w:rsid w:val="00BB1591"/>
    <w:rsid w:val="00BB3182"/>
    <w:rsid w:val="00BB35F2"/>
    <w:rsid w:val="00BB456D"/>
    <w:rsid w:val="00BB4C82"/>
    <w:rsid w:val="00BB513B"/>
    <w:rsid w:val="00BB58D3"/>
    <w:rsid w:val="00BB7905"/>
    <w:rsid w:val="00BB7D26"/>
    <w:rsid w:val="00BB7EF2"/>
    <w:rsid w:val="00BC0200"/>
    <w:rsid w:val="00BC11F3"/>
    <w:rsid w:val="00BC122C"/>
    <w:rsid w:val="00BC1DBE"/>
    <w:rsid w:val="00BC42A9"/>
    <w:rsid w:val="00BC4390"/>
    <w:rsid w:val="00BC4C52"/>
    <w:rsid w:val="00BC53DA"/>
    <w:rsid w:val="00BC64D9"/>
    <w:rsid w:val="00BC680F"/>
    <w:rsid w:val="00BC6921"/>
    <w:rsid w:val="00BC6D3C"/>
    <w:rsid w:val="00BC72FD"/>
    <w:rsid w:val="00BD087B"/>
    <w:rsid w:val="00BD1745"/>
    <w:rsid w:val="00BD1800"/>
    <w:rsid w:val="00BD1F09"/>
    <w:rsid w:val="00BD29AF"/>
    <w:rsid w:val="00BD3837"/>
    <w:rsid w:val="00BD3CCB"/>
    <w:rsid w:val="00BD3CF5"/>
    <w:rsid w:val="00BD47A4"/>
    <w:rsid w:val="00BD4BE2"/>
    <w:rsid w:val="00BD4BE7"/>
    <w:rsid w:val="00BD5034"/>
    <w:rsid w:val="00BD51D0"/>
    <w:rsid w:val="00BD5709"/>
    <w:rsid w:val="00BD5AB6"/>
    <w:rsid w:val="00BD666A"/>
    <w:rsid w:val="00BD6BA5"/>
    <w:rsid w:val="00BD7842"/>
    <w:rsid w:val="00BD7C5F"/>
    <w:rsid w:val="00BE0BA9"/>
    <w:rsid w:val="00BE13F2"/>
    <w:rsid w:val="00BE17D9"/>
    <w:rsid w:val="00BE2AC5"/>
    <w:rsid w:val="00BE35FC"/>
    <w:rsid w:val="00BE385C"/>
    <w:rsid w:val="00BE3F00"/>
    <w:rsid w:val="00BE4D6A"/>
    <w:rsid w:val="00BE515D"/>
    <w:rsid w:val="00BE590D"/>
    <w:rsid w:val="00BE63E1"/>
    <w:rsid w:val="00BE7BEC"/>
    <w:rsid w:val="00BE7C3E"/>
    <w:rsid w:val="00BF00DC"/>
    <w:rsid w:val="00BF014C"/>
    <w:rsid w:val="00BF07F5"/>
    <w:rsid w:val="00BF17BE"/>
    <w:rsid w:val="00BF1F88"/>
    <w:rsid w:val="00BF2DA3"/>
    <w:rsid w:val="00BF363D"/>
    <w:rsid w:val="00BF5B16"/>
    <w:rsid w:val="00BF5D2E"/>
    <w:rsid w:val="00BF5D90"/>
    <w:rsid w:val="00BF670B"/>
    <w:rsid w:val="00BF74CE"/>
    <w:rsid w:val="00BF7885"/>
    <w:rsid w:val="00BF7A4E"/>
    <w:rsid w:val="00C00F00"/>
    <w:rsid w:val="00C01806"/>
    <w:rsid w:val="00C01F43"/>
    <w:rsid w:val="00C02AAE"/>
    <w:rsid w:val="00C02E09"/>
    <w:rsid w:val="00C03212"/>
    <w:rsid w:val="00C03292"/>
    <w:rsid w:val="00C03B25"/>
    <w:rsid w:val="00C046A5"/>
    <w:rsid w:val="00C04757"/>
    <w:rsid w:val="00C050B1"/>
    <w:rsid w:val="00C052D8"/>
    <w:rsid w:val="00C057C2"/>
    <w:rsid w:val="00C078D1"/>
    <w:rsid w:val="00C1047F"/>
    <w:rsid w:val="00C113D8"/>
    <w:rsid w:val="00C13EB0"/>
    <w:rsid w:val="00C13F3F"/>
    <w:rsid w:val="00C14011"/>
    <w:rsid w:val="00C14232"/>
    <w:rsid w:val="00C14662"/>
    <w:rsid w:val="00C14A78"/>
    <w:rsid w:val="00C14E7C"/>
    <w:rsid w:val="00C1554E"/>
    <w:rsid w:val="00C1583E"/>
    <w:rsid w:val="00C16692"/>
    <w:rsid w:val="00C20379"/>
    <w:rsid w:val="00C20A77"/>
    <w:rsid w:val="00C21BE8"/>
    <w:rsid w:val="00C23998"/>
    <w:rsid w:val="00C23C07"/>
    <w:rsid w:val="00C24DB7"/>
    <w:rsid w:val="00C25841"/>
    <w:rsid w:val="00C25C8D"/>
    <w:rsid w:val="00C26327"/>
    <w:rsid w:val="00C26EAF"/>
    <w:rsid w:val="00C27C2F"/>
    <w:rsid w:val="00C30460"/>
    <w:rsid w:val="00C30474"/>
    <w:rsid w:val="00C30A20"/>
    <w:rsid w:val="00C30C26"/>
    <w:rsid w:val="00C30E70"/>
    <w:rsid w:val="00C313EE"/>
    <w:rsid w:val="00C318CC"/>
    <w:rsid w:val="00C31B4B"/>
    <w:rsid w:val="00C3246D"/>
    <w:rsid w:val="00C33C60"/>
    <w:rsid w:val="00C34C3F"/>
    <w:rsid w:val="00C34DB3"/>
    <w:rsid w:val="00C3509E"/>
    <w:rsid w:val="00C354F0"/>
    <w:rsid w:val="00C358E4"/>
    <w:rsid w:val="00C35A6E"/>
    <w:rsid w:val="00C36174"/>
    <w:rsid w:val="00C36A69"/>
    <w:rsid w:val="00C41548"/>
    <w:rsid w:val="00C41C82"/>
    <w:rsid w:val="00C41DC3"/>
    <w:rsid w:val="00C42217"/>
    <w:rsid w:val="00C4243A"/>
    <w:rsid w:val="00C4244B"/>
    <w:rsid w:val="00C46649"/>
    <w:rsid w:val="00C467DC"/>
    <w:rsid w:val="00C46A50"/>
    <w:rsid w:val="00C470D8"/>
    <w:rsid w:val="00C474E5"/>
    <w:rsid w:val="00C47FCC"/>
    <w:rsid w:val="00C50752"/>
    <w:rsid w:val="00C55480"/>
    <w:rsid w:val="00C561BB"/>
    <w:rsid w:val="00C569E8"/>
    <w:rsid w:val="00C578A4"/>
    <w:rsid w:val="00C6058E"/>
    <w:rsid w:val="00C60AA7"/>
    <w:rsid w:val="00C60B86"/>
    <w:rsid w:val="00C60C54"/>
    <w:rsid w:val="00C60DE5"/>
    <w:rsid w:val="00C60EA5"/>
    <w:rsid w:val="00C60FCA"/>
    <w:rsid w:val="00C61EB0"/>
    <w:rsid w:val="00C62071"/>
    <w:rsid w:val="00C62846"/>
    <w:rsid w:val="00C62A22"/>
    <w:rsid w:val="00C62DB7"/>
    <w:rsid w:val="00C63FD3"/>
    <w:rsid w:val="00C64453"/>
    <w:rsid w:val="00C66597"/>
    <w:rsid w:val="00C67851"/>
    <w:rsid w:val="00C6790A"/>
    <w:rsid w:val="00C67C5B"/>
    <w:rsid w:val="00C700D8"/>
    <w:rsid w:val="00C704D6"/>
    <w:rsid w:val="00C70B1A"/>
    <w:rsid w:val="00C71B5B"/>
    <w:rsid w:val="00C722DB"/>
    <w:rsid w:val="00C722E3"/>
    <w:rsid w:val="00C7288F"/>
    <w:rsid w:val="00C72D0D"/>
    <w:rsid w:val="00C7325B"/>
    <w:rsid w:val="00C73D4D"/>
    <w:rsid w:val="00C741AC"/>
    <w:rsid w:val="00C74F9A"/>
    <w:rsid w:val="00C753C8"/>
    <w:rsid w:val="00C756CE"/>
    <w:rsid w:val="00C759E6"/>
    <w:rsid w:val="00C75B86"/>
    <w:rsid w:val="00C7680B"/>
    <w:rsid w:val="00C76CB7"/>
    <w:rsid w:val="00C773C0"/>
    <w:rsid w:val="00C777D1"/>
    <w:rsid w:val="00C8061E"/>
    <w:rsid w:val="00C80988"/>
    <w:rsid w:val="00C80B58"/>
    <w:rsid w:val="00C81FE7"/>
    <w:rsid w:val="00C8235B"/>
    <w:rsid w:val="00C8253D"/>
    <w:rsid w:val="00C829F9"/>
    <w:rsid w:val="00C8310D"/>
    <w:rsid w:val="00C83C15"/>
    <w:rsid w:val="00C843E4"/>
    <w:rsid w:val="00C85C26"/>
    <w:rsid w:val="00C85D33"/>
    <w:rsid w:val="00C86B1A"/>
    <w:rsid w:val="00C86B44"/>
    <w:rsid w:val="00C9054A"/>
    <w:rsid w:val="00C93754"/>
    <w:rsid w:val="00C93DA5"/>
    <w:rsid w:val="00C94A80"/>
    <w:rsid w:val="00C9668C"/>
    <w:rsid w:val="00C969C4"/>
    <w:rsid w:val="00C96A80"/>
    <w:rsid w:val="00C96BED"/>
    <w:rsid w:val="00C972B5"/>
    <w:rsid w:val="00C97680"/>
    <w:rsid w:val="00C97A8A"/>
    <w:rsid w:val="00CA00BC"/>
    <w:rsid w:val="00CA07F2"/>
    <w:rsid w:val="00CA0E0F"/>
    <w:rsid w:val="00CA2F29"/>
    <w:rsid w:val="00CA3010"/>
    <w:rsid w:val="00CA3748"/>
    <w:rsid w:val="00CA39DC"/>
    <w:rsid w:val="00CA4459"/>
    <w:rsid w:val="00CA49E2"/>
    <w:rsid w:val="00CA4E98"/>
    <w:rsid w:val="00CA5B64"/>
    <w:rsid w:val="00CA6060"/>
    <w:rsid w:val="00CA7882"/>
    <w:rsid w:val="00CA7BEC"/>
    <w:rsid w:val="00CB10B9"/>
    <w:rsid w:val="00CB2190"/>
    <w:rsid w:val="00CB2386"/>
    <w:rsid w:val="00CB23FF"/>
    <w:rsid w:val="00CB293E"/>
    <w:rsid w:val="00CB31E4"/>
    <w:rsid w:val="00CB3CE4"/>
    <w:rsid w:val="00CB4421"/>
    <w:rsid w:val="00CB46C7"/>
    <w:rsid w:val="00CB4E13"/>
    <w:rsid w:val="00CB523D"/>
    <w:rsid w:val="00CB5268"/>
    <w:rsid w:val="00CB52AF"/>
    <w:rsid w:val="00CB5391"/>
    <w:rsid w:val="00CB58A8"/>
    <w:rsid w:val="00CB59DE"/>
    <w:rsid w:val="00CB69CF"/>
    <w:rsid w:val="00CB7CEB"/>
    <w:rsid w:val="00CB7F78"/>
    <w:rsid w:val="00CC068C"/>
    <w:rsid w:val="00CC0A38"/>
    <w:rsid w:val="00CC0BAE"/>
    <w:rsid w:val="00CC1053"/>
    <w:rsid w:val="00CC10BA"/>
    <w:rsid w:val="00CC15EB"/>
    <w:rsid w:val="00CC1804"/>
    <w:rsid w:val="00CC1F40"/>
    <w:rsid w:val="00CC255A"/>
    <w:rsid w:val="00CC2857"/>
    <w:rsid w:val="00CC305B"/>
    <w:rsid w:val="00CC31F0"/>
    <w:rsid w:val="00CC5560"/>
    <w:rsid w:val="00CC6AF4"/>
    <w:rsid w:val="00CC6B48"/>
    <w:rsid w:val="00CC7998"/>
    <w:rsid w:val="00CD0B37"/>
    <w:rsid w:val="00CD0D37"/>
    <w:rsid w:val="00CD144A"/>
    <w:rsid w:val="00CD1742"/>
    <w:rsid w:val="00CD33F8"/>
    <w:rsid w:val="00CD40F5"/>
    <w:rsid w:val="00CD4AE2"/>
    <w:rsid w:val="00CD4D5D"/>
    <w:rsid w:val="00CD50C2"/>
    <w:rsid w:val="00CD53F0"/>
    <w:rsid w:val="00CD569E"/>
    <w:rsid w:val="00CD57C4"/>
    <w:rsid w:val="00CD68FA"/>
    <w:rsid w:val="00CD7183"/>
    <w:rsid w:val="00CD74B1"/>
    <w:rsid w:val="00CD76A1"/>
    <w:rsid w:val="00CD798E"/>
    <w:rsid w:val="00CE1017"/>
    <w:rsid w:val="00CE126A"/>
    <w:rsid w:val="00CE2AC3"/>
    <w:rsid w:val="00CE32E6"/>
    <w:rsid w:val="00CE3734"/>
    <w:rsid w:val="00CE3B19"/>
    <w:rsid w:val="00CE3BDC"/>
    <w:rsid w:val="00CE4183"/>
    <w:rsid w:val="00CE5177"/>
    <w:rsid w:val="00CE692E"/>
    <w:rsid w:val="00CE6EAD"/>
    <w:rsid w:val="00CE7812"/>
    <w:rsid w:val="00CF02C7"/>
    <w:rsid w:val="00CF21A4"/>
    <w:rsid w:val="00CF242E"/>
    <w:rsid w:val="00CF2A6F"/>
    <w:rsid w:val="00CF2EE2"/>
    <w:rsid w:val="00CF3AC7"/>
    <w:rsid w:val="00CF3B90"/>
    <w:rsid w:val="00CF4A59"/>
    <w:rsid w:val="00CF4F31"/>
    <w:rsid w:val="00CF524B"/>
    <w:rsid w:val="00CF54B6"/>
    <w:rsid w:val="00CF5631"/>
    <w:rsid w:val="00CF5A55"/>
    <w:rsid w:val="00CF5F2A"/>
    <w:rsid w:val="00CF62F0"/>
    <w:rsid w:val="00CF62F4"/>
    <w:rsid w:val="00CF7568"/>
    <w:rsid w:val="00CF76EE"/>
    <w:rsid w:val="00CF7929"/>
    <w:rsid w:val="00CF7943"/>
    <w:rsid w:val="00D01023"/>
    <w:rsid w:val="00D01248"/>
    <w:rsid w:val="00D0161C"/>
    <w:rsid w:val="00D01822"/>
    <w:rsid w:val="00D01BE7"/>
    <w:rsid w:val="00D024DC"/>
    <w:rsid w:val="00D03F9E"/>
    <w:rsid w:val="00D05525"/>
    <w:rsid w:val="00D05F6E"/>
    <w:rsid w:val="00D06529"/>
    <w:rsid w:val="00D07201"/>
    <w:rsid w:val="00D073ED"/>
    <w:rsid w:val="00D07D6A"/>
    <w:rsid w:val="00D104DF"/>
    <w:rsid w:val="00D10A6B"/>
    <w:rsid w:val="00D10C6F"/>
    <w:rsid w:val="00D11259"/>
    <w:rsid w:val="00D1259F"/>
    <w:rsid w:val="00D12706"/>
    <w:rsid w:val="00D12A3E"/>
    <w:rsid w:val="00D137EF"/>
    <w:rsid w:val="00D143CB"/>
    <w:rsid w:val="00D14FB1"/>
    <w:rsid w:val="00D15D2A"/>
    <w:rsid w:val="00D16407"/>
    <w:rsid w:val="00D16668"/>
    <w:rsid w:val="00D17660"/>
    <w:rsid w:val="00D20363"/>
    <w:rsid w:val="00D217E1"/>
    <w:rsid w:val="00D21B0E"/>
    <w:rsid w:val="00D21B42"/>
    <w:rsid w:val="00D2357C"/>
    <w:rsid w:val="00D23868"/>
    <w:rsid w:val="00D24065"/>
    <w:rsid w:val="00D25361"/>
    <w:rsid w:val="00D255E7"/>
    <w:rsid w:val="00D26133"/>
    <w:rsid w:val="00D26B9F"/>
    <w:rsid w:val="00D27BAC"/>
    <w:rsid w:val="00D30427"/>
    <w:rsid w:val="00D30F89"/>
    <w:rsid w:val="00D31921"/>
    <w:rsid w:val="00D319BD"/>
    <w:rsid w:val="00D322F5"/>
    <w:rsid w:val="00D32B03"/>
    <w:rsid w:val="00D33F75"/>
    <w:rsid w:val="00D34B0D"/>
    <w:rsid w:val="00D34D80"/>
    <w:rsid w:val="00D35DCF"/>
    <w:rsid w:val="00D35EAE"/>
    <w:rsid w:val="00D37541"/>
    <w:rsid w:val="00D375CC"/>
    <w:rsid w:val="00D409AB"/>
    <w:rsid w:val="00D40C65"/>
    <w:rsid w:val="00D41281"/>
    <w:rsid w:val="00D41616"/>
    <w:rsid w:val="00D4277D"/>
    <w:rsid w:val="00D42841"/>
    <w:rsid w:val="00D42AEC"/>
    <w:rsid w:val="00D42DF3"/>
    <w:rsid w:val="00D43383"/>
    <w:rsid w:val="00D43A3F"/>
    <w:rsid w:val="00D43A60"/>
    <w:rsid w:val="00D441FB"/>
    <w:rsid w:val="00D4425B"/>
    <w:rsid w:val="00D445DA"/>
    <w:rsid w:val="00D447BB"/>
    <w:rsid w:val="00D44813"/>
    <w:rsid w:val="00D44866"/>
    <w:rsid w:val="00D457A0"/>
    <w:rsid w:val="00D457F3"/>
    <w:rsid w:val="00D45AFC"/>
    <w:rsid w:val="00D45DB7"/>
    <w:rsid w:val="00D4663C"/>
    <w:rsid w:val="00D467BB"/>
    <w:rsid w:val="00D47288"/>
    <w:rsid w:val="00D4735E"/>
    <w:rsid w:val="00D47749"/>
    <w:rsid w:val="00D47C94"/>
    <w:rsid w:val="00D47EC7"/>
    <w:rsid w:val="00D50136"/>
    <w:rsid w:val="00D508AB"/>
    <w:rsid w:val="00D5097B"/>
    <w:rsid w:val="00D50DB7"/>
    <w:rsid w:val="00D5157A"/>
    <w:rsid w:val="00D51C69"/>
    <w:rsid w:val="00D52271"/>
    <w:rsid w:val="00D52F16"/>
    <w:rsid w:val="00D53DA4"/>
    <w:rsid w:val="00D54535"/>
    <w:rsid w:val="00D54605"/>
    <w:rsid w:val="00D54FB1"/>
    <w:rsid w:val="00D5624A"/>
    <w:rsid w:val="00D61339"/>
    <w:rsid w:val="00D62BB2"/>
    <w:rsid w:val="00D639C3"/>
    <w:rsid w:val="00D63AF3"/>
    <w:rsid w:val="00D63E33"/>
    <w:rsid w:val="00D641A0"/>
    <w:rsid w:val="00D64FB1"/>
    <w:rsid w:val="00D65015"/>
    <w:rsid w:val="00D650BF"/>
    <w:rsid w:val="00D6568C"/>
    <w:rsid w:val="00D656D6"/>
    <w:rsid w:val="00D65BFD"/>
    <w:rsid w:val="00D660DB"/>
    <w:rsid w:val="00D6648F"/>
    <w:rsid w:val="00D6686B"/>
    <w:rsid w:val="00D67C1E"/>
    <w:rsid w:val="00D67C4C"/>
    <w:rsid w:val="00D7017B"/>
    <w:rsid w:val="00D70E58"/>
    <w:rsid w:val="00D7111B"/>
    <w:rsid w:val="00D7148D"/>
    <w:rsid w:val="00D71C8B"/>
    <w:rsid w:val="00D72A5B"/>
    <w:rsid w:val="00D72E6D"/>
    <w:rsid w:val="00D73B6C"/>
    <w:rsid w:val="00D742DD"/>
    <w:rsid w:val="00D74451"/>
    <w:rsid w:val="00D74A63"/>
    <w:rsid w:val="00D76841"/>
    <w:rsid w:val="00D76845"/>
    <w:rsid w:val="00D76F78"/>
    <w:rsid w:val="00D80CA6"/>
    <w:rsid w:val="00D81272"/>
    <w:rsid w:val="00D814D4"/>
    <w:rsid w:val="00D81A1C"/>
    <w:rsid w:val="00D81AFC"/>
    <w:rsid w:val="00D8266B"/>
    <w:rsid w:val="00D82E28"/>
    <w:rsid w:val="00D845B2"/>
    <w:rsid w:val="00D86F75"/>
    <w:rsid w:val="00D8757F"/>
    <w:rsid w:val="00D87738"/>
    <w:rsid w:val="00D87AF7"/>
    <w:rsid w:val="00D9061C"/>
    <w:rsid w:val="00D9069E"/>
    <w:rsid w:val="00D90F69"/>
    <w:rsid w:val="00D91260"/>
    <w:rsid w:val="00D91378"/>
    <w:rsid w:val="00D92DBA"/>
    <w:rsid w:val="00D93116"/>
    <w:rsid w:val="00D935BE"/>
    <w:rsid w:val="00D9444B"/>
    <w:rsid w:val="00D95101"/>
    <w:rsid w:val="00D957F2"/>
    <w:rsid w:val="00D959E4"/>
    <w:rsid w:val="00D96E72"/>
    <w:rsid w:val="00D97A73"/>
    <w:rsid w:val="00DA1860"/>
    <w:rsid w:val="00DA20A4"/>
    <w:rsid w:val="00DA2D4F"/>
    <w:rsid w:val="00DA3263"/>
    <w:rsid w:val="00DA3675"/>
    <w:rsid w:val="00DA37FA"/>
    <w:rsid w:val="00DA3DF9"/>
    <w:rsid w:val="00DA4066"/>
    <w:rsid w:val="00DA4CE6"/>
    <w:rsid w:val="00DA55C2"/>
    <w:rsid w:val="00DA6033"/>
    <w:rsid w:val="00DA60F6"/>
    <w:rsid w:val="00DA6108"/>
    <w:rsid w:val="00DA62A8"/>
    <w:rsid w:val="00DA739D"/>
    <w:rsid w:val="00DA7DF6"/>
    <w:rsid w:val="00DA7EF9"/>
    <w:rsid w:val="00DB056F"/>
    <w:rsid w:val="00DB1714"/>
    <w:rsid w:val="00DB19E1"/>
    <w:rsid w:val="00DB1AC6"/>
    <w:rsid w:val="00DB290E"/>
    <w:rsid w:val="00DB2D29"/>
    <w:rsid w:val="00DB3156"/>
    <w:rsid w:val="00DB42CB"/>
    <w:rsid w:val="00DB49F5"/>
    <w:rsid w:val="00DB5232"/>
    <w:rsid w:val="00DB5458"/>
    <w:rsid w:val="00DB546B"/>
    <w:rsid w:val="00DB5B29"/>
    <w:rsid w:val="00DB7149"/>
    <w:rsid w:val="00DC0FD6"/>
    <w:rsid w:val="00DC15BA"/>
    <w:rsid w:val="00DC1F1E"/>
    <w:rsid w:val="00DC2507"/>
    <w:rsid w:val="00DC294C"/>
    <w:rsid w:val="00DC3D0B"/>
    <w:rsid w:val="00DC412C"/>
    <w:rsid w:val="00DC45CF"/>
    <w:rsid w:val="00DC46DA"/>
    <w:rsid w:val="00DC4A23"/>
    <w:rsid w:val="00DC4F09"/>
    <w:rsid w:val="00DC54DC"/>
    <w:rsid w:val="00DC598E"/>
    <w:rsid w:val="00DC5F5E"/>
    <w:rsid w:val="00DC608F"/>
    <w:rsid w:val="00DC60BD"/>
    <w:rsid w:val="00DC61D4"/>
    <w:rsid w:val="00DC672A"/>
    <w:rsid w:val="00DC673F"/>
    <w:rsid w:val="00DC7291"/>
    <w:rsid w:val="00DD044B"/>
    <w:rsid w:val="00DD0949"/>
    <w:rsid w:val="00DD0BF6"/>
    <w:rsid w:val="00DD161F"/>
    <w:rsid w:val="00DD17F2"/>
    <w:rsid w:val="00DD18DF"/>
    <w:rsid w:val="00DD2130"/>
    <w:rsid w:val="00DD214E"/>
    <w:rsid w:val="00DD4CFF"/>
    <w:rsid w:val="00DD51B8"/>
    <w:rsid w:val="00DD5240"/>
    <w:rsid w:val="00DD5A0C"/>
    <w:rsid w:val="00DD74CF"/>
    <w:rsid w:val="00DD7F40"/>
    <w:rsid w:val="00DE15FF"/>
    <w:rsid w:val="00DE323D"/>
    <w:rsid w:val="00DE3543"/>
    <w:rsid w:val="00DE3DED"/>
    <w:rsid w:val="00DE3F29"/>
    <w:rsid w:val="00DE46F7"/>
    <w:rsid w:val="00DE4CBE"/>
    <w:rsid w:val="00DE507F"/>
    <w:rsid w:val="00DE6684"/>
    <w:rsid w:val="00DE6CF3"/>
    <w:rsid w:val="00DE7142"/>
    <w:rsid w:val="00DF0E65"/>
    <w:rsid w:val="00DF10CD"/>
    <w:rsid w:val="00DF1A81"/>
    <w:rsid w:val="00DF1ADD"/>
    <w:rsid w:val="00DF21EA"/>
    <w:rsid w:val="00DF2504"/>
    <w:rsid w:val="00DF28FD"/>
    <w:rsid w:val="00DF31F5"/>
    <w:rsid w:val="00DF3AA7"/>
    <w:rsid w:val="00DF42E6"/>
    <w:rsid w:val="00DF46DC"/>
    <w:rsid w:val="00DF56F3"/>
    <w:rsid w:val="00DF5BBD"/>
    <w:rsid w:val="00DF5E5A"/>
    <w:rsid w:val="00DF5F87"/>
    <w:rsid w:val="00DF60BE"/>
    <w:rsid w:val="00DF63FF"/>
    <w:rsid w:val="00DF68DA"/>
    <w:rsid w:val="00DF6DC4"/>
    <w:rsid w:val="00DF7A7A"/>
    <w:rsid w:val="00DF7B0D"/>
    <w:rsid w:val="00E0095A"/>
    <w:rsid w:val="00E016E3"/>
    <w:rsid w:val="00E0241E"/>
    <w:rsid w:val="00E0353B"/>
    <w:rsid w:val="00E03615"/>
    <w:rsid w:val="00E03694"/>
    <w:rsid w:val="00E04206"/>
    <w:rsid w:val="00E051DD"/>
    <w:rsid w:val="00E05A10"/>
    <w:rsid w:val="00E063F0"/>
    <w:rsid w:val="00E07375"/>
    <w:rsid w:val="00E0762A"/>
    <w:rsid w:val="00E07937"/>
    <w:rsid w:val="00E10912"/>
    <w:rsid w:val="00E1129D"/>
    <w:rsid w:val="00E11651"/>
    <w:rsid w:val="00E1182E"/>
    <w:rsid w:val="00E11E68"/>
    <w:rsid w:val="00E12542"/>
    <w:rsid w:val="00E1308E"/>
    <w:rsid w:val="00E133A9"/>
    <w:rsid w:val="00E13A6A"/>
    <w:rsid w:val="00E13F4A"/>
    <w:rsid w:val="00E14285"/>
    <w:rsid w:val="00E1499B"/>
    <w:rsid w:val="00E15644"/>
    <w:rsid w:val="00E15A58"/>
    <w:rsid w:val="00E160AB"/>
    <w:rsid w:val="00E17B1D"/>
    <w:rsid w:val="00E17ED7"/>
    <w:rsid w:val="00E2033E"/>
    <w:rsid w:val="00E21282"/>
    <w:rsid w:val="00E2128F"/>
    <w:rsid w:val="00E21524"/>
    <w:rsid w:val="00E21589"/>
    <w:rsid w:val="00E218DE"/>
    <w:rsid w:val="00E21A7B"/>
    <w:rsid w:val="00E21B6F"/>
    <w:rsid w:val="00E2203C"/>
    <w:rsid w:val="00E22168"/>
    <w:rsid w:val="00E226A1"/>
    <w:rsid w:val="00E22947"/>
    <w:rsid w:val="00E23208"/>
    <w:rsid w:val="00E23A89"/>
    <w:rsid w:val="00E23D89"/>
    <w:rsid w:val="00E23E05"/>
    <w:rsid w:val="00E23EC2"/>
    <w:rsid w:val="00E243F7"/>
    <w:rsid w:val="00E261A3"/>
    <w:rsid w:val="00E26FEF"/>
    <w:rsid w:val="00E27260"/>
    <w:rsid w:val="00E2737F"/>
    <w:rsid w:val="00E305C3"/>
    <w:rsid w:val="00E31754"/>
    <w:rsid w:val="00E31836"/>
    <w:rsid w:val="00E32F1B"/>
    <w:rsid w:val="00E336BE"/>
    <w:rsid w:val="00E34A0B"/>
    <w:rsid w:val="00E34B2A"/>
    <w:rsid w:val="00E35139"/>
    <w:rsid w:val="00E35641"/>
    <w:rsid w:val="00E35E97"/>
    <w:rsid w:val="00E37157"/>
    <w:rsid w:val="00E37505"/>
    <w:rsid w:val="00E409B5"/>
    <w:rsid w:val="00E40A14"/>
    <w:rsid w:val="00E41972"/>
    <w:rsid w:val="00E41C9A"/>
    <w:rsid w:val="00E41CEC"/>
    <w:rsid w:val="00E421CA"/>
    <w:rsid w:val="00E42A89"/>
    <w:rsid w:val="00E42BF6"/>
    <w:rsid w:val="00E438D3"/>
    <w:rsid w:val="00E43AC7"/>
    <w:rsid w:val="00E4551A"/>
    <w:rsid w:val="00E458ED"/>
    <w:rsid w:val="00E47493"/>
    <w:rsid w:val="00E505DE"/>
    <w:rsid w:val="00E507B3"/>
    <w:rsid w:val="00E507E6"/>
    <w:rsid w:val="00E5101B"/>
    <w:rsid w:val="00E5133A"/>
    <w:rsid w:val="00E5136A"/>
    <w:rsid w:val="00E5161C"/>
    <w:rsid w:val="00E51746"/>
    <w:rsid w:val="00E5194B"/>
    <w:rsid w:val="00E51B4D"/>
    <w:rsid w:val="00E5271C"/>
    <w:rsid w:val="00E53F33"/>
    <w:rsid w:val="00E5597C"/>
    <w:rsid w:val="00E57D6B"/>
    <w:rsid w:val="00E60D5C"/>
    <w:rsid w:val="00E60FA3"/>
    <w:rsid w:val="00E61501"/>
    <w:rsid w:val="00E63EDA"/>
    <w:rsid w:val="00E65772"/>
    <w:rsid w:val="00E65831"/>
    <w:rsid w:val="00E65993"/>
    <w:rsid w:val="00E65E91"/>
    <w:rsid w:val="00E65F4E"/>
    <w:rsid w:val="00E66258"/>
    <w:rsid w:val="00E66271"/>
    <w:rsid w:val="00E66738"/>
    <w:rsid w:val="00E667C9"/>
    <w:rsid w:val="00E674DC"/>
    <w:rsid w:val="00E678D8"/>
    <w:rsid w:val="00E71558"/>
    <w:rsid w:val="00E72E06"/>
    <w:rsid w:val="00E73713"/>
    <w:rsid w:val="00E74A4B"/>
    <w:rsid w:val="00E74F9D"/>
    <w:rsid w:val="00E751A7"/>
    <w:rsid w:val="00E7556D"/>
    <w:rsid w:val="00E7567D"/>
    <w:rsid w:val="00E767FB"/>
    <w:rsid w:val="00E76A6E"/>
    <w:rsid w:val="00E76CCB"/>
    <w:rsid w:val="00E77431"/>
    <w:rsid w:val="00E80365"/>
    <w:rsid w:val="00E815AB"/>
    <w:rsid w:val="00E81729"/>
    <w:rsid w:val="00E81BB4"/>
    <w:rsid w:val="00E823A8"/>
    <w:rsid w:val="00E82CED"/>
    <w:rsid w:val="00E8356F"/>
    <w:rsid w:val="00E8372D"/>
    <w:rsid w:val="00E83A54"/>
    <w:rsid w:val="00E83CD3"/>
    <w:rsid w:val="00E840F5"/>
    <w:rsid w:val="00E846F4"/>
    <w:rsid w:val="00E84E29"/>
    <w:rsid w:val="00E855D8"/>
    <w:rsid w:val="00E87457"/>
    <w:rsid w:val="00E877AE"/>
    <w:rsid w:val="00E87C7F"/>
    <w:rsid w:val="00E87ED3"/>
    <w:rsid w:val="00E87F30"/>
    <w:rsid w:val="00E90570"/>
    <w:rsid w:val="00E90844"/>
    <w:rsid w:val="00E90BCB"/>
    <w:rsid w:val="00E9149E"/>
    <w:rsid w:val="00E91823"/>
    <w:rsid w:val="00E918E3"/>
    <w:rsid w:val="00E91AA9"/>
    <w:rsid w:val="00E92EF1"/>
    <w:rsid w:val="00E92F29"/>
    <w:rsid w:val="00E92FC1"/>
    <w:rsid w:val="00E9352A"/>
    <w:rsid w:val="00E93D1A"/>
    <w:rsid w:val="00E9509E"/>
    <w:rsid w:val="00E95A9E"/>
    <w:rsid w:val="00E95BA3"/>
    <w:rsid w:val="00E96105"/>
    <w:rsid w:val="00E964DB"/>
    <w:rsid w:val="00E966C9"/>
    <w:rsid w:val="00E97C0B"/>
    <w:rsid w:val="00EA07CE"/>
    <w:rsid w:val="00EA0F81"/>
    <w:rsid w:val="00EA1EAE"/>
    <w:rsid w:val="00EA2F14"/>
    <w:rsid w:val="00EA3C1D"/>
    <w:rsid w:val="00EA409F"/>
    <w:rsid w:val="00EA4FC3"/>
    <w:rsid w:val="00EA51DE"/>
    <w:rsid w:val="00EA543D"/>
    <w:rsid w:val="00EA58B7"/>
    <w:rsid w:val="00EA64C1"/>
    <w:rsid w:val="00EA751F"/>
    <w:rsid w:val="00EA7704"/>
    <w:rsid w:val="00EA7DD1"/>
    <w:rsid w:val="00EA7FC9"/>
    <w:rsid w:val="00EB09F1"/>
    <w:rsid w:val="00EB1A45"/>
    <w:rsid w:val="00EB2035"/>
    <w:rsid w:val="00EB31F8"/>
    <w:rsid w:val="00EB3416"/>
    <w:rsid w:val="00EB3505"/>
    <w:rsid w:val="00EB3744"/>
    <w:rsid w:val="00EB3BB4"/>
    <w:rsid w:val="00EB4D87"/>
    <w:rsid w:val="00EB5647"/>
    <w:rsid w:val="00EB628F"/>
    <w:rsid w:val="00EB689C"/>
    <w:rsid w:val="00EB799C"/>
    <w:rsid w:val="00EB7E4D"/>
    <w:rsid w:val="00EC01EA"/>
    <w:rsid w:val="00EC02E0"/>
    <w:rsid w:val="00EC045B"/>
    <w:rsid w:val="00EC0D20"/>
    <w:rsid w:val="00EC0E3A"/>
    <w:rsid w:val="00EC19CA"/>
    <w:rsid w:val="00EC1C7F"/>
    <w:rsid w:val="00EC2E44"/>
    <w:rsid w:val="00EC36B5"/>
    <w:rsid w:val="00EC5124"/>
    <w:rsid w:val="00EC55E3"/>
    <w:rsid w:val="00EC5C0D"/>
    <w:rsid w:val="00EC6413"/>
    <w:rsid w:val="00ED0752"/>
    <w:rsid w:val="00ED15CC"/>
    <w:rsid w:val="00ED16FB"/>
    <w:rsid w:val="00ED19E6"/>
    <w:rsid w:val="00ED1B33"/>
    <w:rsid w:val="00ED1D80"/>
    <w:rsid w:val="00ED2695"/>
    <w:rsid w:val="00ED38FE"/>
    <w:rsid w:val="00ED39EB"/>
    <w:rsid w:val="00ED3EE0"/>
    <w:rsid w:val="00ED4776"/>
    <w:rsid w:val="00ED53D4"/>
    <w:rsid w:val="00ED5DDB"/>
    <w:rsid w:val="00ED648B"/>
    <w:rsid w:val="00ED664F"/>
    <w:rsid w:val="00ED679E"/>
    <w:rsid w:val="00ED6BA9"/>
    <w:rsid w:val="00EE091D"/>
    <w:rsid w:val="00EE0E32"/>
    <w:rsid w:val="00EE2078"/>
    <w:rsid w:val="00EE2D79"/>
    <w:rsid w:val="00EE3B6C"/>
    <w:rsid w:val="00EE3FD4"/>
    <w:rsid w:val="00EE450B"/>
    <w:rsid w:val="00EE51B4"/>
    <w:rsid w:val="00EE549A"/>
    <w:rsid w:val="00EE58BD"/>
    <w:rsid w:val="00EE5D5F"/>
    <w:rsid w:val="00EE6081"/>
    <w:rsid w:val="00EE63EA"/>
    <w:rsid w:val="00EE657B"/>
    <w:rsid w:val="00EE65C0"/>
    <w:rsid w:val="00EE65CF"/>
    <w:rsid w:val="00EE69A3"/>
    <w:rsid w:val="00EE7D78"/>
    <w:rsid w:val="00EF01F8"/>
    <w:rsid w:val="00EF0495"/>
    <w:rsid w:val="00EF0B45"/>
    <w:rsid w:val="00EF1949"/>
    <w:rsid w:val="00EF22DC"/>
    <w:rsid w:val="00EF2E33"/>
    <w:rsid w:val="00EF305F"/>
    <w:rsid w:val="00EF44C5"/>
    <w:rsid w:val="00EF50A0"/>
    <w:rsid w:val="00EF5481"/>
    <w:rsid w:val="00EF54A2"/>
    <w:rsid w:val="00EF596C"/>
    <w:rsid w:val="00EF5ACA"/>
    <w:rsid w:val="00EF5C12"/>
    <w:rsid w:val="00EF5DBA"/>
    <w:rsid w:val="00EF6ABF"/>
    <w:rsid w:val="00EF748E"/>
    <w:rsid w:val="00EF7835"/>
    <w:rsid w:val="00F009B1"/>
    <w:rsid w:val="00F016C2"/>
    <w:rsid w:val="00F01881"/>
    <w:rsid w:val="00F0204F"/>
    <w:rsid w:val="00F0269D"/>
    <w:rsid w:val="00F03BFC"/>
    <w:rsid w:val="00F042ED"/>
    <w:rsid w:val="00F05D16"/>
    <w:rsid w:val="00F073B2"/>
    <w:rsid w:val="00F075E8"/>
    <w:rsid w:val="00F07CC2"/>
    <w:rsid w:val="00F07FFE"/>
    <w:rsid w:val="00F1030E"/>
    <w:rsid w:val="00F1108A"/>
    <w:rsid w:val="00F1139C"/>
    <w:rsid w:val="00F116BE"/>
    <w:rsid w:val="00F120AB"/>
    <w:rsid w:val="00F121AB"/>
    <w:rsid w:val="00F129D9"/>
    <w:rsid w:val="00F1393C"/>
    <w:rsid w:val="00F13B91"/>
    <w:rsid w:val="00F1454B"/>
    <w:rsid w:val="00F15011"/>
    <w:rsid w:val="00F1619C"/>
    <w:rsid w:val="00F169CF"/>
    <w:rsid w:val="00F16A94"/>
    <w:rsid w:val="00F16E33"/>
    <w:rsid w:val="00F16E77"/>
    <w:rsid w:val="00F17057"/>
    <w:rsid w:val="00F17978"/>
    <w:rsid w:val="00F20C4B"/>
    <w:rsid w:val="00F22B37"/>
    <w:rsid w:val="00F22E9C"/>
    <w:rsid w:val="00F2300B"/>
    <w:rsid w:val="00F23AC2"/>
    <w:rsid w:val="00F24D86"/>
    <w:rsid w:val="00F250B8"/>
    <w:rsid w:val="00F253D9"/>
    <w:rsid w:val="00F259B1"/>
    <w:rsid w:val="00F25BE0"/>
    <w:rsid w:val="00F26E70"/>
    <w:rsid w:val="00F272A9"/>
    <w:rsid w:val="00F3062B"/>
    <w:rsid w:val="00F31281"/>
    <w:rsid w:val="00F317F2"/>
    <w:rsid w:val="00F31A5B"/>
    <w:rsid w:val="00F32ED3"/>
    <w:rsid w:val="00F33A09"/>
    <w:rsid w:val="00F34DE1"/>
    <w:rsid w:val="00F35397"/>
    <w:rsid w:val="00F3558F"/>
    <w:rsid w:val="00F355F7"/>
    <w:rsid w:val="00F35E68"/>
    <w:rsid w:val="00F37349"/>
    <w:rsid w:val="00F4099E"/>
    <w:rsid w:val="00F40BB3"/>
    <w:rsid w:val="00F40E55"/>
    <w:rsid w:val="00F41176"/>
    <w:rsid w:val="00F4197B"/>
    <w:rsid w:val="00F41C38"/>
    <w:rsid w:val="00F41E97"/>
    <w:rsid w:val="00F429AB"/>
    <w:rsid w:val="00F430B1"/>
    <w:rsid w:val="00F43EFC"/>
    <w:rsid w:val="00F45CD4"/>
    <w:rsid w:val="00F46CDE"/>
    <w:rsid w:val="00F47159"/>
    <w:rsid w:val="00F50B65"/>
    <w:rsid w:val="00F50DF8"/>
    <w:rsid w:val="00F51FF6"/>
    <w:rsid w:val="00F5232E"/>
    <w:rsid w:val="00F52418"/>
    <w:rsid w:val="00F527CF"/>
    <w:rsid w:val="00F553C2"/>
    <w:rsid w:val="00F57E39"/>
    <w:rsid w:val="00F57F41"/>
    <w:rsid w:val="00F604FD"/>
    <w:rsid w:val="00F6165C"/>
    <w:rsid w:val="00F6187F"/>
    <w:rsid w:val="00F61C36"/>
    <w:rsid w:val="00F61DF2"/>
    <w:rsid w:val="00F6232F"/>
    <w:rsid w:val="00F6269E"/>
    <w:rsid w:val="00F6297B"/>
    <w:rsid w:val="00F62E5E"/>
    <w:rsid w:val="00F6307F"/>
    <w:rsid w:val="00F639D9"/>
    <w:rsid w:val="00F64575"/>
    <w:rsid w:val="00F64F7D"/>
    <w:rsid w:val="00F65234"/>
    <w:rsid w:val="00F654EF"/>
    <w:rsid w:val="00F65521"/>
    <w:rsid w:val="00F664F1"/>
    <w:rsid w:val="00F669E0"/>
    <w:rsid w:val="00F67509"/>
    <w:rsid w:val="00F70232"/>
    <w:rsid w:val="00F7142A"/>
    <w:rsid w:val="00F71C2C"/>
    <w:rsid w:val="00F71DB4"/>
    <w:rsid w:val="00F72D97"/>
    <w:rsid w:val="00F73335"/>
    <w:rsid w:val="00F73D0E"/>
    <w:rsid w:val="00F74D2D"/>
    <w:rsid w:val="00F7542E"/>
    <w:rsid w:val="00F75F7F"/>
    <w:rsid w:val="00F76AF8"/>
    <w:rsid w:val="00F77088"/>
    <w:rsid w:val="00F80529"/>
    <w:rsid w:val="00F816F3"/>
    <w:rsid w:val="00F81A71"/>
    <w:rsid w:val="00F825BE"/>
    <w:rsid w:val="00F827ED"/>
    <w:rsid w:val="00F831BB"/>
    <w:rsid w:val="00F83257"/>
    <w:rsid w:val="00F839E3"/>
    <w:rsid w:val="00F83F1F"/>
    <w:rsid w:val="00F84DFD"/>
    <w:rsid w:val="00F85230"/>
    <w:rsid w:val="00F85F66"/>
    <w:rsid w:val="00F8654C"/>
    <w:rsid w:val="00F867D8"/>
    <w:rsid w:val="00F86902"/>
    <w:rsid w:val="00F871DB"/>
    <w:rsid w:val="00F90147"/>
    <w:rsid w:val="00F91087"/>
    <w:rsid w:val="00F92382"/>
    <w:rsid w:val="00F92F48"/>
    <w:rsid w:val="00F93177"/>
    <w:rsid w:val="00F9408E"/>
    <w:rsid w:val="00F95F09"/>
    <w:rsid w:val="00F965BB"/>
    <w:rsid w:val="00FA0722"/>
    <w:rsid w:val="00FA0B42"/>
    <w:rsid w:val="00FA0CA8"/>
    <w:rsid w:val="00FA0E10"/>
    <w:rsid w:val="00FA100F"/>
    <w:rsid w:val="00FA1CB1"/>
    <w:rsid w:val="00FA35E4"/>
    <w:rsid w:val="00FA386B"/>
    <w:rsid w:val="00FA530E"/>
    <w:rsid w:val="00FA5569"/>
    <w:rsid w:val="00FA5D7A"/>
    <w:rsid w:val="00FA630E"/>
    <w:rsid w:val="00FA6F31"/>
    <w:rsid w:val="00FB05ED"/>
    <w:rsid w:val="00FB0DC7"/>
    <w:rsid w:val="00FB1F9F"/>
    <w:rsid w:val="00FB2265"/>
    <w:rsid w:val="00FB2370"/>
    <w:rsid w:val="00FB2733"/>
    <w:rsid w:val="00FB3386"/>
    <w:rsid w:val="00FB4307"/>
    <w:rsid w:val="00FB4980"/>
    <w:rsid w:val="00FB4EC6"/>
    <w:rsid w:val="00FB572F"/>
    <w:rsid w:val="00FB5A22"/>
    <w:rsid w:val="00FB5AD5"/>
    <w:rsid w:val="00FB5C5B"/>
    <w:rsid w:val="00FB6902"/>
    <w:rsid w:val="00FB6A4B"/>
    <w:rsid w:val="00FB72EE"/>
    <w:rsid w:val="00FB7E57"/>
    <w:rsid w:val="00FC0157"/>
    <w:rsid w:val="00FC0D7C"/>
    <w:rsid w:val="00FC0FBA"/>
    <w:rsid w:val="00FC1BF0"/>
    <w:rsid w:val="00FC1EF3"/>
    <w:rsid w:val="00FC22A5"/>
    <w:rsid w:val="00FC31EC"/>
    <w:rsid w:val="00FC51D5"/>
    <w:rsid w:val="00FC532F"/>
    <w:rsid w:val="00FC618B"/>
    <w:rsid w:val="00FC68FC"/>
    <w:rsid w:val="00FD1260"/>
    <w:rsid w:val="00FD2454"/>
    <w:rsid w:val="00FD33E8"/>
    <w:rsid w:val="00FD3958"/>
    <w:rsid w:val="00FD4C74"/>
    <w:rsid w:val="00FD4FD5"/>
    <w:rsid w:val="00FD543B"/>
    <w:rsid w:val="00FD5B33"/>
    <w:rsid w:val="00FD6191"/>
    <w:rsid w:val="00FD6552"/>
    <w:rsid w:val="00FD6B84"/>
    <w:rsid w:val="00FD7D72"/>
    <w:rsid w:val="00FE10AE"/>
    <w:rsid w:val="00FE117B"/>
    <w:rsid w:val="00FE1371"/>
    <w:rsid w:val="00FE15F2"/>
    <w:rsid w:val="00FE1F17"/>
    <w:rsid w:val="00FE2697"/>
    <w:rsid w:val="00FE2B98"/>
    <w:rsid w:val="00FE33BA"/>
    <w:rsid w:val="00FE3A94"/>
    <w:rsid w:val="00FE3C3A"/>
    <w:rsid w:val="00FE44B2"/>
    <w:rsid w:val="00FE5124"/>
    <w:rsid w:val="00FE601B"/>
    <w:rsid w:val="00FE7659"/>
    <w:rsid w:val="00FE7CE0"/>
    <w:rsid w:val="00FF0D71"/>
    <w:rsid w:val="00FF0E52"/>
    <w:rsid w:val="00FF12C2"/>
    <w:rsid w:val="00FF1C74"/>
    <w:rsid w:val="00FF1DF5"/>
    <w:rsid w:val="00FF1F60"/>
    <w:rsid w:val="00FF2AE7"/>
    <w:rsid w:val="00FF39FF"/>
    <w:rsid w:val="00FF63EE"/>
    <w:rsid w:val="00FF6F78"/>
    <w:rsid w:val="00FF6F9F"/>
    <w:rsid w:val="00FF7011"/>
    <w:rsid w:val="00FF70EE"/>
    <w:rsid w:val="00FF769A"/>
    <w:rsid w:val="00FF78C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13"/>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9"/>
    <w:qFormat/>
    <w:rsid w:val="00966EF0"/>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basedOn w:val="Normal"/>
    <w:next w:val="Normal"/>
    <w:link w:val="Ttulo2Car"/>
    <w:qFormat/>
    <w:rsid w:val="00966EF0"/>
    <w:pPr>
      <w:keepNext/>
      <w:spacing w:after="60"/>
      <w:ind w:left="720"/>
      <w:jc w:val="both"/>
      <w:outlineLvl w:val="1"/>
    </w:pPr>
    <w:rPr>
      <w:rFonts w:ascii="Arial Narrow" w:eastAsia="SimSun" w:hAnsi="Arial Narrow"/>
      <w:b/>
      <w:bCs/>
      <w:sz w:val="20"/>
      <w:lang w:eastAsia="en-US"/>
    </w:rPr>
  </w:style>
  <w:style w:type="paragraph" w:styleId="Ttulo3">
    <w:name w:val="heading 3"/>
    <w:basedOn w:val="Normal"/>
    <w:next w:val="Normal"/>
    <w:link w:val="Ttulo3Car"/>
    <w:qFormat/>
    <w:rsid w:val="00966EF0"/>
    <w:pPr>
      <w:keepNext/>
      <w:widowControl w:val="0"/>
      <w:tabs>
        <w:tab w:val="left" w:pos="2160"/>
        <w:tab w:val="left" w:pos="9360"/>
      </w:tabs>
      <w:spacing w:after="60"/>
      <w:jc w:val="both"/>
      <w:outlineLvl w:val="2"/>
    </w:pPr>
    <w:rPr>
      <w:rFonts w:ascii="Courier" w:eastAsia="SimSun" w:hAnsi="Courier"/>
      <w:b/>
      <w:sz w:val="28"/>
      <w:szCs w:val="20"/>
      <w:lang w:eastAsia="en-US"/>
    </w:rPr>
  </w:style>
  <w:style w:type="paragraph" w:styleId="Ttulo4">
    <w:name w:val="heading 4"/>
    <w:basedOn w:val="Normal"/>
    <w:next w:val="Normal"/>
    <w:link w:val="Ttulo4Car"/>
    <w:qFormat/>
    <w:rsid w:val="00966EF0"/>
    <w:pPr>
      <w:keepNext/>
      <w:widowControl w:val="0"/>
      <w:spacing w:after="540"/>
      <w:ind w:left="116"/>
      <w:jc w:val="both"/>
      <w:outlineLvl w:val="3"/>
    </w:pPr>
    <w:rPr>
      <w:rFonts w:ascii="Calibri" w:eastAsia="SimSun" w:hAnsi="Calibri"/>
      <w:b/>
      <w:spacing w:val="15"/>
      <w:sz w:val="28"/>
      <w:lang w:eastAsia="en-US"/>
    </w:rPr>
  </w:style>
  <w:style w:type="paragraph" w:styleId="Ttulo5">
    <w:name w:val="heading 5"/>
    <w:basedOn w:val="Normal"/>
    <w:next w:val="Normal"/>
    <w:link w:val="Ttulo5Car"/>
    <w:qFormat/>
    <w:rsid w:val="00966EF0"/>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
      <w:bCs/>
      <w:lang w:eastAsia="en-US"/>
    </w:rPr>
  </w:style>
  <w:style w:type="paragraph" w:styleId="Ttulo6">
    <w:name w:val="heading 6"/>
    <w:basedOn w:val="Normal"/>
    <w:next w:val="Normal"/>
    <w:link w:val="Ttulo6Car"/>
    <w:qFormat/>
    <w:rsid w:val="00966EF0"/>
    <w:pPr>
      <w:keepNext/>
      <w:ind w:left="360"/>
      <w:outlineLvl w:val="5"/>
    </w:pPr>
    <w:rPr>
      <w:b/>
      <w:bCs/>
      <w:smallCaps/>
      <w:lang w:eastAsia="x-none"/>
    </w:rPr>
  </w:style>
  <w:style w:type="paragraph" w:styleId="Ttulo7">
    <w:name w:val="heading 7"/>
    <w:basedOn w:val="Normal"/>
    <w:next w:val="Normal"/>
    <w:link w:val="Ttulo7Car"/>
    <w:qFormat/>
    <w:rsid w:val="00966EF0"/>
    <w:pPr>
      <w:keepNext/>
      <w:outlineLvl w:val="6"/>
    </w:pPr>
    <w:rPr>
      <w:b/>
      <w:bCs/>
      <w:sz w:val="20"/>
      <w:lang w:eastAsia="x-none"/>
    </w:rPr>
  </w:style>
  <w:style w:type="paragraph" w:styleId="Ttulo8">
    <w:name w:val="heading 8"/>
    <w:basedOn w:val="Normal"/>
    <w:next w:val="Normal"/>
    <w:link w:val="Ttulo8Car"/>
    <w:unhideWhenUsed/>
    <w:qFormat/>
    <w:rsid w:val="00966EF0"/>
    <w:pPr>
      <w:spacing w:before="240" w:after="60"/>
      <w:jc w:val="both"/>
      <w:outlineLvl w:val="7"/>
    </w:pPr>
    <w:rPr>
      <w:rFonts w:ascii="Calibri" w:eastAsia="SimSun" w:hAnsi="Calibri"/>
      <w:i/>
      <w:iCs/>
      <w:lang w:eastAsia="en-US"/>
    </w:rPr>
  </w:style>
  <w:style w:type="paragraph" w:styleId="Ttulo9">
    <w:name w:val="heading 9"/>
    <w:basedOn w:val="Normal"/>
    <w:next w:val="Normal"/>
    <w:link w:val="Ttulo9Car"/>
    <w:qFormat/>
    <w:rsid w:val="00966EF0"/>
    <w:pPr>
      <w:keepNext/>
      <w:framePr w:w="3801" w:h="4681" w:hSpace="180" w:wrap="around" w:vAnchor="text" w:hAnchor="page" w:x="7141" w:y="1441"/>
      <w:outlineLvl w:val="8"/>
    </w:pPr>
    <w:rPr>
      <w:b/>
      <w:bCs/>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jc w:val="both"/>
      <w:outlineLvl w:val="0"/>
    </w:pPr>
    <w:rPr>
      <w:rFonts w:ascii="Calibri" w:eastAsiaTheme="minorHAnsi" w:hAnsi="Calibri" w:cstheme="minorBidi"/>
      <w:b/>
      <w:smallCaps/>
      <w:spacing w:val="-2"/>
      <w:sz w:val="28"/>
      <w:szCs w:val="22"/>
      <w:lang w:eastAsia="en-US"/>
    </w:rPr>
  </w:style>
  <w:style w:type="character" w:customStyle="1" w:styleId="Heading2Char">
    <w:name w:val="Heading 2 Char"/>
    <w:basedOn w:val="Fuentedeprrafopredeter"/>
    <w:rsid w:val="00966EF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966EF0"/>
    <w:rPr>
      <w:rFonts w:ascii="Courier" w:eastAsia="SimSun" w:hAnsi="Courier" w:cs="Times New Roman"/>
      <w:b/>
      <w:sz w:val="28"/>
      <w:szCs w:val="20"/>
    </w:rPr>
  </w:style>
  <w:style w:type="character" w:customStyle="1" w:styleId="Ttulo4Car">
    <w:name w:val="Título 4 Car"/>
    <w:basedOn w:val="Fuentedeprrafopredeter"/>
    <w:link w:val="Ttulo4"/>
    <w:rsid w:val="00966EF0"/>
    <w:rPr>
      <w:rFonts w:ascii="Calibri" w:eastAsia="SimSun" w:hAnsi="Calibri" w:cs="Times New Roman"/>
      <w:b/>
      <w:spacing w:val="15"/>
      <w:sz w:val="28"/>
      <w:szCs w:val="24"/>
    </w:rPr>
  </w:style>
  <w:style w:type="character" w:customStyle="1" w:styleId="Ttulo5Car">
    <w:name w:val="Título 5 Car"/>
    <w:basedOn w:val="Fuentedeprrafopredeter"/>
    <w:link w:val="Ttulo5"/>
    <w:rsid w:val="00966EF0"/>
    <w:rPr>
      <w:rFonts w:ascii="Calibri" w:eastAsia="SimSun" w:hAnsi="Calibri" w:cs="Times New Roman"/>
      <w:b/>
      <w:bCs/>
      <w:sz w:val="24"/>
      <w:szCs w:val="24"/>
    </w:rPr>
  </w:style>
  <w:style w:type="character" w:customStyle="1" w:styleId="Ttulo6Car">
    <w:name w:val="Título 6 Car"/>
    <w:basedOn w:val="Fuentedeprrafopredeter"/>
    <w:link w:val="Ttulo6"/>
    <w:rsid w:val="00966EF0"/>
    <w:rPr>
      <w:rFonts w:ascii="Times New Roman" w:eastAsia="Times New Roman" w:hAnsi="Times New Roman" w:cs="Times New Roman"/>
      <w:b/>
      <w:bCs/>
      <w:smallCaps/>
      <w:sz w:val="24"/>
      <w:szCs w:val="24"/>
      <w:lang w:eastAsia="x-none"/>
    </w:rPr>
  </w:style>
  <w:style w:type="character" w:customStyle="1" w:styleId="Ttulo7Car">
    <w:name w:val="Título 7 Car"/>
    <w:basedOn w:val="Fuentedeprrafopredeter"/>
    <w:link w:val="Ttulo7"/>
    <w:rsid w:val="00966EF0"/>
    <w:rPr>
      <w:rFonts w:ascii="Times New Roman" w:eastAsia="Times New Roman" w:hAnsi="Times New Roman" w:cs="Times New Roman"/>
      <w:b/>
      <w:bCs/>
      <w:sz w:val="20"/>
      <w:szCs w:val="24"/>
      <w:lang w:eastAsia="x-none"/>
    </w:rPr>
  </w:style>
  <w:style w:type="character" w:customStyle="1" w:styleId="Ttulo8Car">
    <w:name w:val="Título 8 Car"/>
    <w:basedOn w:val="Fuentedeprrafopredeter"/>
    <w:link w:val="Ttulo8"/>
    <w:rsid w:val="00966EF0"/>
    <w:rPr>
      <w:rFonts w:ascii="Calibri" w:eastAsia="SimSun" w:hAnsi="Calibri" w:cs="Times New Roman"/>
      <w:i/>
      <w:iCs/>
      <w:sz w:val="24"/>
      <w:szCs w:val="24"/>
    </w:rPr>
  </w:style>
  <w:style w:type="character" w:customStyle="1" w:styleId="Ttulo9Car">
    <w:name w:val="Título 9 Car"/>
    <w:basedOn w:val="Fuentedeprrafopredeter"/>
    <w:link w:val="Ttulo9"/>
    <w:rsid w:val="00966EF0"/>
    <w:rPr>
      <w:rFonts w:ascii="Times New Roman" w:eastAsia="Times New Roman" w:hAnsi="Times New Roman" w:cs="Times New Roman"/>
      <w:b/>
      <w:bCs/>
      <w:sz w:val="24"/>
      <w:szCs w:val="24"/>
      <w:lang w:eastAsia="x-none"/>
    </w:rPr>
  </w:style>
  <w:style w:type="character" w:customStyle="1" w:styleId="Heading1Char">
    <w:name w:val="Heading 1 Char"/>
    <w:basedOn w:val="Fuentedeprrafopredeter"/>
    <w:link w:val="Heading11"/>
    <w:rsid w:val="00966EF0"/>
    <w:rPr>
      <w:rFonts w:ascii="Calibri" w:hAnsi="Calibri"/>
      <w:b/>
      <w:smallCaps/>
      <w:spacing w:val="-2"/>
      <w:sz w:val="28"/>
    </w:rPr>
  </w:style>
  <w:style w:type="paragraph" w:styleId="Textodeglobo">
    <w:name w:val="Balloon Text"/>
    <w:basedOn w:val="Normal"/>
    <w:link w:val="TextodegloboCar"/>
    <w:uiPriority w:val="99"/>
    <w:semiHidden/>
    <w:rsid w:val="00966EF0"/>
    <w:pPr>
      <w:spacing w:after="60"/>
      <w:jc w:val="both"/>
    </w:pPr>
    <w:rPr>
      <w:rFonts w:ascii="Tahoma" w:eastAsia="SimSun" w:hAnsi="Tahoma" w:cs="Tahoma"/>
      <w:sz w:val="16"/>
      <w:szCs w:val="16"/>
      <w:lang w:eastAsia="en-US"/>
    </w:rPr>
  </w:style>
  <w:style w:type="character" w:customStyle="1" w:styleId="TextodegloboCar">
    <w:name w:val="Texto de globo Car"/>
    <w:basedOn w:val="Fuentedeprrafopredeter"/>
    <w:link w:val="Textodeglobo"/>
    <w:uiPriority w:val="99"/>
    <w:semiHidden/>
    <w:rsid w:val="00966EF0"/>
    <w:rPr>
      <w:rFonts w:ascii="Tahoma" w:eastAsia="SimSun" w:hAnsi="Tahoma" w:cs="Tahoma"/>
      <w:sz w:val="16"/>
      <w:szCs w:val="16"/>
    </w:rPr>
  </w:style>
  <w:style w:type="character" w:customStyle="1" w:styleId="Ttulo2Car">
    <w:name w:val="Título 2 Car"/>
    <w:link w:val="Ttulo2"/>
    <w:locked/>
    <w:rsid w:val="00966EF0"/>
    <w:rPr>
      <w:rFonts w:ascii="Arial Narrow" w:eastAsia="SimSun" w:hAnsi="Arial Narrow" w:cs="Times New Roman"/>
      <w:b/>
      <w:bCs/>
      <w:sz w:val="20"/>
      <w:szCs w:val="24"/>
    </w:rPr>
  </w:style>
  <w:style w:type="paragraph" w:styleId="Encabezado">
    <w:name w:val="header"/>
    <w:basedOn w:val="Normal"/>
    <w:link w:val="EncabezadoCar"/>
    <w:uiPriority w:val="99"/>
    <w:rsid w:val="00966EF0"/>
    <w:pPr>
      <w:tabs>
        <w:tab w:val="center" w:pos="4153"/>
        <w:tab w:val="right" w:pos="8306"/>
      </w:tabs>
      <w:spacing w:after="60"/>
      <w:jc w:val="both"/>
    </w:pPr>
    <w:rPr>
      <w:rFonts w:ascii="Calibri" w:eastAsia="SimSun" w:hAnsi="Calibri"/>
      <w:sz w:val="20"/>
      <w:lang w:eastAsia="en-US"/>
    </w:rPr>
  </w:style>
  <w:style w:type="character" w:customStyle="1" w:styleId="EncabezadoCar">
    <w:name w:val="Encabezado Car"/>
    <w:basedOn w:val="Fuentedeprrafopredeter"/>
    <w:link w:val="Encabezado"/>
    <w:uiPriority w:val="99"/>
    <w:rsid w:val="00966EF0"/>
    <w:rPr>
      <w:rFonts w:ascii="Calibri" w:eastAsia="SimSun" w:hAnsi="Calibri" w:cs="Times New Roman"/>
      <w:sz w:val="20"/>
      <w:szCs w:val="24"/>
    </w:rPr>
  </w:style>
  <w:style w:type="paragraph" w:styleId="Piedepgina">
    <w:name w:val="footer"/>
    <w:basedOn w:val="Normal"/>
    <w:link w:val="PiedepginaCar"/>
    <w:uiPriority w:val="99"/>
    <w:rsid w:val="00966EF0"/>
    <w:pPr>
      <w:tabs>
        <w:tab w:val="center" w:pos="4153"/>
        <w:tab w:val="right" w:pos="8306"/>
      </w:tabs>
      <w:spacing w:after="60"/>
      <w:jc w:val="both"/>
    </w:pPr>
    <w:rPr>
      <w:rFonts w:ascii="Calibri" w:eastAsia="SimSun" w:hAnsi="Calibri"/>
      <w:sz w:val="20"/>
      <w:lang w:eastAsia="en-US"/>
    </w:rPr>
  </w:style>
  <w:style w:type="character" w:customStyle="1" w:styleId="PiedepginaCar">
    <w:name w:val="Pie de página Car"/>
    <w:basedOn w:val="Fuentedeprrafopredeter"/>
    <w:link w:val="Piedepgina"/>
    <w:uiPriority w:val="99"/>
    <w:rsid w:val="00966EF0"/>
    <w:rPr>
      <w:rFonts w:ascii="Calibri" w:eastAsia="SimSun" w:hAnsi="Calibri" w:cs="Times New Roman"/>
      <w:sz w:val="20"/>
      <w:szCs w:val="24"/>
    </w:rPr>
  </w:style>
  <w:style w:type="character" w:styleId="Nmerodepgina">
    <w:name w:val="page number"/>
    <w:rsid w:val="00966EF0"/>
    <w:rPr>
      <w:rFonts w:cs="Times New Roman"/>
    </w:rPr>
  </w:style>
  <w:style w:type="paragraph" w:customStyle="1" w:styleId="fn1">
    <w:name w:val="fn1"/>
    <w:basedOn w:val="Normal"/>
    <w:next w:val="Textonotapie"/>
    <w:link w:val="FootnoteTextChar1"/>
    <w:uiPriority w:val="99"/>
    <w:qFormat/>
    <w:rsid w:val="00966EF0"/>
    <w:pPr>
      <w:widowControl w:val="0"/>
      <w:jc w:val="both"/>
    </w:pPr>
    <w:rPr>
      <w:rFonts w:ascii="Calibri" w:eastAsiaTheme="minorHAnsi" w:hAnsi="Calibri" w:cstheme="minorBidi"/>
      <w:sz w:val="18"/>
      <w:szCs w:val="22"/>
      <w:lang w:eastAsia="en-US"/>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Fuentedeprrafopredeter"/>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Textoindependiente3">
    <w:name w:val="Body Text 3"/>
    <w:basedOn w:val="Normal"/>
    <w:link w:val="Textoindependiente3Car"/>
    <w:rsid w:val="00966EF0"/>
    <w:pPr>
      <w:spacing w:after="60"/>
      <w:jc w:val="both"/>
    </w:pPr>
    <w:rPr>
      <w:rFonts w:ascii="Calibri" w:eastAsia="SimSun" w:hAnsi="Calibri"/>
      <w:sz w:val="20"/>
      <w:szCs w:val="20"/>
      <w:lang w:eastAsia="en-US"/>
    </w:rPr>
  </w:style>
  <w:style w:type="character" w:customStyle="1" w:styleId="Textoindependiente3Car">
    <w:name w:val="Texto independiente 3 Car"/>
    <w:basedOn w:val="Fuentedeprrafopredeter"/>
    <w:link w:val="Textoindependiente3"/>
    <w:rsid w:val="00966EF0"/>
    <w:rPr>
      <w:rFonts w:ascii="Calibri" w:eastAsia="SimSun" w:hAnsi="Calibri" w:cs="Times New Roman"/>
      <w:sz w:val="20"/>
      <w:szCs w:val="20"/>
    </w:rPr>
  </w:style>
  <w:style w:type="paragraph" w:styleId="Sangradetextonormal">
    <w:name w:val="Body Text Indent"/>
    <w:basedOn w:val="Normal"/>
    <w:link w:val="SangradetextonormalCar"/>
    <w:rsid w:val="00966EF0"/>
    <w:pPr>
      <w:tabs>
        <w:tab w:val="left" w:pos="360"/>
      </w:tabs>
      <w:spacing w:after="60"/>
      <w:jc w:val="both"/>
    </w:pPr>
    <w:rPr>
      <w:rFonts w:ascii="Calibri" w:eastAsia="SimSun" w:hAnsi="Calibri"/>
      <w:b/>
      <w:i/>
      <w:sz w:val="28"/>
      <w:szCs w:val="20"/>
      <w:lang w:eastAsia="en-US"/>
    </w:rPr>
  </w:style>
  <w:style w:type="character" w:customStyle="1" w:styleId="SangradetextonormalCar">
    <w:name w:val="Sangría de texto normal Car"/>
    <w:basedOn w:val="Fuentedeprrafopredeter"/>
    <w:link w:val="Sangradetextonormal"/>
    <w:rsid w:val="00966EF0"/>
    <w:rPr>
      <w:rFonts w:ascii="Calibri" w:eastAsia="SimSun" w:hAnsi="Calibri" w:cs="Times New Roman"/>
      <w:b/>
      <w:i/>
      <w:sz w:val="28"/>
      <w:szCs w:val="20"/>
    </w:rPr>
  </w:style>
  <w:style w:type="character" w:styleId="Hipervnculo">
    <w:name w:val="Hyperlink"/>
    <w:uiPriority w:val="99"/>
    <w:rsid w:val="00966EF0"/>
    <w:rPr>
      <w:rFonts w:cs="Times New Roman"/>
      <w:color w:val="0000FF"/>
      <w:u w:val="single"/>
    </w:rPr>
  </w:style>
  <w:style w:type="character" w:styleId="Hipervnculovisitado">
    <w:name w:val="FollowedHyperlink"/>
    <w:rsid w:val="00966EF0"/>
    <w:rPr>
      <w:rFonts w:cs="Times New Roman"/>
      <w:color w:val="800080"/>
      <w:u w:val="single"/>
    </w:rPr>
  </w:style>
  <w:style w:type="paragraph" w:styleId="Textoindependiente">
    <w:name w:val="Body Text"/>
    <w:basedOn w:val="Normal"/>
    <w:link w:val="TextoindependienteCar"/>
    <w:rsid w:val="00966EF0"/>
    <w:pPr>
      <w:pBdr>
        <w:bottom w:val="single" w:sz="4" w:space="1" w:color="auto"/>
      </w:pBdr>
      <w:spacing w:after="60"/>
      <w:jc w:val="both"/>
    </w:pPr>
    <w:rPr>
      <w:rFonts w:ascii="Arial Narrow" w:eastAsia="SimSun" w:hAnsi="Arial Narrow"/>
      <w:i/>
      <w:iCs/>
      <w:sz w:val="20"/>
      <w:lang w:eastAsia="en-US"/>
    </w:rPr>
  </w:style>
  <w:style w:type="character" w:customStyle="1" w:styleId="TextoindependienteCar">
    <w:name w:val="Texto independiente Car"/>
    <w:basedOn w:val="Fuentedeprrafopredeter"/>
    <w:link w:val="Textoindependiente"/>
    <w:rsid w:val="00966EF0"/>
    <w:rPr>
      <w:rFonts w:ascii="Arial Narrow" w:eastAsia="SimSun" w:hAnsi="Arial Narrow" w:cs="Times New Roman"/>
      <w:i/>
      <w:iCs/>
      <w:sz w:val="20"/>
      <w:szCs w:val="24"/>
    </w:rPr>
  </w:style>
  <w:style w:type="paragraph" w:styleId="Textoindependiente2">
    <w:name w:val="Body Text 2"/>
    <w:basedOn w:val="Normal"/>
    <w:link w:val="Textoindependiente2Car"/>
    <w:rsid w:val="00966EF0"/>
    <w:pPr>
      <w:spacing w:before="120" w:after="120"/>
      <w:jc w:val="both"/>
    </w:pPr>
    <w:rPr>
      <w:rFonts w:ascii="Arial Narrow" w:eastAsia="SimSun" w:hAnsi="Arial Narrow"/>
      <w:sz w:val="20"/>
      <w:lang w:eastAsia="en-US"/>
    </w:rPr>
  </w:style>
  <w:style w:type="character" w:customStyle="1" w:styleId="Textoindependiente2Car">
    <w:name w:val="Texto independiente 2 Car"/>
    <w:basedOn w:val="Fuentedeprrafopredeter"/>
    <w:link w:val="Textoindependiente2"/>
    <w:rsid w:val="00966EF0"/>
    <w:rPr>
      <w:rFonts w:ascii="Arial Narrow" w:eastAsia="SimSun" w:hAnsi="Arial Narrow" w:cs="Times New Roman"/>
      <w:sz w:val="20"/>
      <w:szCs w:val="24"/>
    </w:rPr>
  </w:style>
  <w:style w:type="character" w:styleId="Refdecomentario">
    <w:name w:val="annotation reference"/>
    <w:uiPriority w:val="99"/>
    <w:rsid w:val="00966EF0"/>
    <w:rPr>
      <w:rFonts w:cs="Times New Roman"/>
      <w:sz w:val="16"/>
      <w:szCs w:val="16"/>
    </w:rPr>
  </w:style>
  <w:style w:type="paragraph" w:styleId="Textocomentario">
    <w:name w:val="annotation text"/>
    <w:basedOn w:val="Normal"/>
    <w:link w:val="TextocomentarioCar"/>
    <w:uiPriority w:val="99"/>
    <w:qFormat/>
    <w:rsid w:val="00966EF0"/>
    <w:pPr>
      <w:spacing w:after="60"/>
      <w:jc w:val="both"/>
    </w:pPr>
    <w:rPr>
      <w:rFonts w:ascii="Calibri" w:eastAsia="SimSun" w:hAnsi="Calibri"/>
      <w:sz w:val="20"/>
      <w:szCs w:val="20"/>
      <w:lang w:eastAsia="en-US"/>
    </w:rPr>
  </w:style>
  <w:style w:type="character" w:customStyle="1" w:styleId="TextocomentarioCar">
    <w:name w:val="Texto comentario Car"/>
    <w:basedOn w:val="Fuentedeprrafopredeter"/>
    <w:link w:val="Textocomentario"/>
    <w:uiPriority w:val="99"/>
    <w:rsid w:val="00966EF0"/>
    <w:rPr>
      <w:rFonts w:ascii="Calibri" w:eastAsia="SimSun" w:hAnsi="Calibri" w:cs="Times New Roman"/>
      <w:sz w:val="20"/>
      <w:szCs w:val="20"/>
    </w:rPr>
  </w:style>
  <w:style w:type="paragraph" w:styleId="Asuntodelcomentario">
    <w:name w:val="annotation subject"/>
    <w:basedOn w:val="Textocomentario"/>
    <w:next w:val="Textocomentario"/>
    <w:link w:val="AsuntodelcomentarioCar"/>
    <w:uiPriority w:val="99"/>
    <w:rsid w:val="00966EF0"/>
    <w:rPr>
      <w:b/>
      <w:bCs/>
    </w:rPr>
  </w:style>
  <w:style w:type="character" w:customStyle="1" w:styleId="AsuntodelcomentarioCar">
    <w:name w:val="Asunto del comentario Car"/>
    <w:basedOn w:val="TextocomentarioCar"/>
    <w:link w:val="Asuntodelcomentario"/>
    <w:uiPriority w:val="99"/>
    <w:rsid w:val="00966EF0"/>
    <w:rPr>
      <w:rFonts w:ascii="Calibri" w:eastAsia="SimSun" w:hAnsi="Calibri" w:cs="Times New Roman"/>
      <w:b/>
      <w:bCs/>
      <w:sz w:val="20"/>
      <w:szCs w:val="20"/>
    </w:rPr>
  </w:style>
  <w:style w:type="table" w:styleId="Tablaconcuadrcula">
    <w:name w:val="Table Grid"/>
    <w:basedOn w:val="Tabla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jc w:val="both"/>
    </w:pPr>
    <w:rPr>
      <w:rFonts w:eastAsia="SimSun"/>
      <w:lang w:eastAsia="en-US"/>
    </w:rPr>
  </w:style>
  <w:style w:type="character" w:styleId="nfasis">
    <w:name w:val="Emphasis"/>
    <w:qFormat/>
    <w:rsid w:val="00966EF0"/>
    <w:rPr>
      <w:rFonts w:cs="Times New Roman"/>
      <w:i/>
      <w:iCs/>
    </w:rPr>
  </w:style>
  <w:style w:type="character" w:styleId="Refdenotaalpie">
    <w:name w:val="footnote reference"/>
    <w:aliases w:val="16 Point,Superscript 6 Point,Superscript 6 Point + 11 pt,ftref,Footnote Reference Number,SUPERS,SUPERS1,SUPERS2,SUPERS3,BVI fnr,BVI fnr Car Car,BVI fnr Car,BVI fnr Car Car Car Car,FNRefe Char Char Char,BVI fnr Char Char Char,fr,Ref"/>
    <w:link w:val="CharCharCharCharCarChar"/>
    <w:uiPriority w:val="99"/>
    <w:qFormat/>
    <w:rsid w:val="00966EF0"/>
    <w:rPr>
      <w:rFonts w:ascii="Arial" w:hAnsi="Arial"/>
      <w:sz w:val="18"/>
      <w:vertAlign w:val="superscript"/>
    </w:rPr>
  </w:style>
  <w:style w:type="paragraph" w:customStyle="1" w:styleId="Char">
    <w:name w:val="Char"/>
    <w:basedOn w:val="Ttulo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rrafodelista">
    <w:name w:val="List Paragraph"/>
    <w:aliases w:val="List Paragraph1,Project Profile name,Paragraphe de liste1,Numbered paragraph,Paragraphe de liste,Medium Grid 1 - Accent 21,List Paragraph (numbered (a)),Numbered List Paragraph,References,ReferencesCxSpLast,Table/Figure Heading,BOLA,Ha"/>
    <w:basedOn w:val="Normal"/>
    <w:link w:val="PrrafodelistaCar"/>
    <w:uiPriority w:val="34"/>
    <w:qFormat/>
    <w:rsid w:val="00966EF0"/>
    <w:pPr>
      <w:ind w:left="720"/>
    </w:pPr>
    <w:rPr>
      <w:rFonts w:eastAsia="SimSun"/>
      <w:lang w:eastAsia="en-US"/>
    </w:rPr>
  </w:style>
  <w:style w:type="paragraph" w:styleId="Ttulo">
    <w:name w:val="Title"/>
    <w:basedOn w:val="Normal"/>
    <w:link w:val="TtuloCar"/>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lang w:eastAsia="en-US"/>
    </w:rPr>
  </w:style>
  <w:style w:type="character" w:customStyle="1" w:styleId="TtuloCar">
    <w:name w:val="Título Car"/>
    <w:basedOn w:val="Fuentedeprrafopredeter"/>
    <w:link w:val="Ttulo"/>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after="160" w:line="240" w:lineRule="exact"/>
    </w:pPr>
    <w:rPr>
      <w:rFonts w:ascii="Calibri" w:eastAsia="SimSun" w:hAnsi="Calibri" w:cs="Arial"/>
      <w:sz w:val="20"/>
      <w:szCs w:val="20"/>
      <w:lang w:eastAsia="en-US"/>
    </w:rPr>
  </w:style>
  <w:style w:type="paragraph" w:customStyle="1" w:styleId="JFHeading3">
    <w:name w:val="JF Heading 3"/>
    <w:basedOn w:val="Ttulo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Textoennegrita">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Ttulo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Textonotaalfinal">
    <w:name w:val="endnote text"/>
    <w:aliases w:val=" Char"/>
    <w:basedOn w:val="Normal"/>
    <w:link w:val="TextonotaalfinalCar"/>
    <w:semiHidden/>
    <w:rsid w:val="00966EF0"/>
    <w:rPr>
      <w:rFonts w:ascii="Calibri" w:eastAsia="MS Mincho" w:hAnsi="Calibri"/>
      <w:sz w:val="20"/>
      <w:szCs w:val="20"/>
      <w:lang w:eastAsia="ja-JP"/>
    </w:rPr>
  </w:style>
  <w:style w:type="character" w:customStyle="1" w:styleId="TextonotaalfinalCar">
    <w:name w:val="Texto nota al final Car"/>
    <w:aliases w:val=" Char Car"/>
    <w:basedOn w:val="Fuentedeprrafopredeter"/>
    <w:link w:val="Textonotaalfinal"/>
    <w:semiHidden/>
    <w:rsid w:val="00966EF0"/>
    <w:rPr>
      <w:rFonts w:ascii="Calibri" w:eastAsia="MS Mincho" w:hAnsi="Calibri" w:cs="Times New Roman"/>
      <w:sz w:val="20"/>
      <w:szCs w:val="20"/>
      <w:lang w:eastAsia="ja-JP"/>
    </w:rPr>
  </w:style>
  <w:style w:type="character" w:styleId="Refdenotaalfinal">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tulo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tulo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jc w:val="both"/>
    </w:pPr>
    <w:rPr>
      <w:rFonts w:ascii="Arial Narrow" w:eastAsia="SimSun" w:hAnsi="Arial Narrow" w:cs="Arial"/>
      <w:sz w:val="20"/>
      <w:szCs w:val="20"/>
      <w:lang w:eastAsia="en-US"/>
    </w:rPr>
  </w:style>
  <w:style w:type="paragraph" w:customStyle="1" w:styleId="Paragraph">
    <w:name w:val="Paragraph"/>
    <w:basedOn w:val="Normal"/>
    <w:link w:val="ParagraphChar"/>
    <w:qFormat/>
    <w:rsid w:val="00966EF0"/>
    <w:pPr>
      <w:numPr>
        <w:numId w:val="2"/>
      </w:numPr>
      <w:spacing w:after="240"/>
    </w:pPr>
    <w:rPr>
      <w:rFonts w:eastAsia="SimSun" w:cs="Angsana New"/>
      <w:noProof/>
      <w:sz w:val="20"/>
      <w:szCs w:val="22"/>
      <w:lang w:eastAsia="en-US"/>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
    <w:basedOn w:val="Paragraph"/>
    <w:link w:val="BulletsChar"/>
    <w:uiPriority w:val="34"/>
    <w:qFormat/>
    <w:rsid w:val="00966EF0"/>
    <w:pPr>
      <w:numPr>
        <w:numId w:val="3"/>
      </w:numPr>
      <w:spacing w:before="60" w:after="0"/>
    </w:pPr>
  </w:style>
  <w:style w:type="character" w:customStyle="1" w:styleId="BulletsChar">
    <w:name w:val="Bullets Char"/>
    <w:link w:val="Bullets"/>
    <w:uiPriority w:val="34"/>
    <w:rsid w:val="00966EF0"/>
    <w:rPr>
      <w:rFonts w:ascii="Times New Roman" w:eastAsia="SimSun" w:hAnsi="Times New Roman" w:cs="Angsana New"/>
      <w:noProof/>
      <w:sz w:val="20"/>
    </w:rPr>
  </w:style>
  <w:style w:type="paragraph" w:styleId="TDC2">
    <w:name w:val="toc 2"/>
    <w:basedOn w:val="Normal"/>
    <w:next w:val="Normal"/>
    <w:autoRedefine/>
    <w:uiPriority w:val="39"/>
    <w:rsid w:val="00966EF0"/>
    <w:pPr>
      <w:spacing w:before="120"/>
      <w:ind w:left="240"/>
    </w:pPr>
    <w:rPr>
      <w:rFonts w:asciiTheme="minorHAnsi" w:hAnsiTheme="minorHAnsi" w:cstheme="minorHAnsi"/>
      <w:b/>
      <w:bCs/>
      <w:sz w:val="22"/>
      <w:szCs w:val="22"/>
    </w:rPr>
  </w:style>
  <w:style w:type="paragraph" w:styleId="TDC1">
    <w:name w:val="toc 1"/>
    <w:basedOn w:val="Normal"/>
    <w:next w:val="Normal"/>
    <w:autoRedefine/>
    <w:uiPriority w:val="39"/>
    <w:rsid w:val="003D62F2"/>
    <w:pPr>
      <w:tabs>
        <w:tab w:val="right" w:leader="dot" w:pos="9350"/>
      </w:tabs>
      <w:spacing w:before="120"/>
    </w:pPr>
    <w:rPr>
      <w:rFonts w:ascii="Calibri" w:eastAsia="SimSun" w:hAnsi="Calibri" w:cstheme="minorHAnsi"/>
      <w:b/>
      <w:bCs/>
      <w:smallCaps/>
      <w:noProof/>
      <w:spacing w:val="-2"/>
    </w:rPr>
  </w:style>
  <w:style w:type="paragraph" w:customStyle="1" w:styleId="Normalbullets">
    <w:name w:val="Normal bullets"/>
    <w:basedOn w:val="Normal"/>
    <w:rsid w:val="00966EF0"/>
    <w:pPr>
      <w:numPr>
        <w:numId w:val="4"/>
      </w:numPr>
      <w:spacing w:after="60"/>
      <w:jc w:val="both"/>
    </w:pPr>
    <w:rPr>
      <w:rFonts w:ascii="Calibri" w:eastAsia="SimSun" w:hAnsi="Calibri"/>
      <w:sz w:val="20"/>
      <w:lang w:eastAsia="en-US"/>
    </w:rPr>
  </w:style>
  <w:style w:type="paragraph" w:customStyle="1" w:styleId="Text">
    <w:name w:val="Text"/>
    <w:basedOn w:val="Normal"/>
    <w:rsid w:val="00966EF0"/>
    <w:pPr>
      <w:spacing w:before="240" w:line="252" w:lineRule="auto"/>
      <w:jc w:val="both"/>
    </w:pPr>
    <w:rPr>
      <w:rFonts w:eastAsia="SimSun"/>
      <w:sz w:val="20"/>
      <w:szCs w:val="20"/>
      <w:lang w:eastAsia="en-US"/>
    </w:rPr>
  </w:style>
  <w:style w:type="paragraph" w:customStyle="1" w:styleId="CharCharChar11">
    <w:name w:val="Char Char Char11"/>
    <w:basedOn w:val="Normal"/>
    <w:rsid w:val="00966EF0"/>
    <w:pPr>
      <w:spacing w:after="160" w:line="240" w:lineRule="exact"/>
    </w:pPr>
    <w:rPr>
      <w:rFonts w:ascii="Calibri" w:eastAsia="SimSun" w:hAnsi="Calibri" w:cs="Arial"/>
      <w:sz w:val="20"/>
      <w:szCs w:val="20"/>
      <w:lang w:eastAsia="en-US"/>
    </w:rPr>
  </w:style>
  <w:style w:type="paragraph" w:customStyle="1" w:styleId="BodyText23">
    <w:name w:val="Body Text 23"/>
    <w:basedOn w:val="Normal"/>
    <w:rsid w:val="00966EF0"/>
    <w:pPr>
      <w:widowControl w:val="0"/>
      <w:tabs>
        <w:tab w:val="left" w:pos="547"/>
      </w:tabs>
    </w:pPr>
    <w:rPr>
      <w:rFonts w:eastAsia="SimSun"/>
      <w:snapToGrid w:val="0"/>
      <w:sz w:val="20"/>
      <w:szCs w:val="20"/>
      <w:lang w:eastAsia="en-US"/>
    </w:rPr>
  </w:style>
  <w:style w:type="paragraph" w:styleId="Descripcin">
    <w:name w:val="caption"/>
    <w:basedOn w:val="Normal"/>
    <w:next w:val="Normal"/>
    <w:link w:val="DescripcinCar"/>
    <w:qFormat/>
    <w:rsid w:val="00966EF0"/>
    <w:rPr>
      <w:rFonts w:eastAsia="SimSun"/>
      <w:b/>
      <w:bCs/>
      <w:sz w:val="28"/>
      <w:lang w:eastAsia="en-US"/>
    </w:rPr>
  </w:style>
  <w:style w:type="paragraph" w:customStyle="1" w:styleId="TableT">
    <w:name w:val="TableT"/>
    <w:basedOn w:val="Normal"/>
    <w:autoRedefine/>
    <w:rsid w:val="00966EF0"/>
    <w:pPr>
      <w:spacing w:after="60"/>
    </w:pPr>
    <w:rPr>
      <w:rFonts w:eastAsia="SimSun"/>
      <w:noProof/>
      <w:sz w:val="20"/>
      <w:szCs w:val="20"/>
      <w:lang w:eastAsia="en-US"/>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cs="Arial"/>
      <w:sz w:val="20"/>
      <w:szCs w:val="20"/>
      <w:lang w:eastAsia="en-US"/>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szCs w:val="22"/>
      <w:lang w:eastAsia="en-US"/>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lang w:eastAsia="en-US"/>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szCs w:val="22"/>
      <w:lang w:eastAsia="en-US"/>
    </w:rPr>
  </w:style>
  <w:style w:type="paragraph" w:customStyle="1" w:styleId="CharChar">
    <w:name w:val="Char Char Знак Знак"/>
    <w:basedOn w:val="Normal"/>
    <w:rsid w:val="00966EF0"/>
    <w:pPr>
      <w:spacing w:after="160" w:line="240" w:lineRule="exact"/>
    </w:pPr>
    <w:rPr>
      <w:rFonts w:eastAsia="SimSun" w:cs="Arial"/>
      <w:sz w:val="20"/>
      <w:szCs w:val="20"/>
      <w:lang w:eastAsia="de-CH"/>
    </w:rPr>
  </w:style>
  <w:style w:type="paragraph" w:styleId="Textosinformato">
    <w:name w:val="Plain Text"/>
    <w:basedOn w:val="Normal"/>
    <w:link w:val="TextosinformatoCar"/>
    <w:uiPriority w:val="99"/>
    <w:unhideWhenUsed/>
    <w:rsid w:val="00966EF0"/>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966EF0"/>
    <w:rPr>
      <w:rFonts w:ascii="Consolas" w:eastAsia="Calibri" w:hAnsi="Consolas" w:cs="Times New Roman"/>
      <w:sz w:val="21"/>
      <w:szCs w:val="21"/>
    </w:rPr>
  </w:style>
  <w:style w:type="character" w:customStyle="1" w:styleId="Ttulo1Car">
    <w:name w:val="Título 1 Car"/>
    <w:basedOn w:val="Fuentedeprrafopredeter"/>
    <w:link w:val="Ttulo1"/>
    <w:uiPriority w:val="9"/>
    <w:rsid w:val="00966EF0"/>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Sinespaciado">
    <w:name w:val="No Spacing"/>
    <w:link w:val="SinespaciadoCar"/>
    <w:uiPriority w:val="1"/>
    <w:qFormat/>
    <w:rsid w:val="00966EF0"/>
    <w:pPr>
      <w:spacing w:after="0" w:line="240" w:lineRule="auto"/>
    </w:pPr>
    <w:rPr>
      <w:rFonts w:ascii="Times" w:eastAsia="Times" w:hAnsi="Times" w:cs="Times New Roman"/>
      <w:sz w:val="24"/>
      <w:szCs w:val="24"/>
    </w:rPr>
  </w:style>
  <w:style w:type="character" w:customStyle="1" w:styleId="SinespaciadoCar">
    <w:name w:val="Sin espaciado Car"/>
    <w:link w:val="Sinespaciado"/>
    <w:uiPriority w:val="1"/>
    <w:rsid w:val="00966EF0"/>
    <w:rPr>
      <w:rFonts w:ascii="Times" w:eastAsia="Times" w:hAnsi="Times" w:cs="Times New Roman"/>
      <w:sz w:val="24"/>
      <w:szCs w:val="24"/>
    </w:rPr>
  </w:style>
  <w:style w:type="character" w:customStyle="1" w:styleId="PrrafodelistaCar">
    <w:name w:val="Párrafo de lista Car"/>
    <w:aliases w:val="List Paragraph1 Car,Project Profile name Car,Paragraphe de liste1 Car,Numbered paragraph Car,Paragraphe de liste Car,Medium Grid 1 - Accent 21 Car,List Paragraph (numbered (a)) Car,Numbered List Paragraph Car,References Car,BOLA Car"/>
    <w:link w:val="Prrafodelista"/>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eferenciaintensa">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eastAsia="ar-SA"/>
    </w:rPr>
  </w:style>
  <w:style w:type="character" w:customStyle="1" w:styleId="apple-converted-space">
    <w:name w:val="apple-converted-space"/>
    <w:basedOn w:val="Fuentedeprrafopredeter"/>
    <w:rsid w:val="00966EF0"/>
  </w:style>
  <w:style w:type="paragraph" w:customStyle="1" w:styleId="Normal1">
    <w:name w:val="Normal1"/>
    <w:basedOn w:val="Normal"/>
    <w:next w:val="Normal"/>
    <w:rsid w:val="00966EF0"/>
    <w:pPr>
      <w:numPr>
        <w:numId w:val="6"/>
      </w:numPr>
    </w:pPr>
    <w:rPr>
      <w:rFonts w:ascii="Calibri" w:hAnsi="Calibri"/>
      <w:noProof/>
      <w:sz w:val="20"/>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rPr>
      <w:rFonts w:asciiTheme="minorHAnsi" w:eastAsiaTheme="minorHAnsi" w:hAnsiTheme="minorHAnsi" w:cstheme="minorBidi"/>
      <w:sz w:val="22"/>
      <w:szCs w:val="22"/>
      <w:lang w:eastAsia="en-US"/>
    </w:rPr>
  </w:style>
  <w:style w:type="paragraph" w:styleId="TDC3">
    <w:name w:val="toc 3"/>
    <w:basedOn w:val="Normal"/>
    <w:next w:val="Normal"/>
    <w:autoRedefine/>
    <w:uiPriority w:val="39"/>
    <w:unhideWhenUsed/>
    <w:rsid w:val="00966EF0"/>
    <w:pPr>
      <w:ind w:left="480"/>
    </w:pPr>
    <w:rPr>
      <w:rFonts w:asciiTheme="minorHAnsi" w:hAnsiTheme="minorHAnsi" w:cstheme="minorHAnsi"/>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Refdenotaalpie"/>
    <w:uiPriority w:val="99"/>
    <w:qFormat/>
    <w:rsid w:val="00966EF0"/>
    <w:pPr>
      <w:spacing w:after="160" w:line="240" w:lineRule="exact"/>
      <w:jc w:val="both"/>
    </w:pPr>
    <w:rPr>
      <w:rFonts w:ascii="Arial" w:eastAsiaTheme="minorHAnsi" w:hAnsi="Arial" w:cstheme="minorBidi"/>
      <w:sz w:val="18"/>
      <w:szCs w:val="22"/>
      <w:vertAlign w:val="superscript"/>
      <w:lang w:eastAsia="en-US"/>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rPr>
      <w:sz w:val="22"/>
      <w:lang w:eastAsia="en-US"/>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rFonts w:cstheme="minorBidi"/>
      <w:color w:val="000000"/>
      <w:sz w:val="22"/>
      <w:szCs w:val="22"/>
      <w:lang w:eastAsia="en-US"/>
    </w:rPr>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sz w:val="22"/>
      <w:szCs w:val="22"/>
      <w:lang w:eastAsia="en-US"/>
    </w:rPr>
  </w:style>
  <w:style w:type="paragraph" w:customStyle="1" w:styleId="GEFInstruction">
    <w:name w:val="GEF Instruction"/>
    <w:basedOn w:val="Normal"/>
    <w:next w:val="Normal"/>
    <w:qFormat/>
    <w:rsid w:val="00966EF0"/>
    <w:pPr>
      <w:ind w:left="-540"/>
    </w:pPr>
    <w:rPr>
      <w:sz w:val="20"/>
      <w:lang w:eastAsia="en-US"/>
    </w:rPr>
  </w:style>
  <w:style w:type="table" w:customStyle="1" w:styleId="TableGrid1">
    <w:name w:val="Table Grid1"/>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0">
    <w:name w:val="Mention1"/>
    <w:uiPriority w:val="99"/>
    <w:semiHidden/>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lang w:eastAsia="en-US"/>
    </w:rPr>
  </w:style>
  <w:style w:type="paragraph" w:styleId="Sangra2detindependiente">
    <w:name w:val="Body Text Indent 2"/>
    <w:basedOn w:val="Normal"/>
    <w:link w:val="Sangra2detindependienteCar"/>
    <w:rsid w:val="00966EF0"/>
    <w:pPr>
      <w:ind w:left="360"/>
    </w:pPr>
    <w:rPr>
      <w:i/>
      <w:iCs/>
      <w:sz w:val="20"/>
      <w:lang w:eastAsia="x-none"/>
    </w:rPr>
  </w:style>
  <w:style w:type="character" w:customStyle="1" w:styleId="Sangra2detindependienteCar">
    <w:name w:val="Sangría 2 de t. independiente Car"/>
    <w:basedOn w:val="Fuentedeprrafopredeter"/>
    <w:link w:val="Sangra2detindependiente"/>
    <w:rsid w:val="00966EF0"/>
    <w:rPr>
      <w:rFonts w:ascii="Times New Roman" w:eastAsia="Times New Roman" w:hAnsi="Times New Roman" w:cs="Times New Roman"/>
      <w:i/>
      <w:iCs/>
      <w:sz w:val="20"/>
      <w:szCs w:val="24"/>
      <w:lang w:eastAsia="x-none"/>
    </w:rPr>
  </w:style>
  <w:style w:type="paragraph" w:styleId="Sangra3detindependiente">
    <w:name w:val="Body Text Indent 3"/>
    <w:basedOn w:val="Normal"/>
    <w:link w:val="Sangra3detindependienteCar"/>
    <w:rsid w:val="00966EF0"/>
    <w:pPr>
      <w:ind w:left="540"/>
    </w:pPr>
    <w:rPr>
      <w:lang w:eastAsia="x-none"/>
    </w:rPr>
  </w:style>
  <w:style w:type="character" w:customStyle="1" w:styleId="Sangra3detindependienteCar">
    <w:name w:val="Sangría 3 de t. independiente Car"/>
    <w:basedOn w:val="Fuentedeprrafopredeter"/>
    <w:link w:val="Sangra3detindependiente"/>
    <w:rsid w:val="00966EF0"/>
    <w:rPr>
      <w:rFonts w:ascii="Times New Roman" w:eastAsia="Times New Roman" w:hAnsi="Times New Roman" w:cs="Times New Roman"/>
      <w:sz w:val="24"/>
      <w:szCs w:val="24"/>
      <w:lang w:eastAsia="x-none"/>
    </w:rPr>
  </w:style>
  <w:style w:type="paragraph" w:styleId="Mapadeldocumento">
    <w:name w:val="Document Map"/>
    <w:basedOn w:val="Normal"/>
    <w:link w:val="MapadeldocumentoCar"/>
    <w:semiHidden/>
    <w:rsid w:val="00966EF0"/>
    <w:pPr>
      <w:shd w:val="clear" w:color="auto" w:fill="000080"/>
    </w:pPr>
    <w:rPr>
      <w:rFonts w:ascii="Tahoma" w:hAnsi="Tahoma"/>
      <w:sz w:val="20"/>
      <w:szCs w:val="20"/>
      <w:lang w:eastAsia="x-none"/>
    </w:rPr>
  </w:style>
  <w:style w:type="character" w:customStyle="1" w:styleId="MapadeldocumentoCar">
    <w:name w:val="Mapa del documento Car"/>
    <w:basedOn w:val="Fuentedeprrafopredeter"/>
    <w:link w:val="Mapadeldocumento"/>
    <w:semiHidden/>
    <w:rsid w:val="00966EF0"/>
    <w:rPr>
      <w:rFonts w:ascii="Tahoma" w:eastAsia="Times New Roman" w:hAnsi="Tahoma" w:cs="Times New Roman"/>
      <w:sz w:val="20"/>
      <w:szCs w:val="20"/>
      <w:shd w:val="clear" w:color="auto" w:fill="000080"/>
      <w:lang w:eastAsia="x-none"/>
    </w:rPr>
  </w:style>
  <w:style w:type="paragraph" w:customStyle="1" w:styleId="MainParanoChapter">
    <w:name w:val="Main Para no Chapter #"/>
    <w:basedOn w:val="Normal"/>
    <w:link w:val="MainParanoChapterChar"/>
    <w:autoRedefine/>
    <w:uiPriority w:val="99"/>
    <w:qFormat/>
    <w:rsid w:val="00966EF0"/>
    <w:pPr>
      <w:numPr>
        <w:numId w:val="10"/>
      </w:numPr>
      <w:spacing w:before="120" w:after="240"/>
      <w:ind w:left="0" w:firstLine="0"/>
      <w:outlineLvl w:val="1"/>
    </w:pPr>
    <w:rPr>
      <w:color w:val="000000"/>
      <w:lang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eastAsia="x-none"/>
    </w:rPr>
  </w:style>
  <w:style w:type="paragraph" w:styleId="z-Principiodelformulario">
    <w:name w:val="HTML Top of Form"/>
    <w:basedOn w:val="Normal"/>
    <w:next w:val="Normal"/>
    <w:link w:val="z-PrincipiodelformularioCar"/>
    <w:hidden/>
    <w:rsid w:val="00966EF0"/>
    <w:pPr>
      <w:pBdr>
        <w:bottom w:val="single" w:sz="6" w:space="1" w:color="auto"/>
      </w:pBdr>
      <w:jc w:val="center"/>
    </w:pPr>
    <w:rPr>
      <w:rFonts w:ascii="Arial" w:hAnsi="Arial"/>
      <w:vanish/>
      <w:sz w:val="16"/>
      <w:szCs w:val="16"/>
      <w:lang w:eastAsia="x-none"/>
    </w:rPr>
  </w:style>
  <w:style w:type="character" w:customStyle="1" w:styleId="z-PrincipiodelformularioCar">
    <w:name w:val="z-Principio del formulario Car"/>
    <w:basedOn w:val="Fuentedeprrafopredeter"/>
    <w:link w:val="z-Principiodelformulario"/>
    <w:rsid w:val="00966EF0"/>
    <w:rPr>
      <w:rFonts w:ascii="Arial" w:eastAsia="Times New Roman" w:hAnsi="Arial" w:cs="Times New Roman"/>
      <w:vanish/>
      <w:sz w:val="16"/>
      <w:szCs w:val="16"/>
      <w:lang w:eastAsia="x-none"/>
    </w:rPr>
  </w:style>
  <w:style w:type="paragraph" w:styleId="z-Finaldelformulario">
    <w:name w:val="HTML Bottom of Form"/>
    <w:basedOn w:val="Normal"/>
    <w:next w:val="Normal"/>
    <w:link w:val="z-FinaldelformularioCar"/>
    <w:hidden/>
    <w:rsid w:val="00966EF0"/>
    <w:pPr>
      <w:pBdr>
        <w:top w:val="single" w:sz="6" w:space="1" w:color="auto"/>
      </w:pBdr>
      <w:jc w:val="center"/>
    </w:pPr>
    <w:rPr>
      <w:rFonts w:ascii="Arial" w:hAnsi="Arial"/>
      <w:vanish/>
      <w:sz w:val="16"/>
      <w:szCs w:val="16"/>
      <w:lang w:eastAsia="x-none"/>
    </w:rPr>
  </w:style>
  <w:style w:type="character" w:customStyle="1" w:styleId="z-FinaldelformularioCar">
    <w:name w:val="z-Final del formulario Car"/>
    <w:basedOn w:val="Fuentedeprrafopredeter"/>
    <w:link w:val="z-Finaldelformulario"/>
    <w:rsid w:val="00966EF0"/>
    <w:rPr>
      <w:rFonts w:ascii="Arial" w:eastAsia="Times New Roman" w:hAnsi="Arial" w:cs="Times New Roman"/>
      <w:vanish/>
      <w:sz w:val="16"/>
      <w:szCs w:val="16"/>
      <w:lang w:eastAsia="x-none"/>
    </w:rPr>
  </w:style>
  <w:style w:type="paragraph" w:customStyle="1" w:styleId="GEFPartHeading">
    <w:name w:val="GEF Part Heading"/>
    <w:basedOn w:val="Prrafodelista"/>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rPr>
  </w:style>
  <w:style w:type="paragraph" w:customStyle="1" w:styleId="NumberedParasPIF">
    <w:name w:val="Numbered Paras PIF"/>
    <w:basedOn w:val="Normal"/>
    <w:qFormat/>
    <w:rsid w:val="00966EF0"/>
    <w:pPr>
      <w:numPr>
        <w:numId w:val="11"/>
      </w:numPr>
      <w:spacing w:after="100"/>
      <w:jc w:val="both"/>
    </w:pPr>
    <w:rPr>
      <w:sz w:val="20"/>
      <w:szCs w:val="18"/>
      <w:lang w:eastAsia="en-US"/>
    </w:rPr>
  </w:style>
  <w:style w:type="paragraph" w:styleId="Revisi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anormal"/>
    <w:next w:val="Tablaconcuadrcula"/>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Fuentedeprrafopredeter"/>
    <w:rsid w:val="00966EF0"/>
  </w:style>
  <w:style w:type="paragraph" w:styleId="Textonotapie">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TextonotapieCar"/>
    <w:uiPriority w:val="99"/>
    <w:unhideWhenUsed/>
    <w:qFormat/>
    <w:rsid w:val="00966EF0"/>
    <w:rPr>
      <w:rFonts w:asciiTheme="minorHAnsi" w:eastAsiaTheme="minorHAnsi" w:hAnsiTheme="minorHAnsi" w:cstheme="minorBidi"/>
      <w:sz w:val="20"/>
      <w:szCs w:val="20"/>
      <w:lang w:eastAsia="en-US"/>
    </w:rPr>
  </w:style>
  <w:style w:type="character" w:customStyle="1" w:styleId="TextonotapieCar">
    <w:name w:val="Texto nota pie Car"/>
    <w:aliases w:val="Geneva 9 Car,Font: Geneva 9 Car,Boston 10 Car,f Car,single space Car,footnote text Car,Footnote Car,otnote Text Car,Footnote Text Char Char Char Car,Footnote Text Char Char Char Char Char Char Char Car,Footnotes Car,fn Car"/>
    <w:basedOn w:val="Fuentedeprrafopredeter"/>
    <w:link w:val="Textonotapie"/>
    <w:uiPriority w:val="99"/>
    <w:qFormat/>
    <w:rsid w:val="00966EF0"/>
    <w:rPr>
      <w:sz w:val="20"/>
      <w:szCs w:val="20"/>
    </w:rPr>
  </w:style>
  <w:style w:type="paragraph" w:styleId="HTMLconformatoprevio">
    <w:name w:val="HTML Preformatted"/>
    <w:basedOn w:val="Normal"/>
    <w:link w:val="HTMLconformatoprevioCar"/>
    <w:uiPriority w:val="99"/>
    <w:unhideWhenUsed/>
    <w:rsid w:val="00D70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fr-FR"/>
    </w:rPr>
  </w:style>
  <w:style w:type="character" w:customStyle="1" w:styleId="HTMLconformatoprevioCar">
    <w:name w:val="HTML con formato previo Car"/>
    <w:basedOn w:val="Fuentedeprrafopredeter"/>
    <w:link w:val="HTMLconformatoprevio"/>
    <w:uiPriority w:val="99"/>
    <w:rsid w:val="00D70E58"/>
    <w:rPr>
      <w:rFonts w:ascii="Courier New" w:eastAsia="Times New Roman" w:hAnsi="Courier New" w:cs="Courier New"/>
      <w:sz w:val="20"/>
      <w:szCs w:val="20"/>
      <w:lang w:eastAsia="fr-FR"/>
    </w:rPr>
  </w:style>
  <w:style w:type="character" w:customStyle="1" w:styleId="DescripcinCar">
    <w:name w:val="Descripción Car"/>
    <w:basedOn w:val="Fuentedeprrafopredeter"/>
    <w:link w:val="Descripcin"/>
    <w:uiPriority w:val="35"/>
    <w:locked/>
    <w:rsid w:val="00D70E58"/>
    <w:rPr>
      <w:rFonts w:ascii="Times New Roman" w:eastAsia="SimSun" w:hAnsi="Times New Roman" w:cs="Times New Roman"/>
      <w:b/>
      <w:bCs/>
      <w:sz w:val="28"/>
      <w:szCs w:val="24"/>
    </w:rPr>
  </w:style>
  <w:style w:type="paragraph" w:customStyle="1" w:styleId="bodytext">
    <w:name w:val="bodytext"/>
    <w:basedOn w:val="Normal"/>
    <w:rsid w:val="008A0B2D"/>
    <w:pPr>
      <w:spacing w:before="100" w:beforeAutospacing="1" w:after="100" w:afterAutospacing="1"/>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E7D78"/>
    <w:pPr>
      <w:spacing w:after="160" w:line="240" w:lineRule="exact"/>
    </w:pPr>
    <w:rPr>
      <w:rFonts w:asciiTheme="minorHAnsi" w:eastAsiaTheme="minorHAnsi" w:hAnsiTheme="minorHAnsi" w:cstheme="minorBidi"/>
      <w:sz w:val="22"/>
      <w:szCs w:val="22"/>
      <w:vertAlign w:val="superscript"/>
      <w:lang w:eastAsia="ja-JP"/>
    </w:rPr>
  </w:style>
  <w:style w:type="character" w:customStyle="1" w:styleId="BodyTextChar">
    <w:name w:val="Body Text Char"/>
    <w:basedOn w:val="Fuentedeprrafopredeter"/>
    <w:uiPriority w:val="99"/>
    <w:semiHidden/>
    <w:rsid w:val="009D2FA3"/>
    <w:rPr>
      <w:rFonts w:ascii="Times New Roman" w:eastAsia="Times New Roman" w:hAnsi="Times New Roman" w:cs="Times New Roman"/>
      <w:sz w:val="24"/>
      <w:szCs w:val="24"/>
    </w:rPr>
  </w:style>
  <w:style w:type="paragraph" w:customStyle="1" w:styleId="Body">
    <w:name w:val="Body"/>
    <w:rsid w:val="00584CA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s-MX"/>
    </w:rPr>
  </w:style>
  <w:style w:type="character" w:customStyle="1" w:styleId="NoSpacingChar1">
    <w:name w:val="No Spacing Char1"/>
    <w:uiPriority w:val="1"/>
    <w:rsid w:val="00FC1EF3"/>
    <w:rPr>
      <w:szCs w:val="24"/>
      <w:lang w:eastAsia="en-US"/>
    </w:rPr>
  </w:style>
  <w:style w:type="paragraph" w:customStyle="1" w:styleId="Pa9">
    <w:name w:val="Pa9"/>
    <w:basedOn w:val="Default"/>
    <w:next w:val="Default"/>
    <w:uiPriority w:val="99"/>
    <w:rsid w:val="0033157A"/>
    <w:pPr>
      <w:spacing w:line="201" w:lineRule="atLeast"/>
    </w:pPr>
    <w:rPr>
      <w:rFonts w:ascii="Myriad Pro" w:eastAsiaTheme="minorHAnsi" w:hAnsi="Myriad Pro" w:cstheme="minorBidi"/>
      <w:color w:val="auto"/>
      <w:lang w:eastAsia="en-US"/>
    </w:rPr>
  </w:style>
  <w:style w:type="character" w:customStyle="1" w:styleId="Listavistosa-nfasis2Car">
    <w:name w:val="Lista vistosa - Énfasis 2 Car"/>
    <w:link w:val="Listavistosa-nfasis2"/>
    <w:rsid w:val="00E35641"/>
    <w:rPr>
      <w:rFonts w:ascii="Times" w:eastAsia="Times" w:hAnsi="Times"/>
      <w:sz w:val="24"/>
    </w:rPr>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35641"/>
    <w:pPr>
      <w:spacing w:after="160" w:line="240" w:lineRule="exact"/>
      <w:jc w:val="both"/>
    </w:pPr>
    <w:rPr>
      <w:rFonts w:ascii="Arial" w:eastAsia="SimSun" w:hAnsi="Arial"/>
      <w:sz w:val="18"/>
      <w:szCs w:val="20"/>
      <w:vertAlign w:val="superscript"/>
      <w:lang w:eastAsia="en-US"/>
    </w:rPr>
  </w:style>
  <w:style w:type="table" w:styleId="Listavistosa-nfasis2">
    <w:name w:val="Colorful List Accent 2"/>
    <w:basedOn w:val="Tablanormal"/>
    <w:link w:val="Listavistosa-nfasis2Car"/>
    <w:semiHidden/>
    <w:unhideWhenUsed/>
    <w:rsid w:val="00E35641"/>
    <w:pPr>
      <w:spacing w:after="0" w:line="240" w:lineRule="auto"/>
    </w:pPr>
    <w:rPr>
      <w:rFonts w:ascii="Times" w:eastAsia="Times" w:hAnsi="Times"/>
      <w:sz w:val="24"/>
    </w:rPr>
    <w:tblPr>
      <w:tblStyleRowBandSize w:val="1"/>
      <w:tblStyleColBandSize w:val="1"/>
    </w:tblPr>
    <w:tcPr>
      <w:shd w:val="clear" w:color="auto" w:fill="FDF2EA" w:themeFill="accent2"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paragraph" w:customStyle="1" w:styleId="font--secondary">
    <w:name w:val="font--secondary"/>
    <w:basedOn w:val="Normal"/>
    <w:rsid w:val="00591654"/>
    <w:pPr>
      <w:spacing w:before="100" w:beforeAutospacing="1" w:after="100" w:afterAutospacing="1"/>
    </w:pPr>
  </w:style>
  <w:style w:type="paragraph" w:customStyle="1" w:styleId="paragraph0">
    <w:name w:val="paragraph"/>
    <w:basedOn w:val="Normal"/>
    <w:rsid w:val="000A5D87"/>
    <w:pPr>
      <w:spacing w:before="100" w:beforeAutospacing="1" w:after="100" w:afterAutospacing="1"/>
    </w:pPr>
  </w:style>
  <w:style w:type="character" w:customStyle="1" w:styleId="normaltextrun">
    <w:name w:val="normaltextrun"/>
    <w:basedOn w:val="Fuentedeprrafopredeter"/>
    <w:rsid w:val="000A5D87"/>
  </w:style>
  <w:style w:type="character" w:customStyle="1" w:styleId="eop">
    <w:name w:val="eop"/>
    <w:basedOn w:val="Fuentedeprrafopredeter"/>
    <w:rsid w:val="000A5D87"/>
  </w:style>
  <w:style w:type="paragraph" w:styleId="Tabladeilustraciones">
    <w:name w:val="table of figures"/>
    <w:basedOn w:val="Normal"/>
    <w:next w:val="Normal"/>
    <w:uiPriority w:val="99"/>
    <w:unhideWhenUsed/>
    <w:rsid w:val="002E25F1"/>
  </w:style>
  <w:style w:type="paragraph" w:styleId="TDC4">
    <w:name w:val="toc 4"/>
    <w:basedOn w:val="Normal"/>
    <w:next w:val="Normal"/>
    <w:autoRedefine/>
    <w:uiPriority w:val="39"/>
    <w:semiHidden/>
    <w:unhideWhenUsed/>
    <w:rsid w:val="00CB4421"/>
    <w:pPr>
      <w:ind w:left="720"/>
    </w:pPr>
    <w:rPr>
      <w:rFonts w:asciiTheme="minorHAnsi" w:hAnsiTheme="minorHAnsi" w:cstheme="minorHAnsi"/>
      <w:sz w:val="20"/>
      <w:szCs w:val="20"/>
    </w:rPr>
  </w:style>
  <w:style w:type="paragraph" w:styleId="TDC5">
    <w:name w:val="toc 5"/>
    <w:basedOn w:val="Normal"/>
    <w:next w:val="Normal"/>
    <w:autoRedefine/>
    <w:uiPriority w:val="39"/>
    <w:semiHidden/>
    <w:unhideWhenUsed/>
    <w:rsid w:val="00CB4421"/>
    <w:pPr>
      <w:ind w:left="960"/>
    </w:pPr>
    <w:rPr>
      <w:rFonts w:asciiTheme="minorHAnsi" w:hAnsiTheme="minorHAnsi" w:cstheme="minorHAnsi"/>
      <w:sz w:val="20"/>
      <w:szCs w:val="20"/>
    </w:rPr>
  </w:style>
  <w:style w:type="paragraph" w:styleId="TDC6">
    <w:name w:val="toc 6"/>
    <w:basedOn w:val="Normal"/>
    <w:next w:val="Normal"/>
    <w:autoRedefine/>
    <w:uiPriority w:val="39"/>
    <w:semiHidden/>
    <w:unhideWhenUsed/>
    <w:rsid w:val="00CB4421"/>
    <w:pPr>
      <w:ind w:left="1200"/>
    </w:pPr>
    <w:rPr>
      <w:rFonts w:asciiTheme="minorHAnsi" w:hAnsiTheme="minorHAnsi" w:cstheme="minorHAnsi"/>
      <w:sz w:val="20"/>
      <w:szCs w:val="20"/>
    </w:rPr>
  </w:style>
  <w:style w:type="paragraph" w:styleId="TDC7">
    <w:name w:val="toc 7"/>
    <w:basedOn w:val="Normal"/>
    <w:next w:val="Normal"/>
    <w:autoRedefine/>
    <w:uiPriority w:val="39"/>
    <w:semiHidden/>
    <w:unhideWhenUsed/>
    <w:rsid w:val="00CB4421"/>
    <w:pPr>
      <w:ind w:left="1440"/>
    </w:pPr>
    <w:rPr>
      <w:rFonts w:asciiTheme="minorHAnsi" w:hAnsiTheme="minorHAnsi" w:cstheme="minorHAnsi"/>
      <w:sz w:val="20"/>
      <w:szCs w:val="20"/>
    </w:rPr>
  </w:style>
  <w:style w:type="paragraph" w:styleId="TDC8">
    <w:name w:val="toc 8"/>
    <w:basedOn w:val="Normal"/>
    <w:next w:val="Normal"/>
    <w:autoRedefine/>
    <w:uiPriority w:val="39"/>
    <w:semiHidden/>
    <w:unhideWhenUsed/>
    <w:rsid w:val="00CB4421"/>
    <w:pPr>
      <w:ind w:left="1680"/>
    </w:pPr>
    <w:rPr>
      <w:rFonts w:asciiTheme="minorHAnsi" w:hAnsiTheme="minorHAnsi" w:cstheme="minorHAnsi"/>
      <w:sz w:val="20"/>
      <w:szCs w:val="20"/>
    </w:rPr>
  </w:style>
  <w:style w:type="paragraph" w:styleId="TDC9">
    <w:name w:val="toc 9"/>
    <w:basedOn w:val="Normal"/>
    <w:next w:val="Normal"/>
    <w:autoRedefine/>
    <w:uiPriority w:val="39"/>
    <w:semiHidden/>
    <w:unhideWhenUsed/>
    <w:rsid w:val="00CB4421"/>
    <w:pPr>
      <w:ind w:left="1920"/>
    </w:pPr>
    <w:rPr>
      <w:rFonts w:asciiTheme="minorHAnsi" w:hAnsiTheme="minorHAnsi" w:cstheme="minorHAnsi"/>
      <w:sz w:val="20"/>
      <w:szCs w:val="20"/>
    </w:rPr>
  </w:style>
  <w:style w:type="paragraph" w:styleId="Subttulo">
    <w:name w:val="Subtitle"/>
    <w:basedOn w:val="Normal"/>
    <w:next w:val="Normal"/>
    <w:link w:val="SubttuloCar"/>
    <w:uiPriority w:val="11"/>
    <w:qFormat/>
    <w:rsid w:val="001B17BF"/>
    <w:pPr>
      <w:numPr>
        <w:ilvl w:val="1"/>
      </w:numPr>
      <w:spacing w:after="160" w:line="259" w:lineRule="auto"/>
    </w:pPr>
    <w:rPr>
      <w:rFonts w:asciiTheme="minorHAnsi" w:eastAsiaTheme="minorEastAsia" w:hAnsiTheme="minorHAnsi" w:cstheme="minorBidi"/>
      <w:color w:val="5A5A5A" w:themeColor="text1" w:themeTint="A5"/>
      <w:spacing w:val="15"/>
      <w:sz w:val="22"/>
      <w:szCs w:val="22"/>
      <w:lang w:eastAsia="zh-CN"/>
    </w:rPr>
  </w:style>
  <w:style w:type="character" w:customStyle="1" w:styleId="SubttuloCar">
    <w:name w:val="Subtítulo Car"/>
    <w:basedOn w:val="Fuentedeprrafopredeter"/>
    <w:link w:val="Subttulo"/>
    <w:uiPriority w:val="11"/>
    <w:rsid w:val="001B17BF"/>
    <w:rPr>
      <w:rFonts w:eastAsiaTheme="minorEastAsia"/>
      <w:color w:val="5A5A5A" w:themeColor="text1" w:themeTint="A5"/>
      <w:spacing w:val="1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4077">
      <w:bodyDiv w:val="1"/>
      <w:marLeft w:val="0"/>
      <w:marRight w:val="0"/>
      <w:marTop w:val="0"/>
      <w:marBottom w:val="0"/>
      <w:divBdr>
        <w:top w:val="none" w:sz="0" w:space="0" w:color="auto"/>
        <w:left w:val="none" w:sz="0" w:space="0" w:color="auto"/>
        <w:bottom w:val="none" w:sz="0" w:space="0" w:color="auto"/>
        <w:right w:val="none" w:sz="0" w:space="0" w:color="auto"/>
      </w:divBdr>
      <w:divsChild>
        <w:div w:id="1228875945">
          <w:marLeft w:val="0"/>
          <w:marRight w:val="0"/>
          <w:marTop w:val="0"/>
          <w:marBottom w:val="0"/>
          <w:divBdr>
            <w:top w:val="none" w:sz="0" w:space="0" w:color="auto"/>
            <w:left w:val="none" w:sz="0" w:space="0" w:color="auto"/>
            <w:bottom w:val="none" w:sz="0" w:space="0" w:color="auto"/>
            <w:right w:val="none" w:sz="0" w:space="0" w:color="auto"/>
          </w:divBdr>
          <w:divsChild>
            <w:div w:id="315886765">
              <w:marLeft w:val="0"/>
              <w:marRight w:val="0"/>
              <w:marTop w:val="0"/>
              <w:marBottom w:val="0"/>
              <w:divBdr>
                <w:top w:val="none" w:sz="0" w:space="0" w:color="auto"/>
                <w:left w:val="none" w:sz="0" w:space="0" w:color="auto"/>
                <w:bottom w:val="none" w:sz="0" w:space="0" w:color="auto"/>
                <w:right w:val="none" w:sz="0" w:space="0" w:color="auto"/>
              </w:divBdr>
              <w:divsChild>
                <w:div w:id="18694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7458">
      <w:bodyDiv w:val="1"/>
      <w:marLeft w:val="0"/>
      <w:marRight w:val="0"/>
      <w:marTop w:val="0"/>
      <w:marBottom w:val="0"/>
      <w:divBdr>
        <w:top w:val="none" w:sz="0" w:space="0" w:color="auto"/>
        <w:left w:val="none" w:sz="0" w:space="0" w:color="auto"/>
        <w:bottom w:val="none" w:sz="0" w:space="0" w:color="auto"/>
        <w:right w:val="none" w:sz="0" w:space="0" w:color="auto"/>
      </w:divBdr>
      <w:divsChild>
        <w:div w:id="1784761723">
          <w:marLeft w:val="0"/>
          <w:marRight w:val="0"/>
          <w:marTop w:val="0"/>
          <w:marBottom w:val="0"/>
          <w:divBdr>
            <w:top w:val="none" w:sz="0" w:space="0" w:color="auto"/>
            <w:left w:val="none" w:sz="0" w:space="0" w:color="auto"/>
            <w:bottom w:val="none" w:sz="0" w:space="0" w:color="auto"/>
            <w:right w:val="none" w:sz="0" w:space="0" w:color="auto"/>
          </w:divBdr>
          <w:divsChild>
            <w:div w:id="308436311">
              <w:marLeft w:val="0"/>
              <w:marRight w:val="0"/>
              <w:marTop w:val="0"/>
              <w:marBottom w:val="0"/>
              <w:divBdr>
                <w:top w:val="none" w:sz="0" w:space="0" w:color="auto"/>
                <w:left w:val="none" w:sz="0" w:space="0" w:color="auto"/>
                <w:bottom w:val="none" w:sz="0" w:space="0" w:color="auto"/>
                <w:right w:val="none" w:sz="0" w:space="0" w:color="auto"/>
              </w:divBdr>
              <w:divsChild>
                <w:div w:id="138807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659">
      <w:bodyDiv w:val="1"/>
      <w:marLeft w:val="0"/>
      <w:marRight w:val="0"/>
      <w:marTop w:val="0"/>
      <w:marBottom w:val="0"/>
      <w:divBdr>
        <w:top w:val="none" w:sz="0" w:space="0" w:color="auto"/>
        <w:left w:val="none" w:sz="0" w:space="0" w:color="auto"/>
        <w:bottom w:val="none" w:sz="0" w:space="0" w:color="auto"/>
        <w:right w:val="none" w:sz="0" w:space="0" w:color="auto"/>
      </w:divBdr>
      <w:divsChild>
        <w:div w:id="1670519379">
          <w:marLeft w:val="0"/>
          <w:marRight w:val="0"/>
          <w:marTop w:val="0"/>
          <w:marBottom w:val="0"/>
          <w:divBdr>
            <w:top w:val="none" w:sz="0" w:space="0" w:color="auto"/>
            <w:left w:val="none" w:sz="0" w:space="0" w:color="auto"/>
            <w:bottom w:val="none" w:sz="0" w:space="0" w:color="auto"/>
            <w:right w:val="none" w:sz="0" w:space="0" w:color="auto"/>
          </w:divBdr>
          <w:divsChild>
            <w:div w:id="1821969231">
              <w:marLeft w:val="0"/>
              <w:marRight w:val="0"/>
              <w:marTop w:val="0"/>
              <w:marBottom w:val="0"/>
              <w:divBdr>
                <w:top w:val="none" w:sz="0" w:space="0" w:color="auto"/>
                <w:left w:val="none" w:sz="0" w:space="0" w:color="auto"/>
                <w:bottom w:val="none" w:sz="0" w:space="0" w:color="auto"/>
                <w:right w:val="none" w:sz="0" w:space="0" w:color="auto"/>
              </w:divBdr>
              <w:divsChild>
                <w:div w:id="21026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3150">
      <w:bodyDiv w:val="1"/>
      <w:marLeft w:val="0"/>
      <w:marRight w:val="0"/>
      <w:marTop w:val="0"/>
      <w:marBottom w:val="0"/>
      <w:divBdr>
        <w:top w:val="none" w:sz="0" w:space="0" w:color="auto"/>
        <w:left w:val="none" w:sz="0" w:space="0" w:color="auto"/>
        <w:bottom w:val="none" w:sz="0" w:space="0" w:color="auto"/>
        <w:right w:val="none" w:sz="0" w:space="0" w:color="auto"/>
      </w:divBdr>
    </w:div>
    <w:div w:id="35738493">
      <w:bodyDiv w:val="1"/>
      <w:marLeft w:val="0"/>
      <w:marRight w:val="0"/>
      <w:marTop w:val="0"/>
      <w:marBottom w:val="0"/>
      <w:divBdr>
        <w:top w:val="none" w:sz="0" w:space="0" w:color="auto"/>
        <w:left w:val="none" w:sz="0" w:space="0" w:color="auto"/>
        <w:bottom w:val="none" w:sz="0" w:space="0" w:color="auto"/>
        <w:right w:val="none" w:sz="0" w:space="0" w:color="auto"/>
      </w:divBdr>
      <w:divsChild>
        <w:div w:id="1164054552">
          <w:marLeft w:val="0"/>
          <w:marRight w:val="0"/>
          <w:marTop w:val="0"/>
          <w:marBottom w:val="0"/>
          <w:divBdr>
            <w:top w:val="none" w:sz="0" w:space="0" w:color="auto"/>
            <w:left w:val="none" w:sz="0" w:space="0" w:color="auto"/>
            <w:bottom w:val="none" w:sz="0" w:space="0" w:color="auto"/>
            <w:right w:val="none" w:sz="0" w:space="0" w:color="auto"/>
          </w:divBdr>
          <w:divsChild>
            <w:div w:id="1886602937">
              <w:marLeft w:val="0"/>
              <w:marRight w:val="0"/>
              <w:marTop w:val="0"/>
              <w:marBottom w:val="0"/>
              <w:divBdr>
                <w:top w:val="none" w:sz="0" w:space="0" w:color="auto"/>
                <w:left w:val="none" w:sz="0" w:space="0" w:color="auto"/>
                <w:bottom w:val="none" w:sz="0" w:space="0" w:color="auto"/>
                <w:right w:val="none" w:sz="0" w:space="0" w:color="auto"/>
              </w:divBdr>
              <w:divsChild>
                <w:div w:id="6585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55439">
      <w:bodyDiv w:val="1"/>
      <w:marLeft w:val="0"/>
      <w:marRight w:val="0"/>
      <w:marTop w:val="0"/>
      <w:marBottom w:val="0"/>
      <w:divBdr>
        <w:top w:val="none" w:sz="0" w:space="0" w:color="auto"/>
        <w:left w:val="none" w:sz="0" w:space="0" w:color="auto"/>
        <w:bottom w:val="none" w:sz="0" w:space="0" w:color="auto"/>
        <w:right w:val="none" w:sz="0" w:space="0" w:color="auto"/>
      </w:divBdr>
    </w:div>
    <w:div w:id="71778945">
      <w:bodyDiv w:val="1"/>
      <w:marLeft w:val="0"/>
      <w:marRight w:val="0"/>
      <w:marTop w:val="0"/>
      <w:marBottom w:val="0"/>
      <w:divBdr>
        <w:top w:val="none" w:sz="0" w:space="0" w:color="auto"/>
        <w:left w:val="none" w:sz="0" w:space="0" w:color="auto"/>
        <w:bottom w:val="none" w:sz="0" w:space="0" w:color="auto"/>
        <w:right w:val="none" w:sz="0" w:space="0" w:color="auto"/>
      </w:divBdr>
      <w:divsChild>
        <w:div w:id="812453612">
          <w:marLeft w:val="0"/>
          <w:marRight w:val="0"/>
          <w:marTop w:val="0"/>
          <w:marBottom w:val="0"/>
          <w:divBdr>
            <w:top w:val="none" w:sz="0" w:space="0" w:color="auto"/>
            <w:left w:val="none" w:sz="0" w:space="0" w:color="auto"/>
            <w:bottom w:val="none" w:sz="0" w:space="0" w:color="auto"/>
            <w:right w:val="none" w:sz="0" w:space="0" w:color="auto"/>
          </w:divBdr>
        </w:div>
        <w:div w:id="741296443">
          <w:marLeft w:val="0"/>
          <w:marRight w:val="0"/>
          <w:marTop w:val="0"/>
          <w:marBottom w:val="0"/>
          <w:divBdr>
            <w:top w:val="none" w:sz="0" w:space="0" w:color="auto"/>
            <w:left w:val="none" w:sz="0" w:space="0" w:color="auto"/>
            <w:bottom w:val="none" w:sz="0" w:space="0" w:color="auto"/>
            <w:right w:val="none" w:sz="0" w:space="0" w:color="auto"/>
          </w:divBdr>
        </w:div>
        <w:div w:id="108285999">
          <w:marLeft w:val="0"/>
          <w:marRight w:val="0"/>
          <w:marTop w:val="0"/>
          <w:marBottom w:val="0"/>
          <w:divBdr>
            <w:top w:val="none" w:sz="0" w:space="0" w:color="auto"/>
            <w:left w:val="none" w:sz="0" w:space="0" w:color="auto"/>
            <w:bottom w:val="none" w:sz="0" w:space="0" w:color="auto"/>
            <w:right w:val="none" w:sz="0" w:space="0" w:color="auto"/>
          </w:divBdr>
        </w:div>
        <w:div w:id="741372927">
          <w:marLeft w:val="0"/>
          <w:marRight w:val="0"/>
          <w:marTop w:val="0"/>
          <w:marBottom w:val="0"/>
          <w:divBdr>
            <w:top w:val="none" w:sz="0" w:space="0" w:color="auto"/>
            <w:left w:val="none" w:sz="0" w:space="0" w:color="auto"/>
            <w:bottom w:val="none" w:sz="0" w:space="0" w:color="auto"/>
            <w:right w:val="none" w:sz="0" w:space="0" w:color="auto"/>
          </w:divBdr>
        </w:div>
        <w:div w:id="70005246">
          <w:marLeft w:val="0"/>
          <w:marRight w:val="0"/>
          <w:marTop w:val="0"/>
          <w:marBottom w:val="0"/>
          <w:divBdr>
            <w:top w:val="none" w:sz="0" w:space="0" w:color="auto"/>
            <w:left w:val="none" w:sz="0" w:space="0" w:color="auto"/>
            <w:bottom w:val="none" w:sz="0" w:space="0" w:color="auto"/>
            <w:right w:val="none" w:sz="0" w:space="0" w:color="auto"/>
          </w:divBdr>
        </w:div>
      </w:divsChild>
    </w:div>
    <w:div w:id="78915586">
      <w:bodyDiv w:val="1"/>
      <w:marLeft w:val="0"/>
      <w:marRight w:val="0"/>
      <w:marTop w:val="0"/>
      <w:marBottom w:val="0"/>
      <w:divBdr>
        <w:top w:val="none" w:sz="0" w:space="0" w:color="auto"/>
        <w:left w:val="none" w:sz="0" w:space="0" w:color="auto"/>
        <w:bottom w:val="none" w:sz="0" w:space="0" w:color="auto"/>
        <w:right w:val="none" w:sz="0" w:space="0" w:color="auto"/>
      </w:divBdr>
      <w:divsChild>
        <w:div w:id="1851986408">
          <w:marLeft w:val="0"/>
          <w:marRight w:val="0"/>
          <w:marTop w:val="0"/>
          <w:marBottom w:val="0"/>
          <w:divBdr>
            <w:top w:val="none" w:sz="0" w:space="0" w:color="auto"/>
            <w:left w:val="none" w:sz="0" w:space="0" w:color="auto"/>
            <w:bottom w:val="none" w:sz="0" w:space="0" w:color="auto"/>
            <w:right w:val="none" w:sz="0" w:space="0" w:color="auto"/>
          </w:divBdr>
          <w:divsChild>
            <w:div w:id="825098570">
              <w:marLeft w:val="0"/>
              <w:marRight w:val="0"/>
              <w:marTop w:val="0"/>
              <w:marBottom w:val="0"/>
              <w:divBdr>
                <w:top w:val="none" w:sz="0" w:space="0" w:color="auto"/>
                <w:left w:val="none" w:sz="0" w:space="0" w:color="auto"/>
                <w:bottom w:val="none" w:sz="0" w:space="0" w:color="auto"/>
                <w:right w:val="none" w:sz="0" w:space="0" w:color="auto"/>
              </w:divBdr>
              <w:divsChild>
                <w:div w:id="9130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56735">
      <w:bodyDiv w:val="1"/>
      <w:marLeft w:val="0"/>
      <w:marRight w:val="0"/>
      <w:marTop w:val="0"/>
      <w:marBottom w:val="0"/>
      <w:divBdr>
        <w:top w:val="none" w:sz="0" w:space="0" w:color="auto"/>
        <w:left w:val="none" w:sz="0" w:space="0" w:color="auto"/>
        <w:bottom w:val="none" w:sz="0" w:space="0" w:color="auto"/>
        <w:right w:val="none" w:sz="0" w:space="0" w:color="auto"/>
      </w:divBdr>
      <w:divsChild>
        <w:div w:id="1750274102">
          <w:marLeft w:val="0"/>
          <w:marRight w:val="0"/>
          <w:marTop w:val="0"/>
          <w:marBottom w:val="0"/>
          <w:divBdr>
            <w:top w:val="none" w:sz="0" w:space="0" w:color="auto"/>
            <w:left w:val="none" w:sz="0" w:space="0" w:color="auto"/>
            <w:bottom w:val="none" w:sz="0" w:space="0" w:color="auto"/>
            <w:right w:val="none" w:sz="0" w:space="0" w:color="auto"/>
          </w:divBdr>
          <w:divsChild>
            <w:div w:id="847869092">
              <w:marLeft w:val="0"/>
              <w:marRight w:val="0"/>
              <w:marTop w:val="0"/>
              <w:marBottom w:val="0"/>
              <w:divBdr>
                <w:top w:val="none" w:sz="0" w:space="0" w:color="auto"/>
                <w:left w:val="none" w:sz="0" w:space="0" w:color="auto"/>
                <w:bottom w:val="none" w:sz="0" w:space="0" w:color="auto"/>
                <w:right w:val="none" w:sz="0" w:space="0" w:color="auto"/>
              </w:divBdr>
              <w:divsChild>
                <w:div w:id="82471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55070">
      <w:bodyDiv w:val="1"/>
      <w:marLeft w:val="0"/>
      <w:marRight w:val="0"/>
      <w:marTop w:val="0"/>
      <w:marBottom w:val="0"/>
      <w:divBdr>
        <w:top w:val="none" w:sz="0" w:space="0" w:color="auto"/>
        <w:left w:val="none" w:sz="0" w:space="0" w:color="auto"/>
        <w:bottom w:val="none" w:sz="0" w:space="0" w:color="auto"/>
        <w:right w:val="none" w:sz="0" w:space="0" w:color="auto"/>
      </w:divBdr>
      <w:divsChild>
        <w:div w:id="1260917521">
          <w:marLeft w:val="0"/>
          <w:marRight w:val="0"/>
          <w:marTop w:val="0"/>
          <w:marBottom w:val="0"/>
          <w:divBdr>
            <w:top w:val="none" w:sz="0" w:space="0" w:color="auto"/>
            <w:left w:val="none" w:sz="0" w:space="0" w:color="auto"/>
            <w:bottom w:val="none" w:sz="0" w:space="0" w:color="auto"/>
            <w:right w:val="none" w:sz="0" w:space="0" w:color="auto"/>
          </w:divBdr>
          <w:divsChild>
            <w:div w:id="957250611">
              <w:marLeft w:val="0"/>
              <w:marRight w:val="0"/>
              <w:marTop w:val="0"/>
              <w:marBottom w:val="0"/>
              <w:divBdr>
                <w:top w:val="none" w:sz="0" w:space="0" w:color="auto"/>
                <w:left w:val="none" w:sz="0" w:space="0" w:color="auto"/>
                <w:bottom w:val="none" w:sz="0" w:space="0" w:color="auto"/>
                <w:right w:val="none" w:sz="0" w:space="0" w:color="auto"/>
              </w:divBdr>
              <w:divsChild>
                <w:div w:id="7131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8036">
      <w:bodyDiv w:val="1"/>
      <w:marLeft w:val="0"/>
      <w:marRight w:val="0"/>
      <w:marTop w:val="0"/>
      <w:marBottom w:val="0"/>
      <w:divBdr>
        <w:top w:val="none" w:sz="0" w:space="0" w:color="auto"/>
        <w:left w:val="none" w:sz="0" w:space="0" w:color="auto"/>
        <w:bottom w:val="none" w:sz="0" w:space="0" w:color="auto"/>
        <w:right w:val="none" w:sz="0" w:space="0" w:color="auto"/>
      </w:divBdr>
    </w:div>
    <w:div w:id="102309675">
      <w:bodyDiv w:val="1"/>
      <w:marLeft w:val="0"/>
      <w:marRight w:val="0"/>
      <w:marTop w:val="0"/>
      <w:marBottom w:val="0"/>
      <w:divBdr>
        <w:top w:val="none" w:sz="0" w:space="0" w:color="auto"/>
        <w:left w:val="none" w:sz="0" w:space="0" w:color="auto"/>
        <w:bottom w:val="none" w:sz="0" w:space="0" w:color="auto"/>
        <w:right w:val="none" w:sz="0" w:space="0" w:color="auto"/>
      </w:divBdr>
      <w:divsChild>
        <w:div w:id="1752700996">
          <w:marLeft w:val="0"/>
          <w:marRight w:val="0"/>
          <w:marTop w:val="0"/>
          <w:marBottom w:val="0"/>
          <w:divBdr>
            <w:top w:val="none" w:sz="0" w:space="0" w:color="auto"/>
            <w:left w:val="none" w:sz="0" w:space="0" w:color="auto"/>
            <w:bottom w:val="none" w:sz="0" w:space="0" w:color="auto"/>
            <w:right w:val="none" w:sz="0" w:space="0" w:color="auto"/>
          </w:divBdr>
          <w:divsChild>
            <w:div w:id="1365521698">
              <w:marLeft w:val="0"/>
              <w:marRight w:val="0"/>
              <w:marTop w:val="0"/>
              <w:marBottom w:val="0"/>
              <w:divBdr>
                <w:top w:val="none" w:sz="0" w:space="0" w:color="auto"/>
                <w:left w:val="none" w:sz="0" w:space="0" w:color="auto"/>
                <w:bottom w:val="none" w:sz="0" w:space="0" w:color="auto"/>
                <w:right w:val="none" w:sz="0" w:space="0" w:color="auto"/>
              </w:divBdr>
              <w:divsChild>
                <w:div w:id="1929342939">
                  <w:marLeft w:val="0"/>
                  <w:marRight w:val="0"/>
                  <w:marTop w:val="0"/>
                  <w:marBottom w:val="0"/>
                  <w:divBdr>
                    <w:top w:val="none" w:sz="0" w:space="0" w:color="auto"/>
                    <w:left w:val="none" w:sz="0" w:space="0" w:color="auto"/>
                    <w:bottom w:val="none" w:sz="0" w:space="0" w:color="auto"/>
                    <w:right w:val="none" w:sz="0" w:space="0" w:color="auto"/>
                  </w:divBdr>
                  <w:divsChild>
                    <w:div w:id="19278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79367">
      <w:bodyDiv w:val="1"/>
      <w:marLeft w:val="0"/>
      <w:marRight w:val="0"/>
      <w:marTop w:val="0"/>
      <w:marBottom w:val="0"/>
      <w:divBdr>
        <w:top w:val="none" w:sz="0" w:space="0" w:color="auto"/>
        <w:left w:val="none" w:sz="0" w:space="0" w:color="auto"/>
        <w:bottom w:val="none" w:sz="0" w:space="0" w:color="auto"/>
        <w:right w:val="none" w:sz="0" w:space="0" w:color="auto"/>
      </w:divBdr>
    </w:div>
    <w:div w:id="108398775">
      <w:bodyDiv w:val="1"/>
      <w:marLeft w:val="0"/>
      <w:marRight w:val="0"/>
      <w:marTop w:val="0"/>
      <w:marBottom w:val="0"/>
      <w:divBdr>
        <w:top w:val="none" w:sz="0" w:space="0" w:color="auto"/>
        <w:left w:val="none" w:sz="0" w:space="0" w:color="auto"/>
        <w:bottom w:val="none" w:sz="0" w:space="0" w:color="auto"/>
        <w:right w:val="none" w:sz="0" w:space="0" w:color="auto"/>
      </w:divBdr>
      <w:divsChild>
        <w:div w:id="829251871">
          <w:marLeft w:val="0"/>
          <w:marRight w:val="0"/>
          <w:marTop w:val="0"/>
          <w:marBottom w:val="0"/>
          <w:divBdr>
            <w:top w:val="none" w:sz="0" w:space="0" w:color="auto"/>
            <w:left w:val="none" w:sz="0" w:space="0" w:color="auto"/>
            <w:bottom w:val="none" w:sz="0" w:space="0" w:color="auto"/>
            <w:right w:val="none" w:sz="0" w:space="0" w:color="auto"/>
          </w:divBdr>
          <w:divsChild>
            <w:div w:id="1769108790">
              <w:marLeft w:val="0"/>
              <w:marRight w:val="0"/>
              <w:marTop w:val="0"/>
              <w:marBottom w:val="0"/>
              <w:divBdr>
                <w:top w:val="none" w:sz="0" w:space="0" w:color="auto"/>
                <w:left w:val="none" w:sz="0" w:space="0" w:color="auto"/>
                <w:bottom w:val="none" w:sz="0" w:space="0" w:color="auto"/>
                <w:right w:val="none" w:sz="0" w:space="0" w:color="auto"/>
              </w:divBdr>
              <w:divsChild>
                <w:div w:id="815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3099">
      <w:bodyDiv w:val="1"/>
      <w:marLeft w:val="0"/>
      <w:marRight w:val="0"/>
      <w:marTop w:val="0"/>
      <w:marBottom w:val="0"/>
      <w:divBdr>
        <w:top w:val="none" w:sz="0" w:space="0" w:color="auto"/>
        <w:left w:val="none" w:sz="0" w:space="0" w:color="auto"/>
        <w:bottom w:val="none" w:sz="0" w:space="0" w:color="auto"/>
        <w:right w:val="none" w:sz="0" w:space="0" w:color="auto"/>
      </w:divBdr>
      <w:divsChild>
        <w:div w:id="1858957603">
          <w:marLeft w:val="0"/>
          <w:marRight w:val="0"/>
          <w:marTop w:val="0"/>
          <w:marBottom w:val="0"/>
          <w:divBdr>
            <w:top w:val="none" w:sz="0" w:space="0" w:color="auto"/>
            <w:left w:val="none" w:sz="0" w:space="0" w:color="auto"/>
            <w:bottom w:val="none" w:sz="0" w:space="0" w:color="auto"/>
            <w:right w:val="none" w:sz="0" w:space="0" w:color="auto"/>
          </w:divBdr>
          <w:divsChild>
            <w:div w:id="1538851930">
              <w:marLeft w:val="0"/>
              <w:marRight w:val="0"/>
              <w:marTop w:val="0"/>
              <w:marBottom w:val="0"/>
              <w:divBdr>
                <w:top w:val="none" w:sz="0" w:space="0" w:color="auto"/>
                <w:left w:val="none" w:sz="0" w:space="0" w:color="auto"/>
                <w:bottom w:val="none" w:sz="0" w:space="0" w:color="auto"/>
                <w:right w:val="none" w:sz="0" w:space="0" w:color="auto"/>
              </w:divBdr>
              <w:divsChild>
                <w:div w:id="6010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0541">
      <w:bodyDiv w:val="1"/>
      <w:marLeft w:val="0"/>
      <w:marRight w:val="0"/>
      <w:marTop w:val="0"/>
      <w:marBottom w:val="0"/>
      <w:divBdr>
        <w:top w:val="none" w:sz="0" w:space="0" w:color="auto"/>
        <w:left w:val="none" w:sz="0" w:space="0" w:color="auto"/>
        <w:bottom w:val="none" w:sz="0" w:space="0" w:color="auto"/>
        <w:right w:val="none" w:sz="0" w:space="0" w:color="auto"/>
      </w:divBdr>
    </w:div>
    <w:div w:id="123164575">
      <w:bodyDiv w:val="1"/>
      <w:marLeft w:val="0"/>
      <w:marRight w:val="0"/>
      <w:marTop w:val="0"/>
      <w:marBottom w:val="0"/>
      <w:divBdr>
        <w:top w:val="none" w:sz="0" w:space="0" w:color="auto"/>
        <w:left w:val="none" w:sz="0" w:space="0" w:color="auto"/>
        <w:bottom w:val="none" w:sz="0" w:space="0" w:color="auto"/>
        <w:right w:val="none" w:sz="0" w:space="0" w:color="auto"/>
      </w:divBdr>
      <w:divsChild>
        <w:div w:id="1737705060">
          <w:marLeft w:val="0"/>
          <w:marRight w:val="0"/>
          <w:marTop w:val="0"/>
          <w:marBottom w:val="0"/>
          <w:divBdr>
            <w:top w:val="none" w:sz="0" w:space="0" w:color="auto"/>
            <w:left w:val="none" w:sz="0" w:space="0" w:color="auto"/>
            <w:bottom w:val="none" w:sz="0" w:space="0" w:color="auto"/>
            <w:right w:val="none" w:sz="0" w:space="0" w:color="auto"/>
          </w:divBdr>
          <w:divsChild>
            <w:div w:id="1844315666">
              <w:marLeft w:val="0"/>
              <w:marRight w:val="0"/>
              <w:marTop w:val="0"/>
              <w:marBottom w:val="0"/>
              <w:divBdr>
                <w:top w:val="none" w:sz="0" w:space="0" w:color="auto"/>
                <w:left w:val="none" w:sz="0" w:space="0" w:color="auto"/>
                <w:bottom w:val="none" w:sz="0" w:space="0" w:color="auto"/>
                <w:right w:val="none" w:sz="0" w:space="0" w:color="auto"/>
              </w:divBdr>
              <w:divsChild>
                <w:div w:id="191616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09576">
      <w:bodyDiv w:val="1"/>
      <w:marLeft w:val="0"/>
      <w:marRight w:val="0"/>
      <w:marTop w:val="0"/>
      <w:marBottom w:val="0"/>
      <w:divBdr>
        <w:top w:val="none" w:sz="0" w:space="0" w:color="auto"/>
        <w:left w:val="none" w:sz="0" w:space="0" w:color="auto"/>
        <w:bottom w:val="none" w:sz="0" w:space="0" w:color="auto"/>
        <w:right w:val="none" w:sz="0" w:space="0" w:color="auto"/>
      </w:divBdr>
      <w:divsChild>
        <w:div w:id="776949749">
          <w:marLeft w:val="0"/>
          <w:marRight w:val="0"/>
          <w:marTop w:val="0"/>
          <w:marBottom w:val="0"/>
          <w:divBdr>
            <w:top w:val="none" w:sz="0" w:space="0" w:color="auto"/>
            <w:left w:val="none" w:sz="0" w:space="0" w:color="auto"/>
            <w:bottom w:val="none" w:sz="0" w:space="0" w:color="auto"/>
            <w:right w:val="none" w:sz="0" w:space="0" w:color="auto"/>
          </w:divBdr>
          <w:divsChild>
            <w:div w:id="821241269">
              <w:marLeft w:val="0"/>
              <w:marRight w:val="0"/>
              <w:marTop w:val="0"/>
              <w:marBottom w:val="0"/>
              <w:divBdr>
                <w:top w:val="none" w:sz="0" w:space="0" w:color="auto"/>
                <w:left w:val="none" w:sz="0" w:space="0" w:color="auto"/>
                <w:bottom w:val="none" w:sz="0" w:space="0" w:color="auto"/>
                <w:right w:val="none" w:sz="0" w:space="0" w:color="auto"/>
              </w:divBdr>
              <w:divsChild>
                <w:div w:id="65406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4372">
      <w:bodyDiv w:val="1"/>
      <w:marLeft w:val="0"/>
      <w:marRight w:val="0"/>
      <w:marTop w:val="0"/>
      <w:marBottom w:val="0"/>
      <w:divBdr>
        <w:top w:val="none" w:sz="0" w:space="0" w:color="auto"/>
        <w:left w:val="none" w:sz="0" w:space="0" w:color="auto"/>
        <w:bottom w:val="none" w:sz="0" w:space="0" w:color="auto"/>
        <w:right w:val="none" w:sz="0" w:space="0" w:color="auto"/>
      </w:divBdr>
      <w:divsChild>
        <w:div w:id="1759055449">
          <w:marLeft w:val="0"/>
          <w:marRight w:val="0"/>
          <w:marTop w:val="0"/>
          <w:marBottom w:val="0"/>
          <w:divBdr>
            <w:top w:val="none" w:sz="0" w:space="0" w:color="auto"/>
            <w:left w:val="none" w:sz="0" w:space="0" w:color="auto"/>
            <w:bottom w:val="none" w:sz="0" w:space="0" w:color="auto"/>
            <w:right w:val="none" w:sz="0" w:space="0" w:color="auto"/>
          </w:divBdr>
          <w:divsChild>
            <w:div w:id="1626885648">
              <w:marLeft w:val="0"/>
              <w:marRight w:val="0"/>
              <w:marTop w:val="0"/>
              <w:marBottom w:val="0"/>
              <w:divBdr>
                <w:top w:val="none" w:sz="0" w:space="0" w:color="auto"/>
                <w:left w:val="none" w:sz="0" w:space="0" w:color="auto"/>
                <w:bottom w:val="none" w:sz="0" w:space="0" w:color="auto"/>
                <w:right w:val="none" w:sz="0" w:space="0" w:color="auto"/>
              </w:divBdr>
              <w:divsChild>
                <w:div w:id="89813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5374">
      <w:bodyDiv w:val="1"/>
      <w:marLeft w:val="0"/>
      <w:marRight w:val="0"/>
      <w:marTop w:val="0"/>
      <w:marBottom w:val="0"/>
      <w:divBdr>
        <w:top w:val="none" w:sz="0" w:space="0" w:color="auto"/>
        <w:left w:val="none" w:sz="0" w:space="0" w:color="auto"/>
        <w:bottom w:val="none" w:sz="0" w:space="0" w:color="auto"/>
        <w:right w:val="none" w:sz="0" w:space="0" w:color="auto"/>
      </w:divBdr>
      <w:divsChild>
        <w:div w:id="430512527">
          <w:marLeft w:val="0"/>
          <w:marRight w:val="0"/>
          <w:marTop w:val="0"/>
          <w:marBottom w:val="0"/>
          <w:divBdr>
            <w:top w:val="none" w:sz="0" w:space="0" w:color="auto"/>
            <w:left w:val="none" w:sz="0" w:space="0" w:color="auto"/>
            <w:bottom w:val="none" w:sz="0" w:space="0" w:color="auto"/>
            <w:right w:val="none" w:sz="0" w:space="0" w:color="auto"/>
          </w:divBdr>
          <w:divsChild>
            <w:div w:id="1842112620">
              <w:marLeft w:val="0"/>
              <w:marRight w:val="0"/>
              <w:marTop w:val="0"/>
              <w:marBottom w:val="0"/>
              <w:divBdr>
                <w:top w:val="none" w:sz="0" w:space="0" w:color="auto"/>
                <w:left w:val="none" w:sz="0" w:space="0" w:color="auto"/>
                <w:bottom w:val="none" w:sz="0" w:space="0" w:color="auto"/>
                <w:right w:val="none" w:sz="0" w:space="0" w:color="auto"/>
              </w:divBdr>
              <w:divsChild>
                <w:div w:id="9977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61441">
      <w:bodyDiv w:val="1"/>
      <w:marLeft w:val="0"/>
      <w:marRight w:val="0"/>
      <w:marTop w:val="0"/>
      <w:marBottom w:val="0"/>
      <w:divBdr>
        <w:top w:val="none" w:sz="0" w:space="0" w:color="auto"/>
        <w:left w:val="none" w:sz="0" w:space="0" w:color="auto"/>
        <w:bottom w:val="none" w:sz="0" w:space="0" w:color="auto"/>
        <w:right w:val="none" w:sz="0" w:space="0" w:color="auto"/>
      </w:divBdr>
    </w:div>
    <w:div w:id="168107716">
      <w:bodyDiv w:val="1"/>
      <w:marLeft w:val="0"/>
      <w:marRight w:val="0"/>
      <w:marTop w:val="0"/>
      <w:marBottom w:val="0"/>
      <w:divBdr>
        <w:top w:val="none" w:sz="0" w:space="0" w:color="auto"/>
        <w:left w:val="none" w:sz="0" w:space="0" w:color="auto"/>
        <w:bottom w:val="none" w:sz="0" w:space="0" w:color="auto"/>
        <w:right w:val="none" w:sz="0" w:space="0" w:color="auto"/>
      </w:divBdr>
    </w:div>
    <w:div w:id="186066040">
      <w:bodyDiv w:val="1"/>
      <w:marLeft w:val="0"/>
      <w:marRight w:val="0"/>
      <w:marTop w:val="0"/>
      <w:marBottom w:val="0"/>
      <w:divBdr>
        <w:top w:val="none" w:sz="0" w:space="0" w:color="auto"/>
        <w:left w:val="none" w:sz="0" w:space="0" w:color="auto"/>
        <w:bottom w:val="none" w:sz="0" w:space="0" w:color="auto"/>
        <w:right w:val="none" w:sz="0" w:space="0" w:color="auto"/>
      </w:divBdr>
    </w:div>
    <w:div w:id="191501440">
      <w:bodyDiv w:val="1"/>
      <w:marLeft w:val="0"/>
      <w:marRight w:val="0"/>
      <w:marTop w:val="0"/>
      <w:marBottom w:val="0"/>
      <w:divBdr>
        <w:top w:val="none" w:sz="0" w:space="0" w:color="auto"/>
        <w:left w:val="none" w:sz="0" w:space="0" w:color="auto"/>
        <w:bottom w:val="none" w:sz="0" w:space="0" w:color="auto"/>
        <w:right w:val="none" w:sz="0" w:space="0" w:color="auto"/>
      </w:divBdr>
    </w:div>
    <w:div w:id="203948575">
      <w:bodyDiv w:val="1"/>
      <w:marLeft w:val="0"/>
      <w:marRight w:val="0"/>
      <w:marTop w:val="0"/>
      <w:marBottom w:val="0"/>
      <w:divBdr>
        <w:top w:val="none" w:sz="0" w:space="0" w:color="auto"/>
        <w:left w:val="none" w:sz="0" w:space="0" w:color="auto"/>
        <w:bottom w:val="none" w:sz="0" w:space="0" w:color="auto"/>
        <w:right w:val="none" w:sz="0" w:space="0" w:color="auto"/>
      </w:divBdr>
      <w:divsChild>
        <w:div w:id="769201587">
          <w:marLeft w:val="0"/>
          <w:marRight w:val="0"/>
          <w:marTop w:val="0"/>
          <w:marBottom w:val="0"/>
          <w:divBdr>
            <w:top w:val="none" w:sz="0" w:space="0" w:color="auto"/>
            <w:left w:val="none" w:sz="0" w:space="0" w:color="auto"/>
            <w:bottom w:val="none" w:sz="0" w:space="0" w:color="auto"/>
            <w:right w:val="none" w:sz="0" w:space="0" w:color="auto"/>
          </w:divBdr>
          <w:divsChild>
            <w:div w:id="602688181">
              <w:marLeft w:val="0"/>
              <w:marRight w:val="0"/>
              <w:marTop w:val="0"/>
              <w:marBottom w:val="0"/>
              <w:divBdr>
                <w:top w:val="none" w:sz="0" w:space="0" w:color="auto"/>
                <w:left w:val="none" w:sz="0" w:space="0" w:color="auto"/>
                <w:bottom w:val="none" w:sz="0" w:space="0" w:color="auto"/>
                <w:right w:val="none" w:sz="0" w:space="0" w:color="auto"/>
              </w:divBdr>
              <w:divsChild>
                <w:div w:id="147849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518219">
      <w:bodyDiv w:val="1"/>
      <w:marLeft w:val="0"/>
      <w:marRight w:val="0"/>
      <w:marTop w:val="0"/>
      <w:marBottom w:val="0"/>
      <w:divBdr>
        <w:top w:val="none" w:sz="0" w:space="0" w:color="auto"/>
        <w:left w:val="none" w:sz="0" w:space="0" w:color="auto"/>
        <w:bottom w:val="none" w:sz="0" w:space="0" w:color="auto"/>
        <w:right w:val="none" w:sz="0" w:space="0" w:color="auto"/>
      </w:divBdr>
      <w:divsChild>
        <w:div w:id="1971208227">
          <w:marLeft w:val="0"/>
          <w:marRight w:val="0"/>
          <w:marTop w:val="0"/>
          <w:marBottom w:val="0"/>
          <w:divBdr>
            <w:top w:val="none" w:sz="0" w:space="0" w:color="auto"/>
            <w:left w:val="none" w:sz="0" w:space="0" w:color="auto"/>
            <w:bottom w:val="none" w:sz="0" w:space="0" w:color="auto"/>
            <w:right w:val="none" w:sz="0" w:space="0" w:color="auto"/>
          </w:divBdr>
          <w:divsChild>
            <w:div w:id="954286805">
              <w:marLeft w:val="0"/>
              <w:marRight w:val="0"/>
              <w:marTop w:val="0"/>
              <w:marBottom w:val="0"/>
              <w:divBdr>
                <w:top w:val="none" w:sz="0" w:space="0" w:color="auto"/>
                <w:left w:val="none" w:sz="0" w:space="0" w:color="auto"/>
                <w:bottom w:val="none" w:sz="0" w:space="0" w:color="auto"/>
                <w:right w:val="none" w:sz="0" w:space="0" w:color="auto"/>
              </w:divBdr>
              <w:divsChild>
                <w:div w:id="20906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132512">
      <w:bodyDiv w:val="1"/>
      <w:marLeft w:val="0"/>
      <w:marRight w:val="0"/>
      <w:marTop w:val="0"/>
      <w:marBottom w:val="0"/>
      <w:divBdr>
        <w:top w:val="none" w:sz="0" w:space="0" w:color="auto"/>
        <w:left w:val="none" w:sz="0" w:space="0" w:color="auto"/>
        <w:bottom w:val="none" w:sz="0" w:space="0" w:color="auto"/>
        <w:right w:val="none" w:sz="0" w:space="0" w:color="auto"/>
      </w:divBdr>
      <w:divsChild>
        <w:div w:id="1191651608">
          <w:marLeft w:val="0"/>
          <w:marRight w:val="0"/>
          <w:marTop w:val="0"/>
          <w:marBottom w:val="0"/>
          <w:divBdr>
            <w:top w:val="none" w:sz="0" w:space="0" w:color="auto"/>
            <w:left w:val="none" w:sz="0" w:space="0" w:color="auto"/>
            <w:bottom w:val="none" w:sz="0" w:space="0" w:color="auto"/>
            <w:right w:val="none" w:sz="0" w:space="0" w:color="auto"/>
          </w:divBdr>
          <w:divsChild>
            <w:div w:id="761531661">
              <w:marLeft w:val="0"/>
              <w:marRight w:val="0"/>
              <w:marTop w:val="0"/>
              <w:marBottom w:val="0"/>
              <w:divBdr>
                <w:top w:val="none" w:sz="0" w:space="0" w:color="auto"/>
                <w:left w:val="none" w:sz="0" w:space="0" w:color="auto"/>
                <w:bottom w:val="none" w:sz="0" w:space="0" w:color="auto"/>
                <w:right w:val="none" w:sz="0" w:space="0" w:color="auto"/>
              </w:divBdr>
              <w:divsChild>
                <w:div w:id="15172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072">
      <w:bodyDiv w:val="1"/>
      <w:marLeft w:val="0"/>
      <w:marRight w:val="0"/>
      <w:marTop w:val="0"/>
      <w:marBottom w:val="0"/>
      <w:divBdr>
        <w:top w:val="none" w:sz="0" w:space="0" w:color="auto"/>
        <w:left w:val="none" w:sz="0" w:space="0" w:color="auto"/>
        <w:bottom w:val="none" w:sz="0" w:space="0" w:color="auto"/>
        <w:right w:val="none" w:sz="0" w:space="0" w:color="auto"/>
      </w:divBdr>
      <w:divsChild>
        <w:div w:id="810487713">
          <w:marLeft w:val="0"/>
          <w:marRight w:val="0"/>
          <w:marTop w:val="0"/>
          <w:marBottom w:val="0"/>
          <w:divBdr>
            <w:top w:val="none" w:sz="0" w:space="0" w:color="auto"/>
            <w:left w:val="none" w:sz="0" w:space="0" w:color="auto"/>
            <w:bottom w:val="none" w:sz="0" w:space="0" w:color="auto"/>
            <w:right w:val="none" w:sz="0" w:space="0" w:color="auto"/>
          </w:divBdr>
          <w:divsChild>
            <w:div w:id="2147238951">
              <w:marLeft w:val="0"/>
              <w:marRight w:val="0"/>
              <w:marTop w:val="0"/>
              <w:marBottom w:val="0"/>
              <w:divBdr>
                <w:top w:val="none" w:sz="0" w:space="0" w:color="auto"/>
                <w:left w:val="none" w:sz="0" w:space="0" w:color="auto"/>
                <w:bottom w:val="none" w:sz="0" w:space="0" w:color="auto"/>
                <w:right w:val="none" w:sz="0" w:space="0" w:color="auto"/>
              </w:divBdr>
              <w:divsChild>
                <w:div w:id="15474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90439">
      <w:bodyDiv w:val="1"/>
      <w:marLeft w:val="0"/>
      <w:marRight w:val="0"/>
      <w:marTop w:val="0"/>
      <w:marBottom w:val="0"/>
      <w:divBdr>
        <w:top w:val="none" w:sz="0" w:space="0" w:color="auto"/>
        <w:left w:val="none" w:sz="0" w:space="0" w:color="auto"/>
        <w:bottom w:val="none" w:sz="0" w:space="0" w:color="auto"/>
        <w:right w:val="none" w:sz="0" w:space="0" w:color="auto"/>
      </w:divBdr>
      <w:divsChild>
        <w:div w:id="2029717952">
          <w:marLeft w:val="0"/>
          <w:marRight w:val="0"/>
          <w:marTop w:val="0"/>
          <w:marBottom w:val="0"/>
          <w:divBdr>
            <w:top w:val="none" w:sz="0" w:space="0" w:color="auto"/>
            <w:left w:val="none" w:sz="0" w:space="0" w:color="auto"/>
            <w:bottom w:val="none" w:sz="0" w:space="0" w:color="auto"/>
            <w:right w:val="none" w:sz="0" w:space="0" w:color="auto"/>
          </w:divBdr>
          <w:divsChild>
            <w:div w:id="1574579640">
              <w:marLeft w:val="0"/>
              <w:marRight w:val="0"/>
              <w:marTop w:val="0"/>
              <w:marBottom w:val="0"/>
              <w:divBdr>
                <w:top w:val="none" w:sz="0" w:space="0" w:color="auto"/>
                <w:left w:val="none" w:sz="0" w:space="0" w:color="auto"/>
                <w:bottom w:val="none" w:sz="0" w:space="0" w:color="auto"/>
                <w:right w:val="none" w:sz="0" w:space="0" w:color="auto"/>
              </w:divBdr>
              <w:divsChild>
                <w:div w:id="49973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325596">
      <w:bodyDiv w:val="1"/>
      <w:marLeft w:val="0"/>
      <w:marRight w:val="0"/>
      <w:marTop w:val="0"/>
      <w:marBottom w:val="0"/>
      <w:divBdr>
        <w:top w:val="none" w:sz="0" w:space="0" w:color="auto"/>
        <w:left w:val="none" w:sz="0" w:space="0" w:color="auto"/>
        <w:bottom w:val="none" w:sz="0" w:space="0" w:color="auto"/>
        <w:right w:val="none" w:sz="0" w:space="0" w:color="auto"/>
      </w:divBdr>
    </w:div>
    <w:div w:id="253974474">
      <w:bodyDiv w:val="1"/>
      <w:marLeft w:val="0"/>
      <w:marRight w:val="0"/>
      <w:marTop w:val="0"/>
      <w:marBottom w:val="0"/>
      <w:divBdr>
        <w:top w:val="none" w:sz="0" w:space="0" w:color="auto"/>
        <w:left w:val="none" w:sz="0" w:space="0" w:color="auto"/>
        <w:bottom w:val="none" w:sz="0" w:space="0" w:color="auto"/>
        <w:right w:val="none" w:sz="0" w:space="0" w:color="auto"/>
      </w:divBdr>
      <w:divsChild>
        <w:div w:id="2050715479">
          <w:marLeft w:val="0"/>
          <w:marRight w:val="0"/>
          <w:marTop w:val="0"/>
          <w:marBottom w:val="0"/>
          <w:divBdr>
            <w:top w:val="none" w:sz="0" w:space="0" w:color="auto"/>
            <w:left w:val="none" w:sz="0" w:space="0" w:color="auto"/>
            <w:bottom w:val="none" w:sz="0" w:space="0" w:color="auto"/>
            <w:right w:val="none" w:sz="0" w:space="0" w:color="auto"/>
          </w:divBdr>
          <w:divsChild>
            <w:div w:id="1642079778">
              <w:marLeft w:val="0"/>
              <w:marRight w:val="0"/>
              <w:marTop w:val="0"/>
              <w:marBottom w:val="0"/>
              <w:divBdr>
                <w:top w:val="none" w:sz="0" w:space="0" w:color="auto"/>
                <w:left w:val="none" w:sz="0" w:space="0" w:color="auto"/>
                <w:bottom w:val="none" w:sz="0" w:space="0" w:color="auto"/>
                <w:right w:val="none" w:sz="0" w:space="0" w:color="auto"/>
              </w:divBdr>
              <w:divsChild>
                <w:div w:id="178337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257775">
      <w:bodyDiv w:val="1"/>
      <w:marLeft w:val="0"/>
      <w:marRight w:val="0"/>
      <w:marTop w:val="0"/>
      <w:marBottom w:val="0"/>
      <w:divBdr>
        <w:top w:val="none" w:sz="0" w:space="0" w:color="auto"/>
        <w:left w:val="none" w:sz="0" w:space="0" w:color="auto"/>
        <w:bottom w:val="none" w:sz="0" w:space="0" w:color="auto"/>
        <w:right w:val="none" w:sz="0" w:space="0" w:color="auto"/>
      </w:divBdr>
      <w:divsChild>
        <w:div w:id="2047637162">
          <w:marLeft w:val="0"/>
          <w:marRight w:val="0"/>
          <w:marTop w:val="0"/>
          <w:marBottom w:val="0"/>
          <w:divBdr>
            <w:top w:val="none" w:sz="0" w:space="0" w:color="auto"/>
            <w:left w:val="none" w:sz="0" w:space="0" w:color="auto"/>
            <w:bottom w:val="none" w:sz="0" w:space="0" w:color="auto"/>
            <w:right w:val="none" w:sz="0" w:space="0" w:color="auto"/>
          </w:divBdr>
          <w:divsChild>
            <w:div w:id="1017999301">
              <w:marLeft w:val="0"/>
              <w:marRight w:val="0"/>
              <w:marTop w:val="0"/>
              <w:marBottom w:val="0"/>
              <w:divBdr>
                <w:top w:val="none" w:sz="0" w:space="0" w:color="auto"/>
                <w:left w:val="none" w:sz="0" w:space="0" w:color="auto"/>
                <w:bottom w:val="none" w:sz="0" w:space="0" w:color="auto"/>
                <w:right w:val="none" w:sz="0" w:space="0" w:color="auto"/>
              </w:divBdr>
              <w:divsChild>
                <w:div w:id="18464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9067">
      <w:bodyDiv w:val="1"/>
      <w:marLeft w:val="0"/>
      <w:marRight w:val="0"/>
      <w:marTop w:val="0"/>
      <w:marBottom w:val="0"/>
      <w:divBdr>
        <w:top w:val="none" w:sz="0" w:space="0" w:color="auto"/>
        <w:left w:val="none" w:sz="0" w:space="0" w:color="auto"/>
        <w:bottom w:val="none" w:sz="0" w:space="0" w:color="auto"/>
        <w:right w:val="none" w:sz="0" w:space="0" w:color="auto"/>
      </w:divBdr>
    </w:div>
    <w:div w:id="265381355">
      <w:bodyDiv w:val="1"/>
      <w:marLeft w:val="0"/>
      <w:marRight w:val="0"/>
      <w:marTop w:val="0"/>
      <w:marBottom w:val="0"/>
      <w:divBdr>
        <w:top w:val="none" w:sz="0" w:space="0" w:color="auto"/>
        <w:left w:val="none" w:sz="0" w:space="0" w:color="auto"/>
        <w:bottom w:val="none" w:sz="0" w:space="0" w:color="auto"/>
        <w:right w:val="none" w:sz="0" w:space="0" w:color="auto"/>
      </w:divBdr>
      <w:divsChild>
        <w:div w:id="1317032422">
          <w:marLeft w:val="0"/>
          <w:marRight w:val="0"/>
          <w:marTop w:val="0"/>
          <w:marBottom w:val="0"/>
          <w:divBdr>
            <w:top w:val="none" w:sz="0" w:space="0" w:color="auto"/>
            <w:left w:val="none" w:sz="0" w:space="0" w:color="auto"/>
            <w:bottom w:val="none" w:sz="0" w:space="0" w:color="auto"/>
            <w:right w:val="none" w:sz="0" w:space="0" w:color="auto"/>
          </w:divBdr>
          <w:divsChild>
            <w:div w:id="2129202332">
              <w:marLeft w:val="0"/>
              <w:marRight w:val="0"/>
              <w:marTop w:val="0"/>
              <w:marBottom w:val="0"/>
              <w:divBdr>
                <w:top w:val="none" w:sz="0" w:space="0" w:color="auto"/>
                <w:left w:val="none" w:sz="0" w:space="0" w:color="auto"/>
                <w:bottom w:val="none" w:sz="0" w:space="0" w:color="auto"/>
                <w:right w:val="none" w:sz="0" w:space="0" w:color="auto"/>
              </w:divBdr>
              <w:divsChild>
                <w:div w:id="13376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77119">
      <w:bodyDiv w:val="1"/>
      <w:marLeft w:val="0"/>
      <w:marRight w:val="0"/>
      <w:marTop w:val="0"/>
      <w:marBottom w:val="0"/>
      <w:divBdr>
        <w:top w:val="none" w:sz="0" w:space="0" w:color="auto"/>
        <w:left w:val="none" w:sz="0" w:space="0" w:color="auto"/>
        <w:bottom w:val="none" w:sz="0" w:space="0" w:color="auto"/>
        <w:right w:val="none" w:sz="0" w:space="0" w:color="auto"/>
      </w:divBdr>
    </w:div>
    <w:div w:id="305280774">
      <w:bodyDiv w:val="1"/>
      <w:marLeft w:val="0"/>
      <w:marRight w:val="0"/>
      <w:marTop w:val="0"/>
      <w:marBottom w:val="0"/>
      <w:divBdr>
        <w:top w:val="none" w:sz="0" w:space="0" w:color="auto"/>
        <w:left w:val="none" w:sz="0" w:space="0" w:color="auto"/>
        <w:bottom w:val="none" w:sz="0" w:space="0" w:color="auto"/>
        <w:right w:val="none" w:sz="0" w:space="0" w:color="auto"/>
      </w:divBdr>
      <w:divsChild>
        <w:div w:id="1728725937">
          <w:marLeft w:val="0"/>
          <w:marRight w:val="0"/>
          <w:marTop w:val="0"/>
          <w:marBottom w:val="0"/>
          <w:divBdr>
            <w:top w:val="none" w:sz="0" w:space="0" w:color="auto"/>
            <w:left w:val="none" w:sz="0" w:space="0" w:color="auto"/>
            <w:bottom w:val="none" w:sz="0" w:space="0" w:color="auto"/>
            <w:right w:val="none" w:sz="0" w:space="0" w:color="auto"/>
          </w:divBdr>
          <w:divsChild>
            <w:div w:id="362023406">
              <w:marLeft w:val="0"/>
              <w:marRight w:val="0"/>
              <w:marTop w:val="0"/>
              <w:marBottom w:val="0"/>
              <w:divBdr>
                <w:top w:val="none" w:sz="0" w:space="0" w:color="auto"/>
                <w:left w:val="none" w:sz="0" w:space="0" w:color="auto"/>
                <w:bottom w:val="none" w:sz="0" w:space="0" w:color="auto"/>
                <w:right w:val="none" w:sz="0" w:space="0" w:color="auto"/>
              </w:divBdr>
            </w:div>
            <w:div w:id="2090736298">
              <w:marLeft w:val="0"/>
              <w:marRight w:val="0"/>
              <w:marTop w:val="0"/>
              <w:marBottom w:val="0"/>
              <w:divBdr>
                <w:top w:val="none" w:sz="0" w:space="0" w:color="auto"/>
                <w:left w:val="none" w:sz="0" w:space="0" w:color="auto"/>
                <w:bottom w:val="none" w:sz="0" w:space="0" w:color="auto"/>
                <w:right w:val="none" w:sz="0" w:space="0" w:color="auto"/>
              </w:divBdr>
            </w:div>
            <w:div w:id="410784776">
              <w:marLeft w:val="0"/>
              <w:marRight w:val="0"/>
              <w:marTop w:val="0"/>
              <w:marBottom w:val="0"/>
              <w:divBdr>
                <w:top w:val="none" w:sz="0" w:space="0" w:color="auto"/>
                <w:left w:val="none" w:sz="0" w:space="0" w:color="auto"/>
                <w:bottom w:val="none" w:sz="0" w:space="0" w:color="auto"/>
                <w:right w:val="none" w:sz="0" w:space="0" w:color="auto"/>
              </w:divBdr>
            </w:div>
            <w:div w:id="1056005770">
              <w:marLeft w:val="0"/>
              <w:marRight w:val="0"/>
              <w:marTop w:val="0"/>
              <w:marBottom w:val="0"/>
              <w:divBdr>
                <w:top w:val="none" w:sz="0" w:space="0" w:color="auto"/>
                <w:left w:val="none" w:sz="0" w:space="0" w:color="auto"/>
                <w:bottom w:val="none" w:sz="0" w:space="0" w:color="auto"/>
                <w:right w:val="none" w:sz="0" w:space="0" w:color="auto"/>
              </w:divBdr>
            </w:div>
          </w:divsChild>
        </w:div>
        <w:div w:id="2118214646">
          <w:marLeft w:val="0"/>
          <w:marRight w:val="0"/>
          <w:marTop w:val="0"/>
          <w:marBottom w:val="0"/>
          <w:divBdr>
            <w:top w:val="none" w:sz="0" w:space="0" w:color="auto"/>
            <w:left w:val="none" w:sz="0" w:space="0" w:color="auto"/>
            <w:bottom w:val="none" w:sz="0" w:space="0" w:color="auto"/>
            <w:right w:val="none" w:sz="0" w:space="0" w:color="auto"/>
          </w:divBdr>
          <w:divsChild>
            <w:div w:id="770860536">
              <w:marLeft w:val="0"/>
              <w:marRight w:val="0"/>
              <w:marTop w:val="0"/>
              <w:marBottom w:val="0"/>
              <w:divBdr>
                <w:top w:val="none" w:sz="0" w:space="0" w:color="auto"/>
                <w:left w:val="none" w:sz="0" w:space="0" w:color="auto"/>
                <w:bottom w:val="none" w:sz="0" w:space="0" w:color="auto"/>
                <w:right w:val="none" w:sz="0" w:space="0" w:color="auto"/>
              </w:divBdr>
            </w:div>
            <w:div w:id="194314358">
              <w:marLeft w:val="0"/>
              <w:marRight w:val="0"/>
              <w:marTop w:val="0"/>
              <w:marBottom w:val="0"/>
              <w:divBdr>
                <w:top w:val="none" w:sz="0" w:space="0" w:color="auto"/>
                <w:left w:val="none" w:sz="0" w:space="0" w:color="auto"/>
                <w:bottom w:val="none" w:sz="0" w:space="0" w:color="auto"/>
                <w:right w:val="none" w:sz="0" w:space="0" w:color="auto"/>
              </w:divBdr>
            </w:div>
            <w:div w:id="936408857">
              <w:marLeft w:val="0"/>
              <w:marRight w:val="0"/>
              <w:marTop w:val="0"/>
              <w:marBottom w:val="0"/>
              <w:divBdr>
                <w:top w:val="none" w:sz="0" w:space="0" w:color="auto"/>
                <w:left w:val="none" w:sz="0" w:space="0" w:color="auto"/>
                <w:bottom w:val="none" w:sz="0" w:space="0" w:color="auto"/>
                <w:right w:val="none" w:sz="0" w:space="0" w:color="auto"/>
              </w:divBdr>
            </w:div>
            <w:div w:id="319044145">
              <w:marLeft w:val="0"/>
              <w:marRight w:val="0"/>
              <w:marTop w:val="0"/>
              <w:marBottom w:val="0"/>
              <w:divBdr>
                <w:top w:val="none" w:sz="0" w:space="0" w:color="auto"/>
                <w:left w:val="none" w:sz="0" w:space="0" w:color="auto"/>
                <w:bottom w:val="none" w:sz="0" w:space="0" w:color="auto"/>
                <w:right w:val="none" w:sz="0" w:space="0" w:color="auto"/>
              </w:divBdr>
            </w:div>
            <w:div w:id="143590710">
              <w:marLeft w:val="0"/>
              <w:marRight w:val="0"/>
              <w:marTop w:val="0"/>
              <w:marBottom w:val="0"/>
              <w:divBdr>
                <w:top w:val="none" w:sz="0" w:space="0" w:color="auto"/>
                <w:left w:val="none" w:sz="0" w:space="0" w:color="auto"/>
                <w:bottom w:val="none" w:sz="0" w:space="0" w:color="auto"/>
                <w:right w:val="none" w:sz="0" w:space="0" w:color="auto"/>
              </w:divBdr>
            </w:div>
          </w:divsChild>
        </w:div>
        <w:div w:id="107700758">
          <w:marLeft w:val="0"/>
          <w:marRight w:val="0"/>
          <w:marTop w:val="0"/>
          <w:marBottom w:val="0"/>
          <w:divBdr>
            <w:top w:val="none" w:sz="0" w:space="0" w:color="auto"/>
            <w:left w:val="none" w:sz="0" w:space="0" w:color="auto"/>
            <w:bottom w:val="none" w:sz="0" w:space="0" w:color="auto"/>
            <w:right w:val="none" w:sz="0" w:space="0" w:color="auto"/>
          </w:divBdr>
        </w:div>
        <w:div w:id="484199209">
          <w:marLeft w:val="0"/>
          <w:marRight w:val="0"/>
          <w:marTop w:val="0"/>
          <w:marBottom w:val="0"/>
          <w:divBdr>
            <w:top w:val="none" w:sz="0" w:space="0" w:color="auto"/>
            <w:left w:val="none" w:sz="0" w:space="0" w:color="auto"/>
            <w:bottom w:val="none" w:sz="0" w:space="0" w:color="auto"/>
            <w:right w:val="none" w:sz="0" w:space="0" w:color="auto"/>
          </w:divBdr>
        </w:div>
      </w:divsChild>
    </w:div>
    <w:div w:id="313948183">
      <w:bodyDiv w:val="1"/>
      <w:marLeft w:val="0"/>
      <w:marRight w:val="0"/>
      <w:marTop w:val="0"/>
      <w:marBottom w:val="0"/>
      <w:divBdr>
        <w:top w:val="none" w:sz="0" w:space="0" w:color="auto"/>
        <w:left w:val="none" w:sz="0" w:space="0" w:color="auto"/>
        <w:bottom w:val="none" w:sz="0" w:space="0" w:color="auto"/>
        <w:right w:val="none" w:sz="0" w:space="0" w:color="auto"/>
      </w:divBdr>
    </w:div>
    <w:div w:id="329598722">
      <w:bodyDiv w:val="1"/>
      <w:marLeft w:val="0"/>
      <w:marRight w:val="0"/>
      <w:marTop w:val="0"/>
      <w:marBottom w:val="0"/>
      <w:divBdr>
        <w:top w:val="none" w:sz="0" w:space="0" w:color="auto"/>
        <w:left w:val="none" w:sz="0" w:space="0" w:color="auto"/>
        <w:bottom w:val="none" w:sz="0" w:space="0" w:color="auto"/>
        <w:right w:val="none" w:sz="0" w:space="0" w:color="auto"/>
      </w:divBdr>
      <w:divsChild>
        <w:div w:id="9264639">
          <w:marLeft w:val="0"/>
          <w:marRight w:val="0"/>
          <w:marTop w:val="0"/>
          <w:marBottom w:val="0"/>
          <w:divBdr>
            <w:top w:val="none" w:sz="0" w:space="0" w:color="auto"/>
            <w:left w:val="none" w:sz="0" w:space="0" w:color="auto"/>
            <w:bottom w:val="none" w:sz="0" w:space="0" w:color="auto"/>
            <w:right w:val="none" w:sz="0" w:space="0" w:color="auto"/>
          </w:divBdr>
          <w:divsChild>
            <w:div w:id="826017922">
              <w:marLeft w:val="0"/>
              <w:marRight w:val="0"/>
              <w:marTop w:val="0"/>
              <w:marBottom w:val="0"/>
              <w:divBdr>
                <w:top w:val="none" w:sz="0" w:space="0" w:color="auto"/>
                <w:left w:val="none" w:sz="0" w:space="0" w:color="auto"/>
                <w:bottom w:val="none" w:sz="0" w:space="0" w:color="auto"/>
                <w:right w:val="none" w:sz="0" w:space="0" w:color="auto"/>
              </w:divBdr>
              <w:divsChild>
                <w:div w:id="10265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659026">
      <w:bodyDiv w:val="1"/>
      <w:marLeft w:val="0"/>
      <w:marRight w:val="0"/>
      <w:marTop w:val="0"/>
      <w:marBottom w:val="0"/>
      <w:divBdr>
        <w:top w:val="none" w:sz="0" w:space="0" w:color="auto"/>
        <w:left w:val="none" w:sz="0" w:space="0" w:color="auto"/>
        <w:bottom w:val="none" w:sz="0" w:space="0" w:color="auto"/>
        <w:right w:val="none" w:sz="0" w:space="0" w:color="auto"/>
      </w:divBdr>
    </w:div>
    <w:div w:id="341249639">
      <w:bodyDiv w:val="1"/>
      <w:marLeft w:val="0"/>
      <w:marRight w:val="0"/>
      <w:marTop w:val="0"/>
      <w:marBottom w:val="0"/>
      <w:divBdr>
        <w:top w:val="none" w:sz="0" w:space="0" w:color="auto"/>
        <w:left w:val="none" w:sz="0" w:space="0" w:color="auto"/>
        <w:bottom w:val="none" w:sz="0" w:space="0" w:color="auto"/>
        <w:right w:val="none" w:sz="0" w:space="0" w:color="auto"/>
      </w:divBdr>
    </w:div>
    <w:div w:id="349375728">
      <w:bodyDiv w:val="1"/>
      <w:marLeft w:val="0"/>
      <w:marRight w:val="0"/>
      <w:marTop w:val="0"/>
      <w:marBottom w:val="0"/>
      <w:divBdr>
        <w:top w:val="none" w:sz="0" w:space="0" w:color="auto"/>
        <w:left w:val="none" w:sz="0" w:space="0" w:color="auto"/>
        <w:bottom w:val="none" w:sz="0" w:space="0" w:color="auto"/>
        <w:right w:val="none" w:sz="0" w:space="0" w:color="auto"/>
      </w:divBdr>
      <w:divsChild>
        <w:div w:id="1812089168">
          <w:marLeft w:val="0"/>
          <w:marRight w:val="0"/>
          <w:marTop w:val="0"/>
          <w:marBottom w:val="0"/>
          <w:divBdr>
            <w:top w:val="none" w:sz="0" w:space="0" w:color="auto"/>
            <w:left w:val="none" w:sz="0" w:space="0" w:color="auto"/>
            <w:bottom w:val="none" w:sz="0" w:space="0" w:color="auto"/>
            <w:right w:val="none" w:sz="0" w:space="0" w:color="auto"/>
          </w:divBdr>
          <w:divsChild>
            <w:div w:id="593054675">
              <w:marLeft w:val="0"/>
              <w:marRight w:val="0"/>
              <w:marTop w:val="0"/>
              <w:marBottom w:val="0"/>
              <w:divBdr>
                <w:top w:val="none" w:sz="0" w:space="0" w:color="auto"/>
                <w:left w:val="none" w:sz="0" w:space="0" w:color="auto"/>
                <w:bottom w:val="none" w:sz="0" w:space="0" w:color="auto"/>
                <w:right w:val="none" w:sz="0" w:space="0" w:color="auto"/>
              </w:divBdr>
              <w:divsChild>
                <w:div w:id="550847627">
                  <w:marLeft w:val="0"/>
                  <w:marRight w:val="0"/>
                  <w:marTop w:val="0"/>
                  <w:marBottom w:val="0"/>
                  <w:divBdr>
                    <w:top w:val="none" w:sz="0" w:space="0" w:color="auto"/>
                    <w:left w:val="none" w:sz="0" w:space="0" w:color="auto"/>
                    <w:bottom w:val="none" w:sz="0" w:space="0" w:color="auto"/>
                    <w:right w:val="none" w:sz="0" w:space="0" w:color="auto"/>
                  </w:divBdr>
                  <w:divsChild>
                    <w:div w:id="4760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400291">
      <w:bodyDiv w:val="1"/>
      <w:marLeft w:val="0"/>
      <w:marRight w:val="0"/>
      <w:marTop w:val="0"/>
      <w:marBottom w:val="0"/>
      <w:divBdr>
        <w:top w:val="none" w:sz="0" w:space="0" w:color="auto"/>
        <w:left w:val="none" w:sz="0" w:space="0" w:color="auto"/>
        <w:bottom w:val="none" w:sz="0" w:space="0" w:color="auto"/>
        <w:right w:val="none" w:sz="0" w:space="0" w:color="auto"/>
      </w:divBdr>
    </w:div>
    <w:div w:id="371223470">
      <w:bodyDiv w:val="1"/>
      <w:marLeft w:val="0"/>
      <w:marRight w:val="0"/>
      <w:marTop w:val="0"/>
      <w:marBottom w:val="0"/>
      <w:divBdr>
        <w:top w:val="none" w:sz="0" w:space="0" w:color="auto"/>
        <w:left w:val="none" w:sz="0" w:space="0" w:color="auto"/>
        <w:bottom w:val="none" w:sz="0" w:space="0" w:color="auto"/>
        <w:right w:val="none" w:sz="0" w:space="0" w:color="auto"/>
      </w:divBdr>
    </w:div>
    <w:div w:id="375665311">
      <w:bodyDiv w:val="1"/>
      <w:marLeft w:val="0"/>
      <w:marRight w:val="0"/>
      <w:marTop w:val="0"/>
      <w:marBottom w:val="0"/>
      <w:divBdr>
        <w:top w:val="none" w:sz="0" w:space="0" w:color="auto"/>
        <w:left w:val="none" w:sz="0" w:space="0" w:color="auto"/>
        <w:bottom w:val="none" w:sz="0" w:space="0" w:color="auto"/>
        <w:right w:val="none" w:sz="0" w:space="0" w:color="auto"/>
      </w:divBdr>
    </w:div>
    <w:div w:id="401677007">
      <w:bodyDiv w:val="1"/>
      <w:marLeft w:val="0"/>
      <w:marRight w:val="0"/>
      <w:marTop w:val="0"/>
      <w:marBottom w:val="0"/>
      <w:divBdr>
        <w:top w:val="none" w:sz="0" w:space="0" w:color="auto"/>
        <w:left w:val="none" w:sz="0" w:space="0" w:color="auto"/>
        <w:bottom w:val="none" w:sz="0" w:space="0" w:color="auto"/>
        <w:right w:val="none" w:sz="0" w:space="0" w:color="auto"/>
      </w:divBdr>
    </w:div>
    <w:div w:id="409887351">
      <w:bodyDiv w:val="1"/>
      <w:marLeft w:val="0"/>
      <w:marRight w:val="0"/>
      <w:marTop w:val="0"/>
      <w:marBottom w:val="0"/>
      <w:divBdr>
        <w:top w:val="none" w:sz="0" w:space="0" w:color="auto"/>
        <w:left w:val="none" w:sz="0" w:space="0" w:color="auto"/>
        <w:bottom w:val="none" w:sz="0" w:space="0" w:color="auto"/>
        <w:right w:val="none" w:sz="0" w:space="0" w:color="auto"/>
      </w:divBdr>
      <w:divsChild>
        <w:div w:id="451166210">
          <w:marLeft w:val="0"/>
          <w:marRight w:val="0"/>
          <w:marTop w:val="0"/>
          <w:marBottom w:val="0"/>
          <w:divBdr>
            <w:top w:val="none" w:sz="0" w:space="0" w:color="auto"/>
            <w:left w:val="none" w:sz="0" w:space="0" w:color="auto"/>
            <w:bottom w:val="none" w:sz="0" w:space="0" w:color="auto"/>
            <w:right w:val="none" w:sz="0" w:space="0" w:color="auto"/>
          </w:divBdr>
          <w:divsChild>
            <w:div w:id="1255087907">
              <w:marLeft w:val="0"/>
              <w:marRight w:val="0"/>
              <w:marTop w:val="0"/>
              <w:marBottom w:val="0"/>
              <w:divBdr>
                <w:top w:val="none" w:sz="0" w:space="0" w:color="auto"/>
                <w:left w:val="none" w:sz="0" w:space="0" w:color="auto"/>
                <w:bottom w:val="none" w:sz="0" w:space="0" w:color="auto"/>
                <w:right w:val="none" w:sz="0" w:space="0" w:color="auto"/>
              </w:divBdr>
              <w:divsChild>
                <w:div w:id="38961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3458">
      <w:bodyDiv w:val="1"/>
      <w:marLeft w:val="0"/>
      <w:marRight w:val="0"/>
      <w:marTop w:val="0"/>
      <w:marBottom w:val="0"/>
      <w:divBdr>
        <w:top w:val="none" w:sz="0" w:space="0" w:color="auto"/>
        <w:left w:val="none" w:sz="0" w:space="0" w:color="auto"/>
        <w:bottom w:val="none" w:sz="0" w:space="0" w:color="auto"/>
        <w:right w:val="none" w:sz="0" w:space="0" w:color="auto"/>
      </w:divBdr>
    </w:div>
    <w:div w:id="443810766">
      <w:bodyDiv w:val="1"/>
      <w:marLeft w:val="0"/>
      <w:marRight w:val="0"/>
      <w:marTop w:val="0"/>
      <w:marBottom w:val="0"/>
      <w:divBdr>
        <w:top w:val="none" w:sz="0" w:space="0" w:color="auto"/>
        <w:left w:val="none" w:sz="0" w:space="0" w:color="auto"/>
        <w:bottom w:val="none" w:sz="0" w:space="0" w:color="auto"/>
        <w:right w:val="none" w:sz="0" w:space="0" w:color="auto"/>
      </w:divBdr>
    </w:div>
    <w:div w:id="458378823">
      <w:bodyDiv w:val="1"/>
      <w:marLeft w:val="0"/>
      <w:marRight w:val="0"/>
      <w:marTop w:val="0"/>
      <w:marBottom w:val="0"/>
      <w:divBdr>
        <w:top w:val="none" w:sz="0" w:space="0" w:color="auto"/>
        <w:left w:val="none" w:sz="0" w:space="0" w:color="auto"/>
        <w:bottom w:val="none" w:sz="0" w:space="0" w:color="auto"/>
        <w:right w:val="none" w:sz="0" w:space="0" w:color="auto"/>
      </w:divBdr>
      <w:divsChild>
        <w:div w:id="2053919544">
          <w:marLeft w:val="0"/>
          <w:marRight w:val="0"/>
          <w:marTop w:val="0"/>
          <w:marBottom w:val="0"/>
          <w:divBdr>
            <w:top w:val="none" w:sz="0" w:space="0" w:color="auto"/>
            <w:left w:val="none" w:sz="0" w:space="0" w:color="auto"/>
            <w:bottom w:val="none" w:sz="0" w:space="0" w:color="auto"/>
            <w:right w:val="none" w:sz="0" w:space="0" w:color="auto"/>
          </w:divBdr>
          <w:divsChild>
            <w:div w:id="1568765016">
              <w:marLeft w:val="0"/>
              <w:marRight w:val="0"/>
              <w:marTop w:val="0"/>
              <w:marBottom w:val="0"/>
              <w:divBdr>
                <w:top w:val="none" w:sz="0" w:space="0" w:color="auto"/>
                <w:left w:val="none" w:sz="0" w:space="0" w:color="auto"/>
                <w:bottom w:val="none" w:sz="0" w:space="0" w:color="auto"/>
                <w:right w:val="none" w:sz="0" w:space="0" w:color="auto"/>
              </w:divBdr>
              <w:divsChild>
                <w:div w:id="4027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74728">
      <w:bodyDiv w:val="1"/>
      <w:marLeft w:val="0"/>
      <w:marRight w:val="0"/>
      <w:marTop w:val="0"/>
      <w:marBottom w:val="0"/>
      <w:divBdr>
        <w:top w:val="none" w:sz="0" w:space="0" w:color="auto"/>
        <w:left w:val="none" w:sz="0" w:space="0" w:color="auto"/>
        <w:bottom w:val="none" w:sz="0" w:space="0" w:color="auto"/>
        <w:right w:val="none" w:sz="0" w:space="0" w:color="auto"/>
      </w:divBdr>
      <w:divsChild>
        <w:div w:id="639462545">
          <w:marLeft w:val="0"/>
          <w:marRight w:val="0"/>
          <w:marTop w:val="0"/>
          <w:marBottom w:val="0"/>
          <w:divBdr>
            <w:top w:val="none" w:sz="0" w:space="0" w:color="auto"/>
            <w:left w:val="none" w:sz="0" w:space="0" w:color="auto"/>
            <w:bottom w:val="none" w:sz="0" w:space="0" w:color="auto"/>
            <w:right w:val="none" w:sz="0" w:space="0" w:color="auto"/>
          </w:divBdr>
          <w:divsChild>
            <w:div w:id="361564578">
              <w:marLeft w:val="0"/>
              <w:marRight w:val="0"/>
              <w:marTop w:val="0"/>
              <w:marBottom w:val="0"/>
              <w:divBdr>
                <w:top w:val="none" w:sz="0" w:space="0" w:color="auto"/>
                <w:left w:val="none" w:sz="0" w:space="0" w:color="auto"/>
                <w:bottom w:val="none" w:sz="0" w:space="0" w:color="auto"/>
                <w:right w:val="none" w:sz="0" w:space="0" w:color="auto"/>
              </w:divBdr>
              <w:divsChild>
                <w:div w:id="18419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1699">
      <w:bodyDiv w:val="1"/>
      <w:marLeft w:val="0"/>
      <w:marRight w:val="0"/>
      <w:marTop w:val="0"/>
      <w:marBottom w:val="0"/>
      <w:divBdr>
        <w:top w:val="none" w:sz="0" w:space="0" w:color="auto"/>
        <w:left w:val="none" w:sz="0" w:space="0" w:color="auto"/>
        <w:bottom w:val="none" w:sz="0" w:space="0" w:color="auto"/>
        <w:right w:val="none" w:sz="0" w:space="0" w:color="auto"/>
      </w:divBdr>
    </w:div>
    <w:div w:id="575742807">
      <w:bodyDiv w:val="1"/>
      <w:marLeft w:val="0"/>
      <w:marRight w:val="0"/>
      <w:marTop w:val="0"/>
      <w:marBottom w:val="0"/>
      <w:divBdr>
        <w:top w:val="none" w:sz="0" w:space="0" w:color="auto"/>
        <w:left w:val="none" w:sz="0" w:space="0" w:color="auto"/>
        <w:bottom w:val="none" w:sz="0" w:space="0" w:color="auto"/>
        <w:right w:val="none" w:sz="0" w:space="0" w:color="auto"/>
      </w:divBdr>
      <w:divsChild>
        <w:div w:id="2075001864">
          <w:marLeft w:val="0"/>
          <w:marRight w:val="0"/>
          <w:marTop w:val="0"/>
          <w:marBottom w:val="0"/>
          <w:divBdr>
            <w:top w:val="none" w:sz="0" w:space="0" w:color="auto"/>
            <w:left w:val="none" w:sz="0" w:space="0" w:color="auto"/>
            <w:bottom w:val="none" w:sz="0" w:space="0" w:color="auto"/>
            <w:right w:val="none" w:sz="0" w:space="0" w:color="auto"/>
          </w:divBdr>
          <w:divsChild>
            <w:div w:id="1284922848">
              <w:marLeft w:val="0"/>
              <w:marRight w:val="0"/>
              <w:marTop w:val="0"/>
              <w:marBottom w:val="0"/>
              <w:divBdr>
                <w:top w:val="none" w:sz="0" w:space="0" w:color="auto"/>
                <w:left w:val="none" w:sz="0" w:space="0" w:color="auto"/>
                <w:bottom w:val="none" w:sz="0" w:space="0" w:color="auto"/>
                <w:right w:val="none" w:sz="0" w:space="0" w:color="auto"/>
              </w:divBdr>
              <w:divsChild>
                <w:div w:id="927424493">
                  <w:marLeft w:val="0"/>
                  <w:marRight w:val="0"/>
                  <w:marTop w:val="0"/>
                  <w:marBottom w:val="0"/>
                  <w:divBdr>
                    <w:top w:val="none" w:sz="0" w:space="0" w:color="auto"/>
                    <w:left w:val="none" w:sz="0" w:space="0" w:color="auto"/>
                    <w:bottom w:val="none" w:sz="0" w:space="0" w:color="auto"/>
                    <w:right w:val="none" w:sz="0" w:space="0" w:color="auto"/>
                  </w:divBdr>
                </w:div>
                <w:div w:id="6651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74629">
      <w:bodyDiv w:val="1"/>
      <w:marLeft w:val="0"/>
      <w:marRight w:val="0"/>
      <w:marTop w:val="0"/>
      <w:marBottom w:val="0"/>
      <w:divBdr>
        <w:top w:val="none" w:sz="0" w:space="0" w:color="auto"/>
        <w:left w:val="none" w:sz="0" w:space="0" w:color="auto"/>
        <w:bottom w:val="none" w:sz="0" w:space="0" w:color="auto"/>
        <w:right w:val="none" w:sz="0" w:space="0" w:color="auto"/>
      </w:divBdr>
      <w:divsChild>
        <w:div w:id="14357172">
          <w:marLeft w:val="0"/>
          <w:marRight w:val="0"/>
          <w:marTop w:val="0"/>
          <w:marBottom w:val="0"/>
          <w:divBdr>
            <w:top w:val="none" w:sz="0" w:space="0" w:color="auto"/>
            <w:left w:val="none" w:sz="0" w:space="0" w:color="auto"/>
            <w:bottom w:val="none" w:sz="0" w:space="0" w:color="auto"/>
            <w:right w:val="none" w:sz="0" w:space="0" w:color="auto"/>
          </w:divBdr>
          <w:divsChild>
            <w:div w:id="7685598">
              <w:marLeft w:val="0"/>
              <w:marRight w:val="0"/>
              <w:marTop w:val="0"/>
              <w:marBottom w:val="0"/>
              <w:divBdr>
                <w:top w:val="none" w:sz="0" w:space="0" w:color="auto"/>
                <w:left w:val="none" w:sz="0" w:space="0" w:color="auto"/>
                <w:bottom w:val="none" w:sz="0" w:space="0" w:color="auto"/>
                <w:right w:val="none" w:sz="0" w:space="0" w:color="auto"/>
              </w:divBdr>
              <w:divsChild>
                <w:div w:id="137280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551720">
      <w:bodyDiv w:val="1"/>
      <w:marLeft w:val="0"/>
      <w:marRight w:val="0"/>
      <w:marTop w:val="0"/>
      <w:marBottom w:val="0"/>
      <w:divBdr>
        <w:top w:val="none" w:sz="0" w:space="0" w:color="auto"/>
        <w:left w:val="none" w:sz="0" w:space="0" w:color="auto"/>
        <w:bottom w:val="none" w:sz="0" w:space="0" w:color="auto"/>
        <w:right w:val="none" w:sz="0" w:space="0" w:color="auto"/>
      </w:divBdr>
      <w:divsChild>
        <w:div w:id="556823197">
          <w:marLeft w:val="0"/>
          <w:marRight w:val="0"/>
          <w:marTop w:val="0"/>
          <w:marBottom w:val="0"/>
          <w:divBdr>
            <w:top w:val="none" w:sz="0" w:space="0" w:color="auto"/>
            <w:left w:val="none" w:sz="0" w:space="0" w:color="auto"/>
            <w:bottom w:val="none" w:sz="0" w:space="0" w:color="auto"/>
            <w:right w:val="none" w:sz="0" w:space="0" w:color="auto"/>
          </w:divBdr>
          <w:divsChild>
            <w:div w:id="457991573">
              <w:marLeft w:val="0"/>
              <w:marRight w:val="0"/>
              <w:marTop w:val="0"/>
              <w:marBottom w:val="0"/>
              <w:divBdr>
                <w:top w:val="none" w:sz="0" w:space="0" w:color="auto"/>
                <w:left w:val="none" w:sz="0" w:space="0" w:color="auto"/>
                <w:bottom w:val="none" w:sz="0" w:space="0" w:color="auto"/>
                <w:right w:val="none" w:sz="0" w:space="0" w:color="auto"/>
              </w:divBdr>
              <w:divsChild>
                <w:div w:id="38615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245119">
      <w:bodyDiv w:val="1"/>
      <w:marLeft w:val="0"/>
      <w:marRight w:val="0"/>
      <w:marTop w:val="0"/>
      <w:marBottom w:val="0"/>
      <w:divBdr>
        <w:top w:val="none" w:sz="0" w:space="0" w:color="auto"/>
        <w:left w:val="none" w:sz="0" w:space="0" w:color="auto"/>
        <w:bottom w:val="none" w:sz="0" w:space="0" w:color="auto"/>
        <w:right w:val="none" w:sz="0" w:space="0" w:color="auto"/>
      </w:divBdr>
    </w:div>
    <w:div w:id="599682900">
      <w:bodyDiv w:val="1"/>
      <w:marLeft w:val="0"/>
      <w:marRight w:val="0"/>
      <w:marTop w:val="0"/>
      <w:marBottom w:val="0"/>
      <w:divBdr>
        <w:top w:val="none" w:sz="0" w:space="0" w:color="auto"/>
        <w:left w:val="none" w:sz="0" w:space="0" w:color="auto"/>
        <w:bottom w:val="none" w:sz="0" w:space="0" w:color="auto"/>
        <w:right w:val="none" w:sz="0" w:space="0" w:color="auto"/>
      </w:divBdr>
    </w:div>
    <w:div w:id="599989764">
      <w:bodyDiv w:val="1"/>
      <w:marLeft w:val="0"/>
      <w:marRight w:val="0"/>
      <w:marTop w:val="0"/>
      <w:marBottom w:val="0"/>
      <w:divBdr>
        <w:top w:val="none" w:sz="0" w:space="0" w:color="auto"/>
        <w:left w:val="none" w:sz="0" w:space="0" w:color="auto"/>
        <w:bottom w:val="none" w:sz="0" w:space="0" w:color="auto"/>
        <w:right w:val="none" w:sz="0" w:space="0" w:color="auto"/>
      </w:divBdr>
      <w:divsChild>
        <w:div w:id="322659986">
          <w:marLeft w:val="0"/>
          <w:marRight w:val="0"/>
          <w:marTop w:val="0"/>
          <w:marBottom w:val="0"/>
          <w:divBdr>
            <w:top w:val="none" w:sz="0" w:space="0" w:color="auto"/>
            <w:left w:val="none" w:sz="0" w:space="0" w:color="auto"/>
            <w:bottom w:val="none" w:sz="0" w:space="0" w:color="auto"/>
            <w:right w:val="none" w:sz="0" w:space="0" w:color="auto"/>
          </w:divBdr>
          <w:divsChild>
            <w:div w:id="780612692">
              <w:marLeft w:val="0"/>
              <w:marRight w:val="0"/>
              <w:marTop w:val="0"/>
              <w:marBottom w:val="0"/>
              <w:divBdr>
                <w:top w:val="none" w:sz="0" w:space="0" w:color="auto"/>
                <w:left w:val="none" w:sz="0" w:space="0" w:color="auto"/>
                <w:bottom w:val="none" w:sz="0" w:space="0" w:color="auto"/>
                <w:right w:val="none" w:sz="0" w:space="0" w:color="auto"/>
              </w:divBdr>
              <w:divsChild>
                <w:div w:id="20847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014810">
      <w:bodyDiv w:val="1"/>
      <w:marLeft w:val="0"/>
      <w:marRight w:val="0"/>
      <w:marTop w:val="0"/>
      <w:marBottom w:val="0"/>
      <w:divBdr>
        <w:top w:val="none" w:sz="0" w:space="0" w:color="auto"/>
        <w:left w:val="none" w:sz="0" w:space="0" w:color="auto"/>
        <w:bottom w:val="none" w:sz="0" w:space="0" w:color="auto"/>
        <w:right w:val="none" w:sz="0" w:space="0" w:color="auto"/>
      </w:divBdr>
    </w:div>
    <w:div w:id="660163916">
      <w:bodyDiv w:val="1"/>
      <w:marLeft w:val="0"/>
      <w:marRight w:val="0"/>
      <w:marTop w:val="0"/>
      <w:marBottom w:val="0"/>
      <w:divBdr>
        <w:top w:val="none" w:sz="0" w:space="0" w:color="auto"/>
        <w:left w:val="none" w:sz="0" w:space="0" w:color="auto"/>
        <w:bottom w:val="none" w:sz="0" w:space="0" w:color="auto"/>
        <w:right w:val="none" w:sz="0" w:space="0" w:color="auto"/>
      </w:divBdr>
      <w:divsChild>
        <w:div w:id="1031498190">
          <w:marLeft w:val="0"/>
          <w:marRight w:val="0"/>
          <w:marTop w:val="0"/>
          <w:marBottom w:val="0"/>
          <w:divBdr>
            <w:top w:val="none" w:sz="0" w:space="0" w:color="auto"/>
            <w:left w:val="none" w:sz="0" w:space="0" w:color="auto"/>
            <w:bottom w:val="none" w:sz="0" w:space="0" w:color="auto"/>
            <w:right w:val="none" w:sz="0" w:space="0" w:color="auto"/>
          </w:divBdr>
          <w:divsChild>
            <w:div w:id="2077046579">
              <w:marLeft w:val="0"/>
              <w:marRight w:val="0"/>
              <w:marTop w:val="0"/>
              <w:marBottom w:val="0"/>
              <w:divBdr>
                <w:top w:val="none" w:sz="0" w:space="0" w:color="auto"/>
                <w:left w:val="none" w:sz="0" w:space="0" w:color="auto"/>
                <w:bottom w:val="none" w:sz="0" w:space="0" w:color="auto"/>
                <w:right w:val="none" w:sz="0" w:space="0" w:color="auto"/>
              </w:divBdr>
              <w:divsChild>
                <w:div w:id="127463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426981">
      <w:bodyDiv w:val="1"/>
      <w:marLeft w:val="0"/>
      <w:marRight w:val="0"/>
      <w:marTop w:val="0"/>
      <w:marBottom w:val="0"/>
      <w:divBdr>
        <w:top w:val="none" w:sz="0" w:space="0" w:color="auto"/>
        <w:left w:val="none" w:sz="0" w:space="0" w:color="auto"/>
        <w:bottom w:val="none" w:sz="0" w:space="0" w:color="auto"/>
        <w:right w:val="none" w:sz="0" w:space="0" w:color="auto"/>
      </w:divBdr>
      <w:divsChild>
        <w:div w:id="1643656570">
          <w:marLeft w:val="0"/>
          <w:marRight w:val="0"/>
          <w:marTop w:val="0"/>
          <w:marBottom w:val="0"/>
          <w:divBdr>
            <w:top w:val="none" w:sz="0" w:space="0" w:color="auto"/>
            <w:left w:val="none" w:sz="0" w:space="0" w:color="auto"/>
            <w:bottom w:val="none" w:sz="0" w:space="0" w:color="auto"/>
            <w:right w:val="none" w:sz="0" w:space="0" w:color="auto"/>
          </w:divBdr>
          <w:divsChild>
            <w:div w:id="1492058178">
              <w:marLeft w:val="0"/>
              <w:marRight w:val="0"/>
              <w:marTop w:val="0"/>
              <w:marBottom w:val="0"/>
              <w:divBdr>
                <w:top w:val="none" w:sz="0" w:space="0" w:color="auto"/>
                <w:left w:val="none" w:sz="0" w:space="0" w:color="auto"/>
                <w:bottom w:val="none" w:sz="0" w:space="0" w:color="auto"/>
                <w:right w:val="none" w:sz="0" w:space="0" w:color="auto"/>
              </w:divBdr>
              <w:divsChild>
                <w:div w:id="6159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9249">
      <w:bodyDiv w:val="1"/>
      <w:marLeft w:val="0"/>
      <w:marRight w:val="0"/>
      <w:marTop w:val="0"/>
      <w:marBottom w:val="0"/>
      <w:divBdr>
        <w:top w:val="none" w:sz="0" w:space="0" w:color="auto"/>
        <w:left w:val="none" w:sz="0" w:space="0" w:color="auto"/>
        <w:bottom w:val="none" w:sz="0" w:space="0" w:color="auto"/>
        <w:right w:val="none" w:sz="0" w:space="0" w:color="auto"/>
      </w:divBdr>
      <w:divsChild>
        <w:div w:id="2090342933">
          <w:marLeft w:val="0"/>
          <w:marRight w:val="0"/>
          <w:marTop w:val="0"/>
          <w:marBottom w:val="0"/>
          <w:divBdr>
            <w:top w:val="none" w:sz="0" w:space="0" w:color="auto"/>
            <w:left w:val="none" w:sz="0" w:space="0" w:color="auto"/>
            <w:bottom w:val="none" w:sz="0" w:space="0" w:color="auto"/>
            <w:right w:val="none" w:sz="0" w:space="0" w:color="auto"/>
          </w:divBdr>
          <w:divsChild>
            <w:div w:id="649486282">
              <w:marLeft w:val="0"/>
              <w:marRight w:val="0"/>
              <w:marTop w:val="0"/>
              <w:marBottom w:val="0"/>
              <w:divBdr>
                <w:top w:val="none" w:sz="0" w:space="0" w:color="auto"/>
                <w:left w:val="none" w:sz="0" w:space="0" w:color="auto"/>
                <w:bottom w:val="none" w:sz="0" w:space="0" w:color="auto"/>
                <w:right w:val="none" w:sz="0" w:space="0" w:color="auto"/>
              </w:divBdr>
              <w:divsChild>
                <w:div w:id="342168368">
                  <w:marLeft w:val="0"/>
                  <w:marRight w:val="0"/>
                  <w:marTop w:val="0"/>
                  <w:marBottom w:val="0"/>
                  <w:divBdr>
                    <w:top w:val="none" w:sz="0" w:space="0" w:color="auto"/>
                    <w:left w:val="none" w:sz="0" w:space="0" w:color="auto"/>
                    <w:bottom w:val="none" w:sz="0" w:space="0" w:color="auto"/>
                    <w:right w:val="none" w:sz="0" w:space="0" w:color="auto"/>
                  </w:divBdr>
                  <w:divsChild>
                    <w:div w:id="196322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49173">
      <w:bodyDiv w:val="1"/>
      <w:marLeft w:val="0"/>
      <w:marRight w:val="0"/>
      <w:marTop w:val="0"/>
      <w:marBottom w:val="0"/>
      <w:divBdr>
        <w:top w:val="none" w:sz="0" w:space="0" w:color="auto"/>
        <w:left w:val="none" w:sz="0" w:space="0" w:color="auto"/>
        <w:bottom w:val="none" w:sz="0" w:space="0" w:color="auto"/>
        <w:right w:val="none" w:sz="0" w:space="0" w:color="auto"/>
      </w:divBdr>
      <w:divsChild>
        <w:div w:id="790899246">
          <w:marLeft w:val="0"/>
          <w:marRight w:val="0"/>
          <w:marTop w:val="0"/>
          <w:marBottom w:val="0"/>
          <w:divBdr>
            <w:top w:val="none" w:sz="0" w:space="0" w:color="auto"/>
            <w:left w:val="none" w:sz="0" w:space="0" w:color="auto"/>
            <w:bottom w:val="none" w:sz="0" w:space="0" w:color="auto"/>
            <w:right w:val="none" w:sz="0" w:space="0" w:color="auto"/>
          </w:divBdr>
          <w:divsChild>
            <w:div w:id="1785419867">
              <w:marLeft w:val="0"/>
              <w:marRight w:val="0"/>
              <w:marTop w:val="0"/>
              <w:marBottom w:val="0"/>
              <w:divBdr>
                <w:top w:val="none" w:sz="0" w:space="0" w:color="auto"/>
                <w:left w:val="none" w:sz="0" w:space="0" w:color="auto"/>
                <w:bottom w:val="none" w:sz="0" w:space="0" w:color="auto"/>
                <w:right w:val="none" w:sz="0" w:space="0" w:color="auto"/>
              </w:divBdr>
              <w:divsChild>
                <w:div w:id="407843543">
                  <w:marLeft w:val="0"/>
                  <w:marRight w:val="0"/>
                  <w:marTop w:val="0"/>
                  <w:marBottom w:val="0"/>
                  <w:divBdr>
                    <w:top w:val="none" w:sz="0" w:space="0" w:color="auto"/>
                    <w:left w:val="none" w:sz="0" w:space="0" w:color="auto"/>
                    <w:bottom w:val="none" w:sz="0" w:space="0" w:color="auto"/>
                    <w:right w:val="none" w:sz="0" w:space="0" w:color="auto"/>
                  </w:divBdr>
                  <w:divsChild>
                    <w:div w:id="2362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96515">
      <w:bodyDiv w:val="1"/>
      <w:marLeft w:val="0"/>
      <w:marRight w:val="0"/>
      <w:marTop w:val="0"/>
      <w:marBottom w:val="0"/>
      <w:divBdr>
        <w:top w:val="none" w:sz="0" w:space="0" w:color="auto"/>
        <w:left w:val="none" w:sz="0" w:space="0" w:color="auto"/>
        <w:bottom w:val="none" w:sz="0" w:space="0" w:color="auto"/>
        <w:right w:val="none" w:sz="0" w:space="0" w:color="auto"/>
      </w:divBdr>
    </w:div>
    <w:div w:id="710425466">
      <w:bodyDiv w:val="1"/>
      <w:marLeft w:val="0"/>
      <w:marRight w:val="0"/>
      <w:marTop w:val="0"/>
      <w:marBottom w:val="0"/>
      <w:divBdr>
        <w:top w:val="none" w:sz="0" w:space="0" w:color="auto"/>
        <w:left w:val="none" w:sz="0" w:space="0" w:color="auto"/>
        <w:bottom w:val="none" w:sz="0" w:space="0" w:color="auto"/>
        <w:right w:val="none" w:sz="0" w:space="0" w:color="auto"/>
      </w:divBdr>
      <w:divsChild>
        <w:div w:id="1037776284">
          <w:marLeft w:val="0"/>
          <w:marRight w:val="0"/>
          <w:marTop w:val="0"/>
          <w:marBottom w:val="0"/>
          <w:divBdr>
            <w:top w:val="none" w:sz="0" w:space="0" w:color="auto"/>
            <w:left w:val="none" w:sz="0" w:space="0" w:color="auto"/>
            <w:bottom w:val="none" w:sz="0" w:space="0" w:color="auto"/>
            <w:right w:val="none" w:sz="0" w:space="0" w:color="auto"/>
          </w:divBdr>
          <w:divsChild>
            <w:div w:id="287780051">
              <w:marLeft w:val="0"/>
              <w:marRight w:val="0"/>
              <w:marTop w:val="0"/>
              <w:marBottom w:val="0"/>
              <w:divBdr>
                <w:top w:val="none" w:sz="0" w:space="0" w:color="auto"/>
                <w:left w:val="none" w:sz="0" w:space="0" w:color="auto"/>
                <w:bottom w:val="none" w:sz="0" w:space="0" w:color="auto"/>
                <w:right w:val="none" w:sz="0" w:space="0" w:color="auto"/>
              </w:divBdr>
              <w:divsChild>
                <w:div w:id="3667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95601">
      <w:bodyDiv w:val="1"/>
      <w:marLeft w:val="0"/>
      <w:marRight w:val="0"/>
      <w:marTop w:val="0"/>
      <w:marBottom w:val="0"/>
      <w:divBdr>
        <w:top w:val="none" w:sz="0" w:space="0" w:color="auto"/>
        <w:left w:val="none" w:sz="0" w:space="0" w:color="auto"/>
        <w:bottom w:val="none" w:sz="0" w:space="0" w:color="auto"/>
        <w:right w:val="none" w:sz="0" w:space="0" w:color="auto"/>
      </w:divBdr>
      <w:divsChild>
        <w:div w:id="29767568">
          <w:marLeft w:val="0"/>
          <w:marRight w:val="0"/>
          <w:marTop w:val="0"/>
          <w:marBottom w:val="0"/>
          <w:divBdr>
            <w:top w:val="none" w:sz="0" w:space="0" w:color="auto"/>
            <w:left w:val="none" w:sz="0" w:space="0" w:color="auto"/>
            <w:bottom w:val="none" w:sz="0" w:space="0" w:color="auto"/>
            <w:right w:val="none" w:sz="0" w:space="0" w:color="auto"/>
          </w:divBdr>
          <w:divsChild>
            <w:div w:id="760566049">
              <w:marLeft w:val="0"/>
              <w:marRight w:val="0"/>
              <w:marTop w:val="0"/>
              <w:marBottom w:val="0"/>
              <w:divBdr>
                <w:top w:val="none" w:sz="0" w:space="0" w:color="auto"/>
                <w:left w:val="none" w:sz="0" w:space="0" w:color="auto"/>
                <w:bottom w:val="none" w:sz="0" w:space="0" w:color="auto"/>
                <w:right w:val="none" w:sz="0" w:space="0" w:color="auto"/>
              </w:divBdr>
              <w:divsChild>
                <w:div w:id="187048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819984">
      <w:bodyDiv w:val="1"/>
      <w:marLeft w:val="0"/>
      <w:marRight w:val="0"/>
      <w:marTop w:val="0"/>
      <w:marBottom w:val="0"/>
      <w:divBdr>
        <w:top w:val="none" w:sz="0" w:space="0" w:color="auto"/>
        <w:left w:val="none" w:sz="0" w:space="0" w:color="auto"/>
        <w:bottom w:val="none" w:sz="0" w:space="0" w:color="auto"/>
        <w:right w:val="none" w:sz="0" w:space="0" w:color="auto"/>
      </w:divBdr>
    </w:div>
    <w:div w:id="739670784">
      <w:bodyDiv w:val="1"/>
      <w:marLeft w:val="0"/>
      <w:marRight w:val="0"/>
      <w:marTop w:val="0"/>
      <w:marBottom w:val="0"/>
      <w:divBdr>
        <w:top w:val="none" w:sz="0" w:space="0" w:color="auto"/>
        <w:left w:val="none" w:sz="0" w:space="0" w:color="auto"/>
        <w:bottom w:val="none" w:sz="0" w:space="0" w:color="auto"/>
        <w:right w:val="none" w:sz="0" w:space="0" w:color="auto"/>
      </w:divBdr>
    </w:div>
    <w:div w:id="745154131">
      <w:bodyDiv w:val="1"/>
      <w:marLeft w:val="0"/>
      <w:marRight w:val="0"/>
      <w:marTop w:val="0"/>
      <w:marBottom w:val="0"/>
      <w:divBdr>
        <w:top w:val="none" w:sz="0" w:space="0" w:color="auto"/>
        <w:left w:val="none" w:sz="0" w:space="0" w:color="auto"/>
        <w:bottom w:val="none" w:sz="0" w:space="0" w:color="auto"/>
        <w:right w:val="none" w:sz="0" w:space="0" w:color="auto"/>
      </w:divBdr>
      <w:divsChild>
        <w:div w:id="725689351">
          <w:marLeft w:val="0"/>
          <w:marRight w:val="0"/>
          <w:marTop w:val="0"/>
          <w:marBottom w:val="0"/>
          <w:divBdr>
            <w:top w:val="none" w:sz="0" w:space="0" w:color="auto"/>
            <w:left w:val="none" w:sz="0" w:space="0" w:color="auto"/>
            <w:bottom w:val="none" w:sz="0" w:space="0" w:color="auto"/>
            <w:right w:val="none" w:sz="0" w:space="0" w:color="auto"/>
          </w:divBdr>
          <w:divsChild>
            <w:div w:id="1808743462">
              <w:marLeft w:val="0"/>
              <w:marRight w:val="0"/>
              <w:marTop w:val="0"/>
              <w:marBottom w:val="0"/>
              <w:divBdr>
                <w:top w:val="none" w:sz="0" w:space="0" w:color="auto"/>
                <w:left w:val="none" w:sz="0" w:space="0" w:color="auto"/>
                <w:bottom w:val="none" w:sz="0" w:space="0" w:color="auto"/>
                <w:right w:val="none" w:sz="0" w:space="0" w:color="auto"/>
              </w:divBdr>
              <w:divsChild>
                <w:div w:id="368654523">
                  <w:marLeft w:val="0"/>
                  <w:marRight w:val="0"/>
                  <w:marTop w:val="0"/>
                  <w:marBottom w:val="0"/>
                  <w:divBdr>
                    <w:top w:val="none" w:sz="0" w:space="0" w:color="auto"/>
                    <w:left w:val="none" w:sz="0" w:space="0" w:color="auto"/>
                    <w:bottom w:val="none" w:sz="0" w:space="0" w:color="auto"/>
                    <w:right w:val="none" w:sz="0" w:space="0" w:color="auto"/>
                  </w:divBdr>
                </w:div>
              </w:divsChild>
            </w:div>
            <w:div w:id="283539042">
              <w:marLeft w:val="0"/>
              <w:marRight w:val="0"/>
              <w:marTop w:val="0"/>
              <w:marBottom w:val="0"/>
              <w:divBdr>
                <w:top w:val="none" w:sz="0" w:space="0" w:color="auto"/>
                <w:left w:val="none" w:sz="0" w:space="0" w:color="auto"/>
                <w:bottom w:val="none" w:sz="0" w:space="0" w:color="auto"/>
                <w:right w:val="none" w:sz="0" w:space="0" w:color="auto"/>
              </w:divBdr>
              <w:divsChild>
                <w:div w:id="51682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33658">
      <w:bodyDiv w:val="1"/>
      <w:marLeft w:val="0"/>
      <w:marRight w:val="0"/>
      <w:marTop w:val="0"/>
      <w:marBottom w:val="0"/>
      <w:divBdr>
        <w:top w:val="none" w:sz="0" w:space="0" w:color="auto"/>
        <w:left w:val="none" w:sz="0" w:space="0" w:color="auto"/>
        <w:bottom w:val="none" w:sz="0" w:space="0" w:color="auto"/>
        <w:right w:val="none" w:sz="0" w:space="0" w:color="auto"/>
      </w:divBdr>
    </w:div>
    <w:div w:id="763300715">
      <w:bodyDiv w:val="1"/>
      <w:marLeft w:val="0"/>
      <w:marRight w:val="0"/>
      <w:marTop w:val="0"/>
      <w:marBottom w:val="0"/>
      <w:divBdr>
        <w:top w:val="none" w:sz="0" w:space="0" w:color="auto"/>
        <w:left w:val="none" w:sz="0" w:space="0" w:color="auto"/>
        <w:bottom w:val="none" w:sz="0" w:space="0" w:color="auto"/>
        <w:right w:val="none" w:sz="0" w:space="0" w:color="auto"/>
      </w:divBdr>
      <w:divsChild>
        <w:div w:id="1226406371">
          <w:marLeft w:val="0"/>
          <w:marRight w:val="0"/>
          <w:marTop w:val="0"/>
          <w:marBottom w:val="0"/>
          <w:divBdr>
            <w:top w:val="none" w:sz="0" w:space="0" w:color="auto"/>
            <w:left w:val="none" w:sz="0" w:space="0" w:color="auto"/>
            <w:bottom w:val="none" w:sz="0" w:space="0" w:color="auto"/>
            <w:right w:val="none" w:sz="0" w:space="0" w:color="auto"/>
          </w:divBdr>
          <w:divsChild>
            <w:div w:id="1298955938">
              <w:marLeft w:val="0"/>
              <w:marRight w:val="0"/>
              <w:marTop w:val="0"/>
              <w:marBottom w:val="0"/>
              <w:divBdr>
                <w:top w:val="none" w:sz="0" w:space="0" w:color="auto"/>
                <w:left w:val="none" w:sz="0" w:space="0" w:color="auto"/>
                <w:bottom w:val="none" w:sz="0" w:space="0" w:color="auto"/>
                <w:right w:val="none" w:sz="0" w:space="0" w:color="auto"/>
              </w:divBdr>
              <w:divsChild>
                <w:div w:id="1949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24010">
      <w:bodyDiv w:val="1"/>
      <w:marLeft w:val="0"/>
      <w:marRight w:val="0"/>
      <w:marTop w:val="0"/>
      <w:marBottom w:val="0"/>
      <w:divBdr>
        <w:top w:val="none" w:sz="0" w:space="0" w:color="auto"/>
        <w:left w:val="none" w:sz="0" w:space="0" w:color="auto"/>
        <w:bottom w:val="none" w:sz="0" w:space="0" w:color="auto"/>
        <w:right w:val="none" w:sz="0" w:space="0" w:color="auto"/>
      </w:divBdr>
      <w:divsChild>
        <w:div w:id="420684537">
          <w:marLeft w:val="0"/>
          <w:marRight w:val="0"/>
          <w:marTop w:val="0"/>
          <w:marBottom w:val="0"/>
          <w:divBdr>
            <w:top w:val="none" w:sz="0" w:space="0" w:color="auto"/>
            <w:left w:val="none" w:sz="0" w:space="0" w:color="auto"/>
            <w:bottom w:val="none" w:sz="0" w:space="0" w:color="auto"/>
            <w:right w:val="none" w:sz="0" w:space="0" w:color="auto"/>
          </w:divBdr>
          <w:divsChild>
            <w:div w:id="1063140644">
              <w:marLeft w:val="0"/>
              <w:marRight w:val="0"/>
              <w:marTop w:val="0"/>
              <w:marBottom w:val="0"/>
              <w:divBdr>
                <w:top w:val="none" w:sz="0" w:space="0" w:color="auto"/>
                <w:left w:val="none" w:sz="0" w:space="0" w:color="auto"/>
                <w:bottom w:val="none" w:sz="0" w:space="0" w:color="auto"/>
                <w:right w:val="none" w:sz="0" w:space="0" w:color="auto"/>
              </w:divBdr>
              <w:divsChild>
                <w:div w:id="9646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90677">
      <w:bodyDiv w:val="1"/>
      <w:marLeft w:val="0"/>
      <w:marRight w:val="0"/>
      <w:marTop w:val="0"/>
      <w:marBottom w:val="0"/>
      <w:divBdr>
        <w:top w:val="none" w:sz="0" w:space="0" w:color="auto"/>
        <w:left w:val="none" w:sz="0" w:space="0" w:color="auto"/>
        <w:bottom w:val="none" w:sz="0" w:space="0" w:color="auto"/>
        <w:right w:val="none" w:sz="0" w:space="0" w:color="auto"/>
      </w:divBdr>
      <w:divsChild>
        <w:div w:id="2020547327">
          <w:marLeft w:val="0"/>
          <w:marRight w:val="0"/>
          <w:marTop w:val="0"/>
          <w:marBottom w:val="0"/>
          <w:divBdr>
            <w:top w:val="none" w:sz="0" w:space="0" w:color="auto"/>
            <w:left w:val="none" w:sz="0" w:space="0" w:color="auto"/>
            <w:bottom w:val="none" w:sz="0" w:space="0" w:color="auto"/>
            <w:right w:val="none" w:sz="0" w:space="0" w:color="auto"/>
          </w:divBdr>
          <w:divsChild>
            <w:div w:id="1082138339">
              <w:marLeft w:val="0"/>
              <w:marRight w:val="0"/>
              <w:marTop w:val="0"/>
              <w:marBottom w:val="0"/>
              <w:divBdr>
                <w:top w:val="none" w:sz="0" w:space="0" w:color="auto"/>
                <w:left w:val="none" w:sz="0" w:space="0" w:color="auto"/>
                <w:bottom w:val="none" w:sz="0" w:space="0" w:color="auto"/>
                <w:right w:val="none" w:sz="0" w:space="0" w:color="auto"/>
              </w:divBdr>
              <w:divsChild>
                <w:div w:id="2379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01078">
      <w:bodyDiv w:val="1"/>
      <w:marLeft w:val="0"/>
      <w:marRight w:val="0"/>
      <w:marTop w:val="0"/>
      <w:marBottom w:val="0"/>
      <w:divBdr>
        <w:top w:val="none" w:sz="0" w:space="0" w:color="auto"/>
        <w:left w:val="none" w:sz="0" w:space="0" w:color="auto"/>
        <w:bottom w:val="none" w:sz="0" w:space="0" w:color="auto"/>
        <w:right w:val="none" w:sz="0" w:space="0" w:color="auto"/>
      </w:divBdr>
    </w:div>
    <w:div w:id="793910835">
      <w:bodyDiv w:val="1"/>
      <w:marLeft w:val="0"/>
      <w:marRight w:val="0"/>
      <w:marTop w:val="0"/>
      <w:marBottom w:val="0"/>
      <w:divBdr>
        <w:top w:val="none" w:sz="0" w:space="0" w:color="auto"/>
        <w:left w:val="none" w:sz="0" w:space="0" w:color="auto"/>
        <w:bottom w:val="none" w:sz="0" w:space="0" w:color="auto"/>
        <w:right w:val="none" w:sz="0" w:space="0" w:color="auto"/>
      </w:divBdr>
      <w:divsChild>
        <w:div w:id="870920547">
          <w:marLeft w:val="0"/>
          <w:marRight w:val="0"/>
          <w:marTop w:val="0"/>
          <w:marBottom w:val="0"/>
          <w:divBdr>
            <w:top w:val="none" w:sz="0" w:space="0" w:color="auto"/>
            <w:left w:val="none" w:sz="0" w:space="0" w:color="auto"/>
            <w:bottom w:val="none" w:sz="0" w:space="0" w:color="auto"/>
            <w:right w:val="none" w:sz="0" w:space="0" w:color="auto"/>
          </w:divBdr>
          <w:divsChild>
            <w:div w:id="199322456">
              <w:marLeft w:val="0"/>
              <w:marRight w:val="0"/>
              <w:marTop w:val="0"/>
              <w:marBottom w:val="0"/>
              <w:divBdr>
                <w:top w:val="none" w:sz="0" w:space="0" w:color="auto"/>
                <w:left w:val="none" w:sz="0" w:space="0" w:color="auto"/>
                <w:bottom w:val="none" w:sz="0" w:space="0" w:color="auto"/>
                <w:right w:val="none" w:sz="0" w:space="0" w:color="auto"/>
              </w:divBdr>
              <w:divsChild>
                <w:div w:id="16017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047558">
      <w:bodyDiv w:val="1"/>
      <w:marLeft w:val="0"/>
      <w:marRight w:val="0"/>
      <w:marTop w:val="0"/>
      <w:marBottom w:val="0"/>
      <w:divBdr>
        <w:top w:val="none" w:sz="0" w:space="0" w:color="auto"/>
        <w:left w:val="none" w:sz="0" w:space="0" w:color="auto"/>
        <w:bottom w:val="none" w:sz="0" w:space="0" w:color="auto"/>
        <w:right w:val="none" w:sz="0" w:space="0" w:color="auto"/>
      </w:divBdr>
    </w:div>
    <w:div w:id="807089811">
      <w:bodyDiv w:val="1"/>
      <w:marLeft w:val="0"/>
      <w:marRight w:val="0"/>
      <w:marTop w:val="0"/>
      <w:marBottom w:val="0"/>
      <w:divBdr>
        <w:top w:val="none" w:sz="0" w:space="0" w:color="auto"/>
        <w:left w:val="none" w:sz="0" w:space="0" w:color="auto"/>
        <w:bottom w:val="none" w:sz="0" w:space="0" w:color="auto"/>
        <w:right w:val="none" w:sz="0" w:space="0" w:color="auto"/>
      </w:divBdr>
      <w:divsChild>
        <w:div w:id="261765739">
          <w:marLeft w:val="0"/>
          <w:marRight w:val="0"/>
          <w:marTop w:val="0"/>
          <w:marBottom w:val="0"/>
          <w:divBdr>
            <w:top w:val="none" w:sz="0" w:space="0" w:color="auto"/>
            <w:left w:val="none" w:sz="0" w:space="0" w:color="auto"/>
            <w:bottom w:val="none" w:sz="0" w:space="0" w:color="auto"/>
            <w:right w:val="none" w:sz="0" w:space="0" w:color="auto"/>
          </w:divBdr>
          <w:divsChild>
            <w:div w:id="1913273565">
              <w:marLeft w:val="0"/>
              <w:marRight w:val="0"/>
              <w:marTop w:val="0"/>
              <w:marBottom w:val="0"/>
              <w:divBdr>
                <w:top w:val="none" w:sz="0" w:space="0" w:color="auto"/>
                <w:left w:val="none" w:sz="0" w:space="0" w:color="auto"/>
                <w:bottom w:val="none" w:sz="0" w:space="0" w:color="auto"/>
                <w:right w:val="none" w:sz="0" w:space="0" w:color="auto"/>
              </w:divBdr>
              <w:divsChild>
                <w:div w:id="10473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80393">
      <w:bodyDiv w:val="1"/>
      <w:marLeft w:val="0"/>
      <w:marRight w:val="0"/>
      <w:marTop w:val="0"/>
      <w:marBottom w:val="0"/>
      <w:divBdr>
        <w:top w:val="none" w:sz="0" w:space="0" w:color="auto"/>
        <w:left w:val="none" w:sz="0" w:space="0" w:color="auto"/>
        <w:bottom w:val="none" w:sz="0" w:space="0" w:color="auto"/>
        <w:right w:val="none" w:sz="0" w:space="0" w:color="auto"/>
      </w:divBdr>
    </w:div>
    <w:div w:id="822508632">
      <w:bodyDiv w:val="1"/>
      <w:marLeft w:val="0"/>
      <w:marRight w:val="0"/>
      <w:marTop w:val="0"/>
      <w:marBottom w:val="0"/>
      <w:divBdr>
        <w:top w:val="none" w:sz="0" w:space="0" w:color="auto"/>
        <w:left w:val="none" w:sz="0" w:space="0" w:color="auto"/>
        <w:bottom w:val="none" w:sz="0" w:space="0" w:color="auto"/>
        <w:right w:val="none" w:sz="0" w:space="0" w:color="auto"/>
      </w:divBdr>
    </w:div>
    <w:div w:id="824668114">
      <w:bodyDiv w:val="1"/>
      <w:marLeft w:val="0"/>
      <w:marRight w:val="0"/>
      <w:marTop w:val="0"/>
      <w:marBottom w:val="0"/>
      <w:divBdr>
        <w:top w:val="none" w:sz="0" w:space="0" w:color="auto"/>
        <w:left w:val="none" w:sz="0" w:space="0" w:color="auto"/>
        <w:bottom w:val="none" w:sz="0" w:space="0" w:color="auto"/>
        <w:right w:val="none" w:sz="0" w:space="0" w:color="auto"/>
      </w:divBdr>
      <w:divsChild>
        <w:div w:id="453640246">
          <w:marLeft w:val="0"/>
          <w:marRight w:val="0"/>
          <w:marTop w:val="0"/>
          <w:marBottom w:val="0"/>
          <w:divBdr>
            <w:top w:val="none" w:sz="0" w:space="0" w:color="auto"/>
            <w:left w:val="none" w:sz="0" w:space="0" w:color="auto"/>
            <w:bottom w:val="none" w:sz="0" w:space="0" w:color="auto"/>
            <w:right w:val="none" w:sz="0" w:space="0" w:color="auto"/>
          </w:divBdr>
          <w:divsChild>
            <w:div w:id="211161810">
              <w:marLeft w:val="0"/>
              <w:marRight w:val="0"/>
              <w:marTop w:val="0"/>
              <w:marBottom w:val="0"/>
              <w:divBdr>
                <w:top w:val="none" w:sz="0" w:space="0" w:color="auto"/>
                <w:left w:val="none" w:sz="0" w:space="0" w:color="auto"/>
                <w:bottom w:val="none" w:sz="0" w:space="0" w:color="auto"/>
                <w:right w:val="none" w:sz="0" w:space="0" w:color="auto"/>
              </w:divBdr>
              <w:divsChild>
                <w:div w:id="1493182917">
                  <w:marLeft w:val="0"/>
                  <w:marRight w:val="0"/>
                  <w:marTop w:val="0"/>
                  <w:marBottom w:val="0"/>
                  <w:divBdr>
                    <w:top w:val="none" w:sz="0" w:space="0" w:color="auto"/>
                    <w:left w:val="none" w:sz="0" w:space="0" w:color="auto"/>
                    <w:bottom w:val="none" w:sz="0" w:space="0" w:color="auto"/>
                    <w:right w:val="none" w:sz="0" w:space="0" w:color="auto"/>
                  </w:divBdr>
                  <w:divsChild>
                    <w:div w:id="1651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525260">
      <w:bodyDiv w:val="1"/>
      <w:marLeft w:val="0"/>
      <w:marRight w:val="0"/>
      <w:marTop w:val="0"/>
      <w:marBottom w:val="0"/>
      <w:divBdr>
        <w:top w:val="none" w:sz="0" w:space="0" w:color="auto"/>
        <w:left w:val="none" w:sz="0" w:space="0" w:color="auto"/>
        <w:bottom w:val="none" w:sz="0" w:space="0" w:color="auto"/>
        <w:right w:val="none" w:sz="0" w:space="0" w:color="auto"/>
      </w:divBdr>
      <w:divsChild>
        <w:div w:id="1140685360">
          <w:marLeft w:val="0"/>
          <w:marRight w:val="0"/>
          <w:marTop w:val="0"/>
          <w:marBottom w:val="0"/>
          <w:divBdr>
            <w:top w:val="none" w:sz="0" w:space="0" w:color="auto"/>
            <w:left w:val="none" w:sz="0" w:space="0" w:color="auto"/>
            <w:bottom w:val="none" w:sz="0" w:space="0" w:color="auto"/>
            <w:right w:val="none" w:sz="0" w:space="0" w:color="auto"/>
          </w:divBdr>
          <w:divsChild>
            <w:div w:id="2049908203">
              <w:marLeft w:val="0"/>
              <w:marRight w:val="0"/>
              <w:marTop w:val="0"/>
              <w:marBottom w:val="0"/>
              <w:divBdr>
                <w:top w:val="none" w:sz="0" w:space="0" w:color="auto"/>
                <w:left w:val="none" w:sz="0" w:space="0" w:color="auto"/>
                <w:bottom w:val="none" w:sz="0" w:space="0" w:color="auto"/>
                <w:right w:val="none" w:sz="0" w:space="0" w:color="auto"/>
              </w:divBdr>
              <w:divsChild>
                <w:div w:id="4076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20297">
      <w:bodyDiv w:val="1"/>
      <w:marLeft w:val="0"/>
      <w:marRight w:val="0"/>
      <w:marTop w:val="0"/>
      <w:marBottom w:val="0"/>
      <w:divBdr>
        <w:top w:val="none" w:sz="0" w:space="0" w:color="auto"/>
        <w:left w:val="none" w:sz="0" w:space="0" w:color="auto"/>
        <w:bottom w:val="none" w:sz="0" w:space="0" w:color="auto"/>
        <w:right w:val="none" w:sz="0" w:space="0" w:color="auto"/>
      </w:divBdr>
    </w:div>
    <w:div w:id="846285213">
      <w:bodyDiv w:val="1"/>
      <w:marLeft w:val="0"/>
      <w:marRight w:val="0"/>
      <w:marTop w:val="0"/>
      <w:marBottom w:val="0"/>
      <w:divBdr>
        <w:top w:val="none" w:sz="0" w:space="0" w:color="auto"/>
        <w:left w:val="none" w:sz="0" w:space="0" w:color="auto"/>
        <w:bottom w:val="none" w:sz="0" w:space="0" w:color="auto"/>
        <w:right w:val="none" w:sz="0" w:space="0" w:color="auto"/>
      </w:divBdr>
      <w:divsChild>
        <w:div w:id="1851337015">
          <w:marLeft w:val="0"/>
          <w:marRight w:val="0"/>
          <w:marTop w:val="0"/>
          <w:marBottom w:val="0"/>
          <w:divBdr>
            <w:top w:val="none" w:sz="0" w:space="0" w:color="auto"/>
            <w:left w:val="none" w:sz="0" w:space="0" w:color="auto"/>
            <w:bottom w:val="none" w:sz="0" w:space="0" w:color="auto"/>
            <w:right w:val="none" w:sz="0" w:space="0" w:color="auto"/>
          </w:divBdr>
          <w:divsChild>
            <w:div w:id="2010212806">
              <w:marLeft w:val="0"/>
              <w:marRight w:val="0"/>
              <w:marTop w:val="0"/>
              <w:marBottom w:val="0"/>
              <w:divBdr>
                <w:top w:val="none" w:sz="0" w:space="0" w:color="auto"/>
                <w:left w:val="none" w:sz="0" w:space="0" w:color="auto"/>
                <w:bottom w:val="none" w:sz="0" w:space="0" w:color="auto"/>
                <w:right w:val="none" w:sz="0" w:space="0" w:color="auto"/>
              </w:divBdr>
              <w:divsChild>
                <w:div w:id="18146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88397">
      <w:bodyDiv w:val="1"/>
      <w:marLeft w:val="0"/>
      <w:marRight w:val="0"/>
      <w:marTop w:val="0"/>
      <w:marBottom w:val="0"/>
      <w:divBdr>
        <w:top w:val="none" w:sz="0" w:space="0" w:color="auto"/>
        <w:left w:val="none" w:sz="0" w:space="0" w:color="auto"/>
        <w:bottom w:val="none" w:sz="0" w:space="0" w:color="auto"/>
        <w:right w:val="none" w:sz="0" w:space="0" w:color="auto"/>
      </w:divBdr>
    </w:div>
    <w:div w:id="853035625">
      <w:bodyDiv w:val="1"/>
      <w:marLeft w:val="0"/>
      <w:marRight w:val="0"/>
      <w:marTop w:val="0"/>
      <w:marBottom w:val="0"/>
      <w:divBdr>
        <w:top w:val="none" w:sz="0" w:space="0" w:color="auto"/>
        <w:left w:val="none" w:sz="0" w:space="0" w:color="auto"/>
        <w:bottom w:val="none" w:sz="0" w:space="0" w:color="auto"/>
        <w:right w:val="none" w:sz="0" w:space="0" w:color="auto"/>
      </w:divBdr>
    </w:div>
    <w:div w:id="873539217">
      <w:bodyDiv w:val="1"/>
      <w:marLeft w:val="0"/>
      <w:marRight w:val="0"/>
      <w:marTop w:val="0"/>
      <w:marBottom w:val="0"/>
      <w:divBdr>
        <w:top w:val="none" w:sz="0" w:space="0" w:color="auto"/>
        <w:left w:val="none" w:sz="0" w:space="0" w:color="auto"/>
        <w:bottom w:val="none" w:sz="0" w:space="0" w:color="auto"/>
        <w:right w:val="none" w:sz="0" w:space="0" w:color="auto"/>
      </w:divBdr>
    </w:div>
    <w:div w:id="879710710">
      <w:bodyDiv w:val="1"/>
      <w:marLeft w:val="0"/>
      <w:marRight w:val="0"/>
      <w:marTop w:val="0"/>
      <w:marBottom w:val="0"/>
      <w:divBdr>
        <w:top w:val="none" w:sz="0" w:space="0" w:color="auto"/>
        <w:left w:val="none" w:sz="0" w:space="0" w:color="auto"/>
        <w:bottom w:val="none" w:sz="0" w:space="0" w:color="auto"/>
        <w:right w:val="none" w:sz="0" w:space="0" w:color="auto"/>
      </w:divBdr>
      <w:divsChild>
        <w:div w:id="526337377">
          <w:marLeft w:val="0"/>
          <w:marRight w:val="0"/>
          <w:marTop w:val="0"/>
          <w:marBottom w:val="0"/>
          <w:divBdr>
            <w:top w:val="none" w:sz="0" w:space="0" w:color="auto"/>
            <w:left w:val="none" w:sz="0" w:space="0" w:color="auto"/>
            <w:bottom w:val="none" w:sz="0" w:space="0" w:color="auto"/>
            <w:right w:val="none" w:sz="0" w:space="0" w:color="auto"/>
          </w:divBdr>
          <w:divsChild>
            <w:div w:id="1931573988">
              <w:marLeft w:val="0"/>
              <w:marRight w:val="0"/>
              <w:marTop w:val="0"/>
              <w:marBottom w:val="0"/>
              <w:divBdr>
                <w:top w:val="none" w:sz="0" w:space="0" w:color="auto"/>
                <w:left w:val="none" w:sz="0" w:space="0" w:color="auto"/>
                <w:bottom w:val="none" w:sz="0" w:space="0" w:color="auto"/>
                <w:right w:val="none" w:sz="0" w:space="0" w:color="auto"/>
              </w:divBdr>
              <w:divsChild>
                <w:div w:id="10525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89454">
      <w:bodyDiv w:val="1"/>
      <w:marLeft w:val="0"/>
      <w:marRight w:val="0"/>
      <w:marTop w:val="0"/>
      <w:marBottom w:val="0"/>
      <w:divBdr>
        <w:top w:val="none" w:sz="0" w:space="0" w:color="auto"/>
        <w:left w:val="none" w:sz="0" w:space="0" w:color="auto"/>
        <w:bottom w:val="none" w:sz="0" w:space="0" w:color="auto"/>
        <w:right w:val="none" w:sz="0" w:space="0" w:color="auto"/>
      </w:divBdr>
    </w:div>
    <w:div w:id="890850671">
      <w:bodyDiv w:val="1"/>
      <w:marLeft w:val="0"/>
      <w:marRight w:val="0"/>
      <w:marTop w:val="0"/>
      <w:marBottom w:val="0"/>
      <w:divBdr>
        <w:top w:val="none" w:sz="0" w:space="0" w:color="auto"/>
        <w:left w:val="none" w:sz="0" w:space="0" w:color="auto"/>
        <w:bottom w:val="none" w:sz="0" w:space="0" w:color="auto"/>
        <w:right w:val="none" w:sz="0" w:space="0" w:color="auto"/>
      </w:divBdr>
    </w:div>
    <w:div w:id="891313097">
      <w:bodyDiv w:val="1"/>
      <w:marLeft w:val="0"/>
      <w:marRight w:val="0"/>
      <w:marTop w:val="0"/>
      <w:marBottom w:val="0"/>
      <w:divBdr>
        <w:top w:val="none" w:sz="0" w:space="0" w:color="auto"/>
        <w:left w:val="none" w:sz="0" w:space="0" w:color="auto"/>
        <w:bottom w:val="none" w:sz="0" w:space="0" w:color="auto"/>
        <w:right w:val="none" w:sz="0" w:space="0" w:color="auto"/>
      </w:divBdr>
      <w:divsChild>
        <w:div w:id="776757239">
          <w:marLeft w:val="0"/>
          <w:marRight w:val="0"/>
          <w:marTop w:val="0"/>
          <w:marBottom w:val="0"/>
          <w:divBdr>
            <w:top w:val="none" w:sz="0" w:space="0" w:color="auto"/>
            <w:left w:val="none" w:sz="0" w:space="0" w:color="auto"/>
            <w:bottom w:val="none" w:sz="0" w:space="0" w:color="auto"/>
            <w:right w:val="none" w:sz="0" w:space="0" w:color="auto"/>
          </w:divBdr>
          <w:divsChild>
            <w:div w:id="1889759808">
              <w:marLeft w:val="0"/>
              <w:marRight w:val="0"/>
              <w:marTop w:val="0"/>
              <w:marBottom w:val="0"/>
              <w:divBdr>
                <w:top w:val="none" w:sz="0" w:space="0" w:color="auto"/>
                <w:left w:val="none" w:sz="0" w:space="0" w:color="auto"/>
                <w:bottom w:val="none" w:sz="0" w:space="0" w:color="auto"/>
                <w:right w:val="none" w:sz="0" w:space="0" w:color="auto"/>
              </w:divBdr>
              <w:divsChild>
                <w:div w:id="126222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355417">
      <w:bodyDiv w:val="1"/>
      <w:marLeft w:val="0"/>
      <w:marRight w:val="0"/>
      <w:marTop w:val="0"/>
      <w:marBottom w:val="0"/>
      <w:divBdr>
        <w:top w:val="none" w:sz="0" w:space="0" w:color="auto"/>
        <w:left w:val="none" w:sz="0" w:space="0" w:color="auto"/>
        <w:bottom w:val="none" w:sz="0" w:space="0" w:color="auto"/>
        <w:right w:val="none" w:sz="0" w:space="0" w:color="auto"/>
      </w:divBdr>
    </w:div>
    <w:div w:id="921262482">
      <w:bodyDiv w:val="1"/>
      <w:marLeft w:val="0"/>
      <w:marRight w:val="0"/>
      <w:marTop w:val="0"/>
      <w:marBottom w:val="0"/>
      <w:divBdr>
        <w:top w:val="none" w:sz="0" w:space="0" w:color="auto"/>
        <w:left w:val="none" w:sz="0" w:space="0" w:color="auto"/>
        <w:bottom w:val="none" w:sz="0" w:space="0" w:color="auto"/>
        <w:right w:val="none" w:sz="0" w:space="0" w:color="auto"/>
      </w:divBdr>
      <w:divsChild>
        <w:div w:id="1765881911">
          <w:marLeft w:val="0"/>
          <w:marRight w:val="0"/>
          <w:marTop w:val="0"/>
          <w:marBottom w:val="0"/>
          <w:divBdr>
            <w:top w:val="none" w:sz="0" w:space="0" w:color="auto"/>
            <w:left w:val="none" w:sz="0" w:space="0" w:color="auto"/>
            <w:bottom w:val="none" w:sz="0" w:space="0" w:color="auto"/>
            <w:right w:val="none" w:sz="0" w:space="0" w:color="auto"/>
          </w:divBdr>
          <w:divsChild>
            <w:div w:id="517546176">
              <w:marLeft w:val="0"/>
              <w:marRight w:val="0"/>
              <w:marTop w:val="0"/>
              <w:marBottom w:val="0"/>
              <w:divBdr>
                <w:top w:val="none" w:sz="0" w:space="0" w:color="auto"/>
                <w:left w:val="none" w:sz="0" w:space="0" w:color="auto"/>
                <w:bottom w:val="none" w:sz="0" w:space="0" w:color="auto"/>
                <w:right w:val="none" w:sz="0" w:space="0" w:color="auto"/>
              </w:divBdr>
              <w:divsChild>
                <w:div w:id="52973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244926">
      <w:bodyDiv w:val="1"/>
      <w:marLeft w:val="0"/>
      <w:marRight w:val="0"/>
      <w:marTop w:val="0"/>
      <w:marBottom w:val="0"/>
      <w:divBdr>
        <w:top w:val="none" w:sz="0" w:space="0" w:color="auto"/>
        <w:left w:val="none" w:sz="0" w:space="0" w:color="auto"/>
        <w:bottom w:val="none" w:sz="0" w:space="0" w:color="auto"/>
        <w:right w:val="none" w:sz="0" w:space="0" w:color="auto"/>
      </w:divBdr>
      <w:divsChild>
        <w:div w:id="2056925706">
          <w:marLeft w:val="0"/>
          <w:marRight w:val="0"/>
          <w:marTop w:val="0"/>
          <w:marBottom w:val="0"/>
          <w:divBdr>
            <w:top w:val="none" w:sz="0" w:space="0" w:color="auto"/>
            <w:left w:val="none" w:sz="0" w:space="0" w:color="auto"/>
            <w:bottom w:val="none" w:sz="0" w:space="0" w:color="auto"/>
            <w:right w:val="none" w:sz="0" w:space="0" w:color="auto"/>
          </w:divBdr>
          <w:divsChild>
            <w:div w:id="1013647050">
              <w:marLeft w:val="0"/>
              <w:marRight w:val="0"/>
              <w:marTop w:val="0"/>
              <w:marBottom w:val="0"/>
              <w:divBdr>
                <w:top w:val="none" w:sz="0" w:space="0" w:color="auto"/>
                <w:left w:val="none" w:sz="0" w:space="0" w:color="auto"/>
                <w:bottom w:val="none" w:sz="0" w:space="0" w:color="auto"/>
                <w:right w:val="none" w:sz="0" w:space="0" w:color="auto"/>
              </w:divBdr>
              <w:divsChild>
                <w:div w:id="774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03424">
      <w:bodyDiv w:val="1"/>
      <w:marLeft w:val="0"/>
      <w:marRight w:val="0"/>
      <w:marTop w:val="0"/>
      <w:marBottom w:val="0"/>
      <w:divBdr>
        <w:top w:val="none" w:sz="0" w:space="0" w:color="auto"/>
        <w:left w:val="none" w:sz="0" w:space="0" w:color="auto"/>
        <w:bottom w:val="none" w:sz="0" w:space="0" w:color="auto"/>
        <w:right w:val="none" w:sz="0" w:space="0" w:color="auto"/>
      </w:divBdr>
    </w:div>
    <w:div w:id="963383768">
      <w:bodyDiv w:val="1"/>
      <w:marLeft w:val="0"/>
      <w:marRight w:val="0"/>
      <w:marTop w:val="0"/>
      <w:marBottom w:val="0"/>
      <w:divBdr>
        <w:top w:val="none" w:sz="0" w:space="0" w:color="auto"/>
        <w:left w:val="none" w:sz="0" w:space="0" w:color="auto"/>
        <w:bottom w:val="none" w:sz="0" w:space="0" w:color="auto"/>
        <w:right w:val="none" w:sz="0" w:space="0" w:color="auto"/>
      </w:divBdr>
    </w:div>
    <w:div w:id="977370418">
      <w:bodyDiv w:val="1"/>
      <w:marLeft w:val="0"/>
      <w:marRight w:val="0"/>
      <w:marTop w:val="0"/>
      <w:marBottom w:val="0"/>
      <w:divBdr>
        <w:top w:val="none" w:sz="0" w:space="0" w:color="auto"/>
        <w:left w:val="none" w:sz="0" w:space="0" w:color="auto"/>
        <w:bottom w:val="none" w:sz="0" w:space="0" w:color="auto"/>
        <w:right w:val="none" w:sz="0" w:space="0" w:color="auto"/>
      </w:divBdr>
    </w:div>
    <w:div w:id="995495018">
      <w:bodyDiv w:val="1"/>
      <w:marLeft w:val="0"/>
      <w:marRight w:val="0"/>
      <w:marTop w:val="0"/>
      <w:marBottom w:val="0"/>
      <w:divBdr>
        <w:top w:val="none" w:sz="0" w:space="0" w:color="auto"/>
        <w:left w:val="none" w:sz="0" w:space="0" w:color="auto"/>
        <w:bottom w:val="none" w:sz="0" w:space="0" w:color="auto"/>
        <w:right w:val="none" w:sz="0" w:space="0" w:color="auto"/>
      </w:divBdr>
    </w:div>
    <w:div w:id="1011252078">
      <w:bodyDiv w:val="1"/>
      <w:marLeft w:val="0"/>
      <w:marRight w:val="0"/>
      <w:marTop w:val="0"/>
      <w:marBottom w:val="0"/>
      <w:divBdr>
        <w:top w:val="none" w:sz="0" w:space="0" w:color="auto"/>
        <w:left w:val="none" w:sz="0" w:space="0" w:color="auto"/>
        <w:bottom w:val="none" w:sz="0" w:space="0" w:color="auto"/>
        <w:right w:val="none" w:sz="0" w:space="0" w:color="auto"/>
      </w:divBdr>
      <w:divsChild>
        <w:div w:id="81535594">
          <w:marLeft w:val="0"/>
          <w:marRight w:val="0"/>
          <w:marTop w:val="0"/>
          <w:marBottom w:val="0"/>
          <w:divBdr>
            <w:top w:val="none" w:sz="0" w:space="0" w:color="auto"/>
            <w:left w:val="none" w:sz="0" w:space="0" w:color="auto"/>
            <w:bottom w:val="none" w:sz="0" w:space="0" w:color="auto"/>
            <w:right w:val="none" w:sz="0" w:space="0" w:color="auto"/>
          </w:divBdr>
          <w:divsChild>
            <w:div w:id="1329140974">
              <w:marLeft w:val="0"/>
              <w:marRight w:val="0"/>
              <w:marTop w:val="0"/>
              <w:marBottom w:val="0"/>
              <w:divBdr>
                <w:top w:val="none" w:sz="0" w:space="0" w:color="auto"/>
                <w:left w:val="none" w:sz="0" w:space="0" w:color="auto"/>
                <w:bottom w:val="none" w:sz="0" w:space="0" w:color="auto"/>
                <w:right w:val="none" w:sz="0" w:space="0" w:color="auto"/>
              </w:divBdr>
              <w:divsChild>
                <w:div w:id="150709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93410">
      <w:bodyDiv w:val="1"/>
      <w:marLeft w:val="0"/>
      <w:marRight w:val="0"/>
      <w:marTop w:val="0"/>
      <w:marBottom w:val="0"/>
      <w:divBdr>
        <w:top w:val="none" w:sz="0" w:space="0" w:color="auto"/>
        <w:left w:val="none" w:sz="0" w:space="0" w:color="auto"/>
        <w:bottom w:val="none" w:sz="0" w:space="0" w:color="auto"/>
        <w:right w:val="none" w:sz="0" w:space="0" w:color="auto"/>
      </w:divBdr>
      <w:divsChild>
        <w:div w:id="1681393082">
          <w:marLeft w:val="0"/>
          <w:marRight w:val="0"/>
          <w:marTop w:val="0"/>
          <w:marBottom w:val="0"/>
          <w:divBdr>
            <w:top w:val="none" w:sz="0" w:space="0" w:color="auto"/>
            <w:left w:val="none" w:sz="0" w:space="0" w:color="auto"/>
            <w:bottom w:val="none" w:sz="0" w:space="0" w:color="auto"/>
            <w:right w:val="none" w:sz="0" w:space="0" w:color="auto"/>
          </w:divBdr>
          <w:divsChild>
            <w:div w:id="1309892961">
              <w:marLeft w:val="0"/>
              <w:marRight w:val="0"/>
              <w:marTop w:val="0"/>
              <w:marBottom w:val="0"/>
              <w:divBdr>
                <w:top w:val="none" w:sz="0" w:space="0" w:color="auto"/>
                <w:left w:val="none" w:sz="0" w:space="0" w:color="auto"/>
                <w:bottom w:val="none" w:sz="0" w:space="0" w:color="auto"/>
                <w:right w:val="none" w:sz="0" w:space="0" w:color="auto"/>
              </w:divBdr>
              <w:divsChild>
                <w:div w:id="14194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30712">
      <w:bodyDiv w:val="1"/>
      <w:marLeft w:val="0"/>
      <w:marRight w:val="0"/>
      <w:marTop w:val="0"/>
      <w:marBottom w:val="0"/>
      <w:divBdr>
        <w:top w:val="none" w:sz="0" w:space="0" w:color="auto"/>
        <w:left w:val="none" w:sz="0" w:space="0" w:color="auto"/>
        <w:bottom w:val="none" w:sz="0" w:space="0" w:color="auto"/>
        <w:right w:val="none" w:sz="0" w:space="0" w:color="auto"/>
      </w:divBdr>
      <w:divsChild>
        <w:div w:id="599728338">
          <w:marLeft w:val="0"/>
          <w:marRight w:val="0"/>
          <w:marTop w:val="0"/>
          <w:marBottom w:val="0"/>
          <w:divBdr>
            <w:top w:val="none" w:sz="0" w:space="0" w:color="auto"/>
            <w:left w:val="none" w:sz="0" w:space="0" w:color="auto"/>
            <w:bottom w:val="none" w:sz="0" w:space="0" w:color="auto"/>
            <w:right w:val="none" w:sz="0" w:space="0" w:color="auto"/>
          </w:divBdr>
          <w:divsChild>
            <w:div w:id="1731883594">
              <w:marLeft w:val="0"/>
              <w:marRight w:val="0"/>
              <w:marTop w:val="0"/>
              <w:marBottom w:val="0"/>
              <w:divBdr>
                <w:top w:val="none" w:sz="0" w:space="0" w:color="auto"/>
                <w:left w:val="none" w:sz="0" w:space="0" w:color="auto"/>
                <w:bottom w:val="none" w:sz="0" w:space="0" w:color="auto"/>
                <w:right w:val="none" w:sz="0" w:space="0" w:color="auto"/>
              </w:divBdr>
              <w:divsChild>
                <w:div w:id="894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202278">
      <w:bodyDiv w:val="1"/>
      <w:marLeft w:val="0"/>
      <w:marRight w:val="0"/>
      <w:marTop w:val="0"/>
      <w:marBottom w:val="0"/>
      <w:divBdr>
        <w:top w:val="none" w:sz="0" w:space="0" w:color="auto"/>
        <w:left w:val="none" w:sz="0" w:space="0" w:color="auto"/>
        <w:bottom w:val="none" w:sz="0" w:space="0" w:color="auto"/>
        <w:right w:val="none" w:sz="0" w:space="0" w:color="auto"/>
      </w:divBdr>
      <w:divsChild>
        <w:div w:id="1997295453">
          <w:marLeft w:val="0"/>
          <w:marRight w:val="0"/>
          <w:marTop w:val="0"/>
          <w:marBottom w:val="0"/>
          <w:divBdr>
            <w:top w:val="none" w:sz="0" w:space="0" w:color="auto"/>
            <w:left w:val="none" w:sz="0" w:space="0" w:color="auto"/>
            <w:bottom w:val="none" w:sz="0" w:space="0" w:color="auto"/>
            <w:right w:val="none" w:sz="0" w:space="0" w:color="auto"/>
          </w:divBdr>
          <w:divsChild>
            <w:div w:id="1003123857">
              <w:marLeft w:val="0"/>
              <w:marRight w:val="0"/>
              <w:marTop w:val="0"/>
              <w:marBottom w:val="0"/>
              <w:divBdr>
                <w:top w:val="none" w:sz="0" w:space="0" w:color="auto"/>
                <w:left w:val="none" w:sz="0" w:space="0" w:color="auto"/>
                <w:bottom w:val="none" w:sz="0" w:space="0" w:color="auto"/>
                <w:right w:val="none" w:sz="0" w:space="0" w:color="auto"/>
              </w:divBdr>
              <w:divsChild>
                <w:div w:id="96489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98096">
      <w:bodyDiv w:val="1"/>
      <w:marLeft w:val="0"/>
      <w:marRight w:val="0"/>
      <w:marTop w:val="0"/>
      <w:marBottom w:val="0"/>
      <w:divBdr>
        <w:top w:val="none" w:sz="0" w:space="0" w:color="auto"/>
        <w:left w:val="none" w:sz="0" w:space="0" w:color="auto"/>
        <w:bottom w:val="none" w:sz="0" w:space="0" w:color="auto"/>
        <w:right w:val="none" w:sz="0" w:space="0" w:color="auto"/>
      </w:divBdr>
    </w:div>
    <w:div w:id="1077630792">
      <w:bodyDiv w:val="1"/>
      <w:marLeft w:val="0"/>
      <w:marRight w:val="0"/>
      <w:marTop w:val="0"/>
      <w:marBottom w:val="0"/>
      <w:divBdr>
        <w:top w:val="none" w:sz="0" w:space="0" w:color="auto"/>
        <w:left w:val="none" w:sz="0" w:space="0" w:color="auto"/>
        <w:bottom w:val="none" w:sz="0" w:space="0" w:color="auto"/>
        <w:right w:val="none" w:sz="0" w:space="0" w:color="auto"/>
      </w:divBdr>
    </w:div>
    <w:div w:id="1082333422">
      <w:bodyDiv w:val="1"/>
      <w:marLeft w:val="0"/>
      <w:marRight w:val="0"/>
      <w:marTop w:val="0"/>
      <w:marBottom w:val="0"/>
      <w:divBdr>
        <w:top w:val="none" w:sz="0" w:space="0" w:color="auto"/>
        <w:left w:val="none" w:sz="0" w:space="0" w:color="auto"/>
        <w:bottom w:val="none" w:sz="0" w:space="0" w:color="auto"/>
        <w:right w:val="none" w:sz="0" w:space="0" w:color="auto"/>
      </w:divBdr>
      <w:divsChild>
        <w:div w:id="1803963142">
          <w:marLeft w:val="0"/>
          <w:marRight w:val="0"/>
          <w:marTop w:val="0"/>
          <w:marBottom w:val="0"/>
          <w:divBdr>
            <w:top w:val="none" w:sz="0" w:space="0" w:color="auto"/>
            <w:left w:val="none" w:sz="0" w:space="0" w:color="auto"/>
            <w:bottom w:val="none" w:sz="0" w:space="0" w:color="auto"/>
            <w:right w:val="none" w:sz="0" w:space="0" w:color="auto"/>
          </w:divBdr>
          <w:divsChild>
            <w:div w:id="2097289167">
              <w:marLeft w:val="0"/>
              <w:marRight w:val="0"/>
              <w:marTop w:val="0"/>
              <w:marBottom w:val="0"/>
              <w:divBdr>
                <w:top w:val="none" w:sz="0" w:space="0" w:color="auto"/>
                <w:left w:val="none" w:sz="0" w:space="0" w:color="auto"/>
                <w:bottom w:val="none" w:sz="0" w:space="0" w:color="auto"/>
                <w:right w:val="none" w:sz="0" w:space="0" w:color="auto"/>
              </w:divBdr>
              <w:divsChild>
                <w:div w:id="10350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161258">
      <w:bodyDiv w:val="1"/>
      <w:marLeft w:val="0"/>
      <w:marRight w:val="0"/>
      <w:marTop w:val="0"/>
      <w:marBottom w:val="0"/>
      <w:divBdr>
        <w:top w:val="none" w:sz="0" w:space="0" w:color="auto"/>
        <w:left w:val="none" w:sz="0" w:space="0" w:color="auto"/>
        <w:bottom w:val="none" w:sz="0" w:space="0" w:color="auto"/>
        <w:right w:val="none" w:sz="0" w:space="0" w:color="auto"/>
      </w:divBdr>
      <w:divsChild>
        <w:div w:id="1143039665">
          <w:marLeft w:val="0"/>
          <w:marRight w:val="0"/>
          <w:marTop w:val="0"/>
          <w:marBottom w:val="0"/>
          <w:divBdr>
            <w:top w:val="none" w:sz="0" w:space="0" w:color="auto"/>
            <w:left w:val="none" w:sz="0" w:space="0" w:color="auto"/>
            <w:bottom w:val="none" w:sz="0" w:space="0" w:color="auto"/>
            <w:right w:val="none" w:sz="0" w:space="0" w:color="auto"/>
          </w:divBdr>
          <w:divsChild>
            <w:div w:id="686103489">
              <w:marLeft w:val="0"/>
              <w:marRight w:val="0"/>
              <w:marTop w:val="0"/>
              <w:marBottom w:val="0"/>
              <w:divBdr>
                <w:top w:val="none" w:sz="0" w:space="0" w:color="auto"/>
                <w:left w:val="none" w:sz="0" w:space="0" w:color="auto"/>
                <w:bottom w:val="none" w:sz="0" w:space="0" w:color="auto"/>
                <w:right w:val="none" w:sz="0" w:space="0" w:color="auto"/>
              </w:divBdr>
              <w:divsChild>
                <w:div w:id="53936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875632">
      <w:bodyDiv w:val="1"/>
      <w:marLeft w:val="0"/>
      <w:marRight w:val="0"/>
      <w:marTop w:val="0"/>
      <w:marBottom w:val="0"/>
      <w:divBdr>
        <w:top w:val="none" w:sz="0" w:space="0" w:color="auto"/>
        <w:left w:val="none" w:sz="0" w:space="0" w:color="auto"/>
        <w:bottom w:val="none" w:sz="0" w:space="0" w:color="auto"/>
        <w:right w:val="none" w:sz="0" w:space="0" w:color="auto"/>
      </w:divBdr>
      <w:divsChild>
        <w:div w:id="531580688">
          <w:marLeft w:val="0"/>
          <w:marRight w:val="0"/>
          <w:marTop w:val="0"/>
          <w:marBottom w:val="0"/>
          <w:divBdr>
            <w:top w:val="none" w:sz="0" w:space="0" w:color="auto"/>
            <w:left w:val="none" w:sz="0" w:space="0" w:color="auto"/>
            <w:bottom w:val="none" w:sz="0" w:space="0" w:color="auto"/>
            <w:right w:val="none" w:sz="0" w:space="0" w:color="auto"/>
          </w:divBdr>
          <w:divsChild>
            <w:div w:id="74909777">
              <w:marLeft w:val="0"/>
              <w:marRight w:val="0"/>
              <w:marTop w:val="0"/>
              <w:marBottom w:val="0"/>
              <w:divBdr>
                <w:top w:val="none" w:sz="0" w:space="0" w:color="auto"/>
                <w:left w:val="none" w:sz="0" w:space="0" w:color="auto"/>
                <w:bottom w:val="none" w:sz="0" w:space="0" w:color="auto"/>
                <w:right w:val="none" w:sz="0" w:space="0" w:color="auto"/>
              </w:divBdr>
              <w:divsChild>
                <w:div w:id="186478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93605">
      <w:bodyDiv w:val="1"/>
      <w:marLeft w:val="0"/>
      <w:marRight w:val="0"/>
      <w:marTop w:val="0"/>
      <w:marBottom w:val="0"/>
      <w:divBdr>
        <w:top w:val="none" w:sz="0" w:space="0" w:color="auto"/>
        <w:left w:val="none" w:sz="0" w:space="0" w:color="auto"/>
        <w:bottom w:val="none" w:sz="0" w:space="0" w:color="auto"/>
        <w:right w:val="none" w:sz="0" w:space="0" w:color="auto"/>
      </w:divBdr>
      <w:divsChild>
        <w:div w:id="1174225466">
          <w:marLeft w:val="0"/>
          <w:marRight w:val="0"/>
          <w:marTop w:val="0"/>
          <w:marBottom w:val="0"/>
          <w:divBdr>
            <w:top w:val="none" w:sz="0" w:space="0" w:color="auto"/>
            <w:left w:val="none" w:sz="0" w:space="0" w:color="auto"/>
            <w:bottom w:val="none" w:sz="0" w:space="0" w:color="auto"/>
            <w:right w:val="none" w:sz="0" w:space="0" w:color="auto"/>
          </w:divBdr>
          <w:divsChild>
            <w:div w:id="902520010">
              <w:marLeft w:val="0"/>
              <w:marRight w:val="0"/>
              <w:marTop w:val="0"/>
              <w:marBottom w:val="0"/>
              <w:divBdr>
                <w:top w:val="none" w:sz="0" w:space="0" w:color="auto"/>
                <w:left w:val="none" w:sz="0" w:space="0" w:color="auto"/>
                <w:bottom w:val="none" w:sz="0" w:space="0" w:color="auto"/>
                <w:right w:val="none" w:sz="0" w:space="0" w:color="auto"/>
              </w:divBdr>
              <w:divsChild>
                <w:div w:id="10775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85273">
      <w:bodyDiv w:val="1"/>
      <w:marLeft w:val="0"/>
      <w:marRight w:val="0"/>
      <w:marTop w:val="0"/>
      <w:marBottom w:val="0"/>
      <w:divBdr>
        <w:top w:val="none" w:sz="0" w:space="0" w:color="auto"/>
        <w:left w:val="none" w:sz="0" w:space="0" w:color="auto"/>
        <w:bottom w:val="none" w:sz="0" w:space="0" w:color="auto"/>
        <w:right w:val="none" w:sz="0" w:space="0" w:color="auto"/>
      </w:divBdr>
      <w:divsChild>
        <w:div w:id="1774283001">
          <w:marLeft w:val="0"/>
          <w:marRight w:val="0"/>
          <w:marTop w:val="0"/>
          <w:marBottom w:val="0"/>
          <w:divBdr>
            <w:top w:val="none" w:sz="0" w:space="0" w:color="auto"/>
            <w:left w:val="none" w:sz="0" w:space="0" w:color="auto"/>
            <w:bottom w:val="none" w:sz="0" w:space="0" w:color="auto"/>
            <w:right w:val="none" w:sz="0" w:space="0" w:color="auto"/>
          </w:divBdr>
          <w:divsChild>
            <w:div w:id="1285035749">
              <w:marLeft w:val="0"/>
              <w:marRight w:val="0"/>
              <w:marTop w:val="0"/>
              <w:marBottom w:val="0"/>
              <w:divBdr>
                <w:top w:val="none" w:sz="0" w:space="0" w:color="auto"/>
                <w:left w:val="none" w:sz="0" w:space="0" w:color="auto"/>
                <w:bottom w:val="none" w:sz="0" w:space="0" w:color="auto"/>
                <w:right w:val="none" w:sz="0" w:space="0" w:color="auto"/>
              </w:divBdr>
              <w:divsChild>
                <w:div w:id="201183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3909">
      <w:bodyDiv w:val="1"/>
      <w:marLeft w:val="0"/>
      <w:marRight w:val="0"/>
      <w:marTop w:val="0"/>
      <w:marBottom w:val="0"/>
      <w:divBdr>
        <w:top w:val="none" w:sz="0" w:space="0" w:color="auto"/>
        <w:left w:val="none" w:sz="0" w:space="0" w:color="auto"/>
        <w:bottom w:val="none" w:sz="0" w:space="0" w:color="auto"/>
        <w:right w:val="none" w:sz="0" w:space="0" w:color="auto"/>
      </w:divBdr>
      <w:divsChild>
        <w:div w:id="1689137741">
          <w:marLeft w:val="0"/>
          <w:marRight w:val="0"/>
          <w:marTop w:val="0"/>
          <w:marBottom w:val="0"/>
          <w:divBdr>
            <w:top w:val="none" w:sz="0" w:space="0" w:color="auto"/>
            <w:left w:val="none" w:sz="0" w:space="0" w:color="auto"/>
            <w:bottom w:val="none" w:sz="0" w:space="0" w:color="auto"/>
            <w:right w:val="none" w:sz="0" w:space="0" w:color="auto"/>
          </w:divBdr>
          <w:divsChild>
            <w:div w:id="867764574">
              <w:marLeft w:val="0"/>
              <w:marRight w:val="0"/>
              <w:marTop w:val="0"/>
              <w:marBottom w:val="0"/>
              <w:divBdr>
                <w:top w:val="none" w:sz="0" w:space="0" w:color="auto"/>
                <w:left w:val="none" w:sz="0" w:space="0" w:color="auto"/>
                <w:bottom w:val="none" w:sz="0" w:space="0" w:color="auto"/>
                <w:right w:val="none" w:sz="0" w:space="0" w:color="auto"/>
              </w:divBdr>
              <w:divsChild>
                <w:div w:id="360935530">
                  <w:marLeft w:val="0"/>
                  <w:marRight w:val="0"/>
                  <w:marTop w:val="0"/>
                  <w:marBottom w:val="0"/>
                  <w:divBdr>
                    <w:top w:val="none" w:sz="0" w:space="0" w:color="auto"/>
                    <w:left w:val="none" w:sz="0" w:space="0" w:color="auto"/>
                    <w:bottom w:val="none" w:sz="0" w:space="0" w:color="auto"/>
                    <w:right w:val="none" w:sz="0" w:space="0" w:color="auto"/>
                  </w:divBdr>
                  <w:divsChild>
                    <w:div w:id="9456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43851">
      <w:bodyDiv w:val="1"/>
      <w:marLeft w:val="0"/>
      <w:marRight w:val="0"/>
      <w:marTop w:val="0"/>
      <w:marBottom w:val="0"/>
      <w:divBdr>
        <w:top w:val="none" w:sz="0" w:space="0" w:color="auto"/>
        <w:left w:val="none" w:sz="0" w:space="0" w:color="auto"/>
        <w:bottom w:val="none" w:sz="0" w:space="0" w:color="auto"/>
        <w:right w:val="none" w:sz="0" w:space="0" w:color="auto"/>
      </w:divBdr>
      <w:divsChild>
        <w:div w:id="1345280125">
          <w:marLeft w:val="0"/>
          <w:marRight w:val="0"/>
          <w:marTop w:val="0"/>
          <w:marBottom w:val="0"/>
          <w:divBdr>
            <w:top w:val="none" w:sz="0" w:space="0" w:color="auto"/>
            <w:left w:val="none" w:sz="0" w:space="0" w:color="auto"/>
            <w:bottom w:val="none" w:sz="0" w:space="0" w:color="auto"/>
            <w:right w:val="none" w:sz="0" w:space="0" w:color="auto"/>
          </w:divBdr>
          <w:divsChild>
            <w:div w:id="743068540">
              <w:marLeft w:val="0"/>
              <w:marRight w:val="0"/>
              <w:marTop w:val="0"/>
              <w:marBottom w:val="0"/>
              <w:divBdr>
                <w:top w:val="none" w:sz="0" w:space="0" w:color="auto"/>
                <w:left w:val="none" w:sz="0" w:space="0" w:color="auto"/>
                <w:bottom w:val="none" w:sz="0" w:space="0" w:color="auto"/>
                <w:right w:val="none" w:sz="0" w:space="0" w:color="auto"/>
              </w:divBdr>
              <w:divsChild>
                <w:div w:id="2618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27019">
      <w:bodyDiv w:val="1"/>
      <w:marLeft w:val="0"/>
      <w:marRight w:val="0"/>
      <w:marTop w:val="0"/>
      <w:marBottom w:val="0"/>
      <w:divBdr>
        <w:top w:val="none" w:sz="0" w:space="0" w:color="auto"/>
        <w:left w:val="none" w:sz="0" w:space="0" w:color="auto"/>
        <w:bottom w:val="none" w:sz="0" w:space="0" w:color="auto"/>
        <w:right w:val="none" w:sz="0" w:space="0" w:color="auto"/>
      </w:divBdr>
    </w:div>
    <w:div w:id="1160805694">
      <w:bodyDiv w:val="1"/>
      <w:marLeft w:val="0"/>
      <w:marRight w:val="0"/>
      <w:marTop w:val="0"/>
      <w:marBottom w:val="0"/>
      <w:divBdr>
        <w:top w:val="none" w:sz="0" w:space="0" w:color="auto"/>
        <w:left w:val="none" w:sz="0" w:space="0" w:color="auto"/>
        <w:bottom w:val="none" w:sz="0" w:space="0" w:color="auto"/>
        <w:right w:val="none" w:sz="0" w:space="0" w:color="auto"/>
      </w:divBdr>
      <w:divsChild>
        <w:div w:id="531502854">
          <w:marLeft w:val="0"/>
          <w:marRight w:val="0"/>
          <w:marTop w:val="0"/>
          <w:marBottom w:val="0"/>
          <w:divBdr>
            <w:top w:val="none" w:sz="0" w:space="0" w:color="auto"/>
            <w:left w:val="none" w:sz="0" w:space="0" w:color="auto"/>
            <w:bottom w:val="none" w:sz="0" w:space="0" w:color="auto"/>
            <w:right w:val="none" w:sz="0" w:space="0" w:color="auto"/>
          </w:divBdr>
          <w:divsChild>
            <w:div w:id="1935354040">
              <w:marLeft w:val="0"/>
              <w:marRight w:val="0"/>
              <w:marTop w:val="0"/>
              <w:marBottom w:val="0"/>
              <w:divBdr>
                <w:top w:val="none" w:sz="0" w:space="0" w:color="auto"/>
                <w:left w:val="none" w:sz="0" w:space="0" w:color="auto"/>
                <w:bottom w:val="none" w:sz="0" w:space="0" w:color="auto"/>
                <w:right w:val="none" w:sz="0" w:space="0" w:color="auto"/>
              </w:divBdr>
              <w:divsChild>
                <w:div w:id="153557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740957">
      <w:bodyDiv w:val="1"/>
      <w:marLeft w:val="0"/>
      <w:marRight w:val="0"/>
      <w:marTop w:val="0"/>
      <w:marBottom w:val="0"/>
      <w:divBdr>
        <w:top w:val="none" w:sz="0" w:space="0" w:color="auto"/>
        <w:left w:val="none" w:sz="0" w:space="0" w:color="auto"/>
        <w:bottom w:val="none" w:sz="0" w:space="0" w:color="auto"/>
        <w:right w:val="none" w:sz="0" w:space="0" w:color="auto"/>
      </w:divBdr>
      <w:divsChild>
        <w:div w:id="411440481">
          <w:marLeft w:val="0"/>
          <w:marRight w:val="0"/>
          <w:marTop w:val="0"/>
          <w:marBottom w:val="0"/>
          <w:divBdr>
            <w:top w:val="none" w:sz="0" w:space="0" w:color="auto"/>
            <w:left w:val="none" w:sz="0" w:space="0" w:color="auto"/>
            <w:bottom w:val="none" w:sz="0" w:space="0" w:color="auto"/>
            <w:right w:val="none" w:sz="0" w:space="0" w:color="auto"/>
          </w:divBdr>
          <w:divsChild>
            <w:div w:id="489520658">
              <w:marLeft w:val="0"/>
              <w:marRight w:val="0"/>
              <w:marTop w:val="0"/>
              <w:marBottom w:val="0"/>
              <w:divBdr>
                <w:top w:val="none" w:sz="0" w:space="0" w:color="auto"/>
                <w:left w:val="none" w:sz="0" w:space="0" w:color="auto"/>
                <w:bottom w:val="none" w:sz="0" w:space="0" w:color="auto"/>
                <w:right w:val="none" w:sz="0" w:space="0" w:color="auto"/>
              </w:divBdr>
              <w:divsChild>
                <w:div w:id="1794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3727">
      <w:bodyDiv w:val="1"/>
      <w:marLeft w:val="0"/>
      <w:marRight w:val="0"/>
      <w:marTop w:val="0"/>
      <w:marBottom w:val="0"/>
      <w:divBdr>
        <w:top w:val="none" w:sz="0" w:space="0" w:color="auto"/>
        <w:left w:val="none" w:sz="0" w:space="0" w:color="auto"/>
        <w:bottom w:val="none" w:sz="0" w:space="0" w:color="auto"/>
        <w:right w:val="none" w:sz="0" w:space="0" w:color="auto"/>
      </w:divBdr>
      <w:divsChild>
        <w:div w:id="1059401336">
          <w:marLeft w:val="0"/>
          <w:marRight w:val="0"/>
          <w:marTop w:val="0"/>
          <w:marBottom w:val="0"/>
          <w:divBdr>
            <w:top w:val="none" w:sz="0" w:space="0" w:color="auto"/>
            <w:left w:val="none" w:sz="0" w:space="0" w:color="auto"/>
            <w:bottom w:val="none" w:sz="0" w:space="0" w:color="auto"/>
            <w:right w:val="none" w:sz="0" w:space="0" w:color="auto"/>
          </w:divBdr>
          <w:divsChild>
            <w:div w:id="858469681">
              <w:marLeft w:val="0"/>
              <w:marRight w:val="0"/>
              <w:marTop w:val="0"/>
              <w:marBottom w:val="0"/>
              <w:divBdr>
                <w:top w:val="none" w:sz="0" w:space="0" w:color="auto"/>
                <w:left w:val="none" w:sz="0" w:space="0" w:color="auto"/>
                <w:bottom w:val="none" w:sz="0" w:space="0" w:color="auto"/>
                <w:right w:val="none" w:sz="0" w:space="0" w:color="auto"/>
              </w:divBdr>
              <w:divsChild>
                <w:div w:id="265887300">
                  <w:marLeft w:val="0"/>
                  <w:marRight w:val="0"/>
                  <w:marTop w:val="0"/>
                  <w:marBottom w:val="0"/>
                  <w:divBdr>
                    <w:top w:val="none" w:sz="0" w:space="0" w:color="auto"/>
                    <w:left w:val="none" w:sz="0" w:space="0" w:color="auto"/>
                    <w:bottom w:val="none" w:sz="0" w:space="0" w:color="auto"/>
                    <w:right w:val="none" w:sz="0" w:space="0" w:color="auto"/>
                  </w:divBdr>
                  <w:divsChild>
                    <w:div w:id="2491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692631">
      <w:bodyDiv w:val="1"/>
      <w:marLeft w:val="0"/>
      <w:marRight w:val="0"/>
      <w:marTop w:val="0"/>
      <w:marBottom w:val="0"/>
      <w:divBdr>
        <w:top w:val="none" w:sz="0" w:space="0" w:color="auto"/>
        <w:left w:val="none" w:sz="0" w:space="0" w:color="auto"/>
        <w:bottom w:val="none" w:sz="0" w:space="0" w:color="auto"/>
        <w:right w:val="none" w:sz="0" w:space="0" w:color="auto"/>
      </w:divBdr>
    </w:div>
    <w:div w:id="1201436091">
      <w:bodyDiv w:val="1"/>
      <w:marLeft w:val="0"/>
      <w:marRight w:val="0"/>
      <w:marTop w:val="0"/>
      <w:marBottom w:val="0"/>
      <w:divBdr>
        <w:top w:val="none" w:sz="0" w:space="0" w:color="auto"/>
        <w:left w:val="none" w:sz="0" w:space="0" w:color="auto"/>
        <w:bottom w:val="none" w:sz="0" w:space="0" w:color="auto"/>
        <w:right w:val="none" w:sz="0" w:space="0" w:color="auto"/>
      </w:divBdr>
      <w:divsChild>
        <w:div w:id="526404635">
          <w:marLeft w:val="0"/>
          <w:marRight w:val="0"/>
          <w:marTop w:val="0"/>
          <w:marBottom w:val="0"/>
          <w:divBdr>
            <w:top w:val="none" w:sz="0" w:space="0" w:color="auto"/>
            <w:left w:val="none" w:sz="0" w:space="0" w:color="auto"/>
            <w:bottom w:val="none" w:sz="0" w:space="0" w:color="auto"/>
            <w:right w:val="none" w:sz="0" w:space="0" w:color="auto"/>
          </w:divBdr>
          <w:divsChild>
            <w:div w:id="1544292673">
              <w:marLeft w:val="0"/>
              <w:marRight w:val="0"/>
              <w:marTop w:val="0"/>
              <w:marBottom w:val="0"/>
              <w:divBdr>
                <w:top w:val="none" w:sz="0" w:space="0" w:color="auto"/>
                <w:left w:val="none" w:sz="0" w:space="0" w:color="auto"/>
                <w:bottom w:val="none" w:sz="0" w:space="0" w:color="auto"/>
                <w:right w:val="none" w:sz="0" w:space="0" w:color="auto"/>
              </w:divBdr>
              <w:divsChild>
                <w:div w:id="201348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604470">
      <w:bodyDiv w:val="1"/>
      <w:marLeft w:val="0"/>
      <w:marRight w:val="0"/>
      <w:marTop w:val="0"/>
      <w:marBottom w:val="0"/>
      <w:divBdr>
        <w:top w:val="none" w:sz="0" w:space="0" w:color="auto"/>
        <w:left w:val="none" w:sz="0" w:space="0" w:color="auto"/>
        <w:bottom w:val="none" w:sz="0" w:space="0" w:color="auto"/>
        <w:right w:val="none" w:sz="0" w:space="0" w:color="auto"/>
      </w:divBdr>
      <w:divsChild>
        <w:div w:id="1060251065">
          <w:marLeft w:val="0"/>
          <w:marRight w:val="0"/>
          <w:marTop w:val="0"/>
          <w:marBottom w:val="0"/>
          <w:divBdr>
            <w:top w:val="none" w:sz="0" w:space="0" w:color="auto"/>
            <w:left w:val="none" w:sz="0" w:space="0" w:color="auto"/>
            <w:bottom w:val="none" w:sz="0" w:space="0" w:color="auto"/>
            <w:right w:val="none" w:sz="0" w:space="0" w:color="auto"/>
          </w:divBdr>
          <w:divsChild>
            <w:div w:id="1504127821">
              <w:marLeft w:val="0"/>
              <w:marRight w:val="0"/>
              <w:marTop w:val="0"/>
              <w:marBottom w:val="0"/>
              <w:divBdr>
                <w:top w:val="none" w:sz="0" w:space="0" w:color="auto"/>
                <w:left w:val="none" w:sz="0" w:space="0" w:color="auto"/>
                <w:bottom w:val="none" w:sz="0" w:space="0" w:color="auto"/>
                <w:right w:val="none" w:sz="0" w:space="0" w:color="auto"/>
              </w:divBdr>
              <w:divsChild>
                <w:div w:id="2042631248">
                  <w:marLeft w:val="0"/>
                  <w:marRight w:val="0"/>
                  <w:marTop w:val="0"/>
                  <w:marBottom w:val="0"/>
                  <w:divBdr>
                    <w:top w:val="none" w:sz="0" w:space="0" w:color="auto"/>
                    <w:left w:val="none" w:sz="0" w:space="0" w:color="auto"/>
                    <w:bottom w:val="none" w:sz="0" w:space="0" w:color="auto"/>
                    <w:right w:val="none" w:sz="0" w:space="0" w:color="auto"/>
                  </w:divBdr>
                  <w:divsChild>
                    <w:div w:id="155781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743941">
      <w:bodyDiv w:val="1"/>
      <w:marLeft w:val="0"/>
      <w:marRight w:val="0"/>
      <w:marTop w:val="0"/>
      <w:marBottom w:val="0"/>
      <w:divBdr>
        <w:top w:val="none" w:sz="0" w:space="0" w:color="auto"/>
        <w:left w:val="none" w:sz="0" w:space="0" w:color="auto"/>
        <w:bottom w:val="none" w:sz="0" w:space="0" w:color="auto"/>
        <w:right w:val="none" w:sz="0" w:space="0" w:color="auto"/>
      </w:divBdr>
      <w:divsChild>
        <w:div w:id="247006013">
          <w:marLeft w:val="0"/>
          <w:marRight w:val="0"/>
          <w:marTop w:val="0"/>
          <w:marBottom w:val="0"/>
          <w:divBdr>
            <w:top w:val="none" w:sz="0" w:space="0" w:color="auto"/>
            <w:left w:val="none" w:sz="0" w:space="0" w:color="auto"/>
            <w:bottom w:val="none" w:sz="0" w:space="0" w:color="auto"/>
            <w:right w:val="none" w:sz="0" w:space="0" w:color="auto"/>
          </w:divBdr>
          <w:divsChild>
            <w:div w:id="1908418426">
              <w:marLeft w:val="0"/>
              <w:marRight w:val="0"/>
              <w:marTop w:val="0"/>
              <w:marBottom w:val="0"/>
              <w:divBdr>
                <w:top w:val="none" w:sz="0" w:space="0" w:color="auto"/>
                <w:left w:val="none" w:sz="0" w:space="0" w:color="auto"/>
                <w:bottom w:val="none" w:sz="0" w:space="0" w:color="auto"/>
                <w:right w:val="none" w:sz="0" w:space="0" w:color="auto"/>
              </w:divBdr>
              <w:divsChild>
                <w:div w:id="54310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12530">
      <w:bodyDiv w:val="1"/>
      <w:marLeft w:val="0"/>
      <w:marRight w:val="0"/>
      <w:marTop w:val="0"/>
      <w:marBottom w:val="0"/>
      <w:divBdr>
        <w:top w:val="none" w:sz="0" w:space="0" w:color="auto"/>
        <w:left w:val="none" w:sz="0" w:space="0" w:color="auto"/>
        <w:bottom w:val="none" w:sz="0" w:space="0" w:color="auto"/>
        <w:right w:val="none" w:sz="0" w:space="0" w:color="auto"/>
      </w:divBdr>
      <w:divsChild>
        <w:div w:id="610893695">
          <w:marLeft w:val="0"/>
          <w:marRight w:val="0"/>
          <w:marTop w:val="0"/>
          <w:marBottom w:val="0"/>
          <w:divBdr>
            <w:top w:val="none" w:sz="0" w:space="0" w:color="auto"/>
            <w:left w:val="none" w:sz="0" w:space="0" w:color="auto"/>
            <w:bottom w:val="none" w:sz="0" w:space="0" w:color="auto"/>
            <w:right w:val="none" w:sz="0" w:space="0" w:color="auto"/>
          </w:divBdr>
          <w:divsChild>
            <w:div w:id="1110473507">
              <w:marLeft w:val="0"/>
              <w:marRight w:val="0"/>
              <w:marTop w:val="0"/>
              <w:marBottom w:val="0"/>
              <w:divBdr>
                <w:top w:val="none" w:sz="0" w:space="0" w:color="auto"/>
                <w:left w:val="none" w:sz="0" w:space="0" w:color="auto"/>
                <w:bottom w:val="none" w:sz="0" w:space="0" w:color="auto"/>
                <w:right w:val="none" w:sz="0" w:space="0" w:color="auto"/>
              </w:divBdr>
              <w:divsChild>
                <w:div w:id="205935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096578">
      <w:bodyDiv w:val="1"/>
      <w:marLeft w:val="0"/>
      <w:marRight w:val="0"/>
      <w:marTop w:val="0"/>
      <w:marBottom w:val="0"/>
      <w:divBdr>
        <w:top w:val="none" w:sz="0" w:space="0" w:color="auto"/>
        <w:left w:val="none" w:sz="0" w:space="0" w:color="auto"/>
        <w:bottom w:val="none" w:sz="0" w:space="0" w:color="auto"/>
        <w:right w:val="none" w:sz="0" w:space="0" w:color="auto"/>
      </w:divBdr>
    </w:div>
    <w:div w:id="1264344010">
      <w:bodyDiv w:val="1"/>
      <w:marLeft w:val="0"/>
      <w:marRight w:val="0"/>
      <w:marTop w:val="0"/>
      <w:marBottom w:val="0"/>
      <w:divBdr>
        <w:top w:val="none" w:sz="0" w:space="0" w:color="auto"/>
        <w:left w:val="none" w:sz="0" w:space="0" w:color="auto"/>
        <w:bottom w:val="none" w:sz="0" w:space="0" w:color="auto"/>
        <w:right w:val="none" w:sz="0" w:space="0" w:color="auto"/>
      </w:divBdr>
      <w:divsChild>
        <w:div w:id="1540628147">
          <w:marLeft w:val="0"/>
          <w:marRight w:val="0"/>
          <w:marTop w:val="0"/>
          <w:marBottom w:val="0"/>
          <w:divBdr>
            <w:top w:val="none" w:sz="0" w:space="0" w:color="auto"/>
            <w:left w:val="none" w:sz="0" w:space="0" w:color="auto"/>
            <w:bottom w:val="none" w:sz="0" w:space="0" w:color="auto"/>
            <w:right w:val="none" w:sz="0" w:space="0" w:color="auto"/>
          </w:divBdr>
          <w:divsChild>
            <w:div w:id="1489831095">
              <w:marLeft w:val="0"/>
              <w:marRight w:val="0"/>
              <w:marTop w:val="0"/>
              <w:marBottom w:val="0"/>
              <w:divBdr>
                <w:top w:val="none" w:sz="0" w:space="0" w:color="auto"/>
                <w:left w:val="none" w:sz="0" w:space="0" w:color="auto"/>
                <w:bottom w:val="none" w:sz="0" w:space="0" w:color="auto"/>
                <w:right w:val="none" w:sz="0" w:space="0" w:color="auto"/>
              </w:divBdr>
              <w:divsChild>
                <w:div w:id="141427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4882">
      <w:bodyDiv w:val="1"/>
      <w:marLeft w:val="0"/>
      <w:marRight w:val="0"/>
      <w:marTop w:val="0"/>
      <w:marBottom w:val="0"/>
      <w:divBdr>
        <w:top w:val="none" w:sz="0" w:space="0" w:color="auto"/>
        <w:left w:val="none" w:sz="0" w:space="0" w:color="auto"/>
        <w:bottom w:val="none" w:sz="0" w:space="0" w:color="auto"/>
        <w:right w:val="none" w:sz="0" w:space="0" w:color="auto"/>
      </w:divBdr>
      <w:divsChild>
        <w:div w:id="1009059072">
          <w:marLeft w:val="0"/>
          <w:marRight w:val="0"/>
          <w:marTop w:val="0"/>
          <w:marBottom w:val="0"/>
          <w:divBdr>
            <w:top w:val="none" w:sz="0" w:space="0" w:color="auto"/>
            <w:left w:val="none" w:sz="0" w:space="0" w:color="auto"/>
            <w:bottom w:val="none" w:sz="0" w:space="0" w:color="auto"/>
            <w:right w:val="none" w:sz="0" w:space="0" w:color="auto"/>
          </w:divBdr>
          <w:divsChild>
            <w:div w:id="924653061">
              <w:marLeft w:val="0"/>
              <w:marRight w:val="0"/>
              <w:marTop w:val="0"/>
              <w:marBottom w:val="0"/>
              <w:divBdr>
                <w:top w:val="none" w:sz="0" w:space="0" w:color="auto"/>
                <w:left w:val="none" w:sz="0" w:space="0" w:color="auto"/>
                <w:bottom w:val="none" w:sz="0" w:space="0" w:color="auto"/>
                <w:right w:val="none" w:sz="0" w:space="0" w:color="auto"/>
              </w:divBdr>
              <w:divsChild>
                <w:div w:id="68566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72289">
      <w:bodyDiv w:val="1"/>
      <w:marLeft w:val="0"/>
      <w:marRight w:val="0"/>
      <w:marTop w:val="0"/>
      <w:marBottom w:val="0"/>
      <w:divBdr>
        <w:top w:val="none" w:sz="0" w:space="0" w:color="auto"/>
        <w:left w:val="none" w:sz="0" w:space="0" w:color="auto"/>
        <w:bottom w:val="none" w:sz="0" w:space="0" w:color="auto"/>
        <w:right w:val="none" w:sz="0" w:space="0" w:color="auto"/>
      </w:divBdr>
    </w:div>
    <w:div w:id="1268194296">
      <w:bodyDiv w:val="1"/>
      <w:marLeft w:val="0"/>
      <w:marRight w:val="0"/>
      <w:marTop w:val="0"/>
      <w:marBottom w:val="0"/>
      <w:divBdr>
        <w:top w:val="none" w:sz="0" w:space="0" w:color="auto"/>
        <w:left w:val="none" w:sz="0" w:space="0" w:color="auto"/>
        <w:bottom w:val="none" w:sz="0" w:space="0" w:color="auto"/>
        <w:right w:val="none" w:sz="0" w:space="0" w:color="auto"/>
      </w:divBdr>
      <w:divsChild>
        <w:div w:id="1781147299">
          <w:marLeft w:val="0"/>
          <w:marRight w:val="0"/>
          <w:marTop w:val="0"/>
          <w:marBottom w:val="0"/>
          <w:divBdr>
            <w:top w:val="none" w:sz="0" w:space="0" w:color="auto"/>
            <w:left w:val="none" w:sz="0" w:space="0" w:color="auto"/>
            <w:bottom w:val="none" w:sz="0" w:space="0" w:color="auto"/>
            <w:right w:val="none" w:sz="0" w:space="0" w:color="auto"/>
          </w:divBdr>
          <w:divsChild>
            <w:div w:id="1153830892">
              <w:marLeft w:val="0"/>
              <w:marRight w:val="0"/>
              <w:marTop w:val="0"/>
              <w:marBottom w:val="0"/>
              <w:divBdr>
                <w:top w:val="none" w:sz="0" w:space="0" w:color="auto"/>
                <w:left w:val="none" w:sz="0" w:space="0" w:color="auto"/>
                <w:bottom w:val="none" w:sz="0" w:space="0" w:color="auto"/>
                <w:right w:val="none" w:sz="0" w:space="0" w:color="auto"/>
              </w:divBdr>
              <w:divsChild>
                <w:div w:id="93462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474231">
      <w:bodyDiv w:val="1"/>
      <w:marLeft w:val="0"/>
      <w:marRight w:val="0"/>
      <w:marTop w:val="0"/>
      <w:marBottom w:val="0"/>
      <w:divBdr>
        <w:top w:val="none" w:sz="0" w:space="0" w:color="auto"/>
        <w:left w:val="none" w:sz="0" w:space="0" w:color="auto"/>
        <w:bottom w:val="none" w:sz="0" w:space="0" w:color="auto"/>
        <w:right w:val="none" w:sz="0" w:space="0" w:color="auto"/>
      </w:divBdr>
      <w:divsChild>
        <w:div w:id="647248929">
          <w:marLeft w:val="0"/>
          <w:marRight w:val="0"/>
          <w:marTop w:val="0"/>
          <w:marBottom w:val="0"/>
          <w:divBdr>
            <w:top w:val="none" w:sz="0" w:space="0" w:color="auto"/>
            <w:left w:val="none" w:sz="0" w:space="0" w:color="auto"/>
            <w:bottom w:val="none" w:sz="0" w:space="0" w:color="auto"/>
            <w:right w:val="none" w:sz="0" w:space="0" w:color="auto"/>
          </w:divBdr>
          <w:divsChild>
            <w:div w:id="1014192559">
              <w:marLeft w:val="0"/>
              <w:marRight w:val="0"/>
              <w:marTop w:val="0"/>
              <w:marBottom w:val="0"/>
              <w:divBdr>
                <w:top w:val="none" w:sz="0" w:space="0" w:color="auto"/>
                <w:left w:val="none" w:sz="0" w:space="0" w:color="auto"/>
                <w:bottom w:val="none" w:sz="0" w:space="0" w:color="auto"/>
                <w:right w:val="none" w:sz="0" w:space="0" w:color="auto"/>
              </w:divBdr>
              <w:divsChild>
                <w:div w:id="13503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921869">
      <w:bodyDiv w:val="1"/>
      <w:marLeft w:val="0"/>
      <w:marRight w:val="0"/>
      <w:marTop w:val="0"/>
      <w:marBottom w:val="0"/>
      <w:divBdr>
        <w:top w:val="none" w:sz="0" w:space="0" w:color="auto"/>
        <w:left w:val="none" w:sz="0" w:space="0" w:color="auto"/>
        <w:bottom w:val="none" w:sz="0" w:space="0" w:color="auto"/>
        <w:right w:val="none" w:sz="0" w:space="0" w:color="auto"/>
      </w:divBdr>
    </w:div>
    <w:div w:id="1323464600">
      <w:bodyDiv w:val="1"/>
      <w:marLeft w:val="0"/>
      <w:marRight w:val="0"/>
      <w:marTop w:val="0"/>
      <w:marBottom w:val="0"/>
      <w:divBdr>
        <w:top w:val="none" w:sz="0" w:space="0" w:color="auto"/>
        <w:left w:val="none" w:sz="0" w:space="0" w:color="auto"/>
        <w:bottom w:val="none" w:sz="0" w:space="0" w:color="auto"/>
        <w:right w:val="none" w:sz="0" w:space="0" w:color="auto"/>
      </w:divBdr>
    </w:div>
    <w:div w:id="1331327514">
      <w:bodyDiv w:val="1"/>
      <w:marLeft w:val="0"/>
      <w:marRight w:val="0"/>
      <w:marTop w:val="0"/>
      <w:marBottom w:val="0"/>
      <w:divBdr>
        <w:top w:val="none" w:sz="0" w:space="0" w:color="auto"/>
        <w:left w:val="none" w:sz="0" w:space="0" w:color="auto"/>
        <w:bottom w:val="none" w:sz="0" w:space="0" w:color="auto"/>
        <w:right w:val="none" w:sz="0" w:space="0" w:color="auto"/>
      </w:divBdr>
    </w:div>
    <w:div w:id="1332290281">
      <w:bodyDiv w:val="1"/>
      <w:marLeft w:val="0"/>
      <w:marRight w:val="0"/>
      <w:marTop w:val="0"/>
      <w:marBottom w:val="0"/>
      <w:divBdr>
        <w:top w:val="none" w:sz="0" w:space="0" w:color="auto"/>
        <w:left w:val="none" w:sz="0" w:space="0" w:color="auto"/>
        <w:bottom w:val="none" w:sz="0" w:space="0" w:color="auto"/>
        <w:right w:val="none" w:sz="0" w:space="0" w:color="auto"/>
      </w:divBdr>
      <w:divsChild>
        <w:div w:id="780496425">
          <w:marLeft w:val="0"/>
          <w:marRight w:val="0"/>
          <w:marTop w:val="0"/>
          <w:marBottom w:val="0"/>
          <w:divBdr>
            <w:top w:val="none" w:sz="0" w:space="0" w:color="auto"/>
            <w:left w:val="none" w:sz="0" w:space="0" w:color="auto"/>
            <w:bottom w:val="none" w:sz="0" w:space="0" w:color="auto"/>
            <w:right w:val="none" w:sz="0" w:space="0" w:color="auto"/>
          </w:divBdr>
          <w:divsChild>
            <w:div w:id="1761681014">
              <w:marLeft w:val="0"/>
              <w:marRight w:val="0"/>
              <w:marTop w:val="0"/>
              <w:marBottom w:val="0"/>
              <w:divBdr>
                <w:top w:val="none" w:sz="0" w:space="0" w:color="auto"/>
                <w:left w:val="none" w:sz="0" w:space="0" w:color="auto"/>
                <w:bottom w:val="none" w:sz="0" w:space="0" w:color="auto"/>
                <w:right w:val="none" w:sz="0" w:space="0" w:color="auto"/>
              </w:divBdr>
              <w:divsChild>
                <w:div w:id="593978935">
                  <w:marLeft w:val="0"/>
                  <w:marRight w:val="0"/>
                  <w:marTop w:val="0"/>
                  <w:marBottom w:val="0"/>
                  <w:divBdr>
                    <w:top w:val="none" w:sz="0" w:space="0" w:color="auto"/>
                    <w:left w:val="none" w:sz="0" w:space="0" w:color="auto"/>
                    <w:bottom w:val="none" w:sz="0" w:space="0" w:color="auto"/>
                    <w:right w:val="none" w:sz="0" w:space="0" w:color="auto"/>
                  </w:divBdr>
                  <w:divsChild>
                    <w:div w:id="121956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070098">
      <w:bodyDiv w:val="1"/>
      <w:marLeft w:val="0"/>
      <w:marRight w:val="0"/>
      <w:marTop w:val="0"/>
      <w:marBottom w:val="0"/>
      <w:divBdr>
        <w:top w:val="none" w:sz="0" w:space="0" w:color="auto"/>
        <w:left w:val="none" w:sz="0" w:space="0" w:color="auto"/>
        <w:bottom w:val="none" w:sz="0" w:space="0" w:color="auto"/>
        <w:right w:val="none" w:sz="0" w:space="0" w:color="auto"/>
      </w:divBdr>
      <w:divsChild>
        <w:div w:id="1509517638">
          <w:marLeft w:val="0"/>
          <w:marRight w:val="0"/>
          <w:marTop w:val="0"/>
          <w:marBottom w:val="0"/>
          <w:divBdr>
            <w:top w:val="none" w:sz="0" w:space="0" w:color="auto"/>
            <w:left w:val="none" w:sz="0" w:space="0" w:color="auto"/>
            <w:bottom w:val="none" w:sz="0" w:space="0" w:color="auto"/>
            <w:right w:val="none" w:sz="0" w:space="0" w:color="auto"/>
          </w:divBdr>
          <w:divsChild>
            <w:div w:id="515578160">
              <w:marLeft w:val="0"/>
              <w:marRight w:val="0"/>
              <w:marTop w:val="0"/>
              <w:marBottom w:val="0"/>
              <w:divBdr>
                <w:top w:val="none" w:sz="0" w:space="0" w:color="auto"/>
                <w:left w:val="none" w:sz="0" w:space="0" w:color="auto"/>
                <w:bottom w:val="none" w:sz="0" w:space="0" w:color="auto"/>
                <w:right w:val="none" w:sz="0" w:space="0" w:color="auto"/>
              </w:divBdr>
              <w:divsChild>
                <w:div w:id="34343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459536">
      <w:bodyDiv w:val="1"/>
      <w:marLeft w:val="0"/>
      <w:marRight w:val="0"/>
      <w:marTop w:val="0"/>
      <w:marBottom w:val="0"/>
      <w:divBdr>
        <w:top w:val="none" w:sz="0" w:space="0" w:color="auto"/>
        <w:left w:val="none" w:sz="0" w:space="0" w:color="auto"/>
        <w:bottom w:val="none" w:sz="0" w:space="0" w:color="auto"/>
        <w:right w:val="none" w:sz="0" w:space="0" w:color="auto"/>
      </w:divBdr>
    </w:div>
    <w:div w:id="1354381251">
      <w:bodyDiv w:val="1"/>
      <w:marLeft w:val="0"/>
      <w:marRight w:val="0"/>
      <w:marTop w:val="0"/>
      <w:marBottom w:val="0"/>
      <w:divBdr>
        <w:top w:val="none" w:sz="0" w:space="0" w:color="auto"/>
        <w:left w:val="none" w:sz="0" w:space="0" w:color="auto"/>
        <w:bottom w:val="none" w:sz="0" w:space="0" w:color="auto"/>
        <w:right w:val="none" w:sz="0" w:space="0" w:color="auto"/>
      </w:divBdr>
      <w:divsChild>
        <w:div w:id="602498741">
          <w:marLeft w:val="0"/>
          <w:marRight w:val="0"/>
          <w:marTop w:val="0"/>
          <w:marBottom w:val="0"/>
          <w:divBdr>
            <w:top w:val="none" w:sz="0" w:space="0" w:color="auto"/>
            <w:left w:val="none" w:sz="0" w:space="0" w:color="auto"/>
            <w:bottom w:val="none" w:sz="0" w:space="0" w:color="auto"/>
            <w:right w:val="none" w:sz="0" w:space="0" w:color="auto"/>
          </w:divBdr>
          <w:divsChild>
            <w:div w:id="532769600">
              <w:marLeft w:val="0"/>
              <w:marRight w:val="0"/>
              <w:marTop w:val="0"/>
              <w:marBottom w:val="0"/>
              <w:divBdr>
                <w:top w:val="none" w:sz="0" w:space="0" w:color="auto"/>
                <w:left w:val="none" w:sz="0" w:space="0" w:color="auto"/>
                <w:bottom w:val="none" w:sz="0" w:space="0" w:color="auto"/>
                <w:right w:val="none" w:sz="0" w:space="0" w:color="auto"/>
              </w:divBdr>
              <w:divsChild>
                <w:div w:id="692994373">
                  <w:marLeft w:val="0"/>
                  <w:marRight w:val="0"/>
                  <w:marTop w:val="0"/>
                  <w:marBottom w:val="0"/>
                  <w:divBdr>
                    <w:top w:val="none" w:sz="0" w:space="0" w:color="auto"/>
                    <w:left w:val="none" w:sz="0" w:space="0" w:color="auto"/>
                    <w:bottom w:val="none" w:sz="0" w:space="0" w:color="auto"/>
                    <w:right w:val="none" w:sz="0" w:space="0" w:color="auto"/>
                  </w:divBdr>
                  <w:divsChild>
                    <w:div w:id="15610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196243">
      <w:bodyDiv w:val="1"/>
      <w:marLeft w:val="0"/>
      <w:marRight w:val="0"/>
      <w:marTop w:val="0"/>
      <w:marBottom w:val="0"/>
      <w:divBdr>
        <w:top w:val="none" w:sz="0" w:space="0" w:color="auto"/>
        <w:left w:val="none" w:sz="0" w:space="0" w:color="auto"/>
        <w:bottom w:val="none" w:sz="0" w:space="0" w:color="auto"/>
        <w:right w:val="none" w:sz="0" w:space="0" w:color="auto"/>
      </w:divBdr>
    </w:div>
    <w:div w:id="1392583549">
      <w:bodyDiv w:val="1"/>
      <w:marLeft w:val="0"/>
      <w:marRight w:val="0"/>
      <w:marTop w:val="0"/>
      <w:marBottom w:val="0"/>
      <w:divBdr>
        <w:top w:val="none" w:sz="0" w:space="0" w:color="auto"/>
        <w:left w:val="none" w:sz="0" w:space="0" w:color="auto"/>
        <w:bottom w:val="none" w:sz="0" w:space="0" w:color="auto"/>
        <w:right w:val="none" w:sz="0" w:space="0" w:color="auto"/>
      </w:divBdr>
    </w:div>
    <w:div w:id="1442384299">
      <w:bodyDiv w:val="1"/>
      <w:marLeft w:val="0"/>
      <w:marRight w:val="0"/>
      <w:marTop w:val="0"/>
      <w:marBottom w:val="0"/>
      <w:divBdr>
        <w:top w:val="none" w:sz="0" w:space="0" w:color="auto"/>
        <w:left w:val="none" w:sz="0" w:space="0" w:color="auto"/>
        <w:bottom w:val="none" w:sz="0" w:space="0" w:color="auto"/>
        <w:right w:val="none" w:sz="0" w:space="0" w:color="auto"/>
      </w:divBdr>
    </w:div>
    <w:div w:id="1449544177">
      <w:bodyDiv w:val="1"/>
      <w:marLeft w:val="0"/>
      <w:marRight w:val="0"/>
      <w:marTop w:val="0"/>
      <w:marBottom w:val="0"/>
      <w:divBdr>
        <w:top w:val="none" w:sz="0" w:space="0" w:color="auto"/>
        <w:left w:val="none" w:sz="0" w:space="0" w:color="auto"/>
        <w:bottom w:val="none" w:sz="0" w:space="0" w:color="auto"/>
        <w:right w:val="none" w:sz="0" w:space="0" w:color="auto"/>
      </w:divBdr>
      <w:divsChild>
        <w:div w:id="1148743536">
          <w:marLeft w:val="0"/>
          <w:marRight w:val="0"/>
          <w:marTop w:val="0"/>
          <w:marBottom w:val="0"/>
          <w:divBdr>
            <w:top w:val="none" w:sz="0" w:space="0" w:color="auto"/>
            <w:left w:val="none" w:sz="0" w:space="0" w:color="auto"/>
            <w:bottom w:val="none" w:sz="0" w:space="0" w:color="auto"/>
            <w:right w:val="none" w:sz="0" w:space="0" w:color="auto"/>
          </w:divBdr>
          <w:divsChild>
            <w:div w:id="1360818666">
              <w:marLeft w:val="0"/>
              <w:marRight w:val="0"/>
              <w:marTop w:val="0"/>
              <w:marBottom w:val="0"/>
              <w:divBdr>
                <w:top w:val="none" w:sz="0" w:space="0" w:color="auto"/>
                <w:left w:val="none" w:sz="0" w:space="0" w:color="auto"/>
                <w:bottom w:val="none" w:sz="0" w:space="0" w:color="auto"/>
                <w:right w:val="none" w:sz="0" w:space="0" w:color="auto"/>
              </w:divBdr>
              <w:divsChild>
                <w:div w:id="103430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938476">
      <w:bodyDiv w:val="1"/>
      <w:marLeft w:val="0"/>
      <w:marRight w:val="0"/>
      <w:marTop w:val="0"/>
      <w:marBottom w:val="0"/>
      <w:divBdr>
        <w:top w:val="none" w:sz="0" w:space="0" w:color="auto"/>
        <w:left w:val="none" w:sz="0" w:space="0" w:color="auto"/>
        <w:bottom w:val="none" w:sz="0" w:space="0" w:color="auto"/>
        <w:right w:val="none" w:sz="0" w:space="0" w:color="auto"/>
      </w:divBdr>
      <w:divsChild>
        <w:div w:id="1831670564">
          <w:marLeft w:val="0"/>
          <w:marRight w:val="0"/>
          <w:marTop w:val="0"/>
          <w:marBottom w:val="0"/>
          <w:divBdr>
            <w:top w:val="none" w:sz="0" w:space="0" w:color="auto"/>
            <w:left w:val="none" w:sz="0" w:space="0" w:color="auto"/>
            <w:bottom w:val="none" w:sz="0" w:space="0" w:color="auto"/>
            <w:right w:val="none" w:sz="0" w:space="0" w:color="auto"/>
          </w:divBdr>
          <w:divsChild>
            <w:div w:id="983047480">
              <w:marLeft w:val="0"/>
              <w:marRight w:val="0"/>
              <w:marTop w:val="0"/>
              <w:marBottom w:val="0"/>
              <w:divBdr>
                <w:top w:val="none" w:sz="0" w:space="0" w:color="auto"/>
                <w:left w:val="none" w:sz="0" w:space="0" w:color="auto"/>
                <w:bottom w:val="none" w:sz="0" w:space="0" w:color="auto"/>
                <w:right w:val="none" w:sz="0" w:space="0" w:color="auto"/>
              </w:divBdr>
              <w:divsChild>
                <w:div w:id="1882981931">
                  <w:marLeft w:val="0"/>
                  <w:marRight w:val="0"/>
                  <w:marTop w:val="0"/>
                  <w:marBottom w:val="0"/>
                  <w:divBdr>
                    <w:top w:val="none" w:sz="0" w:space="0" w:color="auto"/>
                    <w:left w:val="none" w:sz="0" w:space="0" w:color="auto"/>
                    <w:bottom w:val="none" w:sz="0" w:space="0" w:color="auto"/>
                    <w:right w:val="none" w:sz="0" w:space="0" w:color="auto"/>
                  </w:divBdr>
                  <w:divsChild>
                    <w:div w:id="4976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733248">
      <w:bodyDiv w:val="1"/>
      <w:marLeft w:val="0"/>
      <w:marRight w:val="0"/>
      <w:marTop w:val="0"/>
      <w:marBottom w:val="0"/>
      <w:divBdr>
        <w:top w:val="none" w:sz="0" w:space="0" w:color="auto"/>
        <w:left w:val="none" w:sz="0" w:space="0" w:color="auto"/>
        <w:bottom w:val="none" w:sz="0" w:space="0" w:color="auto"/>
        <w:right w:val="none" w:sz="0" w:space="0" w:color="auto"/>
      </w:divBdr>
    </w:div>
    <w:div w:id="1506049115">
      <w:bodyDiv w:val="1"/>
      <w:marLeft w:val="0"/>
      <w:marRight w:val="0"/>
      <w:marTop w:val="0"/>
      <w:marBottom w:val="0"/>
      <w:divBdr>
        <w:top w:val="none" w:sz="0" w:space="0" w:color="auto"/>
        <w:left w:val="none" w:sz="0" w:space="0" w:color="auto"/>
        <w:bottom w:val="none" w:sz="0" w:space="0" w:color="auto"/>
        <w:right w:val="none" w:sz="0" w:space="0" w:color="auto"/>
      </w:divBdr>
      <w:divsChild>
        <w:div w:id="597979470">
          <w:marLeft w:val="0"/>
          <w:marRight w:val="0"/>
          <w:marTop w:val="0"/>
          <w:marBottom w:val="0"/>
          <w:divBdr>
            <w:top w:val="none" w:sz="0" w:space="0" w:color="auto"/>
            <w:left w:val="none" w:sz="0" w:space="0" w:color="auto"/>
            <w:bottom w:val="none" w:sz="0" w:space="0" w:color="auto"/>
            <w:right w:val="none" w:sz="0" w:space="0" w:color="auto"/>
          </w:divBdr>
          <w:divsChild>
            <w:div w:id="2088577398">
              <w:marLeft w:val="0"/>
              <w:marRight w:val="0"/>
              <w:marTop w:val="0"/>
              <w:marBottom w:val="0"/>
              <w:divBdr>
                <w:top w:val="none" w:sz="0" w:space="0" w:color="auto"/>
                <w:left w:val="none" w:sz="0" w:space="0" w:color="auto"/>
                <w:bottom w:val="none" w:sz="0" w:space="0" w:color="auto"/>
                <w:right w:val="none" w:sz="0" w:space="0" w:color="auto"/>
              </w:divBdr>
              <w:divsChild>
                <w:div w:id="23586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39826">
      <w:bodyDiv w:val="1"/>
      <w:marLeft w:val="0"/>
      <w:marRight w:val="0"/>
      <w:marTop w:val="0"/>
      <w:marBottom w:val="0"/>
      <w:divBdr>
        <w:top w:val="none" w:sz="0" w:space="0" w:color="auto"/>
        <w:left w:val="none" w:sz="0" w:space="0" w:color="auto"/>
        <w:bottom w:val="none" w:sz="0" w:space="0" w:color="auto"/>
        <w:right w:val="none" w:sz="0" w:space="0" w:color="auto"/>
      </w:divBdr>
    </w:div>
    <w:div w:id="1534881993">
      <w:bodyDiv w:val="1"/>
      <w:marLeft w:val="0"/>
      <w:marRight w:val="0"/>
      <w:marTop w:val="0"/>
      <w:marBottom w:val="0"/>
      <w:divBdr>
        <w:top w:val="none" w:sz="0" w:space="0" w:color="auto"/>
        <w:left w:val="none" w:sz="0" w:space="0" w:color="auto"/>
        <w:bottom w:val="none" w:sz="0" w:space="0" w:color="auto"/>
        <w:right w:val="none" w:sz="0" w:space="0" w:color="auto"/>
      </w:divBdr>
      <w:divsChild>
        <w:div w:id="1703552772">
          <w:marLeft w:val="0"/>
          <w:marRight w:val="0"/>
          <w:marTop w:val="0"/>
          <w:marBottom w:val="0"/>
          <w:divBdr>
            <w:top w:val="none" w:sz="0" w:space="0" w:color="auto"/>
            <w:left w:val="none" w:sz="0" w:space="0" w:color="auto"/>
            <w:bottom w:val="none" w:sz="0" w:space="0" w:color="auto"/>
            <w:right w:val="none" w:sz="0" w:space="0" w:color="auto"/>
          </w:divBdr>
          <w:divsChild>
            <w:div w:id="1089038673">
              <w:marLeft w:val="0"/>
              <w:marRight w:val="0"/>
              <w:marTop w:val="0"/>
              <w:marBottom w:val="0"/>
              <w:divBdr>
                <w:top w:val="none" w:sz="0" w:space="0" w:color="auto"/>
                <w:left w:val="none" w:sz="0" w:space="0" w:color="auto"/>
                <w:bottom w:val="none" w:sz="0" w:space="0" w:color="auto"/>
                <w:right w:val="none" w:sz="0" w:space="0" w:color="auto"/>
              </w:divBdr>
              <w:divsChild>
                <w:div w:id="8994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194">
      <w:bodyDiv w:val="1"/>
      <w:marLeft w:val="0"/>
      <w:marRight w:val="0"/>
      <w:marTop w:val="0"/>
      <w:marBottom w:val="0"/>
      <w:divBdr>
        <w:top w:val="none" w:sz="0" w:space="0" w:color="auto"/>
        <w:left w:val="none" w:sz="0" w:space="0" w:color="auto"/>
        <w:bottom w:val="none" w:sz="0" w:space="0" w:color="auto"/>
        <w:right w:val="none" w:sz="0" w:space="0" w:color="auto"/>
      </w:divBdr>
      <w:divsChild>
        <w:div w:id="557203104">
          <w:marLeft w:val="0"/>
          <w:marRight w:val="0"/>
          <w:marTop w:val="0"/>
          <w:marBottom w:val="0"/>
          <w:divBdr>
            <w:top w:val="none" w:sz="0" w:space="0" w:color="auto"/>
            <w:left w:val="none" w:sz="0" w:space="0" w:color="auto"/>
            <w:bottom w:val="none" w:sz="0" w:space="0" w:color="auto"/>
            <w:right w:val="none" w:sz="0" w:space="0" w:color="auto"/>
          </w:divBdr>
        </w:div>
        <w:div w:id="438725839">
          <w:marLeft w:val="0"/>
          <w:marRight w:val="0"/>
          <w:marTop w:val="0"/>
          <w:marBottom w:val="0"/>
          <w:divBdr>
            <w:top w:val="none" w:sz="0" w:space="0" w:color="auto"/>
            <w:left w:val="none" w:sz="0" w:space="0" w:color="auto"/>
            <w:bottom w:val="none" w:sz="0" w:space="0" w:color="auto"/>
            <w:right w:val="none" w:sz="0" w:space="0" w:color="auto"/>
          </w:divBdr>
        </w:div>
      </w:divsChild>
    </w:div>
    <w:div w:id="1540513471">
      <w:bodyDiv w:val="1"/>
      <w:marLeft w:val="0"/>
      <w:marRight w:val="0"/>
      <w:marTop w:val="0"/>
      <w:marBottom w:val="0"/>
      <w:divBdr>
        <w:top w:val="none" w:sz="0" w:space="0" w:color="auto"/>
        <w:left w:val="none" w:sz="0" w:space="0" w:color="auto"/>
        <w:bottom w:val="none" w:sz="0" w:space="0" w:color="auto"/>
        <w:right w:val="none" w:sz="0" w:space="0" w:color="auto"/>
      </w:divBdr>
    </w:div>
    <w:div w:id="1549994504">
      <w:bodyDiv w:val="1"/>
      <w:marLeft w:val="0"/>
      <w:marRight w:val="0"/>
      <w:marTop w:val="0"/>
      <w:marBottom w:val="0"/>
      <w:divBdr>
        <w:top w:val="none" w:sz="0" w:space="0" w:color="auto"/>
        <w:left w:val="none" w:sz="0" w:space="0" w:color="auto"/>
        <w:bottom w:val="none" w:sz="0" w:space="0" w:color="auto"/>
        <w:right w:val="none" w:sz="0" w:space="0" w:color="auto"/>
      </w:divBdr>
      <w:divsChild>
        <w:div w:id="1976401561">
          <w:marLeft w:val="0"/>
          <w:marRight w:val="0"/>
          <w:marTop w:val="0"/>
          <w:marBottom w:val="0"/>
          <w:divBdr>
            <w:top w:val="none" w:sz="0" w:space="0" w:color="auto"/>
            <w:left w:val="none" w:sz="0" w:space="0" w:color="auto"/>
            <w:bottom w:val="none" w:sz="0" w:space="0" w:color="auto"/>
            <w:right w:val="none" w:sz="0" w:space="0" w:color="auto"/>
          </w:divBdr>
          <w:divsChild>
            <w:div w:id="2119370979">
              <w:marLeft w:val="0"/>
              <w:marRight w:val="0"/>
              <w:marTop w:val="0"/>
              <w:marBottom w:val="0"/>
              <w:divBdr>
                <w:top w:val="none" w:sz="0" w:space="0" w:color="auto"/>
                <w:left w:val="none" w:sz="0" w:space="0" w:color="auto"/>
                <w:bottom w:val="none" w:sz="0" w:space="0" w:color="auto"/>
                <w:right w:val="none" w:sz="0" w:space="0" w:color="auto"/>
              </w:divBdr>
              <w:divsChild>
                <w:div w:id="5085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559294">
      <w:bodyDiv w:val="1"/>
      <w:marLeft w:val="0"/>
      <w:marRight w:val="0"/>
      <w:marTop w:val="0"/>
      <w:marBottom w:val="0"/>
      <w:divBdr>
        <w:top w:val="none" w:sz="0" w:space="0" w:color="auto"/>
        <w:left w:val="none" w:sz="0" w:space="0" w:color="auto"/>
        <w:bottom w:val="none" w:sz="0" w:space="0" w:color="auto"/>
        <w:right w:val="none" w:sz="0" w:space="0" w:color="auto"/>
      </w:divBdr>
    </w:div>
    <w:div w:id="1581718926">
      <w:bodyDiv w:val="1"/>
      <w:marLeft w:val="0"/>
      <w:marRight w:val="0"/>
      <w:marTop w:val="0"/>
      <w:marBottom w:val="0"/>
      <w:divBdr>
        <w:top w:val="none" w:sz="0" w:space="0" w:color="auto"/>
        <w:left w:val="none" w:sz="0" w:space="0" w:color="auto"/>
        <w:bottom w:val="none" w:sz="0" w:space="0" w:color="auto"/>
        <w:right w:val="none" w:sz="0" w:space="0" w:color="auto"/>
      </w:divBdr>
      <w:divsChild>
        <w:div w:id="1033044734">
          <w:marLeft w:val="0"/>
          <w:marRight w:val="0"/>
          <w:marTop w:val="0"/>
          <w:marBottom w:val="0"/>
          <w:divBdr>
            <w:top w:val="none" w:sz="0" w:space="0" w:color="auto"/>
            <w:left w:val="none" w:sz="0" w:space="0" w:color="auto"/>
            <w:bottom w:val="none" w:sz="0" w:space="0" w:color="auto"/>
            <w:right w:val="none" w:sz="0" w:space="0" w:color="auto"/>
          </w:divBdr>
          <w:divsChild>
            <w:div w:id="1171869433">
              <w:marLeft w:val="0"/>
              <w:marRight w:val="0"/>
              <w:marTop w:val="0"/>
              <w:marBottom w:val="0"/>
              <w:divBdr>
                <w:top w:val="none" w:sz="0" w:space="0" w:color="auto"/>
                <w:left w:val="none" w:sz="0" w:space="0" w:color="auto"/>
                <w:bottom w:val="none" w:sz="0" w:space="0" w:color="auto"/>
                <w:right w:val="none" w:sz="0" w:space="0" w:color="auto"/>
              </w:divBdr>
              <w:divsChild>
                <w:div w:id="168454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2042">
      <w:bodyDiv w:val="1"/>
      <w:marLeft w:val="0"/>
      <w:marRight w:val="0"/>
      <w:marTop w:val="0"/>
      <w:marBottom w:val="0"/>
      <w:divBdr>
        <w:top w:val="none" w:sz="0" w:space="0" w:color="auto"/>
        <w:left w:val="none" w:sz="0" w:space="0" w:color="auto"/>
        <w:bottom w:val="none" w:sz="0" w:space="0" w:color="auto"/>
        <w:right w:val="none" w:sz="0" w:space="0" w:color="auto"/>
      </w:divBdr>
    </w:div>
    <w:div w:id="1588806595">
      <w:bodyDiv w:val="1"/>
      <w:marLeft w:val="0"/>
      <w:marRight w:val="0"/>
      <w:marTop w:val="0"/>
      <w:marBottom w:val="0"/>
      <w:divBdr>
        <w:top w:val="none" w:sz="0" w:space="0" w:color="auto"/>
        <w:left w:val="none" w:sz="0" w:space="0" w:color="auto"/>
        <w:bottom w:val="none" w:sz="0" w:space="0" w:color="auto"/>
        <w:right w:val="none" w:sz="0" w:space="0" w:color="auto"/>
      </w:divBdr>
      <w:divsChild>
        <w:div w:id="398092905">
          <w:marLeft w:val="0"/>
          <w:marRight w:val="0"/>
          <w:marTop w:val="0"/>
          <w:marBottom w:val="0"/>
          <w:divBdr>
            <w:top w:val="none" w:sz="0" w:space="0" w:color="auto"/>
            <w:left w:val="none" w:sz="0" w:space="0" w:color="auto"/>
            <w:bottom w:val="none" w:sz="0" w:space="0" w:color="auto"/>
            <w:right w:val="none" w:sz="0" w:space="0" w:color="auto"/>
          </w:divBdr>
          <w:divsChild>
            <w:div w:id="1926842033">
              <w:marLeft w:val="0"/>
              <w:marRight w:val="0"/>
              <w:marTop w:val="0"/>
              <w:marBottom w:val="0"/>
              <w:divBdr>
                <w:top w:val="none" w:sz="0" w:space="0" w:color="auto"/>
                <w:left w:val="none" w:sz="0" w:space="0" w:color="auto"/>
                <w:bottom w:val="none" w:sz="0" w:space="0" w:color="auto"/>
                <w:right w:val="none" w:sz="0" w:space="0" w:color="auto"/>
              </w:divBdr>
              <w:divsChild>
                <w:div w:id="119022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389981">
      <w:bodyDiv w:val="1"/>
      <w:marLeft w:val="0"/>
      <w:marRight w:val="0"/>
      <w:marTop w:val="0"/>
      <w:marBottom w:val="0"/>
      <w:divBdr>
        <w:top w:val="none" w:sz="0" w:space="0" w:color="auto"/>
        <w:left w:val="none" w:sz="0" w:space="0" w:color="auto"/>
        <w:bottom w:val="none" w:sz="0" w:space="0" w:color="auto"/>
        <w:right w:val="none" w:sz="0" w:space="0" w:color="auto"/>
      </w:divBdr>
      <w:divsChild>
        <w:div w:id="214052903">
          <w:marLeft w:val="0"/>
          <w:marRight w:val="0"/>
          <w:marTop w:val="0"/>
          <w:marBottom w:val="0"/>
          <w:divBdr>
            <w:top w:val="none" w:sz="0" w:space="0" w:color="auto"/>
            <w:left w:val="none" w:sz="0" w:space="0" w:color="auto"/>
            <w:bottom w:val="none" w:sz="0" w:space="0" w:color="auto"/>
            <w:right w:val="none" w:sz="0" w:space="0" w:color="auto"/>
          </w:divBdr>
          <w:divsChild>
            <w:div w:id="1713725033">
              <w:marLeft w:val="0"/>
              <w:marRight w:val="0"/>
              <w:marTop w:val="0"/>
              <w:marBottom w:val="0"/>
              <w:divBdr>
                <w:top w:val="none" w:sz="0" w:space="0" w:color="auto"/>
                <w:left w:val="none" w:sz="0" w:space="0" w:color="auto"/>
                <w:bottom w:val="none" w:sz="0" w:space="0" w:color="auto"/>
                <w:right w:val="none" w:sz="0" w:space="0" w:color="auto"/>
              </w:divBdr>
              <w:divsChild>
                <w:div w:id="147922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1850">
      <w:bodyDiv w:val="1"/>
      <w:marLeft w:val="0"/>
      <w:marRight w:val="0"/>
      <w:marTop w:val="0"/>
      <w:marBottom w:val="0"/>
      <w:divBdr>
        <w:top w:val="none" w:sz="0" w:space="0" w:color="auto"/>
        <w:left w:val="none" w:sz="0" w:space="0" w:color="auto"/>
        <w:bottom w:val="none" w:sz="0" w:space="0" w:color="auto"/>
        <w:right w:val="none" w:sz="0" w:space="0" w:color="auto"/>
      </w:divBdr>
    </w:div>
    <w:div w:id="1602882283">
      <w:bodyDiv w:val="1"/>
      <w:marLeft w:val="0"/>
      <w:marRight w:val="0"/>
      <w:marTop w:val="0"/>
      <w:marBottom w:val="0"/>
      <w:divBdr>
        <w:top w:val="none" w:sz="0" w:space="0" w:color="auto"/>
        <w:left w:val="none" w:sz="0" w:space="0" w:color="auto"/>
        <w:bottom w:val="none" w:sz="0" w:space="0" w:color="auto"/>
        <w:right w:val="none" w:sz="0" w:space="0" w:color="auto"/>
      </w:divBdr>
      <w:divsChild>
        <w:div w:id="666056090">
          <w:marLeft w:val="0"/>
          <w:marRight w:val="0"/>
          <w:marTop w:val="0"/>
          <w:marBottom w:val="0"/>
          <w:divBdr>
            <w:top w:val="none" w:sz="0" w:space="0" w:color="auto"/>
            <w:left w:val="none" w:sz="0" w:space="0" w:color="auto"/>
            <w:bottom w:val="none" w:sz="0" w:space="0" w:color="auto"/>
            <w:right w:val="none" w:sz="0" w:space="0" w:color="auto"/>
          </w:divBdr>
          <w:divsChild>
            <w:div w:id="1114207865">
              <w:marLeft w:val="0"/>
              <w:marRight w:val="0"/>
              <w:marTop w:val="0"/>
              <w:marBottom w:val="0"/>
              <w:divBdr>
                <w:top w:val="none" w:sz="0" w:space="0" w:color="auto"/>
                <w:left w:val="none" w:sz="0" w:space="0" w:color="auto"/>
                <w:bottom w:val="none" w:sz="0" w:space="0" w:color="auto"/>
                <w:right w:val="none" w:sz="0" w:space="0" w:color="auto"/>
              </w:divBdr>
              <w:divsChild>
                <w:div w:id="84844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820702">
      <w:bodyDiv w:val="1"/>
      <w:marLeft w:val="0"/>
      <w:marRight w:val="0"/>
      <w:marTop w:val="0"/>
      <w:marBottom w:val="0"/>
      <w:divBdr>
        <w:top w:val="none" w:sz="0" w:space="0" w:color="auto"/>
        <w:left w:val="none" w:sz="0" w:space="0" w:color="auto"/>
        <w:bottom w:val="none" w:sz="0" w:space="0" w:color="auto"/>
        <w:right w:val="none" w:sz="0" w:space="0" w:color="auto"/>
      </w:divBdr>
    </w:div>
    <w:div w:id="1616474294">
      <w:bodyDiv w:val="1"/>
      <w:marLeft w:val="0"/>
      <w:marRight w:val="0"/>
      <w:marTop w:val="0"/>
      <w:marBottom w:val="0"/>
      <w:divBdr>
        <w:top w:val="none" w:sz="0" w:space="0" w:color="auto"/>
        <w:left w:val="none" w:sz="0" w:space="0" w:color="auto"/>
        <w:bottom w:val="none" w:sz="0" w:space="0" w:color="auto"/>
        <w:right w:val="none" w:sz="0" w:space="0" w:color="auto"/>
      </w:divBdr>
      <w:divsChild>
        <w:div w:id="134951221">
          <w:marLeft w:val="0"/>
          <w:marRight w:val="0"/>
          <w:marTop w:val="0"/>
          <w:marBottom w:val="0"/>
          <w:divBdr>
            <w:top w:val="none" w:sz="0" w:space="0" w:color="auto"/>
            <w:left w:val="none" w:sz="0" w:space="0" w:color="auto"/>
            <w:bottom w:val="none" w:sz="0" w:space="0" w:color="auto"/>
            <w:right w:val="none" w:sz="0" w:space="0" w:color="auto"/>
          </w:divBdr>
          <w:divsChild>
            <w:div w:id="3093177">
              <w:marLeft w:val="0"/>
              <w:marRight w:val="0"/>
              <w:marTop w:val="0"/>
              <w:marBottom w:val="0"/>
              <w:divBdr>
                <w:top w:val="none" w:sz="0" w:space="0" w:color="auto"/>
                <w:left w:val="none" w:sz="0" w:space="0" w:color="auto"/>
                <w:bottom w:val="none" w:sz="0" w:space="0" w:color="auto"/>
                <w:right w:val="none" w:sz="0" w:space="0" w:color="auto"/>
              </w:divBdr>
              <w:divsChild>
                <w:div w:id="120509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96674">
      <w:bodyDiv w:val="1"/>
      <w:marLeft w:val="0"/>
      <w:marRight w:val="0"/>
      <w:marTop w:val="0"/>
      <w:marBottom w:val="0"/>
      <w:divBdr>
        <w:top w:val="none" w:sz="0" w:space="0" w:color="auto"/>
        <w:left w:val="none" w:sz="0" w:space="0" w:color="auto"/>
        <w:bottom w:val="none" w:sz="0" w:space="0" w:color="auto"/>
        <w:right w:val="none" w:sz="0" w:space="0" w:color="auto"/>
      </w:divBdr>
    </w:div>
    <w:div w:id="1687754796">
      <w:bodyDiv w:val="1"/>
      <w:marLeft w:val="0"/>
      <w:marRight w:val="0"/>
      <w:marTop w:val="0"/>
      <w:marBottom w:val="0"/>
      <w:divBdr>
        <w:top w:val="none" w:sz="0" w:space="0" w:color="auto"/>
        <w:left w:val="none" w:sz="0" w:space="0" w:color="auto"/>
        <w:bottom w:val="none" w:sz="0" w:space="0" w:color="auto"/>
        <w:right w:val="none" w:sz="0" w:space="0" w:color="auto"/>
      </w:divBdr>
      <w:divsChild>
        <w:div w:id="501049701">
          <w:marLeft w:val="0"/>
          <w:marRight w:val="0"/>
          <w:marTop w:val="0"/>
          <w:marBottom w:val="0"/>
          <w:divBdr>
            <w:top w:val="none" w:sz="0" w:space="0" w:color="auto"/>
            <w:left w:val="none" w:sz="0" w:space="0" w:color="auto"/>
            <w:bottom w:val="none" w:sz="0" w:space="0" w:color="auto"/>
            <w:right w:val="none" w:sz="0" w:space="0" w:color="auto"/>
          </w:divBdr>
          <w:divsChild>
            <w:div w:id="1078405684">
              <w:marLeft w:val="0"/>
              <w:marRight w:val="0"/>
              <w:marTop w:val="0"/>
              <w:marBottom w:val="0"/>
              <w:divBdr>
                <w:top w:val="none" w:sz="0" w:space="0" w:color="auto"/>
                <w:left w:val="none" w:sz="0" w:space="0" w:color="auto"/>
                <w:bottom w:val="none" w:sz="0" w:space="0" w:color="auto"/>
                <w:right w:val="none" w:sz="0" w:space="0" w:color="auto"/>
              </w:divBdr>
              <w:divsChild>
                <w:div w:id="15728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090449">
      <w:bodyDiv w:val="1"/>
      <w:marLeft w:val="0"/>
      <w:marRight w:val="0"/>
      <w:marTop w:val="0"/>
      <w:marBottom w:val="0"/>
      <w:divBdr>
        <w:top w:val="none" w:sz="0" w:space="0" w:color="auto"/>
        <w:left w:val="none" w:sz="0" w:space="0" w:color="auto"/>
        <w:bottom w:val="none" w:sz="0" w:space="0" w:color="auto"/>
        <w:right w:val="none" w:sz="0" w:space="0" w:color="auto"/>
      </w:divBdr>
    </w:div>
    <w:div w:id="1730106928">
      <w:bodyDiv w:val="1"/>
      <w:marLeft w:val="0"/>
      <w:marRight w:val="0"/>
      <w:marTop w:val="0"/>
      <w:marBottom w:val="0"/>
      <w:divBdr>
        <w:top w:val="none" w:sz="0" w:space="0" w:color="auto"/>
        <w:left w:val="none" w:sz="0" w:space="0" w:color="auto"/>
        <w:bottom w:val="none" w:sz="0" w:space="0" w:color="auto"/>
        <w:right w:val="none" w:sz="0" w:space="0" w:color="auto"/>
      </w:divBdr>
    </w:div>
    <w:div w:id="1747877265">
      <w:bodyDiv w:val="1"/>
      <w:marLeft w:val="0"/>
      <w:marRight w:val="0"/>
      <w:marTop w:val="0"/>
      <w:marBottom w:val="0"/>
      <w:divBdr>
        <w:top w:val="none" w:sz="0" w:space="0" w:color="auto"/>
        <w:left w:val="none" w:sz="0" w:space="0" w:color="auto"/>
        <w:bottom w:val="none" w:sz="0" w:space="0" w:color="auto"/>
        <w:right w:val="none" w:sz="0" w:space="0" w:color="auto"/>
      </w:divBdr>
      <w:divsChild>
        <w:div w:id="1006054359">
          <w:marLeft w:val="0"/>
          <w:marRight w:val="0"/>
          <w:marTop w:val="0"/>
          <w:marBottom w:val="0"/>
          <w:divBdr>
            <w:top w:val="none" w:sz="0" w:space="0" w:color="auto"/>
            <w:left w:val="none" w:sz="0" w:space="0" w:color="auto"/>
            <w:bottom w:val="none" w:sz="0" w:space="0" w:color="auto"/>
            <w:right w:val="none" w:sz="0" w:space="0" w:color="auto"/>
          </w:divBdr>
          <w:divsChild>
            <w:div w:id="573591095">
              <w:marLeft w:val="0"/>
              <w:marRight w:val="0"/>
              <w:marTop w:val="0"/>
              <w:marBottom w:val="0"/>
              <w:divBdr>
                <w:top w:val="none" w:sz="0" w:space="0" w:color="auto"/>
                <w:left w:val="none" w:sz="0" w:space="0" w:color="auto"/>
                <w:bottom w:val="none" w:sz="0" w:space="0" w:color="auto"/>
                <w:right w:val="none" w:sz="0" w:space="0" w:color="auto"/>
              </w:divBdr>
              <w:divsChild>
                <w:div w:id="60766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346012">
      <w:bodyDiv w:val="1"/>
      <w:marLeft w:val="0"/>
      <w:marRight w:val="0"/>
      <w:marTop w:val="0"/>
      <w:marBottom w:val="0"/>
      <w:divBdr>
        <w:top w:val="none" w:sz="0" w:space="0" w:color="auto"/>
        <w:left w:val="none" w:sz="0" w:space="0" w:color="auto"/>
        <w:bottom w:val="none" w:sz="0" w:space="0" w:color="auto"/>
        <w:right w:val="none" w:sz="0" w:space="0" w:color="auto"/>
      </w:divBdr>
      <w:divsChild>
        <w:div w:id="376709795">
          <w:marLeft w:val="0"/>
          <w:marRight w:val="0"/>
          <w:marTop w:val="0"/>
          <w:marBottom w:val="0"/>
          <w:divBdr>
            <w:top w:val="none" w:sz="0" w:space="0" w:color="auto"/>
            <w:left w:val="none" w:sz="0" w:space="0" w:color="auto"/>
            <w:bottom w:val="none" w:sz="0" w:space="0" w:color="auto"/>
            <w:right w:val="none" w:sz="0" w:space="0" w:color="auto"/>
          </w:divBdr>
          <w:divsChild>
            <w:div w:id="1149177954">
              <w:marLeft w:val="0"/>
              <w:marRight w:val="0"/>
              <w:marTop w:val="0"/>
              <w:marBottom w:val="0"/>
              <w:divBdr>
                <w:top w:val="none" w:sz="0" w:space="0" w:color="auto"/>
                <w:left w:val="none" w:sz="0" w:space="0" w:color="auto"/>
                <w:bottom w:val="none" w:sz="0" w:space="0" w:color="auto"/>
                <w:right w:val="none" w:sz="0" w:space="0" w:color="auto"/>
              </w:divBdr>
              <w:divsChild>
                <w:div w:id="7479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27867">
      <w:bodyDiv w:val="1"/>
      <w:marLeft w:val="0"/>
      <w:marRight w:val="0"/>
      <w:marTop w:val="0"/>
      <w:marBottom w:val="0"/>
      <w:divBdr>
        <w:top w:val="none" w:sz="0" w:space="0" w:color="auto"/>
        <w:left w:val="none" w:sz="0" w:space="0" w:color="auto"/>
        <w:bottom w:val="none" w:sz="0" w:space="0" w:color="auto"/>
        <w:right w:val="none" w:sz="0" w:space="0" w:color="auto"/>
      </w:divBdr>
      <w:divsChild>
        <w:div w:id="583800900">
          <w:marLeft w:val="0"/>
          <w:marRight w:val="0"/>
          <w:marTop w:val="0"/>
          <w:marBottom w:val="0"/>
          <w:divBdr>
            <w:top w:val="none" w:sz="0" w:space="0" w:color="auto"/>
            <w:left w:val="none" w:sz="0" w:space="0" w:color="auto"/>
            <w:bottom w:val="none" w:sz="0" w:space="0" w:color="auto"/>
            <w:right w:val="none" w:sz="0" w:space="0" w:color="auto"/>
          </w:divBdr>
          <w:divsChild>
            <w:div w:id="1313145203">
              <w:marLeft w:val="0"/>
              <w:marRight w:val="0"/>
              <w:marTop w:val="0"/>
              <w:marBottom w:val="0"/>
              <w:divBdr>
                <w:top w:val="none" w:sz="0" w:space="0" w:color="auto"/>
                <w:left w:val="none" w:sz="0" w:space="0" w:color="auto"/>
                <w:bottom w:val="none" w:sz="0" w:space="0" w:color="auto"/>
                <w:right w:val="none" w:sz="0" w:space="0" w:color="auto"/>
              </w:divBdr>
              <w:divsChild>
                <w:div w:id="12921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79453">
      <w:bodyDiv w:val="1"/>
      <w:marLeft w:val="0"/>
      <w:marRight w:val="0"/>
      <w:marTop w:val="0"/>
      <w:marBottom w:val="0"/>
      <w:divBdr>
        <w:top w:val="none" w:sz="0" w:space="0" w:color="auto"/>
        <w:left w:val="none" w:sz="0" w:space="0" w:color="auto"/>
        <w:bottom w:val="none" w:sz="0" w:space="0" w:color="auto"/>
        <w:right w:val="none" w:sz="0" w:space="0" w:color="auto"/>
      </w:divBdr>
      <w:divsChild>
        <w:div w:id="1058162302">
          <w:marLeft w:val="0"/>
          <w:marRight w:val="0"/>
          <w:marTop w:val="0"/>
          <w:marBottom w:val="0"/>
          <w:divBdr>
            <w:top w:val="none" w:sz="0" w:space="0" w:color="auto"/>
            <w:left w:val="none" w:sz="0" w:space="0" w:color="auto"/>
            <w:bottom w:val="none" w:sz="0" w:space="0" w:color="auto"/>
            <w:right w:val="none" w:sz="0" w:space="0" w:color="auto"/>
          </w:divBdr>
          <w:divsChild>
            <w:div w:id="555317428">
              <w:marLeft w:val="0"/>
              <w:marRight w:val="0"/>
              <w:marTop w:val="0"/>
              <w:marBottom w:val="0"/>
              <w:divBdr>
                <w:top w:val="none" w:sz="0" w:space="0" w:color="auto"/>
                <w:left w:val="none" w:sz="0" w:space="0" w:color="auto"/>
                <w:bottom w:val="none" w:sz="0" w:space="0" w:color="auto"/>
                <w:right w:val="none" w:sz="0" w:space="0" w:color="auto"/>
              </w:divBdr>
              <w:divsChild>
                <w:div w:id="46389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86632">
      <w:bodyDiv w:val="1"/>
      <w:marLeft w:val="0"/>
      <w:marRight w:val="0"/>
      <w:marTop w:val="0"/>
      <w:marBottom w:val="0"/>
      <w:divBdr>
        <w:top w:val="none" w:sz="0" w:space="0" w:color="auto"/>
        <w:left w:val="none" w:sz="0" w:space="0" w:color="auto"/>
        <w:bottom w:val="none" w:sz="0" w:space="0" w:color="auto"/>
        <w:right w:val="none" w:sz="0" w:space="0" w:color="auto"/>
      </w:divBdr>
      <w:divsChild>
        <w:div w:id="1006325648">
          <w:marLeft w:val="0"/>
          <w:marRight w:val="0"/>
          <w:marTop w:val="0"/>
          <w:marBottom w:val="0"/>
          <w:divBdr>
            <w:top w:val="none" w:sz="0" w:space="0" w:color="auto"/>
            <w:left w:val="none" w:sz="0" w:space="0" w:color="auto"/>
            <w:bottom w:val="none" w:sz="0" w:space="0" w:color="auto"/>
            <w:right w:val="none" w:sz="0" w:space="0" w:color="auto"/>
          </w:divBdr>
          <w:divsChild>
            <w:div w:id="1468820002">
              <w:marLeft w:val="0"/>
              <w:marRight w:val="0"/>
              <w:marTop w:val="0"/>
              <w:marBottom w:val="0"/>
              <w:divBdr>
                <w:top w:val="none" w:sz="0" w:space="0" w:color="auto"/>
                <w:left w:val="none" w:sz="0" w:space="0" w:color="auto"/>
                <w:bottom w:val="none" w:sz="0" w:space="0" w:color="auto"/>
                <w:right w:val="none" w:sz="0" w:space="0" w:color="auto"/>
              </w:divBdr>
              <w:divsChild>
                <w:div w:id="32617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130858">
      <w:bodyDiv w:val="1"/>
      <w:marLeft w:val="0"/>
      <w:marRight w:val="0"/>
      <w:marTop w:val="0"/>
      <w:marBottom w:val="0"/>
      <w:divBdr>
        <w:top w:val="none" w:sz="0" w:space="0" w:color="auto"/>
        <w:left w:val="none" w:sz="0" w:space="0" w:color="auto"/>
        <w:bottom w:val="none" w:sz="0" w:space="0" w:color="auto"/>
        <w:right w:val="none" w:sz="0" w:space="0" w:color="auto"/>
      </w:divBdr>
    </w:div>
    <w:div w:id="1802770157">
      <w:bodyDiv w:val="1"/>
      <w:marLeft w:val="0"/>
      <w:marRight w:val="0"/>
      <w:marTop w:val="0"/>
      <w:marBottom w:val="0"/>
      <w:divBdr>
        <w:top w:val="none" w:sz="0" w:space="0" w:color="auto"/>
        <w:left w:val="none" w:sz="0" w:space="0" w:color="auto"/>
        <w:bottom w:val="none" w:sz="0" w:space="0" w:color="auto"/>
        <w:right w:val="none" w:sz="0" w:space="0" w:color="auto"/>
      </w:divBdr>
      <w:divsChild>
        <w:div w:id="1935672570">
          <w:marLeft w:val="0"/>
          <w:marRight w:val="0"/>
          <w:marTop w:val="0"/>
          <w:marBottom w:val="0"/>
          <w:divBdr>
            <w:top w:val="none" w:sz="0" w:space="0" w:color="auto"/>
            <w:left w:val="none" w:sz="0" w:space="0" w:color="auto"/>
            <w:bottom w:val="none" w:sz="0" w:space="0" w:color="auto"/>
            <w:right w:val="none" w:sz="0" w:space="0" w:color="auto"/>
          </w:divBdr>
          <w:divsChild>
            <w:div w:id="933900271">
              <w:marLeft w:val="0"/>
              <w:marRight w:val="0"/>
              <w:marTop w:val="0"/>
              <w:marBottom w:val="0"/>
              <w:divBdr>
                <w:top w:val="none" w:sz="0" w:space="0" w:color="auto"/>
                <w:left w:val="none" w:sz="0" w:space="0" w:color="auto"/>
                <w:bottom w:val="none" w:sz="0" w:space="0" w:color="auto"/>
                <w:right w:val="none" w:sz="0" w:space="0" w:color="auto"/>
              </w:divBdr>
              <w:divsChild>
                <w:div w:id="98508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4939">
      <w:bodyDiv w:val="1"/>
      <w:marLeft w:val="0"/>
      <w:marRight w:val="0"/>
      <w:marTop w:val="0"/>
      <w:marBottom w:val="0"/>
      <w:divBdr>
        <w:top w:val="none" w:sz="0" w:space="0" w:color="auto"/>
        <w:left w:val="none" w:sz="0" w:space="0" w:color="auto"/>
        <w:bottom w:val="none" w:sz="0" w:space="0" w:color="auto"/>
        <w:right w:val="none" w:sz="0" w:space="0" w:color="auto"/>
      </w:divBdr>
    </w:div>
    <w:div w:id="1825509588">
      <w:bodyDiv w:val="1"/>
      <w:marLeft w:val="0"/>
      <w:marRight w:val="0"/>
      <w:marTop w:val="0"/>
      <w:marBottom w:val="0"/>
      <w:divBdr>
        <w:top w:val="none" w:sz="0" w:space="0" w:color="auto"/>
        <w:left w:val="none" w:sz="0" w:space="0" w:color="auto"/>
        <w:bottom w:val="none" w:sz="0" w:space="0" w:color="auto"/>
        <w:right w:val="none" w:sz="0" w:space="0" w:color="auto"/>
      </w:divBdr>
      <w:divsChild>
        <w:div w:id="1456437583">
          <w:marLeft w:val="0"/>
          <w:marRight w:val="0"/>
          <w:marTop w:val="0"/>
          <w:marBottom w:val="0"/>
          <w:divBdr>
            <w:top w:val="none" w:sz="0" w:space="0" w:color="auto"/>
            <w:left w:val="none" w:sz="0" w:space="0" w:color="auto"/>
            <w:bottom w:val="none" w:sz="0" w:space="0" w:color="auto"/>
            <w:right w:val="none" w:sz="0" w:space="0" w:color="auto"/>
          </w:divBdr>
          <w:divsChild>
            <w:div w:id="1533957502">
              <w:marLeft w:val="0"/>
              <w:marRight w:val="0"/>
              <w:marTop w:val="0"/>
              <w:marBottom w:val="0"/>
              <w:divBdr>
                <w:top w:val="none" w:sz="0" w:space="0" w:color="auto"/>
                <w:left w:val="none" w:sz="0" w:space="0" w:color="auto"/>
                <w:bottom w:val="none" w:sz="0" w:space="0" w:color="auto"/>
                <w:right w:val="none" w:sz="0" w:space="0" w:color="auto"/>
              </w:divBdr>
              <w:divsChild>
                <w:div w:id="848637857">
                  <w:marLeft w:val="0"/>
                  <w:marRight w:val="0"/>
                  <w:marTop w:val="0"/>
                  <w:marBottom w:val="0"/>
                  <w:divBdr>
                    <w:top w:val="none" w:sz="0" w:space="0" w:color="auto"/>
                    <w:left w:val="none" w:sz="0" w:space="0" w:color="auto"/>
                    <w:bottom w:val="none" w:sz="0" w:space="0" w:color="auto"/>
                    <w:right w:val="none" w:sz="0" w:space="0" w:color="auto"/>
                  </w:divBdr>
                  <w:divsChild>
                    <w:div w:id="52771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17841">
      <w:bodyDiv w:val="1"/>
      <w:marLeft w:val="0"/>
      <w:marRight w:val="0"/>
      <w:marTop w:val="0"/>
      <w:marBottom w:val="0"/>
      <w:divBdr>
        <w:top w:val="none" w:sz="0" w:space="0" w:color="auto"/>
        <w:left w:val="none" w:sz="0" w:space="0" w:color="auto"/>
        <w:bottom w:val="none" w:sz="0" w:space="0" w:color="auto"/>
        <w:right w:val="none" w:sz="0" w:space="0" w:color="auto"/>
      </w:divBdr>
      <w:divsChild>
        <w:div w:id="1388801678">
          <w:marLeft w:val="0"/>
          <w:marRight w:val="0"/>
          <w:marTop w:val="0"/>
          <w:marBottom w:val="0"/>
          <w:divBdr>
            <w:top w:val="none" w:sz="0" w:space="0" w:color="auto"/>
            <w:left w:val="none" w:sz="0" w:space="0" w:color="auto"/>
            <w:bottom w:val="none" w:sz="0" w:space="0" w:color="auto"/>
            <w:right w:val="none" w:sz="0" w:space="0" w:color="auto"/>
          </w:divBdr>
          <w:divsChild>
            <w:div w:id="1618105152">
              <w:marLeft w:val="0"/>
              <w:marRight w:val="0"/>
              <w:marTop w:val="0"/>
              <w:marBottom w:val="0"/>
              <w:divBdr>
                <w:top w:val="none" w:sz="0" w:space="0" w:color="auto"/>
                <w:left w:val="none" w:sz="0" w:space="0" w:color="auto"/>
                <w:bottom w:val="none" w:sz="0" w:space="0" w:color="auto"/>
                <w:right w:val="none" w:sz="0" w:space="0" w:color="auto"/>
              </w:divBdr>
              <w:divsChild>
                <w:div w:id="21747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193877">
      <w:bodyDiv w:val="1"/>
      <w:marLeft w:val="0"/>
      <w:marRight w:val="0"/>
      <w:marTop w:val="0"/>
      <w:marBottom w:val="0"/>
      <w:divBdr>
        <w:top w:val="none" w:sz="0" w:space="0" w:color="auto"/>
        <w:left w:val="none" w:sz="0" w:space="0" w:color="auto"/>
        <w:bottom w:val="none" w:sz="0" w:space="0" w:color="auto"/>
        <w:right w:val="none" w:sz="0" w:space="0" w:color="auto"/>
      </w:divBdr>
    </w:div>
    <w:div w:id="1861965608">
      <w:bodyDiv w:val="1"/>
      <w:marLeft w:val="0"/>
      <w:marRight w:val="0"/>
      <w:marTop w:val="0"/>
      <w:marBottom w:val="0"/>
      <w:divBdr>
        <w:top w:val="none" w:sz="0" w:space="0" w:color="auto"/>
        <w:left w:val="none" w:sz="0" w:space="0" w:color="auto"/>
        <w:bottom w:val="none" w:sz="0" w:space="0" w:color="auto"/>
        <w:right w:val="none" w:sz="0" w:space="0" w:color="auto"/>
      </w:divBdr>
    </w:div>
    <w:div w:id="1871381871">
      <w:bodyDiv w:val="1"/>
      <w:marLeft w:val="0"/>
      <w:marRight w:val="0"/>
      <w:marTop w:val="0"/>
      <w:marBottom w:val="0"/>
      <w:divBdr>
        <w:top w:val="none" w:sz="0" w:space="0" w:color="auto"/>
        <w:left w:val="none" w:sz="0" w:space="0" w:color="auto"/>
        <w:bottom w:val="none" w:sz="0" w:space="0" w:color="auto"/>
        <w:right w:val="none" w:sz="0" w:space="0" w:color="auto"/>
      </w:divBdr>
      <w:divsChild>
        <w:div w:id="1324121453">
          <w:marLeft w:val="0"/>
          <w:marRight w:val="0"/>
          <w:marTop w:val="0"/>
          <w:marBottom w:val="0"/>
          <w:divBdr>
            <w:top w:val="none" w:sz="0" w:space="0" w:color="auto"/>
            <w:left w:val="none" w:sz="0" w:space="0" w:color="auto"/>
            <w:bottom w:val="none" w:sz="0" w:space="0" w:color="auto"/>
            <w:right w:val="none" w:sz="0" w:space="0" w:color="auto"/>
          </w:divBdr>
          <w:divsChild>
            <w:div w:id="290208444">
              <w:marLeft w:val="0"/>
              <w:marRight w:val="0"/>
              <w:marTop w:val="0"/>
              <w:marBottom w:val="0"/>
              <w:divBdr>
                <w:top w:val="none" w:sz="0" w:space="0" w:color="auto"/>
                <w:left w:val="none" w:sz="0" w:space="0" w:color="auto"/>
                <w:bottom w:val="none" w:sz="0" w:space="0" w:color="auto"/>
                <w:right w:val="none" w:sz="0" w:space="0" w:color="auto"/>
              </w:divBdr>
              <w:divsChild>
                <w:div w:id="1264458487">
                  <w:marLeft w:val="0"/>
                  <w:marRight w:val="0"/>
                  <w:marTop w:val="0"/>
                  <w:marBottom w:val="0"/>
                  <w:divBdr>
                    <w:top w:val="none" w:sz="0" w:space="0" w:color="auto"/>
                    <w:left w:val="none" w:sz="0" w:space="0" w:color="auto"/>
                    <w:bottom w:val="none" w:sz="0" w:space="0" w:color="auto"/>
                    <w:right w:val="none" w:sz="0" w:space="0" w:color="auto"/>
                  </w:divBdr>
                  <w:divsChild>
                    <w:div w:id="212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01584">
      <w:bodyDiv w:val="1"/>
      <w:marLeft w:val="0"/>
      <w:marRight w:val="0"/>
      <w:marTop w:val="0"/>
      <w:marBottom w:val="0"/>
      <w:divBdr>
        <w:top w:val="none" w:sz="0" w:space="0" w:color="auto"/>
        <w:left w:val="none" w:sz="0" w:space="0" w:color="auto"/>
        <w:bottom w:val="none" w:sz="0" w:space="0" w:color="auto"/>
        <w:right w:val="none" w:sz="0" w:space="0" w:color="auto"/>
      </w:divBdr>
    </w:div>
    <w:div w:id="1890066496">
      <w:bodyDiv w:val="1"/>
      <w:marLeft w:val="0"/>
      <w:marRight w:val="0"/>
      <w:marTop w:val="0"/>
      <w:marBottom w:val="0"/>
      <w:divBdr>
        <w:top w:val="none" w:sz="0" w:space="0" w:color="auto"/>
        <w:left w:val="none" w:sz="0" w:space="0" w:color="auto"/>
        <w:bottom w:val="none" w:sz="0" w:space="0" w:color="auto"/>
        <w:right w:val="none" w:sz="0" w:space="0" w:color="auto"/>
      </w:divBdr>
      <w:divsChild>
        <w:div w:id="1672873116">
          <w:marLeft w:val="0"/>
          <w:marRight w:val="0"/>
          <w:marTop w:val="0"/>
          <w:marBottom w:val="0"/>
          <w:divBdr>
            <w:top w:val="none" w:sz="0" w:space="0" w:color="auto"/>
            <w:left w:val="none" w:sz="0" w:space="0" w:color="auto"/>
            <w:bottom w:val="none" w:sz="0" w:space="0" w:color="auto"/>
            <w:right w:val="none" w:sz="0" w:space="0" w:color="auto"/>
          </w:divBdr>
          <w:divsChild>
            <w:div w:id="1466121633">
              <w:marLeft w:val="0"/>
              <w:marRight w:val="0"/>
              <w:marTop w:val="0"/>
              <w:marBottom w:val="0"/>
              <w:divBdr>
                <w:top w:val="none" w:sz="0" w:space="0" w:color="auto"/>
                <w:left w:val="none" w:sz="0" w:space="0" w:color="auto"/>
                <w:bottom w:val="none" w:sz="0" w:space="0" w:color="auto"/>
                <w:right w:val="none" w:sz="0" w:space="0" w:color="auto"/>
              </w:divBdr>
              <w:divsChild>
                <w:div w:id="5407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18499">
      <w:bodyDiv w:val="1"/>
      <w:marLeft w:val="0"/>
      <w:marRight w:val="0"/>
      <w:marTop w:val="0"/>
      <w:marBottom w:val="0"/>
      <w:divBdr>
        <w:top w:val="none" w:sz="0" w:space="0" w:color="auto"/>
        <w:left w:val="none" w:sz="0" w:space="0" w:color="auto"/>
        <w:bottom w:val="none" w:sz="0" w:space="0" w:color="auto"/>
        <w:right w:val="none" w:sz="0" w:space="0" w:color="auto"/>
      </w:divBdr>
      <w:divsChild>
        <w:div w:id="1618101693">
          <w:marLeft w:val="0"/>
          <w:marRight w:val="0"/>
          <w:marTop w:val="0"/>
          <w:marBottom w:val="0"/>
          <w:divBdr>
            <w:top w:val="none" w:sz="0" w:space="0" w:color="auto"/>
            <w:left w:val="none" w:sz="0" w:space="0" w:color="auto"/>
            <w:bottom w:val="none" w:sz="0" w:space="0" w:color="auto"/>
            <w:right w:val="none" w:sz="0" w:space="0" w:color="auto"/>
          </w:divBdr>
          <w:divsChild>
            <w:div w:id="287515046">
              <w:marLeft w:val="0"/>
              <w:marRight w:val="0"/>
              <w:marTop w:val="0"/>
              <w:marBottom w:val="0"/>
              <w:divBdr>
                <w:top w:val="none" w:sz="0" w:space="0" w:color="auto"/>
                <w:left w:val="none" w:sz="0" w:space="0" w:color="auto"/>
                <w:bottom w:val="none" w:sz="0" w:space="0" w:color="auto"/>
                <w:right w:val="none" w:sz="0" w:space="0" w:color="auto"/>
              </w:divBdr>
              <w:divsChild>
                <w:div w:id="111575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31949">
      <w:bodyDiv w:val="1"/>
      <w:marLeft w:val="0"/>
      <w:marRight w:val="0"/>
      <w:marTop w:val="0"/>
      <w:marBottom w:val="0"/>
      <w:divBdr>
        <w:top w:val="none" w:sz="0" w:space="0" w:color="auto"/>
        <w:left w:val="none" w:sz="0" w:space="0" w:color="auto"/>
        <w:bottom w:val="none" w:sz="0" w:space="0" w:color="auto"/>
        <w:right w:val="none" w:sz="0" w:space="0" w:color="auto"/>
      </w:divBdr>
      <w:divsChild>
        <w:div w:id="189882027">
          <w:marLeft w:val="0"/>
          <w:marRight w:val="0"/>
          <w:marTop w:val="0"/>
          <w:marBottom w:val="0"/>
          <w:divBdr>
            <w:top w:val="none" w:sz="0" w:space="0" w:color="auto"/>
            <w:left w:val="none" w:sz="0" w:space="0" w:color="auto"/>
            <w:bottom w:val="none" w:sz="0" w:space="0" w:color="auto"/>
            <w:right w:val="none" w:sz="0" w:space="0" w:color="auto"/>
          </w:divBdr>
          <w:divsChild>
            <w:div w:id="1468284319">
              <w:marLeft w:val="0"/>
              <w:marRight w:val="0"/>
              <w:marTop w:val="0"/>
              <w:marBottom w:val="0"/>
              <w:divBdr>
                <w:top w:val="none" w:sz="0" w:space="0" w:color="auto"/>
                <w:left w:val="none" w:sz="0" w:space="0" w:color="auto"/>
                <w:bottom w:val="none" w:sz="0" w:space="0" w:color="auto"/>
                <w:right w:val="none" w:sz="0" w:space="0" w:color="auto"/>
              </w:divBdr>
              <w:divsChild>
                <w:div w:id="107204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09933">
      <w:bodyDiv w:val="1"/>
      <w:marLeft w:val="0"/>
      <w:marRight w:val="0"/>
      <w:marTop w:val="0"/>
      <w:marBottom w:val="0"/>
      <w:divBdr>
        <w:top w:val="none" w:sz="0" w:space="0" w:color="auto"/>
        <w:left w:val="none" w:sz="0" w:space="0" w:color="auto"/>
        <w:bottom w:val="none" w:sz="0" w:space="0" w:color="auto"/>
        <w:right w:val="none" w:sz="0" w:space="0" w:color="auto"/>
      </w:divBdr>
      <w:divsChild>
        <w:div w:id="123739878">
          <w:marLeft w:val="0"/>
          <w:marRight w:val="0"/>
          <w:marTop w:val="0"/>
          <w:marBottom w:val="0"/>
          <w:divBdr>
            <w:top w:val="none" w:sz="0" w:space="0" w:color="auto"/>
            <w:left w:val="none" w:sz="0" w:space="0" w:color="auto"/>
            <w:bottom w:val="none" w:sz="0" w:space="0" w:color="auto"/>
            <w:right w:val="none" w:sz="0" w:space="0" w:color="auto"/>
          </w:divBdr>
          <w:divsChild>
            <w:div w:id="1833988344">
              <w:marLeft w:val="0"/>
              <w:marRight w:val="0"/>
              <w:marTop w:val="0"/>
              <w:marBottom w:val="0"/>
              <w:divBdr>
                <w:top w:val="none" w:sz="0" w:space="0" w:color="auto"/>
                <w:left w:val="none" w:sz="0" w:space="0" w:color="auto"/>
                <w:bottom w:val="none" w:sz="0" w:space="0" w:color="auto"/>
                <w:right w:val="none" w:sz="0" w:space="0" w:color="auto"/>
              </w:divBdr>
              <w:divsChild>
                <w:div w:id="18992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686206">
      <w:bodyDiv w:val="1"/>
      <w:marLeft w:val="0"/>
      <w:marRight w:val="0"/>
      <w:marTop w:val="0"/>
      <w:marBottom w:val="0"/>
      <w:divBdr>
        <w:top w:val="none" w:sz="0" w:space="0" w:color="auto"/>
        <w:left w:val="none" w:sz="0" w:space="0" w:color="auto"/>
        <w:bottom w:val="none" w:sz="0" w:space="0" w:color="auto"/>
        <w:right w:val="none" w:sz="0" w:space="0" w:color="auto"/>
      </w:divBdr>
      <w:divsChild>
        <w:div w:id="143087432">
          <w:marLeft w:val="0"/>
          <w:marRight w:val="0"/>
          <w:marTop w:val="0"/>
          <w:marBottom w:val="0"/>
          <w:divBdr>
            <w:top w:val="none" w:sz="0" w:space="0" w:color="auto"/>
            <w:left w:val="none" w:sz="0" w:space="0" w:color="auto"/>
            <w:bottom w:val="none" w:sz="0" w:space="0" w:color="auto"/>
            <w:right w:val="none" w:sz="0" w:space="0" w:color="auto"/>
          </w:divBdr>
          <w:divsChild>
            <w:div w:id="252200562">
              <w:marLeft w:val="0"/>
              <w:marRight w:val="0"/>
              <w:marTop w:val="0"/>
              <w:marBottom w:val="0"/>
              <w:divBdr>
                <w:top w:val="none" w:sz="0" w:space="0" w:color="auto"/>
                <w:left w:val="none" w:sz="0" w:space="0" w:color="auto"/>
                <w:bottom w:val="none" w:sz="0" w:space="0" w:color="auto"/>
                <w:right w:val="none" w:sz="0" w:space="0" w:color="auto"/>
              </w:divBdr>
            </w:div>
            <w:div w:id="714430189">
              <w:marLeft w:val="0"/>
              <w:marRight w:val="0"/>
              <w:marTop w:val="0"/>
              <w:marBottom w:val="0"/>
              <w:divBdr>
                <w:top w:val="none" w:sz="0" w:space="0" w:color="auto"/>
                <w:left w:val="none" w:sz="0" w:space="0" w:color="auto"/>
                <w:bottom w:val="none" w:sz="0" w:space="0" w:color="auto"/>
                <w:right w:val="none" w:sz="0" w:space="0" w:color="auto"/>
              </w:divBdr>
            </w:div>
            <w:div w:id="241378626">
              <w:marLeft w:val="0"/>
              <w:marRight w:val="0"/>
              <w:marTop w:val="0"/>
              <w:marBottom w:val="0"/>
              <w:divBdr>
                <w:top w:val="none" w:sz="0" w:space="0" w:color="auto"/>
                <w:left w:val="none" w:sz="0" w:space="0" w:color="auto"/>
                <w:bottom w:val="none" w:sz="0" w:space="0" w:color="auto"/>
                <w:right w:val="none" w:sz="0" w:space="0" w:color="auto"/>
              </w:divBdr>
            </w:div>
            <w:div w:id="1661349216">
              <w:marLeft w:val="0"/>
              <w:marRight w:val="0"/>
              <w:marTop w:val="0"/>
              <w:marBottom w:val="0"/>
              <w:divBdr>
                <w:top w:val="none" w:sz="0" w:space="0" w:color="auto"/>
                <w:left w:val="none" w:sz="0" w:space="0" w:color="auto"/>
                <w:bottom w:val="none" w:sz="0" w:space="0" w:color="auto"/>
                <w:right w:val="none" w:sz="0" w:space="0" w:color="auto"/>
              </w:divBdr>
            </w:div>
            <w:div w:id="450053095">
              <w:marLeft w:val="0"/>
              <w:marRight w:val="0"/>
              <w:marTop w:val="0"/>
              <w:marBottom w:val="0"/>
              <w:divBdr>
                <w:top w:val="none" w:sz="0" w:space="0" w:color="auto"/>
                <w:left w:val="none" w:sz="0" w:space="0" w:color="auto"/>
                <w:bottom w:val="none" w:sz="0" w:space="0" w:color="auto"/>
                <w:right w:val="none" w:sz="0" w:space="0" w:color="auto"/>
              </w:divBdr>
            </w:div>
          </w:divsChild>
        </w:div>
        <w:div w:id="245267223">
          <w:marLeft w:val="0"/>
          <w:marRight w:val="0"/>
          <w:marTop w:val="0"/>
          <w:marBottom w:val="0"/>
          <w:divBdr>
            <w:top w:val="none" w:sz="0" w:space="0" w:color="auto"/>
            <w:left w:val="none" w:sz="0" w:space="0" w:color="auto"/>
            <w:bottom w:val="none" w:sz="0" w:space="0" w:color="auto"/>
            <w:right w:val="none" w:sz="0" w:space="0" w:color="auto"/>
          </w:divBdr>
        </w:div>
        <w:div w:id="1497722887">
          <w:marLeft w:val="0"/>
          <w:marRight w:val="0"/>
          <w:marTop w:val="0"/>
          <w:marBottom w:val="0"/>
          <w:divBdr>
            <w:top w:val="none" w:sz="0" w:space="0" w:color="auto"/>
            <w:left w:val="none" w:sz="0" w:space="0" w:color="auto"/>
            <w:bottom w:val="none" w:sz="0" w:space="0" w:color="auto"/>
            <w:right w:val="none" w:sz="0" w:space="0" w:color="auto"/>
          </w:divBdr>
        </w:div>
      </w:divsChild>
    </w:div>
    <w:div w:id="1968506493">
      <w:bodyDiv w:val="1"/>
      <w:marLeft w:val="0"/>
      <w:marRight w:val="0"/>
      <w:marTop w:val="0"/>
      <w:marBottom w:val="0"/>
      <w:divBdr>
        <w:top w:val="none" w:sz="0" w:space="0" w:color="auto"/>
        <w:left w:val="none" w:sz="0" w:space="0" w:color="auto"/>
        <w:bottom w:val="none" w:sz="0" w:space="0" w:color="auto"/>
        <w:right w:val="none" w:sz="0" w:space="0" w:color="auto"/>
      </w:divBdr>
    </w:div>
    <w:div w:id="2019498759">
      <w:bodyDiv w:val="1"/>
      <w:marLeft w:val="0"/>
      <w:marRight w:val="0"/>
      <w:marTop w:val="0"/>
      <w:marBottom w:val="0"/>
      <w:divBdr>
        <w:top w:val="none" w:sz="0" w:space="0" w:color="auto"/>
        <w:left w:val="none" w:sz="0" w:space="0" w:color="auto"/>
        <w:bottom w:val="none" w:sz="0" w:space="0" w:color="auto"/>
        <w:right w:val="none" w:sz="0" w:space="0" w:color="auto"/>
      </w:divBdr>
    </w:div>
    <w:div w:id="2033416903">
      <w:bodyDiv w:val="1"/>
      <w:marLeft w:val="0"/>
      <w:marRight w:val="0"/>
      <w:marTop w:val="0"/>
      <w:marBottom w:val="0"/>
      <w:divBdr>
        <w:top w:val="none" w:sz="0" w:space="0" w:color="auto"/>
        <w:left w:val="none" w:sz="0" w:space="0" w:color="auto"/>
        <w:bottom w:val="none" w:sz="0" w:space="0" w:color="auto"/>
        <w:right w:val="none" w:sz="0" w:space="0" w:color="auto"/>
      </w:divBdr>
      <w:divsChild>
        <w:div w:id="457071118">
          <w:marLeft w:val="0"/>
          <w:marRight w:val="0"/>
          <w:marTop w:val="0"/>
          <w:marBottom w:val="0"/>
          <w:divBdr>
            <w:top w:val="none" w:sz="0" w:space="0" w:color="auto"/>
            <w:left w:val="none" w:sz="0" w:space="0" w:color="auto"/>
            <w:bottom w:val="none" w:sz="0" w:space="0" w:color="auto"/>
            <w:right w:val="none" w:sz="0" w:space="0" w:color="auto"/>
          </w:divBdr>
          <w:divsChild>
            <w:div w:id="1013218450">
              <w:marLeft w:val="0"/>
              <w:marRight w:val="0"/>
              <w:marTop w:val="0"/>
              <w:marBottom w:val="0"/>
              <w:divBdr>
                <w:top w:val="none" w:sz="0" w:space="0" w:color="auto"/>
                <w:left w:val="none" w:sz="0" w:space="0" w:color="auto"/>
                <w:bottom w:val="none" w:sz="0" w:space="0" w:color="auto"/>
                <w:right w:val="none" w:sz="0" w:space="0" w:color="auto"/>
              </w:divBdr>
              <w:divsChild>
                <w:div w:id="194641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34780">
      <w:bodyDiv w:val="1"/>
      <w:marLeft w:val="0"/>
      <w:marRight w:val="0"/>
      <w:marTop w:val="0"/>
      <w:marBottom w:val="0"/>
      <w:divBdr>
        <w:top w:val="none" w:sz="0" w:space="0" w:color="auto"/>
        <w:left w:val="none" w:sz="0" w:space="0" w:color="auto"/>
        <w:bottom w:val="none" w:sz="0" w:space="0" w:color="auto"/>
        <w:right w:val="none" w:sz="0" w:space="0" w:color="auto"/>
      </w:divBdr>
      <w:divsChild>
        <w:div w:id="1643389207">
          <w:marLeft w:val="0"/>
          <w:marRight w:val="0"/>
          <w:marTop w:val="0"/>
          <w:marBottom w:val="0"/>
          <w:divBdr>
            <w:top w:val="none" w:sz="0" w:space="0" w:color="auto"/>
            <w:left w:val="none" w:sz="0" w:space="0" w:color="auto"/>
            <w:bottom w:val="none" w:sz="0" w:space="0" w:color="auto"/>
            <w:right w:val="none" w:sz="0" w:space="0" w:color="auto"/>
          </w:divBdr>
          <w:divsChild>
            <w:div w:id="1377317494">
              <w:marLeft w:val="0"/>
              <w:marRight w:val="0"/>
              <w:marTop w:val="0"/>
              <w:marBottom w:val="0"/>
              <w:divBdr>
                <w:top w:val="none" w:sz="0" w:space="0" w:color="auto"/>
                <w:left w:val="none" w:sz="0" w:space="0" w:color="auto"/>
                <w:bottom w:val="none" w:sz="0" w:space="0" w:color="auto"/>
                <w:right w:val="none" w:sz="0" w:space="0" w:color="auto"/>
              </w:divBdr>
              <w:divsChild>
                <w:div w:id="28353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11492">
      <w:bodyDiv w:val="1"/>
      <w:marLeft w:val="0"/>
      <w:marRight w:val="0"/>
      <w:marTop w:val="0"/>
      <w:marBottom w:val="0"/>
      <w:divBdr>
        <w:top w:val="none" w:sz="0" w:space="0" w:color="auto"/>
        <w:left w:val="none" w:sz="0" w:space="0" w:color="auto"/>
        <w:bottom w:val="none" w:sz="0" w:space="0" w:color="auto"/>
        <w:right w:val="none" w:sz="0" w:space="0" w:color="auto"/>
      </w:divBdr>
      <w:divsChild>
        <w:div w:id="1927104086">
          <w:marLeft w:val="0"/>
          <w:marRight w:val="0"/>
          <w:marTop w:val="0"/>
          <w:marBottom w:val="0"/>
          <w:divBdr>
            <w:top w:val="none" w:sz="0" w:space="0" w:color="auto"/>
            <w:left w:val="none" w:sz="0" w:space="0" w:color="auto"/>
            <w:bottom w:val="none" w:sz="0" w:space="0" w:color="auto"/>
            <w:right w:val="none" w:sz="0" w:space="0" w:color="auto"/>
          </w:divBdr>
          <w:divsChild>
            <w:div w:id="1431318014">
              <w:marLeft w:val="0"/>
              <w:marRight w:val="0"/>
              <w:marTop w:val="0"/>
              <w:marBottom w:val="0"/>
              <w:divBdr>
                <w:top w:val="none" w:sz="0" w:space="0" w:color="auto"/>
                <w:left w:val="none" w:sz="0" w:space="0" w:color="auto"/>
                <w:bottom w:val="none" w:sz="0" w:space="0" w:color="auto"/>
                <w:right w:val="none" w:sz="0" w:space="0" w:color="auto"/>
              </w:divBdr>
              <w:divsChild>
                <w:div w:id="58334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21999">
      <w:bodyDiv w:val="1"/>
      <w:marLeft w:val="0"/>
      <w:marRight w:val="0"/>
      <w:marTop w:val="0"/>
      <w:marBottom w:val="0"/>
      <w:divBdr>
        <w:top w:val="none" w:sz="0" w:space="0" w:color="auto"/>
        <w:left w:val="none" w:sz="0" w:space="0" w:color="auto"/>
        <w:bottom w:val="none" w:sz="0" w:space="0" w:color="auto"/>
        <w:right w:val="none" w:sz="0" w:space="0" w:color="auto"/>
      </w:divBdr>
      <w:divsChild>
        <w:div w:id="1145899232">
          <w:marLeft w:val="0"/>
          <w:marRight w:val="0"/>
          <w:marTop w:val="0"/>
          <w:marBottom w:val="0"/>
          <w:divBdr>
            <w:top w:val="none" w:sz="0" w:space="0" w:color="auto"/>
            <w:left w:val="none" w:sz="0" w:space="0" w:color="auto"/>
            <w:bottom w:val="none" w:sz="0" w:space="0" w:color="auto"/>
            <w:right w:val="none" w:sz="0" w:space="0" w:color="auto"/>
          </w:divBdr>
          <w:divsChild>
            <w:div w:id="738479194">
              <w:marLeft w:val="0"/>
              <w:marRight w:val="0"/>
              <w:marTop w:val="0"/>
              <w:marBottom w:val="0"/>
              <w:divBdr>
                <w:top w:val="none" w:sz="0" w:space="0" w:color="auto"/>
                <w:left w:val="none" w:sz="0" w:space="0" w:color="auto"/>
                <w:bottom w:val="none" w:sz="0" w:space="0" w:color="auto"/>
                <w:right w:val="none" w:sz="0" w:space="0" w:color="auto"/>
              </w:divBdr>
              <w:divsChild>
                <w:div w:id="17984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4225">
      <w:bodyDiv w:val="1"/>
      <w:marLeft w:val="0"/>
      <w:marRight w:val="0"/>
      <w:marTop w:val="0"/>
      <w:marBottom w:val="0"/>
      <w:divBdr>
        <w:top w:val="none" w:sz="0" w:space="0" w:color="auto"/>
        <w:left w:val="none" w:sz="0" w:space="0" w:color="auto"/>
        <w:bottom w:val="none" w:sz="0" w:space="0" w:color="auto"/>
        <w:right w:val="none" w:sz="0" w:space="0" w:color="auto"/>
      </w:divBdr>
    </w:div>
    <w:div w:id="2090227872">
      <w:bodyDiv w:val="1"/>
      <w:marLeft w:val="0"/>
      <w:marRight w:val="0"/>
      <w:marTop w:val="0"/>
      <w:marBottom w:val="0"/>
      <w:divBdr>
        <w:top w:val="none" w:sz="0" w:space="0" w:color="auto"/>
        <w:left w:val="none" w:sz="0" w:space="0" w:color="auto"/>
        <w:bottom w:val="none" w:sz="0" w:space="0" w:color="auto"/>
        <w:right w:val="none" w:sz="0" w:space="0" w:color="auto"/>
      </w:divBdr>
      <w:divsChild>
        <w:div w:id="234098369">
          <w:marLeft w:val="0"/>
          <w:marRight w:val="0"/>
          <w:marTop w:val="0"/>
          <w:marBottom w:val="0"/>
          <w:divBdr>
            <w:top w:val="none" w:sz="0" w:space="0" w:color="auto"/>
            <w:left w:val="none" w:sz="0" w:space="0" w:color="auto"/>
            <w:bottom w:val="none" w:sz="0" w:space="0" w:color="auto"/>
            <w:right w:val="none" w:sz="0" w:space="0" w:color="auto"/>
          </w:divBdr>
          <w:divsChild>
            <w:div w:id="1768695284">
              <w:marLeft w:val="0"/>
              <w:marRight w:val="0"/>
              <w:marTop w:val="0"/>
              <w:marBottom w:val="0"/>
              <w:divBdr>
                <w:top w:val="none" w:sz="0" w:space="0" w:color="auto"/>
                <w:left w:val="none" w:sz="0" w:space="0" w:color="auto"/>
                <w:bottom w:val="none" w:sz="0" w:space="0" w:color="auto"/>
                <w:right w:val="none" w:sz="0" w:space="0" w:color="auto"/>
              </w:divBdr>
              <w:divsChild>
                <w:div w:id="447160585">
                  <w:marLeft w:val="0"/>
                  <w:marRight w:val="0"/>
                  <w:marTop w:val="0"/>
                  <w:marBottom w:val="0"/>
                  <w:divBdr>
                    <w:top w:val="none" w:sz="0" w:space="0" w:color="auto"/>
                    <w:left w:val="none" w:sz="0" w:space="0" w:color="auto"/>
                    <w:bottom w:val="none" w:sz="0" w:space="0" w:color="auto"/>
                    <w:right w:val="none" w:sz="0" w:space="0" w:color="auto"/>
                  </w:divBdr>
                  <w:divsChild>
                    <w:div w:id="100185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10103">
      <w:bodyDiv w:val="1"/>
      <w:marLeft w:val="0"/>
      <w:marRight w:val="0"/>
      <w:marTop w:val="0"/>
      <w:marBottom w:val="0"/>
      <w:divBdr>
        <w:top w:val="none" w:sz="0" w:space="0" w:color="auto"/>
        <w:left w:val="none" w:sz="0" w:space="0" w:color="auto"/>
        <w:bottom w:val="none" w:sz="0" w:space="0" w:color="auto"/>
        <w:right w:val="none" w:sz="0" w:space="0" w:color="auto"/>
      </w:divBdr>
      <w:divsChild>
        <w:div w:id="209273383">
          <w:marLeft w:val="0"/>
          <w:marRight w:val="0"/>
          <w:marTop w:val="0"/>
          <w:marBottom w:val="0"/>
          <w:divBdr>
            <w:top w:val="none" w:sz="0" w:space="0" w:color="auto"/>
            <w:left w:val="none" w:sz="0" w:space="0" w:color="auto"/>
            <w:bottom w:val="none" w:sz="0" w:space="0" w:color="auto"/>
            <w:right w:val="none" w:sz="0" w:space="0" w:color="auto"/>
          </w:divBdr>
          <w:divsChild>
            <w:div w:id="643051420">
              <w:marLeft w:val="0"/>
              <w:marRight w:val="0"/>
              <w:marTop w:val="0"/>
              <w:marBottom w:val="0"/>
              <w:divBdr>
                <w:top w:val="none" w:sz="0" w:space="0" w:color="auto"/>
                <w:left w:val="none" w:sz="0" w:space="0" w:color="auto"/>
                <w:bottom w:val="none" w:sz="0" w:space="0" w:color="auto"/>
                <w:right w:val="none" w:sz="0" w:space="0" w:color="auto"/>
              </w:divBdr>
              <w:divsChild>
                <w:div w:id="1728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68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undp.org/content/undp/en/home/operations/accountability/programme_and_operationspoliciesandprocedures.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thegef.org/sites/default/files/council-meeting-documents/EN_GEF.ME_C56_02_GEF_Evaluation_Policy_May_2019_0.pdf" TargetMode="External"/><Relationship Id="rId34" Type="http://schemas.openxmlformats.org/officeDocument/2006/relationships/hyperlink" Target="file:///C:/Users/Paloma.Somohano/AppData/Local/Microsoft/Windows/INetCache/Content.MSO/DD4DF10.xlsx"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hyperlink" Target="http://web.undp.org/evaluation/guidance.shtml" TargetMode="External"/><Relationship Id="rId33" Type="http://schemas.openxmlformats.org/officeDocument/2006/relationships/hyperlink" Target="http://www.un.org/sc/committees/1267/aq_sanctions_list.s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thegef.org/sites/default/files/council-meeting-documents/GEF-C.56-03,%20Policy%20on%20Monitoring.pdf" TargetMode="External"/><Relationship Id="rId29" Type="http://schemas.openxmlformats.org/officeDocument/2006/relationships/hyperlink" Target="https://popp.undp.org/_layouts/15/WopiFrame.aspx?sourcedoc=/UNDP_POPP_DOCUMENT_LIBRARY/Public/PPM_Implement_Provide%20Supervisi&#243;n.docx&amp;action=defau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eb.undp.org/evaluation/guidance.shtml" TargetMode="External"/><Relationship Id="rId32" Type="http://schemas.openxmlformats.org/officeDocument/2006/relationships/hyperlink" Target="file:///C:/Users/Paloma.Somohano/AppData/Local/Microsoft/Windows/INetCache/Content.MSO/FD63F60D.xlsx" TargetMode="External"/><Relationship Id="rId5" Type="http://schemas.openxmlformats.org/officeDocument/2006/relationships/numbering" Target="numbering.xml"/><Relationship Id="rId15" Type="http://schemas.openxmlformats.org/officeDocument/2006/relationships/hyperlink" Target="http://www.undp.org/content/undp/en/home/operations/accountability/evaluation/evaluation_policyofundp.html" TargetMode="External"/><Relationship Id="rId23" Type="http://schemas.openxmlformats.org/officeDocument/2006/relationships/hyperlink" Target="https://www.thegef.org/sites/default/files/documents/Results_Guidelines.pdf" TargetMode="External"/><Relationship Id="rId28" Type="http://schemas.openxmlformats.org/officeDocument/2006/relationships/hyperlink" Target="https://www.thegef.org/sites/default/files/documents/gef_minimum_fiduciary_standards_partner_agencies_2019.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undp.org/content/undp/en/home/operations/accountability/evaluation/evaluation_policyofundp.html" TargetMode="External"/><Relationship Id="rId31" Type="http://schemas.openxmlformats.org/officeDocument/2006/relationships/hyperlink" Target="https://www.thegef.org/sites/default/files/documents/GEF_Guidelines_Project_Program_Cycle_Policy_2020073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dp.org/content/undp/en/home/operations/accountability/programme_and_operationspoliciesandprocedures.html" TargetMode="External"/><Relationship Id="rId22" Type="http://schemas.openxmlformats.org/officeDocument/2006/relationships/hyperlink" Target="https://www.thegef.org/documents/policies-guidelines" TargetMode="External"/><Relationship Id="rId27" Type="http://schemas.openxmlformats.org/officeDocument/2006/relationships/footer" Target="footer3.xml"/><Relationship Id="rId30" Type="http://schemas.openxmlformats.org/officeDocument/2006/relationships/hyperlink" Target="https://popp.undp.org/_layouts/15/WopiFrame.aspx?sourcedoc=/UNDP_POPP_DOCUMENT_LIBRARY/Public/PPM_Implement_Manage%20Cambiar.docx&amp;action=default"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ipa.agricultura.gob.ec/index.php/comportamiento-insumos/comportamiento-2020" TargetMode="External"/><Relationship Id="rId13" Type="http://schemas.openxmlformats.org/officeDocument/2006/relationships/hyperlink" Target="https://www.youtube.com/watch?v=MZIVTmo4few" TargetMode="External"/><Relationship Id="rId18" Type="http://schemas.openxmlformats.org/officeDocument/2006/relationships/hyperlink" Target="https://doi.org/10.4060/CA1796EN" TargetMode="External"/><Relationship Id="rId3" Type="http://schemas.openxmlformats.org/officeDocument/2006/relationships/hyperlink" Target="http://sipa.agricultura.gob.ec/index.php/indicador-agroeconomico" TargetMode="External"/><Relationship Id="rId7" Type="http://schemas.openxmlformats.org/officeDocument/2006/relationships/hyperlink" Target="http://sipa.agricultura.gob.ec/index.php/cifras-agroproductivas" TargetMode="External"/><Relationship Id="rId12" Type="http://schemas.openxmlformats.org/officeDocument/2006/relationships/hyperlink" Target="https://www.undp.org/publications/precision-agriculture-smallholder-farmers" TargetMode="External"/><Relationship Id="rId17" Type="http://schemas.openxmlformats.org/officeDocument/2006/relationships/hyperlink" Target="https://panorama.solutions/en" TargetMode="External"/><Relationship Id="rId2" Type="http://schemas.openxmlformats.org/officeDocument/2006/relationships/hyperlink" Target="http://sipa.agricultura.gob.ec/index.php/indicador-agrosocial" TargetMode="External"/><Relationship Id="rId16" Type="http://schemas.openxmlformats.org/officeDocument/2006/relationships/hyperlink" Target="https://www.facebook.com/AsoInti" TargetMode="External"/><Relationship Id="rId20" Type="http://schemas.openxmlformats.org/officeDocument/2006/relationships/hyperlink" Target="https://popp.undp.org/_layouts/15/WopiFrame.aspx?sourcedoc=/UNDP_POPP_DOCUMENT_LIBRARY/Public/PPM_Project%20Gesti&#243;n_Cierre.docx&amp;action=default" TargetMode="External"/><Relationship Id="rId1" Type="http://schemas.openxmlformats.org/officeDocument/2006/relationships/hyperlink" Target="https://www.ecuadorencifras.gob.ec/estadisticas/" TargetMode="External"/><Relationship Id="rId6" Type="http://schemas.openxmlformats.org/officeDocument/2006/relationships/hyperlink" Target="https://www.ecuadorencifras.gob.ec/estadisticas-agropecuarias-2/" TargetMode="External"/><Relationship Id="rId11" Type="http://schemas.openxmlformats.org/officeDocument/2006/relationships/hyperlink" Target="https://www.planificacion.gob.ec/wp-content/uploads/2021/09/Plan-de-Creaci&#243;n-de-Oportunidades-2021-2025-Aprobado.pdf" TargetMode="External"/><Relationship Id="rId5" Type="http://schemas.openxmlformats.org/officeDocument/2006/relationships/hyperlink" Target="https://www.ecuadorencifras.gob.ec/censo-nacional-agropecuario/" TargetMode="External"/><Relationship Id="rId15" Type="http://schemas.openxmlformats.org/officeDocument/2006/relationships/hyperlink" Target="https://www.facebook.com/ceprocafe" TargetMode="External"/><Relationship Id="rId10" Type="http://schemas.openxmlformats.org/officeDocument/2006/relationships/hyperlink" Target="https://www.rimisp.org/wp-content/uploads/2022/04/13-Ecuador.pdf" TargetMode="External"/><Relationship Id="rId19" Type="http://schemas.openxmlformats.org/officeDocument/2006/relationships/hyperlink" Target="https://www.thegef.org/gef/policies_guidelines" TargetMode="External"/><Relationship Id="rId4" Type="http://schemas.openxmlformats.org/officeDocument/2006/relationships/hyperlink" Target="https://www.agricultura.gob.ec/ecuador-promueve-inversiones-en-sector-agropecuario/" TargetMode="External"/><Relationship Id="rId9" Type="http://schemas.openxmlformats.org/officeDocument/2006/relationships/hyperlink" Target="https://www.agricultura.gob.ec/wp-content/uploads/2020/08/Resumen-Ejecutivo-Diagn&#243;sticos-Territoriales-del-Sector-Agrario_14-08-2020-1_compressed.pdf" TargetMode="External"/><Relationship Id="rId14" Type="http://schemas.openxmlformats.org/officeDocument/2006/relationships/hyperlink" Target="https://www.facebook.com/aso.resa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B0500 - Ecuador - Quito</OfficeCountry>
    <DocumentStatus xmlns="d9cf0e28-81d2-4dc7-8b10-820d80ed680d">Draft</DocumentStatus>
    <DocCoverageEndDate xmlns="d9cf0e28-81d2-4dc7-8b10-820d80ed680d">2027-12-31T05:00:00+00:00</DocCoverageEndDate>
    <TaxCatchAll xmlns="e91d5986-7c29-4ed1-8a54-b8fb378ed474" xsi:nil="true"/>
    <FunctionalArea xmlns="d9cf0e28-81d2-4dc7-8b10-820d80ed680d">Programme and Project</FunctionalArea>
    <FileNameDescription xmlns="d9cf0e28-81d2-4dc7-8b10-820d80ed680d">DRAFT PRODOC FARM</FileNameDescription>
    <ProjectNumber xmlns="d9cf0e28-81d2-4dc7-8b10-820d80ed680d">00131123</ProjectNumber>
    <DocumentType xmlns="d9cf0e28-81d2-4dc7-8b10-820d80ed680d">Project Document (Prodoc)</DocumentType>
    <Language xmlns="d9cf0e28-81d2-4dc7-8b10-820d80ed680d">Spanish</Language>
    <AuthorName xmlns="d9cf0e28-81d2-4dc7-8b10-820d80ed680d">UNDP</AuthorName>
    <DocumentCategory xmlns="d9cf0e28-81d2-4dc7-8b10-820d80ed680d">Project</DocumentCategory>
    <OperatingUnit xmlns="d9cf0e28-81d2-4dc7-8b10-820d80ed680d">UNDP-ECU</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2023-12-01T05:00:00+00:00</DocCoverageStartDate>
    <FileClassificationMode xmlns="d9cf0e28-81d2-4dc7-8b10-820d80ed680d">Public</FileClassificationMode>
    <OutputNumber xmlns="d9cf0e28-81d2-4dc7-8b10-820d80ed680d">00124255</OutputNumb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51F99C-15BD-4322-B002-AB01124CF4E0}">
  <ds:schemaRefs>
    <ds:schemaRef ds:uri="http://schemas.openxmlformats.org/officeDocument/2006/bibliography"/>
  </ds:schemaRefs>
</ds:datastoreItem>
</file>

<file path=customXml/itemProps3.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4.xml><?xml version="1.0" encoding="utf-8"?>
<ds:datastoreItem xmlns:ds="http://schemas.openxmlformats.org/officeDocument/2006/customXml" ds:itemID="{CCABCE34-D4D4-47FF-95F9-47D9B60C1383}"/>
</file>

<file path=docProps/app.xml><?xml version="1.0" encoding="utf-8"?>
<Properties xmlns="http://schemas.openxmlformats.org/officeDocument/2006/extended-properties" xmlns:vt="http://schemas.openxmlformats.org/officeDocument/2006/docPropsVTypes">
  <Template>Normal</Template>
  <TotalTime>3</TotalTime>
  <Pages>6</Pages>
  <Words>53550</Words>
  <Characters>294531</Characters>
  <Application>Microsoft Office Word</Application>
  <DocSecurity>0</DocSecurity>
  <Lines>2454</Lines>
  <Paragraphs>694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PRODOC FARM</dc:title>
  <dc:subject/>
  <dc:creator>Paloma Somohano</dc:creator>
  <cp:keywords/>
  <dc:description/>
  <cp:lastModifiedBy>Gabriela Jarrin</cp:lastModifiedBy>
  <cp:revision>5</cp:revision>
  <cp:lastPrinted>2023-09-19T17:29:00Z</cp:lastPrinted>
  <dcterms:created xsi:type="dcterms:W3CDTF">2023-09-11T16:48:00Z</dcterms:created>
  <dcterms:modified xsi:type="dcterms:W3CDTF">2023-09-19T17:29:00Z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