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Sri Lanka LD+BD project</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4" w:history="1">
        <w:r>
          <w:t>Finance/Co-Finance</w:t>
        </w:r>
        <w:r>
          <w:tab/>
        </w:r>
        <w:r>
          <w:fldChar w:fldCharType="begin"/>
        </w:r>
        <w:r>
          <w:instrText xml:space="preserve">PAGEREF 4 \h</w:instrText>
        </w:r>
        <w:r>
          <w:fldChar w:fldCharType="end"/>
        </w:r>
      </w:hyperlink>
    </w:p>
    <w:p>
      <w:pPr>
        <w:tabs>
          <w:tab w:val="right" w:leader="dot" w:pos="9062"/>
        </w:tabs>
      </w:pPr>
      <w:hyperlink w:anchor="_Toc6" w:history="1">
        <w:r>
          <w:t>Implementation Progress</w:t>
        </w:r>
        <w:r>
          <w:tab/>
        </w:r>
        <w:r>
          <w:fldChar w:fldCharType="begin"/>
        </w:r>
        <w:r>
          <w:instrText xml:space="preserve">PAGEREF 6 \h</w:instrText>
        </w:r>
        <w:r>
          <w:fldChar w:fldCharType="end"/>
        </w:r>
      </w:hyperlink>
    </w:p>
    <w:p>
      <w:pPr>
        <w:tabs>
          <w:tab w:val="right" w:leader="dot" w:pos="9062"/>
        </w:tabs>
      </w:pPr>
      <w:hyperlink w:anchor="_Toc7" w:history="1">
        <w:r>
          <w:t>Project Governance</w:t>
        </w:r>
        <w:r>
          <w:tab/>
        </w:r>
        <w:r>
          <w:fldChar w:fldCharType="begin"/>
        </w:r>
        <w:r>
          <w:instrText xml:space="preserve">PAGEREF 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8 \h</w:instrText>
        </w:r>
        <w:r>
          <w:fldChar w:fldCharType="end"/>
        </w:r>
      </w:hyperlink>
    </w:p>
    <w:p>
      <w:pPr>
        <w:tabs>
          <w:tab w:val="right" w:leader="dot" w:pos="9062"/>
        </w:tabs>
      </w:pPr>
      <w:hyperlink w:anchor="_Toc9" w:history="1">
        <w:r>
          <w:t>Minor Amendments</w:t>
        </w:r>
        <w:r>
          <w:tab/>
        </w:r>
        <w:r>
          <w:fldChar w:fldCharType="begin"/>
        </w:r>
        <w:r>
          <w:instrText xml:space="preserve">PAGEREF 9 \h</w:instrText>
        </w:r>
        <w:r>
          <w:fldChar w:fldCharType="end"/>
        </w:r>
      </w:hyperlink>
    </w:p>
    <w:p>
      <w:pPr>
        <w:tabs>
          <w:tab w:val="right" w:leader="dot" w:pos="9062"/>
        </w:tabs>
      </w:pPr>
      <w:hyperlink w:anchor="_Toc10" w:history="1">
        <w:r>
          <w:t>Gender</w:t>
        </w:r>
        <w:r>
          <w:tab/>
        </w:r>
        <w:r>
          <w:fldChar w:fldCharType="begin"/>
        </w:r>
        <w:r>
          <w:instrText xml:space="preserve">PAGEREF 10 \h</w:instrText>
        </w:r>
        <w:r>
          <w:fldChar w:fldCharType="end"/>
        </w:r>
      </w:hyperlink>
    </w:p>
    <w:p>
      <w:pPr>
        <w:tabs>
          <w:tab w:val="right" w:leader="dot" w:pos="9062"/>
        </w:tabs>
      </w:pPr>
      <w:hyperlink w:anchor="_Toc12" w:history="1">
        <w:r>
          <w:t>Risk Management</w:t>
        </w:r>
        <w:r>
          <w:tab/>
        </w:r>
        <w:r>
          <w:fldChar w:fldCharType="begin"/>
        </w:r>
        <w:r>
          <w:instrText xml:space="preserve">PAGEREF 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15 \h</w:instrText>
        </w:r>
        <w:r>
          <w:fldChar w:fldCharType="end"/>
        </w:r>
      </w:hyperlink>
    </w:p>
    <w:p>
      <w:pPr>
        <w:tabs>
          <w:tab w:val="right" w:leader="dot" w:pos="9062"/>
        </w:tabs>
      </w:pPr>
      <w:hyperlink w:anchor="_Toc16" w:history="1">
        <w:r>
          <w:t>Annex - Ratings Definitions</w:t>
        </w:r>
        <w:r>
          <w:tab/>
        </w:r>
        <w:r>
          <w:fldChar w:fldCharType="begin"/>
        </w:r>
        <w:r>
          <w:instrText xml:space="preserve">PAGEREF 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6504</w:t>
            </w:r>
          </w:p>
        </w:tc>
      </w:tr>
      <w:tr>
        <w:trPr/>
        <w:tc>
          <w:tcPr>
            <w:tcW w:w="5000" w:type="dxa"/>
            <w:gridSpan w:val="1"/>
            <w:noWrap/>
          </w:tcPr>
          <w:p>
            <w:pPr/>
            <w:r>
              <w:rPr/>
              <w:t xml:space="preserve">GEF ID</w:t>
            </w:r>
          </w:p>
        </w:tc>
        <w:tc>
          <w:tcPr>
            <w:tcW w:w="5000" w:type="dxa"/>
            <w:gridSpan w:val="1"/>
            <w:noWrap/>
          </w:tcPr>
          <w:p>
            <w:pPr/>
            <w:r>
              <w:rPr/>
              <w:t xml:space="preserve">10537</w:t>
            </w:r>
          </w:p>
        </w:tc>
      </w:tr>
      <w:tr>
        <w:trPr/>
        <w:tc>
          <w:tcPr>
            <w:tcW w:w="5000" w:type="dxa"/>
            <w:gridSpan w:val="1"/>
            <w:noWrap/>
          </w:tcPr>
          <w:p>
            <w:pPr/>
            <w:r>
              <w:rPr/>
              <w:t xml:space="preserve">Title</w:t>
            </w:r>
          </w:p>
        </w:tc>
        <w:tc>
          <w:tcPr>
            <w:tcW w:w="5000" w:type="dxa"/>
            <w:gridSpan w:val="1"/>
            <w:noWrap/>
          </w:tcPr>
          <w:p>
            <w:pPr/>
            <w:r>
              <w:rPr/>
              <w:t xml:space="preserve">Partnerships and Innovative Financing to Mainstream Biodiversity and Sustainable Land Management in the Wet Climatic Zones</w:t>
            </w:r>
          </w:p>
        </w:tc>
      </w:tr>
      <w:tr>
        <w:trPr/>
        <w:tc>
          <w:tcPr>
            <w:tcW w:w="5000" w:type="dxa"/>
            <w:gridSpan w:val="1"/>
            <w:noWrap/>
          </w:tcPr>
          <w:p>
            <w:pPr/>
            <w:r>
              <w:rPr/>
              <w:t xml:space="preserve">Country(ies)</w:t>
            </w:r>
          </w:p>
        </w:tc>
        <w:tc>
          <w:tcPr>
            <w:tcW w:w="5000" w:type="dxa"/>
            <w:gridSpan w:val="1"/>
            <w:noWrap/>
          </w:tcPr>
          <w:p>
            <w:pPr/>
            <w:r>
              <w:rPr/>
              <w:t xml:space="preserve">Sri Lanka, Sri Lanka</w:t>
            </w:r>
          </w:p>
        </w:tc>
      </w:tr>
      <w:tr>
        <w:trPr/>
        <w:tc>
          <w:tcPr>
            <w:tcW w:w="5000" w:type="dxa"/>
            <w:gridSpan w:val="1"/>
            <w:noWrap/>
          </w:tcPr>
          <w:p>
            <w:pPr/>
            <w:r>
              <w:rPr/>
              <w:t xml:space="preserve">UNDP Technical Team</w:t>
            </w:r>
          </w:p>
        </w:tc>
        <w:tc>
          <w:tcPr>
            <w:tcW w:w="5000" w:type="dxa"/>
            <w:gridSpan w:val="1"/>
            <w:noWrap/>
          </w:tcPr>
          <w:p>
            <w:pPr/>
            <w:r>
              <w:rPr/>
              <w:t xml:space="preserve">Ecosystems and Biodiversity</w:t>
            </w:r>
          </w:p>
        </w:tc>
      </w:tr>
      <w:tr>
        <w:trPr/>
        <w:tc>
          <w:tcPr>
            <w:tcW w:w="5000" w:type="dxa"/>
            <w:gridSpan w:val="1"/>
            <w:noWrap/>
          </w:tcPr>
          <w:p>
            <w:pPr/>
            <w:r>
              <w:rPr/>
              <w:t xml:space="preserve">Management Arrangements</w:t>
            </w:r>
          </w:p>
        </w:tc>
        <w:tc>
          <w:tcPr>
            <w:tcW w:w="5000" w:type="dxa"/>
            <w:gridSpan w:val="1"/>
            <w:noWrap/>
          </w:tcPr>
          <w:p>
            <w:pPr/>
            <w:r>
              <w:rPr/>
              <w:t xml:space="preserve">CO Support to NIM</w:t>
            </w:r>
          </w:p>
        </w:tc>
      </w:tr>
      <w:tr>
        <w:trPr/>
        <w:tc>
          <w:tcPr>
            <w:tcW w:w="5000" w:type="dxa"/>
            <w:gridSpan w:val="1"/>
            <w:noWrap/>
          </w:tcPr>
          <w:p>
            <w:pPr/>
            <w:r>
              <w:rPr/>
              <w:t xml:space="preserve">Project Implementing Partner</w:t>
            </w:r>
          </w:p>
        </w:tc>
        <w:tc>
          <w:tcPr>
            <w:tcW w:w="5000" w:type="dxa"/>
            <w:gridSpan w:val="1"/>
            <w:noWrap/>
          </w:tcPr>
          <w:p>
            <w:pPr/>
            <w:r>
              <w:rPr/>
              <w:t xml:space="preserve">Ministry of Environment</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2nd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GEF Trust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Brief project description: The project objective is to conserve globally significant biodiversity by improving land management practices in tea and rubber production areas in the Wet Climatic Zone through innovative Private-Public-Community Partnerships. It is aimed at increasing private sector financing for conservation of high conservation value forests and riparian habitats and introducing improved environmentally-friendly practices within tea and rubber plantations and smallholdings through promotion of alternative business models and incentives that support conservation and improved land management.   The project strategy is intended to harness innovative private sector financing through: (a) enhanced public-private-community partnerships to conserve remaining high biodiversity value forests within the plantation estates; (ii) enhance connectivity of the currently fragmented forest ecosystems, in particular through improved practices within plantation lands, restoration of degraded tea and rubber lands to its natural vegetation (through promotion of assisted natural regeneration using native species) and improving native vegetation along stream and river banks; (iii) enhance the health and diversity of soil biota and aquatic biodiversity and achieve improved land cover,  primary production and soil organic carbon through improvement of land management practices in plantation estates and small-holdings as well as reduce chemical use and soil leakage to streams and rivers; and (iv) increase productivity of plantations by testing out new business models with a corresponding diversification and increase in revenue so as to enhance co-benefits to private plantations and neighbouring smallholders and associated communities and provide best practices and incentives for investment in the conservation of forests (natural forests occurring on the plantation estates) and achievement of Land Degradation Neutrality (LDN). To achieve this, actions will be taken to strengthen capacity, planning and coordination on the one hand as well as demonstrate sustainable plantation practices and land management biodiversity conservation and habitat protection and restoration, and alternative livelihood and resource use options for local communities and plantation labor.</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Tashi Dorji (tashi.dorji@undp.org)</w:t>
            </w:r>
          </w:p>
        </w:tc>
      </w:tr>
      <w:tr>
        <w:trPr/>
        <w:tc>
          <w:tcPr>
            <w:tcW w:w="5000" w:type="dxa"/>
            <w:gridSpan w:val="1"/>
            <w:noWrap/>
          </w:tcPr>
          <w:p>
            <w:pPr/>
            <w:r>
              <w:rPr/>
              <w:t xml:space="preserve">UNDP BPPS Programme Associate</w:t>
            </w:r>
          </w:p>
        </w:tc>
        <w:tc>
          <w:tcPr>
            <w:tcW w:w="5000" w:type="dxa"/>
            <w:gridSpan w:val="1"/>
            <w:noWrap/>
          </w:tcPr>
          <w:p>
            <w:pPr/>
            <w:r>
              <w:rPr/>
              <w:t xml:space="preserve">Ms. Nittaya (Nid) Saengow (nittaya.saengow@undp.org)</w:t>
            </w:r>
          </w:p>
        </w:tc>
      </w:tr>
      <w:tr>
        <w:trPr/>
        <w:tc>
          <w:tcPr>
            <w:tcW w:w="5000" w:type="dxa"/>
            <w:gridSpan w:val="1"/>
            <w:noWrap/>
          </w:tcPr>
          <w:p>
            <w:pPr/>
            <w:r>
              <w:rPr/>
              <w:t xml:space="preserve">UNDP BPPS SES Technical Advisor</w:t>
            </w:r>
          </w:p>
        </w:tc>
        <w:tc>
          <w:tcPr>
            <w:tcW w:w="5000" w:type="dxa"/>
            <w:gridSpan w:val="1"/>
            <w:noWrap/>
          </w:tcPr>
          <w:p>
            <w:pPr/>
            <w:r>
              <w:rPr/>
              <w:t xml:space="preserve">Ms. Kate Walker (kate.walker@undp.org)</w:t>
            </w:r>
          </w:p>
        </w:tc>
      </w:tr>
      <w:tr>
        <w:trPr/>
        <w:tc>
          <w:tcPr>
            <w:tcW w:w="5000" w:type="dxa"/>
            <w:gridSpan w:val="1"/>
            <w:noWrap/>
          </w:tcPr>
          <w:p>
            <w:pPr/>
            <w:r>
              <w:rPr/>
              <w:t xml:space="preserve">Project Manager/Coordinator</w:t>
            </w:r>
          </w:p>
        </w:tc>
        <w:tc>
          <w:tcPr>
            <w:tcW w:w="5000" w:type="dxa"/>
            <w:gridSpan w:val="1"/>
            <w:noWrap/>
          </w:tcPr>
          <w:p>
            <w:pPr/>
            <w:r>
              <w:rPr/>
              <w:t xml:space="preserve">Ms. Sugandhi Samarasinghe (sugandhi.samarasinghe@undp.org)</w:t>
            </w:r>
          </w:p>
          <w:p>
            <w:pPr/>
            <w:r>
              <w:rPr/>
              <w:t xml:space="preserve">Hasula Wickremasinghe (hasula.wickremasinghe@undp.org)</w:t>
            </w:r>
          </w:p>
          <w:p>
            <w:pPr/>
            <w:r>
              <w:rPr/>
              <w:t xml:space="preserve">Mr. Arosh Hapuarachchi (buddika.hapuarachchi@undp.org)</w:t>
            </w:r>
          </w:p>
        </w:tc>
      </w:tr>
      <w:tr>
        <w:trPr/>
        <w:tc>
          <w:tcPr>
            <w:tcW w:w="5000" w:type="dxa"/>
            <w:gridSpan w:val="1"/>
            <w:noWrap/>
          </w:tcPr>
          <w:p>
            <w:pPr/>
            <w:r>
              <w:rPr/>
              <w:t xml:space="preserve">UNDP Country Office Programme Officer</w:t>
            </w:r>
          </w:p>
        </w:tc>
        <w:tc>
          <w:tcPr>
            <w:tcW w:w="5000" w:type="dxa"/>
            <w:gridSpan w:val="1"/>
            <w:noWrap/>
          </w:tcPr>
          <w:p>
            <w:pPr/>
            <w:r>
              <w:rPr/>
              <w:t xml:space="preserve">Ms. Sureka Perera (sureka.perera@undp.org)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Ms. Marina TEN (marina.ten@undp.org)</w:t>
            </w:r>
          </w:p>
        </w:tc>
      </w:tr>
      <w:tr>
        <w:trPr/>
        <w:tc>
          <w:tcPr>
            <w:tcW w:w="5000" w:type="dxa"/>
            <w:gridSpan w:val="1"/>
            <w:noWrap/>
          </w:tcPr>
          <w:p>
            <w:pPr/>
            <w:r>
              <w:rPr/>
              <w:t xml:space="preserve">UNDP Regional Bureau Desk Officer</w:t>
            </w:r>
          </w:p>
        </w:tc>
        <w:tc>
          <w:tcPr>
            <w:tcW w:w="5000" w:type="dxa"/>
            <w:gridSpan w:val="1"/>
            <w:noWrap/>
          </w:tcPr>
          <w:p>
            <w:pPr/>
            <w:r>
              <w:rPr/>
              <w:t xml:space="preserve">Ms. Tshering Pem (tshering.pem@undp.org)</w:t>
            </w:r>
          </w:p>
        </w:tc>
      </w:tr>
      <w:tr>
        <w:trPr/>
        <w:tc>
          <w:tcPr>
            <w:tcW w:w="5000" w:type="dxa"/>
            <w:gridSpan w:val="1"/>
            <w:noWrap/>
          </w:tcPr>
          <w:p>
            <w:pPr/>
            <w:r>
              <w:rPr/>
              <w:t xml:space="preserve">GEF Operational Focal Point</w:t>
            </w:r>
          </w:p>
        </w:tc>
        <w:tc>
          <w:tcPr>
            <w:tcW w:w="5000" w:type="dxa"/>
            <w:gridSpan w:val="1"/>
            <w:noWrap/>
          </w:tcPr>
          <w:p>
            <w:pPr/>
            <w:r>
              <w:rPr/>
              <w:t xml:space="preserve">Ms. Kulani H.W. Karunarathne (kulanihw@gmail.com)</w:t>
            </w:r>
          </w:p>
        </w:tc>
      </w:tr>
      <w:tr>
        <w:trPr/>
        <w:tc>
          <w:tcPr>
            <w:tcW w:w="5000" w:type="dxa"/>
            <w:gridSpan w:val="1"/>
            <w:noWrap/>
          </w:tcPr>
          <w:p>
            <w:pPr/>
            <w:r>
              <w:rPr/>
              <w:t xml:space="preserve">Project Implementing Partner</w:t>
            </w:r>
          </w:p>
        </w:tc>
        <w:tc>
          <w:tcPr>
            <w:tcW w:w="5000" w:type="dxa"/>
            <w:gridSpan w:val="1"/>
            <w:noWrap/>
          </w:tcPr>
          <w:p>
            <w:pPr/>
            <w:r>
              <w:rPr/>
              <w:t xml:space="preserve">Ms. Achala Attanayake</w:t>
            </w:r>
          </w:p>
        </w:tc>
      </w:tr>
      <w:tr>
        <w:trPr/>
        <w:tc>
          <w:tcPr>
            <w:tcW w:w="5000" w:type="dxa"/>
            <w:gridSpan w:val="1"/>
            <w:noWrap/>
          </w:tcPr>
          <w:p>
            <w:pPr/>
            <w:r>
              <w:rPr/>
              <w:t xml:space="preserve">Other Partners</w:t>
            </w:r>
          </w:p>
        </w:tc>
        <w:tc>
          <w:tcPr>
            <w:tcW w:w="5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60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Jun 3, 2020</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Nov 15, 2022</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Apr 8, 2024</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Jul 16, 2024</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Jun 14, 2024</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Oct 8, 2026</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i w:val="1"/>
                <w:iCs w:val="1"/>
              </w:rPr>
              <w:t xml:space="preserve">(not set or not applicable)</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Jan 8, 2029</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Apr 8, 2029</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Moderately Satisfactory</w:t>
            </w:r>
          </w:p>
        </w:tc>
      </w:tr>
      <w:tr>
        <w:trPr/>
        <w:tc>
          <w:tcPr>
            <w:tcW w:w="8000" w:type="dxa"/>
            <w:gridSpan w:val="1"/>
            <w:noWrap/>
          </w:tcPr>
          <w:p>
            <w:pPr/>
            <w:r>
              <w:rPr/>
              <w:t xml:space="preserve">Overall IP Rating</w:t>
            </w:r>
          </w:p>
        </w:tc>
        <w:tc>
          <w:tcPr>
            <w:tcW w:w="8000" w:type="dxa"/>
            <w:gridSpan w:val="1"/>
            <w:noWrap/>
          </w:tcPr>
          <w:p>
            <w:pPr/>
            <w:r>
              <w:rPr/>
              <w:t xml:space="preserve">Moderately Satisfactory</w:t>
            </w:r>
          </w:p>
        </w:tc>
      </w:tr>
      <w:tr>
        <w:trPr/>
        <w:tc>
          <w:tcPr>
            <w:tcW w:w="8000" w:type="dxa"/>
            <w:gridSpan w:val="1"/>
            <w:noWrap/>
          </w:tcPr>
          <w:p>
            <w:pPr/>
            <w:r>
              <w:rPr/>
              <w:t xml:space="preserve">Overall Risk Rating</w:t>
            </w:r>
          </w:p>
        </w:tc>
        <w:tc>
          <w:tcPr>
            <w:tcW w:w="8000" w:type="dxa"/>
            <w:gridSpan w:val="1"/>
            <w:noWrap/>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To conserve globally significant biodiversity by improving conservation and land management practices in tea and rubber production areas in the Wet Climatic Zone through innovative Private-Public-Community Partnerships</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 (GEF Core Indicator 11; IRRF 4.1.1):  Number of direct project beneficiaries (smallholders, plantation workers and community members) disaggregated by gender (individual people)  directly benefitting from conservation, sustainable land management practices and improved livelihoods</w:t>
            </w:r>
          </w:p>
        </w:tc>
        <w:tc>
          <w:tcPr>
            <w:tcW w:w="2000" w:type="dxa"/>
            <w:gridSpan w:val="1"/>
            <w:noWrap/>
          </w:tcPr>
          <w:p>
            <w:pPr/>
            <w:r>
              <w:rPr/>
              <w:t xml:space="preserve">Currently, benefits from conservation, SLM and livelihood is minimal</w:t>
            </w:r>
          </w:p>
        </w:tc>
        <w:tc>
          <w:tcPr>
            <w:tcW w:w="2000" w:type="dxa"/>
            <w:gridSpan w:val="1"/>
            <w:noWrap/>
          </w:tcPr>
          <w:p>
            <w:pPr/>
            <w:r>
              <w:rPr/>
              <w:t xml:space="preserve">At least 1,000 smallholders, plantation workers and community members (of which 50% are women) engaged in conservation, sustainable land management and livelihood practices</w:t>
            </w:r>
          </w:p>
        </w:tc>
        <w:tc>
          <w:tcPr>
            <w:tcW w:w="2000" w:type="dxa"/>
            <w:gridSpan w:val="1"/>
            <w:noWrap/>
          </w:tcPr>
          <w:p>
            <w:pPr/>
            <w:r>
              <w:rPr/>
              <w:t xml:space="preserve">At least 5,000 smallholders, plantation workers and community members (of which 50% are women) directly benefitting from conservation, sustainable land management practices and improved livelihoods.</w:t>
            </w:r>
          </w:p>
        </w:tc>
        <w:tc>
          <w:tcPr>
            <w:tcW w:w="4000" w:type="dxa"/>
            <w:gridSpan w:val="1"/>
            <w:noWrap/>
          </w:tcPr>
          <w:p>
            <w:pPr/>
            <w:r>
              <w:rPr>
                <w:i w:val="1"/>
                <w:iCs w:val="1"/>
              </w:rPr>
              <w:t xml:space="preserve">(not set or not applicable)</w:t>
            </w:r>
          </w:p>
        </w:tc>
        <w:tc>
          <w:tcPr>
            <w:tcW w:w="4000" w:type="dxa"/>
            <w:gridSpan w:val="1"/>
            <w:noWrap/>
          </w:tcPr>
          <w:p>
            <w:pPr/>
            <w:r>
              <w:rPr/>
              <w:t xml:space="preserve">Project inception workshop was held in June 2024, but implementation activities of the project commenced from April 2025</w:t>
            </w:r>
          </w:p>
          <w:p>
            <w:pPr/>
            <w:r>
              <w:rPr/>
              <w:t xml:space="preserve">Surveys and discussions with smallholders and estate communities will commence in the 2nd week of July 2025.</w:t>
            </w:r>
          </w:p>
          <w:p>
            <w:pPr/>
            <w:r>
              <w:rPr/>
              <w:t xml:space="preserve">Secondary data collection has been initiated and data collected  from relevant authorities such as the Plantation Human Development Trust, Census &amp; Statistics Department, literature, etc.</w:t>
            </w:r>
          </w:p>
          <w:p>
            <w:pPr/>
            <w:r>
              <w:rPr/>
              <w:t xml:space="preserve">Gender disaggregated information will be collected by all experts in their interactions through meetings, KII, workshops and trainings. Pilots are planned to commence in Q4, 2025,  which will accelerate progress on this indicator. Beneficiary data disaggregated by gender will be captured as pilots roll out</w:t>
            </w:r>
          </w:p>
          <w:p>
            <w:pPr/>
            <w:r>
              <w:rPr/>
              <w:t xml:space="preserve"/>
            </w:r>
          </w:p>
        </w:tc>
      </w:tr>
      <w:tr>
        <w:trPr/>
        <w:tc>
          <w:tcPr>
            <w:tcW w:w="4000" w:type="dxa"/>
            <w:gridSpan w:val="1"/>
            <w:noWrap/>
          </w:tcPr>
          <w:p>
            <w:pPr/>
            <w:r>
              <w:rPr/>
              <w:t xml:space="preserve">Indicator 2 (GEF CI 3; IRRF 4.1.2):  Area (hectares) of land restored as follows:</w:t>
            </w:r>
          </w:p>
          <w:p>
            <w:pPr/>
            <w:r>
              <w:rPr/>
              <w:t xml:space="preserve">Sub-Indicator 3.1. Area of degraded agricultural  land restored and Sub-Indicator 3.2: Area of degraded forest land restored</w:t>
            </w:r>
          </w:p>
          <w:p>
            <w:pPr/>
            <w:r>
              <w:rPr/>
              <w:t xml:space="preserve"/>
            </w:r>
          </w:p>
        </w:tc>
        <w:tc>
          <w:tcPr>
            <w:tcW w:w="2000" w:type="dxa"/>
            <w:gridSpan w:val="1"/>
            <w:noWrap/>
          </w:tcPr>
          <w:p>
            <w:pPr/>
            <w:r>
              <w:rPr/>
              <w:t xml:space="preserve">Critical corridors linkages weak at present due to degrading forest land.  Additionally degrading tea lands not effectively restored resulting in environmental consequences</w:t>
            </w:r>
          </w:p>
        </w:tc>
        <w:tc>
          <w:tcPr>
            <w:tcW w:w="2000" w:type="dxa"/>
            <w:gridSpan w:val="1"/>
            <w:noWrap/>
          </w:tcPr>
          <w:p>
            <w:pPr/>
            <w:r>
              <w:rPr/>
              <w:t xml:space="preserve">A total of around 400 hectares under restoration as follows:</w:t>
            </w:r>
          </w:p>
          <w:p>
            <w:pPr/>
            <w:r>
              <w:rPr/>
              <w:t xml:space="preserve">3.1. Degrading agricultural and crop lands under rehabilitation with multi-cropping agroforestry and other productive systems amounting to around 200 hectares</w:t>
            </w:r>
          </w:p>
          <w:p>
            <w:pPr/>
            <w:r>
              <w:rPr/>
              <w:t xml:space="preserve">3.2. Identified conservation corridors mapped, boundaries defined based on key species needs, management prescriptions for enhancing connectivity identified for 500 hectares and restoration initiated in 200 hectares</w:t>
            </w:r>
          </w:p>
          <w:p>
            <w:pPr/>
            <w:r>
              <w:rPr/>
              <w:t xml:space="preserve"/>
            </w:r>
          </w:p>
        </w:tc>
        <w:tc>
          <w:tcPr>
            <w:tcW w:w="2000" w:type="dxa"/>
            <w:gridSpan w:val="1"/>
            <w:noWrap/>
          </w:tcPr>
          <w:p>
            <w:pPr/>
            <w:r>
              <w:rPr/>
              <w:t xml:space="preserve">At least 1,500 hectares of forests and agriculture/crop lands  restored as follows:</w:t>
            </w:r>
          </w:p>
          <w:p>
            <w:pPr/>
            <w:r>
              <w:rPr/>
              <w:t xml:space="preserve">3.1. 1,000 hectares of degrading agricultural and crop lands under rehabilitation with multi-cropping agroforestry and other productive systems</w:t>
            </w:r>
          </w:p>
          <w:p>
            <w:pPr/>
            <w:r>
              <w:rPr/>
              <w:t xml:space="preserve">3.2. 500 hectares of degrading forest land restored to improve biodiversity and enhance connectivity</w:t>
            </w:r>
          </w:p>
          <w:p>
            <w:pPr/>
            <w:r>
              <w:rPr/>
              <w:t xml:space="preserve"/>
            </w:r>
          </w:p>
        </w:tc>
        <w:tc>
          <w:tcPr>
            <w:tcW w:w="4000" w:type="dxa"/>
            <w:gridSpan w:val="1"/>
            <w:noWrap/>
          </w:tcPr>
          <w:p>
            <w:pPr/>
            <w:r>
              <w:rPr>
                <w:i w:val="1"/>
                <w:iCs w:val="1"/>
              </w:rPr>
              <w:t xml:space="preserve">(not set or not applicable)</w:t>
            </w:r>
          </w:p>
        </w:tc>
        <w:tc>
          <w:tcPr>
            <w:tcW w:w="4000" w:type="dxa"/>
            <w:gridSpan w:val="1"/>
            <w:noWrap/>
          </w:tcPr>
          <w:p>
            <w:pPr/>
            <w:r>
              <w:rPr/>
              <w:t xml:space="preserve">3.1 Degraded lands of the plantations of the six districts are being identified for restoration through land-use mapping of the LUPPD, GIS maps by GIS Expert, and through field surveys. The LUPPD mapping has commenced in June 2025. The Biodiversity Assessment Team commenced work in May 2025 and they will be reporting on the degraded forest lands.</w:t>
            </w:r>
          </w:p>
          <w:p>
            <w:pPr/>
            <w:r>
              <w:rPr/>
              <w:t xml:space="preserve">As pre-preparation, SLM expert has developed</w:t>
            </w:r>
          </w:p>
          <w:p>
            <w:pPr/>
            <w:r>
              <w:rPr/>
              <w:t xml:space="preserve">Annex 01 Field data collection formats</w:t>
            </w:r>
          </w:p>
          <w:p>
            <w:pPr/>
            <w:r>
              <w:rPr/>
              <w:t xml:space="preserve">Annex 02  Criteria for degradation, causes, impact and conservation options</w:t>
            </w:r>
          </w:p>
          <w:p>
            <w:pPr/>
            <w:r>
              <w:rPr/>
              <w:t xml:space="preserve">Annex 03 -Criteria for Land use types and sustainable land management measures</w:t>
            </w:r>
          </w:p>
          <w:p>
            <w:pPr/>
            <w:r>
              <w:rPr/>
              <w:t xml:space="preserve">Annex 04 Draft template for site management plans on SLM</w:t>
            </w:r>
          </w:p>
          <w:p>
            <w:pPr/>
            <w:r>
              <w:rPr/>
              <w:t xml:space="preserve">Annex 05 Elevation map- Kegalle</w:t>
            </w:r>
          </w:p>
          <w:p>
            <w:pPr/>
            <w:r>
              <w:rPr/>
              <w:t xml:space="preserve">Annex 06- Slope map for Kegalle</w:t>
            </w:r>
          </w:p>
          <w:p>
            <w:pPr/>
            <w:r>
              <w:rPr/>
              <w:t xml:space="preserve">3.2 During the PPG stage, tentative connectivity and riparian corridors were identified and mapped in Galle (Hiyare) and Ratnapura (Mapalana-Kudawa, Deep-Deen, Karandana-Mapola) districts, along with the Peak Wilderness Connectivity Corridor. Selection criteria for forest corridors have been drafted.</w:t>
            </w:r>
          </w:p>
          <w:p>
            <w:pPr/>
            <w:r>
              <w:rPr/>
              <w:t xml:space="preserve">Two corridors will be finalized following ground surveys, with one pilot site already identified at Elbedda. A partnership with the Wilderness &amp; Wildlife Conservation Trust (WWCT) is underway to implement community engagement, biodiversity conservation, and development programmes around the Elbedda corridor. (Annex 8 –12).</w:t>
            </w:r>
          </w:p>
          <w:p>
            <w:pPr/>
            <w:r>
              <w:rPr/>
              <w:t xml:space="preserve"/>
            </w:r>
          </w:p>
          <w:p>
            <w:pPr/>
            <w:r>
              <w:rPr/>
              <w:t xml:space="preserve"/>
            </w:r>
          </w:p>
        </w:tc>
      </w:tr>
      <w:tr>
        <w:trPr/>
        <w:tc>
          <w:tcPr>
            <w:tcW w:w="4000" w:type="dxa"/>
            <w:gridSpan w:val="1"/>
            <w:noWrap/>
          </w:tcPr>
          <w:p>
            <w:pPr/>
            <w:r>
              <w:rPr/>
              <w:t xml:space="preserve">Indicator 3 (GEF CI 4; IRRF 4.1.2): Area of landscape under improved management practices (excluding protected areas)</w:t>
            </w:r>
          </w:p>
          <w:p>
            <w:pPr/>
            <w:r>
              <w:rPr/>
              <w:t xml:space="preserve">Sub-Indicator 4.2: Area of landscapes that meet national or international third-party certification that incorporates biodiversity considerations; Sub-indicator 4.3: Area of landscapes under SLM in production systems; and Sub-Indicator 4.4: Area of High Conservation Value forest loss avoided (hectares</w:t>
            </w:r>
          </w:p>
          <w:p>
            <w:pPr/>
            <w:r>
              <w:rPr/>
              <w:t xml:space="preserve"/>
            </w:r>
          </w:p>
        </w:tc>
        <w:tc>
          <w:tcPr>
            <w:tcW w:w="2000" w:type="dxa"/>
            <w:gridSpan w:val="1"/>
            <w:noWrap/>
          </w:tcPr>
          <w:p>
            <w:pPr/>
            <w:r>
              <w:rPr/>
              <w:t xml:space="preserve">Natural forests and production lands within plantation landscape not effectively managed for conservation and sustainable management practices</w:t>
            </w:r>
          </w:p>
        </w:tc>
        <w:tc>
          <w:tcPr>
            <w:tcW w:w="2000" w:type="dxa"/>
            <w:gridSpan w:val="1"/>
            <w:noWrap/>
          </w:tcPr>
          <w:p>
            <w:pPr/>
            <w:r>
              <w:rPr/>
              <w:t xml:space="preserve">At least 20,000 hectares of plantation landscape under effective conservation and sustainable land management practices</w:t>
            </w:r>
          </w:p>
        </w:tc>
        <w:tc>
          <w:tcPr>
            <w:tcW w:w="2000" w:type="dxa"/>
            <w:gridSpan w:val="1"/>
            <w:noWrap/>
          </w:tcPr>
          <w:p>
            <w:pPr/>
            <w:r>
              <w:rPr/>
              <w:t xml:space="preserve">At least 64,000 hectares of plantation landscape under effective conservation and sustainable land management practices</w:t>
            </w:r>
          </w:p>
        </w:tc>
        <w:tc>
          <w:tcPr>
            <w:tcW w:w="4000" w:type="dxa"/>
            <w:gridSpan w:val="1"/>
            <w:noWrap/>
          </w:tcPr>
          <w:p>
            <w:pPr/>
            <w:r>
              <w:rPr>
                <w:i w:val="1"/>
                <w:iCs w:val="1"/>
              </w:rPr>
              <w:t xml:space="preserve">(not set or not applicable)</w:t>
            </w:r>
          </w:p>
        </w:tc>
        <w:tc>
          <w:tcPr>
            <w:tcW w:w="4000" w:type="dxa"/>
            <w:gridSpan w:val="1"/>
            <w:noWrap/>
          </w:tcPr>
          <w:p>
            <w:pPr/>
            <w:r>
              <w:rPr/>
              <w:t xml:space="preserve">Biodiversity and SLM management practices assessment commenced in May 2025.</w:t>
            </w:r>
          </w:p>
          <w:p>
            <w:pPr/>
            <w:r>
              <w:rPr/>
              <w:t xml:space="preserve">Pilot selection is underway, The first pilot will cover 100  ha at Loolkandura in Nuwara Eliya/ Kandy  district and second pilot will cover 200 ha at Miyanawita, in Kegalle District</w:t>
            </w:r>
          </w:p>
          <w:p>
            <w:pPr/>
            <w:r>
              <w:rPr/>
              <w:t xml:space="preserve">It is intended to conduct SLM, agroforestry, eco tourism,sustainable, energy programmes and livelihood enhancement programmes</w:t>
            </w:r>
          </w:p>
          <w:p>
            <w:pPr/>
            <w:r>
              <w:rPr/>
              <w:t xml:space="preserve"/>
            </w:r>
          </w:p>
        </w:tc>
      </w:tr>
      <w:tr>
        <w:trPr/>
        <w:tc>
          <w:tcPr>
            <w:tcW w:w="4000" w:type="dxa"/>
            <w:gridSpan w:val="1"/>
            <w:noWrap/>
          </w:tcPr>
          <w:p>
            <w:pPr/>
            <w:r>
              <w:rPr/>
              <w:t xml:space="preserve">Indicator 4 (GEF CI 6): Greenhouse Gas Emissions mitigated (million metric tons of CO2e)</w:t>
            </w:r>
          </w:p>
        </w:tc>
        <w:tc>
          <w:tcPr>
            <w:tcW w:w="2000" w:type="dxa"/>
            <w:gridSpan w:val="1"/>
            <w:noWrap/>
          </w:tcPr>
          <w:p>
            <w:pPr/>
            <w:r>
              <w:rPr/>
              <w:t xml:space="preserve">Limited efforts within forests within plantations to assess carbon values</w:t>
            </w:r>
          </w:p>
        </w:tc>
        <w:tc>
          <w:tcPr>
            <w:tcW w:w="2000" w:type="dxa"/>
            <w:gridSpan w:val="1"/>
            <w:noWrap/>
          </w:tcPr>
          <w:p>
            <w:pPr/>
            <w:r>
              <w:rPr/>
              <w:t xml:space="preserve">Methodology for C assessment and training undertaken to facilitate long-term monitoring</w:t>
            </w:r>
          </w:p>
        </w:tc>
        <w:tc>
          <w:tcPr>
            <w:tcW w:w="2000" w:type="dxa"/>
            <w:gridSpan w:val="1"/>
            <w:noWrap/>
          </w:tcPr>
          <w:p>
            <w:pPr/>
            <w:r>
              <w:rPr/>
              <w:t xml:space="preserve">7,297,157 tCO2 mitigated over a 20 year period</w:t>
            </w:r>
          </w:p>
        </w:tc>
        <w:tc>
          <w:tcPr>
            <w:tcW w:w="4000" w:type="dxa"/>
            <w:gridSpan w:val="1"/>
            <w:noWrap/>
          </w:tcPr>
          <w:p>
            <w:pPr/>
            <w:r>
              <w:rPr>
                <w:i w:val="1"/>
                <w:iCs w:val="1"/>
              </w:rPr>
              <w:t xml:space="preserve">(not set or not applicable)</w:t>
            </w:r>
          </w:p>
        </w:tc>
        <w:tc>
          <w:tcPr>
            <w:tcW w:w="4000" w:type="dxa"/>
            <w:gridSpan w:val="1"/>
            <w:noWrap/>
          </w:tcPr>
          <w:p>
            <w:pPr/>
            <w:r>
              <w:rPr/>
              <w:t xml:space="preserve">Calculation will be included in the next PIR once  field activities commences</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Enhanced conservation of biodiversity rich high conservation value forests and natural habitats within tea and rubber plantations in the Wet Climatic Zone of Sri Lanka.</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5: Status of species diversity in terms of endemic, restricted and threatened faunal and floral species in the target priority sites as measured by key taxonomic groups (flowering plants, dragon flies, butterflies, freshwater fish, amphibians, reptiles, birds and mammals (refer Annex 22 for list of species for monitoring and monitoring methods and baselines)</w:t>
            </w:r>
          </w:p>
        </w:tc>
        <w:tc>
          <w:tcPr>
            <w:tcW w:w="2000" w:type="dxa"/>
            <w:gridSpan w:val="1"/>
            <w:noWrap/>
          </w:tcPr>
          <w:p>
            <w:pPr/>
            <w:r>
              <w:rPr/>
              <w:t xml:space="preserve">Baseline data exists in around 40 estates for various species varies as follows among estates: 58-152 faunal and 32-82 floral species in Nuwara Eliya district; 163-177 faunal species and 87-183 floral species in Matara district; 23-200 faunal species and 25-277 floral species in Kegalle district; and 81-214 faunal species and 177-334 floral species in Rathnapura district. Annex 22 provides details for each of the 40 estates</w:t>
            </w:r>
          </w:p>
        </w:tc>
        <w:tc>
          <w:tcPr>
            <w:tcW w:w="2000" w:type="dxa"/>
            <w:gridSpan w:val="1"/>
            <w:noWrap/>
          </w:tcPr>
          <w:p>
            <w:pPr/>
            <w:r>
              <w:rPr/>
              <w:t xml:space="preserve">Validation and collation of existing baselines for estates in an accessible database Additionally baselines will be established for at least 10 other estates with large forest patches (defined through work under Indicator 2) and monitoring continued on regular basis. Stable or increased species diversity as indicated in baseline values</w:t>
            </w:r>
          </w:p>
        </w:tc>
        <w:tc>
          <w:tcPr>
            <w:tcW w:w="2000" w:type="dxa"/>
            <w:gridSpan w:val="1"/>
            <w:noWrap/>
          </w:tcPr>
          <w:p>
            <w:pPr/>
            <w:r>
              <w:rPr/>
              <w:t xml:space="preserve">Stable or increased diversity of key species as diversity as indicated in baseline values</w:t>
            </w:r>
          </w:p>
        </w:tc>
        <w:tc>
          <w:tcPr>
            <w:tcW w:w="4000" w:type="dxa"/>
            <w:gridSpan w:val="1"/>
            <w:noWrap/>
          </w:tcPr>
          <w:p>
            <w:pPr/>
            <w:r>
              <w:rPr>
                <w:i w:val="1"/>
                <w:iCs w:val="1"/>
              </w:rPr>
              <w:t xml:space="preserve">(not set or not applicable)</w:t>
            </w:r>
          </w:p>
        </w:tc>
        <w:tc>
          <w:tcPr>
            <w:tcW w:w="4000" w:type="dxa"/>
            <w:gridSpan w:val="1"/>
            <w:noWrap/>
          </w:tcPr>
          <w:p>
            <w:pPr/>
            <w:r>
              <w:rPr/>
              <w:t xml:space="preserve">Annex 13- Draft selection criteria for the pilots</w:t>
            </w:r>
          </w:p>
          <w:p>
            <w:pPr/>
            <w:r>
              <w:rPr/>
              <w:t xml:space="preserve">11 estates surveyed in Kegalle District. See extent – Annex 14.  Species checklists updating for estates surveyed is ongoing.</w:t>
            </w:r>
          </w:p>
          <w:p>
            <w:pPr/>
            <w:r>
              <w:rPr/>
              <w:t xml:space="preserve">Annex 15 &amp; 16: Checklists of two estates as examples</w:t>
            </w:r>
          </w:p>
          <w:p>
            <w:pPr/>
            <w:r>
              <w:rPr/>
              <w:t xml:space="preserve"/>
            </w:r>
          </w:p>
          <w:p>
            <w:pPr/>
            <w:r>
              <w:rPr/>
              <w:t xml:space="preserve">Currently,7 endemic and threatened species have   been documented  at Kegalle during this survey. Some have not been documented for some time.</w:t>
            </w:r>
          </w:p>
          <w:p>
            <w:pPr/>
            <w:r>
              <w:rPr/>
              <w:t xml:space="preserve">Annex 17a – Some rare species- Need to include</w:t>
            </w:r>
          </w:p>
          <w:p>
            <w:pPr/>
            <w:r>
              <w:rPr/>
              <w:t xml:space="preserve">Criteria developed for the selection of HCVF – Annex 17 b</w:t>
            </w:r>
          </w:p>
          <w:p>
            <w:pPr/>
            <w:r>
              <w:rPr/>
              <w:t xml:space="preserve"/>
            </w:r>
          </w:p>
        </w:tc>
      </w:tr>
      <w:tr>
        <w:trPr/>
        <w:tc>
          <w:tcPr>
            <w:tcW w:w="4000" w:type="dxa"/>
            <w:gridSpan w:val="1"/>
            <w:noWrap/>
          </w:tcPr>
          <w:p>
            <w:pPr/>
            <w:r>
              <w:rPr/>
              <w:t xml:space="preserve">Indicator 6: Number of plantation districts mapped for priority high value forests, conservation value assessed, options for connectivity established and management plans developed for key conservation clusters.</w:t>
            </w:r>
          </w:p>
        </w:tc>
        <w:tc>
          <w:tcPr>
            <w:tcW w:w="2000" w:type="dxa"/>
            <w:gridSpan w:val="1"/>
            <w:noWrap/>
          </w:tcPr>
          <w:p>
            <w:pPr/>
            <w:r>
              <w:rPr/>
              <w:t xml:space="preserve">Forest base maps exists for the districts of Kalutara, Kegalle, Galle, Matara and Ratnapura, while in Nuwara Eliya district RPCs would have information for its individual estates.  Therefore during the implementation of the project, plantations in other districts such as Matale, Kandy, Badulla, Kurunegala, Moneragala and Colombo for which GIS based maps are lacking, maps will be developed through the LUPPD.</w:t>
            </w:r>
          </w:p>
        </w:tc>
        <w:tc>
          <w:tcPr>
            <w:tcW w:w="2000" w:type="dxa"/>
            <w:gridSpan w:val="1"/>
            <w:noWrap/>
          </w:tcPr>
          <w:p>
            <w:pPr/>
            <w:r>
              <w:rPr/>
              <w:t xml:space="preserve">Forest baseline maps validated through ground truthing and information accessed for the districts where such information is currently unavailable.  Based on this exercise, forest extents verified, large and priority conservation patches identified, including options for promoting connectivity and included in database for future actions mapping completed in 5 districts covering around 5,000 hectares</w:t>
            </w:r>
          </w:p>
        </w:tc>
        <w:tc>
          <w:tcPr>
            <w:tcW w:w="2000" w:type="dxa"/>
            <w:gridSpan w:val="1"/>
            <w:noWrap/>
          </w:tcPr>
          <w:p>
            <w:pPr/>
            <w:r>
              <w:rPr/>
              <w:t xml:space="preserve">All natural forests in the 11 plantation districts mapped, extents verified, priority conservation patches identified and information accessible through database covering around 10,000 hectares</w:t>
            </w:r>
          </w:p>
        </w:tc>
        <w:tc>
          <w:tcPr>
            <w:tcW w:w="4000" w:type="dxa"/>
            <w:gridSpan w:val="1"/>
            <w:noWrap/>
          </w:tcPr>
          <w:p>
            <w:pPr/>
            <w:r>
              <w:rPr>
                <w:i w:val="1"/>
                <w:iCs w:val="1"/>
              </w:rPr>
              <w:t xml:space="preserve">(not set or not applicable)</w:t>
            </w:r>
          </w:p>
        </w:tc>
        <w:tc>
          <w:tcPr>
            <w:tcW w:w="4000" w:type="dxa"/>
            <w:gridSpan w:val="1"/>
            <w:noWrap/>
          </w:tcPr>
          <w:p>
            <w:pPr/>
            <w:r>
              <w:rPr/>
              <w:t xml:space="preserve">4 workshops held for 5 districts in April 2025 to train staff on mapping methodology. Land use criteria for mapping developed. Mapping in 11 districts initiated on 01st July. Base maps being prepared for the 11 districts prior to ground level field mapping.</w:t>
            </w:r>
          </w:p>
          <w:p>
            <w:pPr/>
            <w:r>
              <w:rPr/>
              <w:t xml:space="preserve">Outline for Management Plan drafted</w:t>
            </w:r>
          </w:p>
          <w:p>
            <w:pPr/>
            <w:r>
              <w:rPr/>
              <w:t xml:space="preserve">Annex 18</w:t>
            </w:r>
          </w:p>
          <w:p>
            <w:pPr/>
            <w:r>
              <w:rPr/>
              <w:t xml:space="preserve">It is intended to draft brief Management Plans for all estates surveyed in addition to comprehensive management plans for the pilot sites.</w:t>
            </w:r>
          </w:p>
          <w:p>
            <w:pPr/>
            <w:r>
              <w:rPr/>
              <w:t xml:space="preserve"/>
            </w:r>
          </w:p>
        </w:tc>
      </w:tr>
      <w:tr>
        <w:trPr/>
        <w:tc>
          <w:tcPr>
            <w:tcW w:w="4000" w:type="dxa"/>
            <w:gridSpan w:val="1"/>
            <w:noWrap/>
          </w:tcPr>
          <w:p>
            <w:pPr/>
            <w:r>
              <w:rPr/>
              <w:t xml:space="preserve">Indicator 7: % Increase in institutional capacity of project stakeholders as measured by UNDP Capacity Development Scorecard of baseline values of key plantation companies</w:t>
            </w:r>
          </w:p>
        </w:tc>
        <w:tc>
          <w:tcPr>
            <w:tcW w:w="2000" w:type="dxa"/>
            <w:gridSpan w:val="1"/>
            <w:noWrap/>
          </w:tcPr>
          <w:p>
            <w:pPr/>
            <w:r>
              <w:rPr/>
              <w:t xml:space="preserve">Current institutional capacity of the 13 key RPC baselines as measured by the UNDP Capacity Development scorecard are as follows:</w:t>
            </w:r>
          </w:p>
          <w:p>
            <w:pPr/>
            <w:r>
              <w:rPr/>
              <w:t xml:space="preserve">Lalan Rubber – 59;</w:t>
            </w:r>
          </w:p>
          <w:p>
            <w:pPr/>
            <w:r>
              <w:rPr/>
              <w:t xml:space="preserve">Elpitiya Plantations -58; Horana Plantations – 49;</w:t>
            </w:r>
          </w:p>
          <w:p>
            <w:pPr/>
            <w:r>
              <w:rPr/>
              <w:t xml:space="preserve">Kelani Valley -58;</w:t>
            </w:r>
          </w:p>
          <w:p>
            <w:pPr/>
            <w:r>
              <w:rPr/>
              <w:t xml:space="preserve">Balangoda Plantation -55;</w:t>
            </w:r>
          </w:p>
          <w:p>
            <w:pPr/>
            <w:r>
              <w:rPr/>
              <w:t xml:space="preserve">Kahawatte Plantation-55;</w:t>
            </w:r>
          </w:p>
          <w:p>
            <w:pPr/>
            <w:r>
              <w:rPr/>
              <w:t xml:space="preserve">Hapugastene Plantation – 57;</w:t>
            </w:r>
          </w:p>
          <w:p>
            <w:pPr/>
            <w:r>
              <w:rPr/>
              <w:t xml:space="preserve">Agalawatte Plantation-37;</w:t>
            </w:r>
          </w:p>
          <w:p>
            <w:pPr/>
            <w:r>
              <w:rPr/>
              <w:t xml:space="preserve">Maturata Plantation-42;</w:t>
            </w:r>
          </w:p>
          <w:p>
            <w:pPr/>
            <w:r>
              <w:rPr/>
              <w:t xml:space="preserve">Talawakelle Plantation-56;</w:t>
            </w:r>
          </w:p>
          <w:p>
            <w:pPr/>
            <w:r>
              <w:rPr/>
              <w:t xml:space="preserve">Kotagala Plantation-41;</w:t>
            </w:r>
          </w:p>
          <w:p>
            <w:pPr/>
            <w:r>
              <w:rPr/>
              <w:t xml:space="preserve">Namunukula Plantation-47;</w:t>
            </w:r>
          </w:p>
          <w:p>
            <w:pPr/>
            <w:r>
              <w:rPr/>
              <w:t xml:space="preserve">Watawala Plantation-59</w:t>
            </w:r>
          </w:p>
          <w:p>
            <w:pPr/>
            <w:r>
              <w:rPr/>
              <w:t xml:space="preserve"/>
            </w:r>
          </w:p>
        </w:tc>
        <w:tc>
          <w:tcPr>
            <w:tcW w:w="2000" w:type="dxa"/>
            <w:gridSpan w:val="1"/>
            <w:noWrap/>
          </w:tcPr>
          <w:p>
            <w:pPr/>
            <w:r>
              <w:rPr/>
              <w:t xml:space="preserve">At least 10% average increase in capacity of the key RPCs from baseline values</w:t>
            </w:r>
          </w:p>
        </w:tc>
        <w:tc>
          <w:tcPr>
            <w:tcW w:w="2000" w:type="dxa"/>
            <w:gridSpan w:val="1"/>
            <w:noWrap/>
          </w:tcPr>
          <w:p>
            <w:pPr/>
            <w:r>
              <w:rPr/>
              <w:t xml:space="preserve">At least 20% Increase in institutional capacity as measured by UNDP Capacity Development Scorecard of key RPCs from baseline values</w:t>
            </w:r>
          </w:p>
        </w:tc>
        <w:tc>
          <w:tcPr>
            <w:tcW w:w="4000" w:type="dxa"/>
            <w:gridSpan w:val="1"/>
            <w:noWrap/>
          </w:tcPr>
          <w:p>
            <w:pPr/>
            <w:r>
              <w:rPr>
                <w:i w:val="1"/>
                <w:iCs w:val="1"/>
              </w:rPr>
              <w:t xml:space="preserve">(not set or not applicable)</w:t>
            </w:r>
          </w:p>
        </w:tc>
        <w:tc>
          <w:tcPr>
            <w:tcW w:w="4000" w:type="dxa"/>
            <w:gridSpan w:val="1"/>
            <w:noWrap/>
          </w:tcPr>
          <w:p>
            <w:pPr/>
            <w:r>
              <w:rPr/>
              <w:t xml:space="preserve">Designing of Capacity Needs Assessment initiated by National Institute of Plantation Management (NIPM)</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Harnessing innovative private sector financing for conservation of biodiversity and LDN in plantations secured</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8: Number of new financial solutions developed and applying financial instruments and mechanisms (green lending, certification, biodiversity credits, PES, Sustainability Fund, etc.)</w:t>
            </w:r>
          </w:p>
        </w:tc>
        <w:tc>
          <w:tcPr>
            <w:tcW w:w="2000" w:type="dxa"/>
            <w:gridSpan w:val="1"/>
            <w:noWrap/>
          </w:tcPr>
          <w:p>
            <w:pPr/>
            <w:r>
              <w:rPr/>
              <w:t xml:space="preserve">Baseline: 2 (certification and Carbon to a limited extent)</w:t>
            </w:r>
          </w:p>
        </w:tc>
        <w:tc>
          <w:tcPr>
            <w:tcW w:w="2000" w:type="dxa"/>
            <w:gridSpan w:val="1"/>
            <w:noWrap/>
          </w:tcPr>
          <w:p>
            <w:pPr/>
            <w:r>
              <w:rPr/>
              <w:t xml:space="preserve">Assessment of at least 4 financial solutions completed and mechanisms for testing developed for 2 new solutions</w:t>
            </w:r>
          </w:p>
        </w:tc>
        <w:tc>
          <w:tcPr>
            <w:tcW w:w="2000" w:type="dxa"/>
            <w:gridSpan w:val="1"/>
            <w:noWrap/>
          </w:tcPr>
          <w:p>
            <w:pPr/>
            <w:r>
              <w:rPr/>
              <w:t xml:space="preserve">Implementation of 2-3 new operational financial solutions to assess effectiveness and long-term financial viability</w:t>
            </w:r>
          </w:p>
        </w:tc>
        <w:tc>
          <w:tcPr>
            <w:tcW w:w="4000" w:type="dxa"/>
            <w:gridSpan w:val="1"/>
            <w:noWrap/>
          </w:tcPr>
          <w:p>
            <w:pPr/>
            <w:r>
              <w:rPr>
                <w:i w:val="1"/>
                <w:iCs w:val="1"/>
              </w:rPr>
              <w:t xml:space="preserve">(not set or not applicable)</w:t>
            </w:r>
          </w:p>
        </w:tc>
        <w:tc>
          <w:tcPr>
            <w:tcW w:w="4000" w:type="dxa"/>
            <w:gridSpan w:val="1"/>
            <w:noWrap/>
          </w:tcPr>
          <w:p>
            <w:pPr/>
            <w:r>
              <w:rPr/>
              <w:t xml:space="preserve">Discussions ongoing on adoption of innovative financing methods from BIOFIN.</w:t>
            </w:r>
          </w:p>
          <w:p>
            <w:pPr/>
            <w:r>
              <w:rPr/>
              <w:t xml:space="preserve">RP3 will be onboard by the end of the year. The Biodiversity Credit schemes, etc will be developed thereafter.</w:t>
            </w:r>
          </w:p>
          <w:p>
            <w:pPr/>
            <w:r>
              <w:rPr/>
              <w:t xml:space="preserve"/>
            </w:r>
          </w:p>
          <w:p>
            <w:pPr/>
            <w:r>
              <w:rPr/>
              <w:t xml:space="preserve"/>
            </w:r>
          </w:p>
        </w:tc>
      </w:tr>
      <w:tr>
        <w:trPr/>
        <w:tc>
          <w:tcPr>
            <w:tcW w:w="4000" w:type="dxa"/>
            <w:gridSpan w:val="1"/>
            <w:noWrap/>
          </w:tcPr>
          <w:p>
            <w:pPr/>
            <w:r>
              <w:rPr/>
              <w:t xml:space="preserve">Indicator 9: % increase in budget allocation (over baseline)  by at least four major Regional Plantation Companies  towards achieving improved conservation and LDN outcomes</w:t>
            </w:r>
          </w:p>
        </w:tc>
        <w:tc>
          <w:tcPr>
            <w:tcW w:w="2000" w:type="dxa"/>
            <w:gridSpan w:val="1"/>
            <w:noWrap/>
          </w:tcPr>
          <w:p>
            <w:pPr/>
            <w:r>
              <w:rPr/>
              <w:t xml:space="preserve">Baselines of current RPC expenditure for conservation assessed in Year 1 based on certification costs, meeting certification norms, conservation and SLM actions</w:t>
            </w:r>
          </w:p>
        </w:tc>
        <w:tc>
          <w:tcPr>
            <w:tcW w:w="2000" w:type="dxa"/>
            <w:gridSpan w:val="1"/>
            <w:noWrap/>
          </w:tcPr>
          <w:p>
            <w:pPr/>
            <w:r>
              <w:rPr/>
              <w:t xml:space="preserve">Major Plantation Companies allocating an average 40% increase of baseline budgets towards achieving improved conservation and LDN outcomes</w:t>
            </w:r>
          </w:p>
        </w:tc>
        <w:tc>
          <w:tcPr>
            <w:tcW w:w="2000" w:type="dxa"/>
            <w:gridSpan w:val="1"/>
            <w:noWrap/>
          </w:tcPr>
          <w:p>
            <w:pPr/>
            <w:r>
              <w:rPr/>
              <w:t xml:space="preserve">Major Plantation Companies allocating an average two-fold increase of baseline budgets towards achieving improved conservation and LDN outcomes</w:t>
            </w:r>
          </w:p>
        </w:tc>
        <w:tc>
          <w:tcPr>
            <w:tcW w:w="4000" w:type="dxa"/>
            <w:gridSpan w:val="1"/>
            <w:noWrap/>
          </w:tcPr>
          <w:p>
            <w:pPr/>
            <w:r>
              <w:rPr>
                <w:i w:val="1"/>
                <w:iCs w:val="1"/>
              </w:rPr>
              <w:t xml:space="preserve">(not set or not applicable)</w:t>
            </w:r>
          </w:p>
        </w:tc>
        <w:tc>
          <w:tcPr>
            <w:tcW w:w="4000" w:type="dxa"/>
            <w:gridSpan w:val="1"/>
            <w:noWrap/>
          </w:tcPr>
          <w:p>
            <w:pPr/>
            <w:r>
              <w:rPr/>
              <w:t xml:space="preserve">Has not yet been initiated. This is planned for fourth quarter</w:t>
            </w:r>
          </w:p>
        </w:tc>
      </w:tr>
      <w:tr>
        <w:trPr/>
        <w:tc>
          <w:tcPr>
            <w:tcW w:w="4000" w:type="dxa"/>
            <w:gridSpan w:val="1"/>
            <w:noWrap/>
          </w:tcPr>
          <w:p>
            <w:pPr/>
            <w:r>
              <w:rPr/>
              <w:t xml:space="preserve">Indicator 10: Changes in water quality and quantity in selected rivulets, streams and sub-catchments within pilot priority sites as measured by: DO; pH; conductivity, total dissolved solids, nitrates, phosphates and benthic macro-invertebrates, etc.</w:t>
            </w:r>
          </w:p>
        </w:tc>
        <w:tc>
          <w:tcPr>
            <w:tcW w:w="2000" w:type="dxa"/>
            <w:gridSpan w:val="1"/>
            <w:noWrap/>
          </w:tcPr>
          <w:p>
            <w:pPr/>
            <w:r>
              <w:rPr/>
              <w:t xml:space="preserve">Around 10 monitoring stations to be established in participating RPC lands and baseline defined in Year 1.</w:t>
            </w:r>
          </w:p>
        </w:tc>
        <w:tc>
          <w:tcPr>
            <w:tcW w:w="2000" w:type="dxa"/>
            <w:gridSpan w:val="1"/>
            <w:noWrap/>
          </w:tcPr>
          <w:p>
            <w:pPr/>
            <w:r>
              <w:rPr/>
              <w:t xml:space="preserve">Maintained or/and improved water quality and quantity in monitoring stations</w:t>
            </w:r>
          </w:p>
        </w:tc>
        <w:tc>
          <w:tcPr>
            <w:tcW w:w="2000" w:type="dxa"/>
            <w:gridSpan w:val="1"/>
            <w:noWrap/>
          </w:tcPr>
          <w:p>
            <w:pPr/>
            <w:r>
              <w:rPr/>
              <w:t xml:space="preserve">Maintained or/and improved water quality and quantity in monitoring stations</w:t>
            </w:r>
          </w:p>
        </w:tc>
        <w:tc>
          <w:tcPr>
            <w:tcW w:w="4000" w:type="dxa"/>
            <w:gridSpan w:val="1"/>
            <w:noWrap/>
          </w:tcPr>
          <w:p>
            <w:pPr/>
            <w:r>
              <w:rPr>
                <w:i w:val="1"/>
                <w:iCs w:val="1"/>
              </w:rPr>
              <w:t xml:space="preserve">(not set or not applicable)</w:t>
            </w:r>
          </w:p>
        </w:tc>
        <w:tc>
          <w:tcPr>
            <w:tcW w:w="4000" w:type="dxa"/>
            <w:gridSpan w:val="1"/>
            <w:noWrap/>
          </w:tcPr>
          <w:p>
            <w:pPr/>
            <w:r>
              <w:rPr/>
              <w:t xml:space="preserve">Not yet started. Planned for early 2026.</w:t>
            </w:r>
          </w:p>
        </w:tc>
      </w:tr>
      <w:tr>
        <w:trPr/>
        <w:tc>
          <w:tcPr>
            <w:tcW w:w="4000" w:type="dxa"/>
            <w:gridSpan w:val="1"/>
            <w:noWrap/>
          </w:tcPr>
          <w:p>
            <w:pPr/>
            <w:r>
              <w:rPr/>
              <w:t xml:space="preserve">Indicator 11: Number of new livelihood/small-scale entrepreneurships operational to benefit small holders farmers and estate community</w:t>
            </w:r>
          </w:p>
        </w:tc>
        <w:tc>
          <w:tcPr>
            <w:tcW w:w="2000" w:type="dxa"/>
            <w:gridSpan w:val="1"/>
            <w:noWrap/>
          </w:tcPr>
          <w:p>
            <w:pPr/>
            <w:r>
              <w:rPr/>
              <w:t xml:space="preserve">0</w:t>
            </w:r>
          </w:p>
        </w:tc>
        <w:tc>
          <w:tcPr>
            <w:tcW w:w="2000" w:type="dxa"/>
            <w:gridSpan w:val="1"/>
            <w:noWrap/>
          </w:tcPr>
          <w:p>
            <w:pPr/>
            <w:r>
              <w:rPr/>
              <w:t xml:space="preserve">At least 2-3 new livelihood/small scale entrepreneurships identified for each district, viability and value chain assessed and training provided</w:t>
            </w:r>
          </w:p>
        </w:tc>
        <w:tc>
          <w:tcPr>
            <w:tcW w:w="2000" w:type="dxa"/>
            <w:gridSpan w:val="1"/>
            <w:noWrap/>
          </w:tcPr>
          <w:p>
            <w:pPr/>
            <w:r>
              <w:rPr/>
              <w:t xml:space="preserve">At least 2-3 new livelihood/small scale entrepreneurships operational in each targeted district</w:t>
            </w:r>
          </w:p>
        </w:tc>
        <w:tc>
          <w:tcPr>
            <w:tcW w:w="4000" w:type="dxa"/>
            <w:gridSpan w:val="1"/>
            <w:noWrap/>
          </w:tcPr>
          <w:p>
            <w:pPr/>
            <w:r>
              <w:rPr>
                <w:i w:val="1"/>
                <w:iCs w:val="1"/>
              </w:rPr>
              <w:t xml:space="preserve">(not set or not applicable)</w:t>
            </w:r>
          </w:p>
        </w:tc>
        <w:tc>
          <w:tcPr>
            <w:tcW w:w="4000" w:type="dxa"/>
            <w:gridSpan w:val="1"/>
            <w:noWrap/>
          </w:tcPr>
          <w:p>
            <w:pPr/>
            <w:r>
              <w:rPr/>
              <w:t xml:space="preserve">Currently, discussions ongoing to commence livelihood programmes at pilot site 1- Loolkandura and Hope by September 2025.</w:t>
            </w:r>
          </w:p>
          <w:p>
            <w:pPr/>
            <w:r>
              <w:rPr/>
              <w:t xml:space="preserve">Agroforestry crops for potential value chain has been listed. Verification needed by stakeholders.</w:t>
            </w:r>
          </w:p>
          <w:p>
            <w:pPr/>
            <w:r>
              <w:rPr/>
              <w:t xml:space="preserve">Annex 19 Agro forestry crop value chain</w:t>
            </w:r>
          </w:p>
          <w:p>
            <w:pPr/>
            <w:r>
              <w:rPr/>
              <w:t xml:space="preserve">Annex 20 – Agro Forestry Evaluation Framework</w:t>
            </w:r>
          </w:p>
          <w:p>
            <w:pPr/>
            <w:r>
              <w:rPr/>
              <w:t xml:space="preserve"/>
            </w:r>
          </w:p>
          <w:p>
            <w:pPr/>
            <w:r>
              <w:rPr/>
              <w:t xml:space="preserve">Organic value chain businesses identified. Assessment and KII to be made.</w:t>
            </w:r>
          </w:p>
          <w:p>
            <w:pPr/>
            <w:r>
              <w:rPr/>
              <w:t xml:space="preserve">Annex 21 – Organic value chain development_Ratnapura</w:t>
            </w:r>
          </w:p>
          <w:p>
            <w:pPr/>
            <w:r>
              <w:rPr/>
              <w:t xml:space="preserve">Annex 22- Interview questions KII and FGD guide</w:t>
            </w:r>
          </w:p>
          <w:p>
            <w:pPr/>
            <w:r>
              <w:rPr/>
              <w:t xml:space="preserve">Annex 23- Questionnaire on Agroforestry to be included in questionnaire on estates</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Awareness and collaborative support for Private-Public-Community partnerships in biodiversity conservation in the plantation sector enhanced through effective knowledge management, gender mainstreaming and M&amp;E</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12: Percentage (%) project stakeholders aware of  opportunities of improved conservation and sustainable land management outcomes , adverse impacts of inaction on species, ecosystems and land (based on Knowledge, Aptitude and Perception -KAP surveys)</w:t>
            </w:r>
          </w:p>
        </w:tc>
        <w:tc>
          <w:tcPr>
            <w:tcW w:w="2000" w:type="dxa"/>
            <w:gridSpan w:val="1"/>
            <w:noWrap/>
          </w:tcPr>
          <w:p>
            <w:pPr/>
            <w:r>
              <w:rPr/>
              <w:t xml:space="preserve">Baseline to be established in Year 1 through KAP surveys</w:t>
            </w:r>
          </w:p>
        </w:tc>
        <w:tc>
          <w:tcPr>
            <w:tcW w:w="2000" w:type="dxa"/>
            <w:gridSpan w:val="1"/>
            <w:noWrap/>
          </w:tcPr>
          <w:p>
            <w:pPr/>
            <w:r>
              <w:rPr/>
              <w:t xml:space="preserve">At least 20% (of which at least 50% women) of sampled plantations, smallholders and community members, government and sector agency staff, and other stakeholders aware of potential opportunities for conservation and sustainable land management outcomes in the plantation and related sectors and, adverse impacts of inaction on species, ecosystems and land management.</w:t>
            </w:r>
          </w:p>
        </w:tc>
        <w:tc>
          <w:tcPr>
            <w:tcW w:w="2000" w:type="dxa"/>
            <w:gridSpan w:val="1"/>
            <w:noWrap/>
          </w:tcPr>
          <w:p>
            <w:pPr/>
            <w:r>
              <w:rPr/>
              <w:t xml:space="preserve">At least 60% (of which at least 50% women) of sampled plantations, smallholders and community members, government and sector agency staff, and other stakeholders aware of potential opportunities for conservation and sustainable land management outcomes in the plantation and related sectors and, adverse impacts of inaction on species, ecosystems and land management</w:t>
            </w:r>
          </w:p>
        </w:tc>
        <w:tc>
          <w:tcPr>
            <w:tcW w:w="4000" w:type="dxa"/>
            <w:gridSpan w:val="1"/>
            <w:noWrap/>
          </w:tcPr>
          <w:p>
            <w:pPr/>
            <w:r>
              <w:rPr>
                <w:i w:val="1"/>
                <w:iCs w:val="1"/>
              </w:rPr>
              <w:t xml:space="preserve">(not set or not applicable)</w:t>
            </w:r>
          </w:p>
        </w:tc>
        <w:tc>
          <w:tcPr>
            <w:tcW w:w="4000" w:type="dxa"/>
            <w:gridSpan w:val="1"/>
            <w:noWrap/>
          </w:tcPr>
          <w:p>
            <w:pPr/>
            <w:r>
              <w:rPr/>
              <w:t xml:space="preserve">Public sector Stakeholder consultation held in March 2025 to create awareness on the projects objectives and identify responsible parties for implementation activities. 70% women participated at the workshop.</w:t>
            </w:r>
          </w:p>
          <w:p>
            <w:pPr/>
            <w:r>
              <w:rPr/>
              <w:t xml:space="preserve">2 RPC stakeholders, 10 estate managers were made aware of the project during the surveys.</w:t>
            </w:r>
          </w:p>
          <w:p>
            <w:pPr/>
            <w:r>
              <w:rPr/>
              <w:t xml:space="preserve">An RPC meeting is to be held during the last week of July 2025 to refresh the awareness on the project received in December 2024 and to discuss current survey findings and request collaboration for data and information (Annex 32 Agenda)</w:t>
            </w:r>
          </w:p>
          <w:p>
            <w:pPr/>
            <w:r>
              <w:rPr/>
              <w:t xml:space="preserve"/>
            </w:r>
          </w:p>
        </w:tc>
      </w:tr>
      <w:tr>
        <w:trPr/>
        <w:tc>
          <w:tcPr>
            <w:tcW w:w="4000" w:type="dxa"/>
            <w:gridSpan w:val="1"/>
            <w:noWrap/>
          </w:tcPr>
          <w:p>
            <w:pPr/>
            <w:r>
              <w:rPr/>
              <w:t xml:space="preserve">Indicator 13: Biological information database  with inventory of natural forest areas, conservation values, species information (threats etc. developed and operational for monitoring and decision-making.</w:t>
            </w:r>
          </w:p>
        </w:tc>
        <w:tc>
          <w:tcPr>
            <w:tcW w:w="2000" w:type="dxa"/>
            <w:gridSpan w:val="1"/>
            <w:noWrap/>
          </w:tcPr>
          <w:p>
            <w:pPr/>
            <w:r>
              <w:rPr/>
              <w:t xml:space="preserve">Natural forests base maps available for five districts (some information also available with individual RPCs) but not compiled in a database that can be useful for management purposes</w:t>
            </w:r>
          </w:p>
        </w:tc>
        <w:tc>
          <w:tcPr>
            <w:tcW w:w="2000" w:type="dxa"/>
            <w:gridSpan w:val="1"/>
            <w:noWrap/>
          </w:tcPr>
          <w:p>
            <w:pPr/>
            <w:r>
              <w:rPr/>
              <w:t xml:space="preserve">All existing information from the base maps from Kalutara, Kegalle, Matara, Galle and Ratnapura districts and data available with RPCs for Nuwara Eliya district compiled into an database</w:t>
            </w:r>
          </w:p>
        </w:tc>
        <w:tc>
          <w:tcPr>
            <w:tcW w:w="2000" w:type="dxa"/>
            <w:gridSpan w:val="1"/>
            <w:noWrap/>
          </w:tcPr>
          <w:p>
            <w:pPr/>
            <w:r>
              <w:rPr/>
              <w:t xml:space="preserve">Information from all plantation districts (eleven) compiled into a single database that would enable prioritization for conservation purposes, monitoring, etc.</w:t>
            </w:r>
          </w:p>
        </w:tc>
        <w:tc>
          <w:tcPr>
            <w:tcW w:w="4000" w:type="dxa"/>
            <w:gridSpan w:val="1"/>
            <w:noWrap/>
          </w:tcPr>
          <w:p>
            <w:pPr/>
            <w:r>
              <w:rPr>
                <w:i w:val="1"/>
                <w:iCs w:val="1"/>
              </w:rPr>
              <w:t xml:space="preserve">(not set or not applicable)</w:t>
            </w:r>
          </w:p>
        </w:tc>
        <w:tc>
          <w:tcPr>
            <w:tcW w:w="4000" w:type="dxa"/>
            <w:gridSpan w:val="1"/>
            <w:noWrap/>
          </w:tcPr>
          <w:p>
            <w:pPr/>
            <w:r>
              <w:rPr/>
              <w:t xml:space="preserve">Procurement procedure initiated by Ministry of Environment for selection of consultant for the development of the Biodiversity Database (Annex 33- ToR BD Database).</w:t>
            </w:r>
          </w:p>
          <w:p>
            <w:pPr/>
            <w:r>
              <w:rPr/>
              <w:t xml:space="preserve">data collection formats have been developed  and data is being collected in a format which can be incorporated into the developed database at a later stage. Further, the Land Use Policy Planning Department is preparing their own GIS maps and database in a format which can be incorporated into the developed database</w:t>
            </w:r>
          </w:p>
          <w:p>
            <w:pPr/>
            <w:r>
              <w:rPr/>
              <w:t xml:space="preserve"/>
            </w:r>
          </w:p>
        </w:tc>
      </w:tr>
      <w:tr>
        <w:trPr/>
        <w:tc>
          <w:tcPr>
            <w:tcW w:w="4000" w:type="dxa"/>
            <w:gridSpan w:val="1"/>
            <w:noWrap/>
          </w:tcPr>
          <w:p>
            <w:pPr/>
            <w:r>
              <w:rPr/>
              <w:t xml:space="preserve">Indicator 14: % of  online platform application users  sharing  information and  lessons on What?  with national and international partners.</w:t>
            </w:r>
          </w:p>
        </w:tc>
        <w:tc>
          <w:tcPr>
            <w:tcW w:w="2000" w:type="dxa"/>
            <w:gridSpan w:val="1"/>
            <w:noWrap/>
          </w:tcPr>
          <w:p>
            <w:pPr/>
            <w:r>
              <w:rPr/>
              <w:t xml:space="preserve">Dialog Govi Mithunu (Farmer’s Friends) App. launched in 2020, but content and format need simplified and strengthened in content.</w:t>
            </w:r>
          </w:p>
          <w:p>
            <w:pPr/>
            <w:r>
              <w:rPr/>
              <w:t xml:space="preserve">FAO and GSL land degradation knowledge platform established in 2018-2019 needs support for operationalization</w:t>
            </w:r>
          </w:p>
          <w:p>
            <w:pPr/>
            <w:r>
              <w:rPr/>
              <w:t xml:space="preserve">CTRM-2030 proposals to establish knowledge hub for tea industry under consideration</w:t>
            </w:r>
          </w:p>
          <w:p>
            <w:pPr/>
            <w:r>
              <w:rPr/>
              <w:t xml:space="preserve"/>
            </w:r>
          </w:p>
        </w:tc>
        <w:tc>
          <w:tcPr>
            <w:tcW w:w="2000" w:type="dxa"/>
            <w:gridSpan w:val="1"/>
            <w:noWrap/>
          </w:tcPr>
          <w:p>
            <w:pPr/>
            <w:r>
              <w:rPr/>
              <w:t xml:space="preserve">At least 10% increase in outreach/downloads by smallholder farmers and feedback received on technical content</w:t>
            </w:r>
          </w:p>
          <w:p>
            <w:pPr/>
            <w:r>
              <w:rPr/>
              <w:t xml:space="preserve">Improved outreach for FAO/GSL LD platform and linking platform with Dialog App and CTRM Hub</w:t>
            </w:r>
          </w:p>
          <w:p>
            <w:pPr/>
            <w:r>
              <w:rPr/>
              <w:t xml:space="preserve"/>
            </w:r>
          </w:p>
          <w:p>
            <w:pPr/>
            <w:r>
              <w:rPr/>
              <w:t xml:space="preserve">CTRM-2030 Knowledge Hub (established by project) with participation of TRI, NIPM, Planter’s Association and Tea Smallholder Federation</w:t>
            </w:r>
          </w:p>
          <w:p>
            <w:pPr/>
            <w:r>
              <w:rPr/>
              <w:t xml:space="preserve"/>
            </w:r>
          </w:p>
        </w:tc>
        <w:tc>
          <w:tcPr>
            <w:tcW w:w="2000" w:type="dxa"/>
            <w:gridSpan w:val="1"/>
            <w:noWrap/>
          </w:tcPr>
          <w:p>
            <w:pPr/>
            <w:r>
              <w:rPr/>
              <w:t xml:space="preserve">Functional online platform developed and sharing of information on lessons and outcomes with national and international partners with at least 20 Regional Plantation Companies and 45 smallholder societies/associations (10 each in Galle, Matara and Rathnapura districts and 5 each in Nuwara Eliya, Kegalle and Kalutara districts)</w:t>
            </w:r>
          </w:p>
        </w:tc>
        <w:tc>
          <w:tcPr>
            <w:tcW w:w="4000" w:type="dxa"/>
            <w:gridSpan w:val="1"/>
            <w:noWrap/>
          </w:tcPr>
          <w:p>
            <w:pPr/>
            <w:r>
              <w:rPr>
                <w:i w:val="1"/>
                <w:iCs w:val="1"/>
              </w:rPr>
              <w:t xml:space="preserve">(not set or not applicable)</w:t>
            </w:r>
          </w:p>
        </w:tc>
        <w:tc>
          <w:tcPr>
            <w:tcW w:w="4000" w:type="dxa"/>
            <w:gridSpan w:val="1"/>
            <w:noWrap/>
          </w:tcPr>
          <w:p>
            <w:pPr/>
            <w:r>
              <w:rPr/>
              <w:t xml:space="preserve">Not initiated.</w:t>
            </w:r>
          </w:p>
        </w:tc>
      </w:tr>
      <w:tr>
        <w:trPr/>
        <w:tc>
          <w:tcPr>
            <w:tcW w:w="4000" w:type="dxa"/>
            <w:gridSpan w:val="1"/>
            <w:noWrap/>
          </w:tcPr>
          <w:p>
            <w:pPr/>
            <w:r>
              <w:rPr/>
              <w:t xml:space="preserve">Indicator 15: Number of best practices on new and innovative conservation and sustainable land management  documented supporting replication and up-scaling (knowledge products, database, research papers)</w:t>
            </w:r>
          </w:p>
        </w:tc>
        <w:tc>
          <w:tcPr>
            <w:tcW w:w="2000" w:type="dxa"/>
            <w:gridSpan w:val="1"/>
            <w:noWrap/>
          </w:tcPr>
          <w:p>
            <w:pPr/>
            <w:r>
              <w:rPr/>
              <w:t xml:space="preserve">0</w:t>
            </w:r>
          </w:p>
        </w:tc>
        <w:tc>
          <w:tcPr>
            <w:tcW w:w="2000" w:type="dxa"/>
            <w:gridSpan w:val="1"/>
            <w:noWrap/>
          </w:tcPr>
          <w:p>
            <w:pPr/>
            <w:r>
              <w:rPr/>
              <w:t xml:space="preserve">At least three good practices in conservation and sustainable land management codified and disseminated nationally and replicated in additional estates and small holder farms</w:t>
            </w:r>
          </w:p>
        </w:tc>
        <w:tc>
          <w:tcPr>
            <w:tcW w:w="2000" w:type="dxa"/>
            <w:gridSpan w:val="1"/>
            <w:noWrap/>
          </w:tcPr>
          <w:p>
            <w:pPr/>
            <w:r>
              <w:rPr/>
              <w:t xml:space="preserve">At least ten good practices in conservation and sustainable land management codified and disseminated nationally and replicated in additional estates and small holder farms</w:t>
            </w:r>
          </w:p>
        </w:tc>
        <w:tc>
          <w:tcPr>
            <w:tcW w:w="4000" w:type="dxa"/>
            <w:gridSpan w:val="1"/>
            <w:noWrap/>
          </w:tcPr>
          <w:p>
            <w:pPr/>
            <w:r>
              <w:rPr>
                <w:i w:val="1"/>
                <w:iCs w:val="1"/>
              </w:rPr>
              <w:t xml:space="preserve">(not set or not applicable)</w:t>
            </w:r>
          </w:p>
        </w:tc>
        <w:tc>
          <w:tcPr>
            <w:tcW w:w="4000" w:type="dxa"/>
            <w:gridSpan w:val="1"/>
            <w:noWrap/>
          </w:tcPr>
          <w:p>
            <w:pPr/>
            <w:r>
              <w:rPr/>
              <w:t xml:space="preserve">Not initiated. This will commence in 2026.</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Finance/Co-Finance</w:t>
      </w:r>
      <w:bookmarkEnd w:id="4"/>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27,676</w:t>
            </w:r>
          </w:p>
        </w:tc>
      </w:tr>
    </w:tbl>
    <w:p>
      <w:pPr>
        <w:pStyle w:val="Heading2"/>
      </w:pPr>
      <w:bookmarkStart w:id="5" w:name="_Toc5"/>
      <w:r>
        <w:t>Key Financing Amounts</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150,000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4,005,251</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39,801,079</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Implementation Progress</w:t>
      </w:r>
      <w:bookmarkEnd w:id="6"/>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While project activities are being implemented in line with the signed Annual Work Plan, establishing a solid foundation for implementation of agreed activities, some activities experienced delay primarily due to slow procurement processes than expected leading to low financial delivery, which needs urgent attention.</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To strengthen and manage the project’s implementation performance, the following measures are adopted:</w:t>
            </w:r>
          </w:p>
          <w:p>
            <w:pPr/>
            <w:r>
              <w:rPr/>
              <w:t xml:space="preserve"/>
            </w:r>
          </w:p>
          <w:p>
            <w:pPr/>
            <w:r>
              <w:rPr/>
              <w:t xml:space="preserve">a. Schedule monthly meetings with the Implementing Partner (IP) and other relevant stakeholders, chaired by the Ministry of Environment, to review progress, identify bottlenecks, and agree on corrective actions.</w:t>
            </w:r>
          </w:p>
          <w:p>
            <w:pPr/>
            <w:r>
              <w:rPr/>
              <w:t xml:space="preserve"/>
            </w:r>
          </w:p>
          <w:p>
            <w:pPr/>
            <w:r>
              <w:rPr/>
              <w:t xml:space="preserve">b. Expedited Partner Onboarding: Accelerate the onboarding of all remaining Responsible Parties to avoid delays in implementation and ensure that workplans are fully operationalized.</w:t>
            </w:r>
          </w:p>
          <w:p>
            <w:pPr/>
            <w:r>
              <w:rPr/>
              <w:t xml:space="preserve"/>
            </w:r>
          </w:p>
          <w:p>
            <w:pPr/>
            <w:r>
              <w:rPr/>
              <w:t xml:space="preserve">c. Capacity Building for Effective Delivery: Conduct targeted training and capacity-building programmes for partners and stakeholders on gender integration, social and environmental safeguards, and overall project compliance to ensure quality delivery and alignment with UNDP’s Social and Environmental Standards.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To strengthen implementation performance, the CO has institutionalized monthly coordination meetings chaired by the Ministry of Environment to review progress, identify bottlenecks, and agree on corrective actions. Expedited onboarding of Responsible Parties is underway to ensure timely execution of workplans. Oversight technical support from the RTA and Regional team has included review and clearance of TORs, budget revisions, and quality assurance of deliverables, while the Regional SES Advisor provide guidance on safeguards, including operationalizing the ESMF and preparing for ESIA/ESMP processes.</w:t>
            </w:r>
          </w:p>
          <w:p>
            <w:pPr/>
            <w:r>
              <w:rPr/>
              <w:t xml:space="preserve"/>
            </w:r>
          </w:p>
          <w:p>
            <w:pPr/>
            <w:r>
              <w:rPr/>
              <w:t xml:space="preserve">Additional measures include targeted capacity-building for partners on gender, safeguards, and compliance; strengthened CO oversight on procurement and financial delivery; and a standing mechanism to track and resolve implementation bottlenecks (procurement, HR, and co-financing).</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t xml:space="preserve">2025-01-28</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Moderately Satisfactory</w:t>
            </w:r>
          </w:p>
        </w:tc>
        <w:tc>
          <w:tcPr>
            <w:tcW w:w="5000" w:type="dxa"/>
            <w:gridSpan w:val="1"/>
            <w:noWrap/>
          </w:tcPr>
          <w:p>
            <w:pPr/>
            <w:r>
              <w:rPr/>
              <w:t xml:space="preserve">Moderately 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This is the first PIR of the Partnerships and Innovative Financing to Mainstream Biodiversity and Sustainable Land Management in the Wet Climatic Zones in Sri Lanka. The project was CEO endorsed in November 2022. The implementation was delayed by more than 1.8 year where the Prodoc was signed in April 2024 and the project commenced implementation with its inception in July 2024. The project has lot of catch up to do before the MTR which is scheduled for October 2026.</w:t>
            </w:r>
          </w:p>
          <w:p>
            <w:pPr/>
            <w:r>
              <w:rPr/>
              <w:t xml:space="preserve"/>
            </w:r>
          </w:p>
          <w:p>
            <w:pPr/>
            <w:r>
              <w:rPr/>
              <w:t xml:space="preserve">The project aims to conserve globally significant biodiversity in Sri Lanka’s Wet Climatic Zone by improving land management in tea and rubber production areas through innovative Public-Private-Community Partnerships. It seeks to mobilize private sector financing for conserving high-value forests and riparian habitats, while promoting environmentally friendly practices in plantations and smallholdings. The strategy focuses on: (i) conserving remnant forests within estates; (ii) enhancing ecosystem connectivity through restoration and riparian vegetation; (iii) improving soil health, aquatic biodiversity, and reducing chemical runoff; and (iv) piloting new business models that boost plantation productivity, diversify incomes, and incentivize investments in conservation and Land Degradation Neutrality (LDN).</w:t>
            </w:r>
          </w:p>
          <w:p>
            <w:pPr/>
            <w:r>
              <w:rPr/>
              <w:t xml:space="preserve"/>
            </w:r>
          </w:p>
          <w:p>
            <w:pPr/>
            <w:r>
              <w:rPr/>
              <w:t xml:space="preserve">Progress toward the Development Objective (DO):</w:t>
            </w:r>
          </w:p>
          <w:p>
            <w:pPr/>
            <w:r>
              <w:rPr/>
              <w:t xml:space="preserve">Given the late start, DO progress this cycle is foundational but on track for acceleration in FY25–26, For Indicator 1 (direct beneficiaries, sex-disaggregated), implementation ramped up from April 2025; beneficiary surveys with smallholders and estate communities are scheduled from mid-July 2025, with gender-disaggregated data embedded across all expert missions and events. Pilots planned for Q4-2025 are expected to drive measurable beneficiary uptake thereafter. For Indicator 2 (hectares restored), degraded areas across six districts are being identified through LUPPD land-use mapping, GIS layers, and field surveys; corridor options scoped during PPG are being verified, with two corridors to be finalized following ground truthing and one pilot already identified at Elbedda in partnership with WWCT. For Indicator 3 (hectares under improved management), biodiversity/SLM assessments started in May 2025 and two pilots are being prepared ~100 ha at Loolkandura (Nuwara Eliya/Kandy) and ~200 ha at Miyanawita (Kegalle)—to introduce SLM, agroforestry, sustainable energy, eco-tourism, and livelihood enhancements aligned with LDN objectives.</w:t>
            </w:r>
          </w:p>
          <w:p>
            <w:pPr/>
            <w:r>
              <w:rPr/>
              <w:t xml:space="preserve"/>
            </w:r>
          </w:p>
          <w:p>
            <w:pPr/>
            <w:r>
              <w:rPr/>
              <w:t xml:space="preserve">Progress against outcomes:</w:t>
            </w:r>
          </w:p>
          <w:p>
            <w:pPr/>
            <w:r>
              <w:rPr/>
              <w:t xml:space="preserve">Under Outcome 1 (conservation of high-value forests and habitats), surveys across 11 estates in Kegalle have begun, species checklists are being updated, and criteria for HCVF selection finalized. District teams were trained on mapping methods; land-use mapping commenced in 11 districts (base maps prepared ahead of field mapping). Draft outlines for estate management plans are in place, with NIPM initiating a capacity needs assessment process for plantation stakeholders. Together, these steps establish the data and planning pipeline required to prioritize patches, corridors, and site-level interventions within the plantation matrix.</w:t>
            </w:r>
          </w:p>
          <w:p>
            <w:pPr/>
            <w:r>
              <w:rPr/>
              <w:t xml:space="preserve"/>
            </w:r>
          </w:p>
          <w:p>
            <w:pPr/>
            <w:r>
              <w:rPr/>
              <w:t xml:space="preserve">Under Outcome 2 (innovative private finance/LDN), enabling workstreams advanced but instruments are not yet operational. BIOFIN consultations have started; a Responsible Party is expected to be onboarded to develop biodiversity credits and related mechanisms. Parallel value-chain baselines identify high-potential agroforestry commodities (spices, fruits, timber, medicinal plants) and map the emerging organic tea ecosystem in Ratnapura and Galle to anchor livelihood pilots linked to conservation outcomes.</w:t>
            </w:r>
          </w:p>
          <w:p>
            <w:pPr/>
            <w:r>
              <w:rPr/>
              <w:t xml:space="preserve"/>
            </w:r>
          </w:p>
          <w:p>
            <w:pPr/>
            <w:r>
              <w:rPr/>
              <w:t xml:space="preserve">Under Outcome 3 (awareness, partnerships, KM/M&amp;E), a government stakeholder session (March 2025) reported strong women’s participation (~70%), and plantation actors have been re-engaged through surveys and meetings. Procurement has been initiated to develop a biodiversity database, with interim data captured in standardized formats to enable seamless ingestion once the platform is built. Work on the online platform and systematic knowledge product development is slated for the next period.</w:t>
            </w:r>
          </w:p>
          <w:p>
            <w:pPr/>
            <w:r>
              <w:rPr/>
              <w:t xml:space="preserve"/>
            </w:r>
          </w:p>
          <w:p>
            <w:pPr/>
            <w:r>
              <w:rPr/>
              <w:t xml:space="preserve">This first year prioritized baselines that were not fully set during PPG: (i) plantation biodiversity inventories and species lists to populate the database schema; (ii) geospatial  baselines—including slope, elevation, patch geometry, and connectivity options—for prioritization and monitoring; (iii) socioeconomic baselines through beneficiary surveys with routine sex-disaggregation; and (iv) commodity/value-chain baselines to underpin livelihood pilots in agroforestry and organic tea. The drafted data model and management-plan outline provide consistent templates for field teams to generate comparable, patch-level metrics across estates and districts.</w:t>
            </w:r>
          </w:p>
          <w:p>
            <w:pPr/>
            <w:r>
              <w:rPr/>
              <w:t xml:space="preserve"/>
            </w:r>
          </w:p>
          <w:p>
            <w:pPr/>
            <w:r>
              <w:rPr/>
              <w:t xml:space="preserve">Risk management (including GRM, ESMP/ESIA, stakeholder engagement, gender): The project has established a three-tier Grievance Redress Mechanism (estate, district, PSC), and yet to opertionalize. Stakeholder engagement has been robust and inclusive, and the gender analysis/GAP from PPG is guiding sex-disaggregated monitoring and women-focused livelihood design. A key priority is to advance scoped ESIA/ESMP preparations—identified in the ESMF/SESP—so that field pilots proceed with appropriate mitigation and monitoring in place.</w:t>
            </w:r>
          </w:p>
          <w:p>
            <w:pPr/>
            <w:r>
              <w:rPr/>
              <w:t xml:space="preserve"/>
            </w:r>
          </w:p>
          <w:p>
            <w:pPr/>
            <w:r>
              <w:rPr/>
              <w:t xml:space="preserve">Knowledge management: KM/communications remain in inception - the biodiversity database procurement is underway, interim data standards/collection formats are in use, and LUPPD/GIS outputs are being harmonized for future ingestion. However, the web platform and outward-facing knowledge products are still pending, an area to accelerate in the next cycle.</w:t>
            </w:r>
          </w:p>
          <w:p>
            <w:pPr/>
            <w:r>
              <w:rPr/>
              <w:t xml:space="preserve"/>
            </w:r>
          </w:p>
          <w:p>
            <w:pPr/>
            <w:r>
              <w:rPr/>
              <w:t xml:space="preserve">Financing and co-financing: Delivery reflects the delayed start - first disbursement was in June 2024 and absorption in 2025 is modest relative to plan, given sequencing of procurement and baseline work. As pilots launch and safeguards clearances are in place, disbursement is expected to pick up; co-financing realization is likewise expected to materialize alongside BIOFIN-linked instruments and plantation budget allocations once pilots demonstrate bankable models.</w:t>
            </w:r>
          </w:p>
          <w:p>
            <w:pPr/>
            <w:r>
              <w:rPr/>
              <w:t xml:space="preserve"/>
            </w:r>
          </w:p>
          <w:p>
            <w:pPr/>
            <w:r>
              <w:rPr/>
              <w:t xml:space="preserve">With the project inception and the foundational work completed with baselines, mapping, estate surveys, pilot site selection, value-chain scoping, GRM in place, the project is  positioned to move from preparation to field delivery in 2025. The DO remains Moderately Satisfactory for this cycle, contingent on accelerated financial delivery, timely ESIA/ESMP completion, and rapid initiation of pilots to convert plans into measurable hectares restored/under improved management and direct beneficiary results.</w:t>
            </w:r>
          </w:p>
          <w:p>
            <w:pPr/>
            <w:r>
              <w:rPr/>
              <w:t xml:space="preserve">----</w:t>
            </w:r>
          </w:p>
          <w:p>
            <w:pPr/>
            <w:r>
              <w:rPr/>
              <w:t xml:space="preserve">The first PIR cycle highlights three constraints. First, financial delivery remains behind plan (cumulative delivery stands below 1%), reflecting the delayed start and sequencing of preparatory procurements; fincial delivery must accelerate in the remaining period of 2025 and in 2026 before the MTR in October 2026. Second, on-the-ground activities have not yet begun because safeguard gatekeeping steps (SESP review, scoped ESIA and ESMP) are still pending; without these, pilots on restoration, SLM and livelihoods cannot proceed. While a three-tier project GRM has been drafted and is ready to operationalize, it does not substitute for the required ESIA/ESMP instruments needed to manage site-level risks. Third, knowledge management is nascent - the biodiversity database procurement has started, but the online platform and systematic production of knowledge products - good practices, case studies have not commenced. Coordination needs with plantation companies and technical partners are active but must translate rapidly into field pilots and measurable outputs.</w:t>
            </w:r>
          </w:p>
          <w:p>
            <w:pPr/>
            <w:r>
              <w:rPr/>
              <w:t xml:space="preserve"/>
            </w:r>
          </w:p>
          <w:p>
            <w:pPr/>
            <w:r>
              <w:rPr/>
              <w:t xml:space="preserve">Looking ahead to the next PIR cycle, several priority actions are recommended to address the implementation challenges identified:</w:t>
            </w:r>
          </w:p>
          <w:p>
            <w:pPr/>
            <w:r>
              <w:rPr/>
              <w:t xml:space="preserve"/>
            </w:r>
          </w:p>
          <w:p>
            <w:pPr/>
            <w:r>
              <w:rPr/>
              <w:t xml:space="preserve">1) The foremost priority is to accelerate financial delivery in 2025, ensuring that the full annual budget is executed and that procurement and contracting delays do not carry forward. This will require close monitoring of delivery against quarterly milestones and proactive management of procurement pipelines.</w:t>
            </w:r>
          </w:p>
          <w:p>
            <w:pPr/>
            <w:r>
              <w:rPr/>
              <w:t xml:space="preserve">2) Equally important is to strengthen coordination between the government partners and the Regional Plantation Companies (RPCs). Sustained dialogue and collaboration are essential to move from planning to implementation, align estate-level management plans with project objectives, and secure the cooperation and co-financing commitments of plantation companies.</w:t>
            </w:r>
          </w:p>
          <w:p>
            <w:pPr/>
            <w:r>
              <w:rPr/>
              <w:t xml:space="preserve">3) To commence implementation of on-the-ground activities, the project must initiate the review and updating of safeguard instruments, namely the SESP, ESIA and ESMP. These instruments are critical for identifying site-specific risks and mitigation measures, and their timely completion will allow pilots on restoration, SLM, and livelihood interventions to proceed without further delay.</w:t>
            </w:r>
          </w:p>
          <w:p>
            <w:pPr/>
            <w:r>
              <w:rPr/>
              <w:t xml:space="preserve">4) On knowledge management, it is recommended that the project intensify efforts to document and disseminate best practices, lessons learned, and case studies. The biodiversity database should be operationalized quickly, and early results and approaches should be shared nationally and through global platforms such as PANORAMA solution to enhance visibility and replication potential.</w:t>
            </w:r>
          </w:p>
          <w:p>
            <w:pPr/>
            <w:r>
              <w:rPr/>
              <w:t xml:space="preserve">5) The project should also begin to prepare for the Midterm Review by the second quarter of 2026. This will serve as a critical checkpoint to assess the project’s overall progress against its objectives, outcomes, and indicators. The MTR will provide an opportunity for course correction, enabling the project team, government partners, and stakeholders to identify gaps, address bottlenecks, and re-align strategies to ensure delivery of end-of-project targets.</w:t>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The project is in its early implementation phase, having laid the groundwork for activities following the inception workshop in July 2024. This marks the first PIR for the project. To date, notable progress includes the recruitment of the Project Coordinator, the onboarding of the first third-party and technical experts, the initiation of biodiversity assessments and land-use mapping across multiple plantation districts, and the conduct of stakeholder workshops to raise awareness and clarify roles. The first Project Board meeting was held in January 2025, and regular monthly progress meetings—chaired by the Ministry of Environment—are now being conducted with the Implementing Partner and technical experts to review progress, resolve bottlenecks, and ensure timely follow-up.</w:t>
            </w:r>
          </w:p>
          <w:p>
            <w:pPr/>
            <w:r>
              <w:rPr/>
              <w:t xml:space="preserve">Overall, implementation is progressing satisfactorily, with foundational work on track to support the rollout of pilot interventions in the coming quarters.</w:t>
            </w:r>
          </w:p>
          <w:p>
            <w:pPr/>
            <w:r>
              <w:rPr/>
              <w:t xml:space="preserve">As the project remains focused on consultations and assessments, financial delivery is currently low relative to the annual work plan. Co-financing realization is also minimal, limited to in-kind contributions from the Ministry of Environment and the Ministry of Plantation &amp; the community infrastructure, as field-level activities and private sector engagement have yet to commence. While no changes have been made to co-financing commitments during this reporting period, mobilizing co-financing from the private sector and plantation companies will be crucial for achieving results and ensuring sustainability.</w:t>
            </w:r>
          </w:p>
          <w:p>
            <w:pPr/>
            <w:r>
              <w:rPr/>
              <w:t xml:space="preserve">The project has prioritized social and environmental safeguards, gender mainstreaming, and stakeholder engagement. The Grievance Redress Mechanism has been drafted and is undergoing consultations; it will be operationalized once field-level activities begin. Strategic Environmental and Social Impact Assessments (ESIAs) and Environmental and Social Management Plans (ESMPs) will be prepared before the commencement of on-the-ground interventions.</w:t>
            </w:r>
          </w:p>
          <w:p>
            <w:pPr/>
            <w:r>
              <w:rPr/>
              <w:t xml:space="preserve">Some of the key challenges encountered by the CO include the limited capacity of third parties in implementing GEF-funded projects, particularly given the innovative nature of this initiative. Gaps are evident in areas such as compliance with UNDP’s Social and Environmental Standards (SES), gender integration, and the design and application of innovative financial solutions, all of which require targeted support and capacity development to ensure effective delivery.</w:t>
            </w:r>
          </w:p>
          <w:p>
            <w:pPr/>
            <w:r>
              <w:rPr/>
              <w:t xml:space="preserve">To strengthen delivery and sustain momentum, the Country Office is supporting the project team to:</w:t>
            </w:r>
          </w:p>
          <w:p>
            <w:pPr/>
            <w:r>
              <w:rPr/>
              <w:t xml:space="preserve">•	Hold monthly progress reviews with all key stakeholders under the chairmanship of the Ministry of Environment.</w:t>
            </w:r>
          </w:p>
          <w:p>
            <w:pPr/>
            <w:r>
              <w:rPr/>
              <w:t xml:space="preserve">•	Accelerate the onboarding of remaining Responsible Parties to avoid further delays.</w:t>
            </w:r>
          </w:p>
          <w:p>
            <w:pPr/>
            <w:r>
              <w:rPr/>
              <w:t xml:space="preserve">•	Deliver capacity-building programmes for partners on gender integration, social and environmental safeguards, and UNDP SES compliance to ensure inclusive and high-quality implementation.</w:t>
            </w:r>
          </w:p>
          <w:p>
            <w:pPr/>
            <w:r>
              <w:rPr/>
              <w:t xml:space="preserve">The project is encouraged to explore measures to expedite both financial and physical delivery to remain aligned with the timelines set in the project document. The Country Office will continue to provide close technical oversight and adaptive management to ensure momentum and timely progress toward results.</w:t>
            </w:r>
          </w:p>
          <w:p>
            <w:pPr/>
            <w:r>
              <w:rPr/>
              <w:t xml:space="preserve"/>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The project inception was held in June 2024, marking the commencement of key activities . Between August and December 2024, the Land Use Policy Planning Department conducted 5 training workshops on mapping methodology (representing 6 districts). In December 2024, the Ministry of Environment organized a workshop for Regional Plantation Companies to raise awareness about the project and discuss implementation strategies. Another workshop was held in March 2025 for government stakeholders to clarify roles and enhance project coordination.</w:t>
            </w:r>
          </w:p>
          <w:p>
            <w:pPr/>
            <w:r>
              <w:rPr/>
              <w:t xml:space="preserve">The Project Coordinator assumed duties in January 2025. Following the first Project Board meeting the same month, Responsible Party 1 was recruited in March 2025. Technical Advisor and subject matter experts in biodiversity, agroforestry, sustainable land management, ecology, energy and GIS were also engaged, enabling the development of   robust methodologies and selection criteria.</w:t>
            </w:r>
          </w:p>
          <w:p>
            <w:pPr/>
            <w:r>
              <w:rPr/>
              <w:t xml:space="preserve">LUPPD conducted 4 additional workshops to train its field officers representing 5 districts.  In collaboration with the Ministry of Plantation &amp; Community Infrastructure who is a responsible party under the project access to estates was secured for the biodiversity assessment and land use mapping, although some procedural delays were encountered. So far, the biodiversity team was able to conduct a rapid assessment of 11 estates within the 2 months and the LUPPD commenced mapping estates of 11 districts in parallel. In order to be transparent in the implementation of the project, estate managers are briefed as to the project activities prior to commencement of surveys. Meetings will be arranged to present the project to the District Coordination Committees of the six districts to ensure transparency of the project.</w:t>
            </w:r>
          </w:p>
          <w:p>
            <w:pPr/>
            <w:r>
              <w:rPr/>
              <w:t xml:space="preserve"/>
            </w:r>
          </w:p>
          <w:p>
            <w:pPr/>
            <w:r>
              <w:rPr/>
              <w:t xml:space="preserve">While government procurement processes caused some delays, technical experts were able to begin field activities ahead of schedule. As a result, several activities planned for next year commenced during the second quarter, and the overall pace of implementation is considered satisfactory</w:t>
            </w:r>
          </w:p>
          <w:p>
            <w:pPr/>
            <w:r>
              <w:rPr/>
              <w:t xml:space="preserve">The monthly progress meetings held with the implementation parties and the bi weekly meetings scheduled with the experts ensure that issues are addressed promptly.</w:t>
            </w:r>
          </w:p>
          <w:p>
            <w:pPr/>
            <w:r>
              <w:rPr/>
              <w:t xml:space="preserve"/>
            </w:r>
          </w:p>
        </w:tc>
      </w:tr>
      <w:tr>
        <w:trPr/>
        <w:tc>
          <w:tcPr>
            <w:tcW w:w="5000" w:type="dxa"/>
            <w:gridSpan w:val="1"/>
            <w:noWrap/>
          </w:tcPr>
          <w:p>
            <w:pPr/>
            <w:r>
              <w:rPr>
                <w:b w:val="1"/>
                <w:bCs w:val="1"/>
              </w:rPr>
              <w:t xml:space="preserve">GEF Operational Focal point</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Project Implementing Partner</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Other Partners</w:t>
            </w:r>
          </w:p>
        </w:tc>
        <w:tc>
          <w:tcPr>
            <w:tcW w:w="10000" w:type="dxa"/>
            <w:gridSpan w:val="1"/>
            <w:noWrap/>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Annex 28 Gender assessment tool - GEF 07.pdf</w:t>
            </w:r>
          </w:p>
          <w:p>
            <w:pPr>
              <w:spacing w:before="0" w:after="0"/>
            </w:pPr>
            <w:r>
              <w:rPr/>
              <w:t xml:space="preserve">Annex 29 Attendance Sheet - External Programs - EN.pdf</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No</w:t>
            </w:r>
          </w:p>
        </w:tc>
      </w:tr>
      <w:tr>
        <w:trPr/>
        <w:tc>
          <w:tcPr>
            <w:tcW w:w="10000" w:type="dxa"/>
            <w:gridSpan w:val="1"/>
            <w:noWrap/>
          </w:tcPr>
          <w:p>
            <w:pPr/>
            <w:r>
              <w:rPr/>
              <w:t xml:space="preserve">Improving the participation and decision-making of women in natural resource governance: Yes</w:t>
            </w:r>
          </w:p>
        </w:tc>
      </w:tr>
      <w:tr>
        <w:trPr/>
        <w:tc>
          <w:tcPr>
            <w:tcW w:w="10000" w:type="dxa"/>
            <w:gridSpan w:val="1"/>
            <w:noWrap/>
          </w:tcPr>
          <w:p>
            <w:pPr/>
            <w:r>
              <w:rPr/>
              <w:t xml:space="preserve">Targeting socio-economic benefits and services for women: Yes</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Commenced collecting related statistical data, building relationships with relevant stakeholders, and drafting data collection tools for gender assessment. An attendance sheet was formatted, which included required disaggregated data on gender and age, and other intersectionalities. Annex 29- Drafted attendance sheet.</w:t>
            </w:r>
          </w:p>
          <w:p>
            <w:pPr/>
            <w:r>
              <w:rPr/>
              <w:t xml:space="preserve"/>
            </w:r>
          </w:p>
          <w:p>
            <w:pPr/>
            <w:r>
              <w:rPr/>
              <w:t xml:space="preserve">Detailed gender assessments will be undertaken for pilots once commenced to strengthen gender integration in ground-level activities.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Currently, preparations have been made to include 50% women participation in consultations and activities. In the data collections and information gathering sessions, arrangements have been made to collect the above at a time and other logistics that is convenient for the women stakeholders. A Capacity Building programme has been planned for the project team and related stakeholders in order to incorporate gender sensitive approaches to their activities</w:t>
            </w:r>
          </w:p>
          <w:p>
            <w:pPr/>
            <w:r>
              <w:rPr/>
              <w:t xml:space="preserve"/>
            </w:r>
          </w:p>
          <w:p>
            <w:pPr/>
            <w:r>
              <w:rPr/>
              <w:t xml:space="preserve">Detailed gender assessments will be undertaken for pilots once commenced to advance gender integration in ground-level activities.</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Taking experience from the ongoing GEF-6 project, the CO and project team have managed project risks appropriately during this reporting period. On safeguards, the SESP conducted during the PPG phase identified 10 risks, with the overall risk categorization rated as “Substantial.” To address these, an ESMF was developed during the PPG, setting out procedures for screening, assessing, and managing environmental and social impacts across all activities. Instruments already in place include the Stakeholder Engagement Plan and the Gender Action Plan, which guide inclusive, participatory, and gender-responsive implementation. SES instruments and measures required during implementation include targeted assessments and management plans specified in the ESMF. The ESIA is yet to be initiated and is planned for early implementation of pilots in 2025–26, together with ESMPs and Livelihood Action Plans as required. A GRM has been established but not yet operationalized.</w:t>
            </w:r>
          </w:p>
          <w:p>
            <w:pPr/>
            <w:r>
              <w:rPr/>
              <w:t xml:space="preserve"/>
            </w:r>
          </w:p>
          <w:p>
            <w:pPr/>
            <w:r>
              <w:rPr/>
              <w:t xml:space="preserve">Agreed actions with CO include:</w:t>
            </w:r>
          </w:p>
          <w:p>
            <w:pPr/>
            <w:r>
              <w:rPr/>
              <w:t xml:space="preserve">i) Operationalize the project GRM at estate and district levels, ensuring functionality and awareness among plantation workers, smallholders, and local communities.</w:t>
            </w:r>
          </w:p>
          <w:p>
            <w:pPr/>
            <w:r>
              <w:rPr/>
              <w:t xml:space="preserve">ii) Initiate the scoped ESIA in pilot sites (Loolkandura, Miyanawita, Elbedda corridor), with corresponding ESMPs to manage risks related to restoration, livelihoods, and biodiversity.</w:t>
            </w:r>
          </w:p>
          <w:p>
            <w:pPr/>
            <w:r>
              <w:rPr/>
              <w:t xml:space="preserve">iii) Implement targeted safeguard instruments under the ESMF, including Livelihood Action Plans where community access to forest resources or fuelwood may be affected.</w:t>
            </w:r>
          </w:p>
          <w:p>
            <w:pPr/>
            <w:r>
              <w:rPr/>
              <w:t xml:space="preserve">iv) Strengthen monitoring of gender risks by rolling out the Gender Action Plan, ensuring women’s equitable participation in pilots and value chain interventions.</w:t>
            </w:r>
          </w:p>
          <w:p>
            <w:pPr/>
            <w:r>
              <w:rPr/>
              <w:t xml:space="preserve">v) Maintain quarterly reviews of the Quantum risk register, documenting emerging risks (e.g., delays in procurement, climate-related shocks) and adaptive responses.</w:t>
            </w:r>
          </w:p>
        </w:tc>
      </w:tr>
    </w:tbl>
    <w:p>
      <w:pPr>
        <w:pStyle w:val="Heading2"/>
      </w:pPr>
      <w:bookmarkStart w:id="14" w:name="_Toc14"/>
      <w:r>
        <w:t>B) SES Implementation</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The stakeholder engagement plan is being implemented. No challenges encountered as of now.</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Knowledge management will play a critical role in supporting the project's implementation and long-term impact. By systematically capturing, organizing, and sharing information, it will enable informed decision-making, strengthen stakeholder engagement, and ensure the sustainability of results. A contractual service provider will be engaged to lead this component, which includes the development and dissemination of knowledge products such as informative documents, videos, and a web-based database. These resources will be tailored to diverse audiences, including grassroots communities, and will facilitate the awareness and capacity building needed for sustainable land and biodiversity management.</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Will be included by the next PIR</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12BAC"/>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B0434 - Sri Lanka - Colombo</OfficeCountry>
    <DocumentStatus xmlns="d9cf0e28-81d2-4dc7-8b10-820d80ed680d">Approved</DocumentStatus>
    <DocCoverageEndDate xmlns="d9cf0e28-81d2-4dc7-8b10-820d80ed680d">2025-06-30T04:00:00+00:00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PIR 2025</FileNameDescription>
    <ProjectNumber xmlns="d9cf0e28-81d2-4dc7-8b10-820d80ed680d">00137976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UNDP-LKA</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2024-06-30T04:00:00+00:00</DocCoverageStartDate>
    <FileClassificationMode xmlns="d9cf0e28-81d2-4dc7-8b10-820d80ed680d">Public</FileClassificationMode>
    <OutputNumber xmlns="d9cf0e28-81d2-4dc7-8b10-820d80ed680d">00128166</OutputNumber>
  </documentManagement>
</p:properties>
</file>

<file path=customXml/itemProps1.xml><?xml version="1.0" encoding="utf-8"?>
<ds:datastoreItem xmlns:ds="http://schemas.openxmlformats.org/officeDocument/2006/customXml" ds:itemID="{0F122102-2088-49DA-9135-C8C0987C1235}"/>
</file>

<file path=customXml/itemProps2.xml><?xml version="1.0" encoding="utf-8"?>
<ds:datastoreItem xmlns:ds="http://schemas.openxmlformats.org/officeDocument/2006/customXml" ds:itemID="{CDDF02D0-F937-466B-96BE-A3E843FB42B7}"/>
</file>

<file path=customXml/itemProps3.xml><?xml version="1.0" encoding="utf-8"?>
<ds:datastoreItem xmlns:ds="http://schemas.openxmlformats.org/officeDocument/2006/customXml" ds:itemID="{CA3E4A68-4F27-4C06-AA0B-B185DBE1D6C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 2025</dc:title>
  <dc:subject/>
  <dc:creator/>
  <cp:keywords/>
  <dc:description/>
  <cp:lastModifiedBy/>
  <dcterms:created xsi:type="dcterms:W3CDTF">2025-09-09T05:07:34Z</dcterms:created>
  <dcterms:modified xsi:type="dcterms:W3CDTF">2025-09-09T05:07:34Z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