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BUREFOBI</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6544</w:t>
            </w:r>
          </w:p>
        </w:tc>
      </w:tr>
      <w:tr>
        <w:trPr/>
        <w:tc>
          <w:tcPr>
            <w:tcW w:w="5000" w:type="dxa"/>
            <w:gridSpan w:val="1"/>
            <w:noWrap/>
          </w:tcPr>
          <w:p>
            <w:pPr/>
            <w:r>
              <w:rPr/>
              <w:t xml:space="preserve">GEF ID</w:t>
            </w:r>
          </w:p>
        </w:tc>
        <w:tc>
          <w:tcPr>
            <w:tcW w:w="5000" w:type="dxa"/>
            <w:gridSpan w:val="1"/>
            <w:noWrap/>
          </w:tcPr>
          <w:p>
            <w:pPr/>
            <w:r>
              <w:rPr/>
              <w:t xml:space="preserve">10690</w:t>
            </w:r>
          </w:p>
        </w:tc>
      </w:tr>
      <w:tr>
        <w:trPr/>
        <w:tc>
          <w:tcPr>
            <w:tcW w:w="5000" w:type="dxa"/>
            <w:gridSpan w:val="1"/>
            <w:noWrap/>
          </w:tcPr>
          <w:p>
            <w:pPr/>
            <w:r>
              <w:rPr/>
              <w:t xml:space="preserve">Title</w:t>
            </w:r>
          </w:p>
        </w:tc>
        <w:tc>
          <w:tcPr>
            <w:tcW w:w="5000" w:type="dxa"/>
            <w:gridSpan w:val="1"/>
            <w:noWrap/>
          </w:tcPr>
          <w:p>
            <w:pPr/>
            <w:r>
              <w:rPr/>
              <w:t xml:space="preserve">Building the resilience of forest biodiversity to the threats of climate change in Tanzania’s Nature Forest Reserves (BUREFOBI)</w:t>
            </w:r>
          </w:p>
        </w:tc>
      </w:tr>
      <w:tr>
        <w:trPr/>
        <w:tc>
          <w:tcPr>
            <w:tcW w:w="5000" w:type="dxa"/>
            <w:gridSpan w:val="1"/>
            <w:noWrap/>
          </w:tcPr>
          <w:p>
            <w:pPr/>
            <w:r>
              <w:rPr/>
              <w:t xml:space="preserve">Country(ies)</w:t>
            </w:r>
          </w:p>
        </w:tc>
        <w:tc>
          <w:tcPr>
            <w:tcW w:w="5000" w:type="dxa"/>
            <w:gridSpan w:val="1"/>
            <w:noWrap/>
          </w:tcPr>
          <w:p>
            <w:pPr/>
            <w:r>
              <w:rPr/>
              <w:t xml:space="preserve">Tanzania, Tanzania</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CO Support to NIM</w:t>
            </w:r>
          </w:p>
        </w:tc>
      </w:tr>
      <w:tr>
        <w:trPr/>
        <w:tc>
          <w:tcPr>
            <w:tcW w:w="5000" w:type="dxa"/>
            <w:gridSpan w:val="1"/>
            <w:noWrap/>
          </w:tcPr>
          <w:p>
            <w:pPr/>
            <w:r>
              <w:rPr/>
              <w:t xml:space="preserve">Project Implementing Partner</w:t>
            </w:r>
          </w:p>
        </w:tc>
        <w:tc>
          <w:tcPr>
            <w:tcW w:w="5000" w:type="dxa"/>
            <w:gridSpan w:val="1"/>
            <w:noWrap/>
          </w:tcPr>
          <w:p>
            <w:pPr/>
            <w:r>
              <w:rPr/>
              <w:t xml:space="preserve">Ministry of Natural Resources and Tourism</w:t>
            </w:r>
          </w:p>
        </w:tc>
      </w:tr>
      <w:tr>
        <w:trPr/>
        <w:tc>
          <w:tcPr>
            <w:tcW w:w="5000" w:type="dxa"/>
            <w:gridSpan w:val="1"/>
            <w:noWrap/>
          </w:tcPr>
          <w:p>
            <w:pPr/>
            <w:r>
              <w:rPr/>
              <w:t xml:space="preserve">Joint Agencies</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Type</w:t>
            </w:r>
          </w:p>
        </w:tc>
        <w:tc>
          <w:tcPr>
            <w:tcW w:w="5000" w:type="dxa"/>
            <w:gridSpan w:val="1"/>
            <w:noWrap/>
          </w:tcPr>
          <w:p>
            <w:pPr/>
            <w:r>
              <w:rPr/>
              <w:t xml:space="preserve">Full Size</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To promote biodiversity Conservation and Sustainable Land Management in Nature Forest Reserves and Forest Reserves ecosystem of Tanzania</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Onesimus MUHWEZI (onesimus.muhwezi@undp.org)</w:t>
            </w:r>
          </w:p>
        </w:tc>
      </w:tr>
      <w:tr>
        <w:trPr/>
        <w:tc>
          <w:tcPr>
            <w:tcW w:w="5000" w:type="dxa"/>
            <w:gridSpan w:val="1"/>
            <w:noWrap/>
          </w:tcPr>
          <w:p>
            <w:pPr/>
            <w:r>
              <w:rPr/>
              <w:t xml:space="preserve">UNDP BPPS Programme Associate</w:t>
            </w:r>
          </w:p>
        </w:tc>
        <w:tc>
          <w:tcPr>
            <w:tcW w:w="5000" w:type="dxa"/>
            <w:gridSpan w:val="1"/>
            <w:noWrap/>
          </w:tcPr>
          <w:p>
            <w:pPr/>
            <w:r>
              <w:rPr/>
              <w:t xml:space="preserve">Ms. Hiwot Gebremeskel (hiwot.gebremeskel@undp.org)</w:t>
            </w:r>
          </w:p>
        </w:tc>
      </w:tr>
      <w:tr>
        <w:trPr/>
        <w:tc>
          <w:tcPr>
            <w:tcW w:w="5000" w:type="dxa"/>
            <w:gridSpan w:val="1"/>
            <w:noWrap/>
          </w:tcPr>
          <w:p>
            <w:pPr/>
            <w:r>
              <w:rPr/>
              <w:t xml:space="preserve">UNDP BPPS SES Technical Advisor</w:t>
            </w:r>
          </w:p>
        </w:tc>
        <w:tc>
          <w:tcPr>
            <w:tcW w:w="5000" w:type="dxa"/>
            <w:gridSpan w:val="1"/>
            <w:noWrap/>
          </w:tcPr>
          <w:p>
            <w:pPr/>
            <w:r>
              <w:rPr/>
              <w:t xml:space="preserve">Mr. Jake Willis (jake.willis@undp.org)</w:t>
            </w:r>
          </w:p>
        </w:tc>
      </w:tr>
      <w:tr>
        <w:trPr/>
        <w:tc>
          <w:tcPr>
            <w:tcW w:w="5000" w:type="dxa"/>
            <w:gridSpan w:val="1"/>
            <w:noWrap/>
          </w:tcPr>
          <w:p>
            <w:pPr/>
            <w:r>
              <w:rPr/>
              <w:t xml:space="preserve">Project Manager/Coordinator</w:t>
            </w:r>
          </w:p>
        </w:tc>
        <w:tc>
          <w:tcPr>
            <w:tcW w:w="5000" w:type="dxa"/>
            <w:gridSpan w:val="1"/>
            <w:noWrap/>
          </w:tcPr>
          <w:p>
            <w:pPr/>
            <w:r>
              <w:rPr/>
              <w:t xml:space="preserve">Someni Mteleka (smteleka@gmail.com)</w:t>
            </w:r>
          </w:p>
        </w:tc>
      </w:tr>
      <w:tr>
        <w:trPr/>
        <w:tc>
          <w:tcPr>
            <w:tcW w:w="5000" w:type="dxa"/>
            <w:gridSpan w:val="1"/>
            <w:noWrap/>
          </w:tcPr>
          <w:p>
            <w:pPr/>
            <w:r>
              <w:rPr/>
              <w:t xml:space="preserve">UNDP Country Office Programme Officer</w:t>
            </w:r>
          </w:p>
        </w:tc>
        <w:tc>
          <w:tcPr>
            <w:tcW w:w="5000" w:type="dxa"/>
            <w:gridSpan w:val="1"/>
            <w:noWrap/>
          </w:tcPr>
          <w:p>
            <w:pPr/>
            <w:r>
              <w:rPr/>
              <w:t xml:space="preserve">Ms. Gertrude Lyatuu (gertrude.lyatuu@undp.org)</w:t>
            </w:r>
          </w:p>
          <w:p>
            <w:pPr/>
            <w:r>
              <w:rPr/>
              <w:t xml:space="preserve">Ms. Tulalumba Bangu (Tulalumba.bangu@undp.org)</w:t>
            </w:r>
          </w:p>
        </w:tc>
      </w:tr>
      <w:tr>
        <w:trPr/>
        <w:tc>
          <w:tcPr>
            <w:tcW w:w="5000" w:type="dxa"/>
            <w:gridSpan w:val="1"/>
            <w:noWrap/>
          </w:tcPr>
          <w:p>
            <w:pPr/>
            <w:r>
              <w:rPr/>
              <w:t xml:space="preserve">UNDP Country Office Deputy Resident Representative</w:t>
            </w:r>
          </w:p>
        </w:tc>
        <w:tc>
          <w:tcPr>
            <w:tcW w:w="5000" w:type="dxa"/>
            <w:gridSpan w:val="1"/>
            <w:noWrap/>
          </w:tcPr>
          <w:p>
            <w:pPr/>
            <w:r>
              <w:rPr/>
              <w:t xml:space="preserve">John Rutere (john.rutere@undp.org)</w:t>
            </w:r>
          </w:p>
        </w:tc>
      </w:tr>
      <w:tr>
        <w:trPr/>
        <w:tc>
          <w:tcPr>
            <w:tcW w:w="5000" w:type="dxa"/>
            <w:gridSpan w:val="1"/>
            <w:noWrap/>
          </w:tcPr>
          <w:p>
            <w:pPr/>
            <w:r>
              <w:rPr/>
              <w:t xml:space="preserve">UNDP Regional Bureau Desk Officer</w:t>
            </w:r>
          </w:p>
        </w:tc>
        <w:tc>
          <w:tcPr>
            <w:tcW w:w="5000" w:type="dxa"/>
            <w:gridSpan w:val="1"/>
            <w:noWrap/>
          </w:tcPr>
          <w:p>
            <w:pPr/>
            <w:r>
              <w:rPr/>
              <w:t xml:space="preserve">Mpogi Mafoko (mpogi.mafoko@undp.org)</w:t>
            </w:r>
          </w:p>
          <w:p>
            <w:pPr/>
            <w:r>
              <w:rPr/>
              <w:t xml:space="preserve">Mr. Francis Mbilima (francis.mbilima@undp.org)</w:t>
            </w:r>
          </w:p>
        </w:tc>
      </w:tr>
      <w:tr>
        <w:trPr/>
        <w:tc>
          <w:tcPr>
            <w:tcW w:w="5000" w:type="dxa"/>
            <w:gridSpan w:val="1"/>
            <w:noWrap/>
          </w:tcPr>
          <w:p>
            <w:pPr/>
            <w:r>
              <w:rPr/>
              <w:t xml:space="preserve">GEF Operational Focal Point</w:t>
            </w:r>
          </w:p>
        </w:tc>
        <w:tc>
          <w:tcPr>
            <w:tcW w:w="5000" w:type="dxa"/>
            <w:gridSpan w:val="1"/>
            <w:noWrap/>
          </w:tcPr>
          <w:p>
            <w:pPr/>
            <w:r>
              <w:rPr/>
              <w:t xml:space="preserve">Ms. Kemilembe Mutasa (kemilembe.mutasa@vpo.go.tz)</w:t>
            </w:r>
          </w:p>
        </w:tc>
      </w:tr>
      <w:tr>
        <w:trPr/>
        <w:tc>
          <w:tcPr>
            <w:tcW w:w="5000" w:type="dxa"/>
            <w:gridSpan w:val="1"/>
            <w:noWrap/>
          </w:tcPr>
          <w:p>
            <w:pPr/>
            <w:r>
              <w:rPr/>
              <w:t xml:space="preserve">Project Implementing Partner</w:t>
            </w:r>
          </w:p>
        </w:tc>
        <w:tc>
          <w:tcPr>
            <w:tcW w:w="5000" w:type="dxa"/>
            <w:gridSpan w:val="1"/>
            <w:noWrap/>
          </w:tcPr>
          <w:p>
            <w:pPr/>
            <w:r>
              <w:rPr/>
              <w:t xml:space="preserve">Mr. Dos Santos Silayo (dsilayo@gmail.com)</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72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Dec 11, 2020</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Oct 28, 2022</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Sep 7, 2023</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26, 2023</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Nov 30, 2023</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t xml:space="preserve">Sep 7, 2026</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Jun 7, 2029</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Sep 7, 2029</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substantial</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The improved governance, operations and financial management of NFRs enhances the resilience of their forest biodiversity to the threats of climate change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Mandatory Indicator 1:</w:t>
            </w:r>
          </w:p>
          <w:p>
            <w:pPr/>
            <w:r>
              <w:rPr/>
              <w:t xml:space="preserve">Number of direct project beneficiaries disaggregated by gender</w:t>
            </w:r>
          </w:p>
          <w:p>
            <w:pPr/>
            <w:r>
              <w:rPr/>
              <w:t xml:space="preserve">(GEF Core Indicator 11)</w:t>
            </w:r>
          </w:p>
          <w:p>
            <w:pPr/>
            <w:r>
              <w:rPr/>
              <w:t xml:space="preserve"/>
            </w:r>
          </w:p>
        </w:tc>
        <w:tc>
          <w:tcPr>
            <w:tcW w:w="2000" w:type="dxa"/>
            <w:gridSpan w:val="1"/>
            <w:noWrap/>
          </w:tcPr>
          <w:p>
            <w:pPr/>
            <w:r>
              <w:rPr/>
              <w:t xml:space="preserve">0</w:t>
            </w:r>
          </w:p>
        </w:tc>
        <w:tc>
          <w:tcPr>
            <w:tcW w:w="2000" w:type="dxa"/>
            <w:gridSpan w:val="1"/>
            <w:noWrap/>
          </w:tcPr>
          <w:p>
            <w:pPr/>
            <w:r>
              <w:rPr/>
              <w:t xml:space="preserve">10,677</w:t>
            </w:r>
          </w:p>
          <w:p>
            <w:pPr/>
            <w:r>
              <w:rPr/>
              <w:t xml:space="preserve">(M = 6,500; F = 4,177)</w:t>
            </w:r>
          </w:p>
          <w:p>
            <w:pPr/>
            <w:r>
              <w:rPr/>
              <w:t xml:space="preserve"/>
            </w:r>
          </w:p>
        </w:tc>
        <w:tc>
          <w:tcPr>
            <w:tcW w:w="2000" w:type="dxa"/>
            <w:gridSpan w:val="1"/>
            <w:noWrap/>
          </w:tcPr>
          <w:p>
            <w:pPr/>
            <w:r>
              <w:rPr/>
              <w:t xml:space="preserve">15,318</w:t>
            </w:r>
          </w:p>
          <w:p>
            <w:pPr/>
            <w:r>
              <w:rPr/>
              <w:t xml:space="preserve">(M = 8,950; F = 6,368)</w:t>
            </w:r>
          </w:p>
          <w:p>
            <w:pPr/>
            <w:r>
              <w:rPr/>
              <w:t xml:space="preserve"/>
            </w:r>
          </w:p>
        </w:tc>
        <w:tc>
          <w:tcPr>
            <w:tcW w:w="4000" w:type="dxa"/>
            <w:gridSpan w:val="1"/>
            <w:noWrap/>
          </w:tcPr>
          <w:p>
            <w:pPr/>
            <w:r>
              <w:rPr/>
              <w:t xml:space="preserve">1,378 people (M 1,005 and F 373) benefited directly from the project as per Outcome 1.1, 1.2, 2.2 and 3.1 through: short-term contractual work opportunities in labor- intensive construction/ maintenance of reserve infrastructure; climate change risk assessment; training on wildfire management, climate change risks; and building local capacity and engaging key stakeholders in the establishment and management of Village Land Forest Reserves.</w:t>
            </w:r>
          </w:p>
          <w:p>
            <w:pPr/>
            <w:r>
              <w:rPr/>
              <w:t xml:space="preserve"/>
            </w:r>
          </w:p>
          <w:p>
            <w:pPr/>
            <w:r>
              <w:rPr/>
              <w:t xml:space="preserve">Evidence: Objective_indicator 2_boundary demarcation reports for Essimingor, Mt. Hanang, Pugu-Kazimzumbwi, Rondo and Vikindu Range NFR-2024; and Outcome 2.2_indicator 12_Report on Employment in Construction activities-2025.</w:t>
            </w:r>
          </w:p>
        </w:tc>
        <w:tc>
          <w:tcPr>
            <w:tcW w:w="4000" w:type="dxa"/>
            <w:gridSpan w:val="1"/>
            <w:noWrap/>
          </w:tcPr>
          <w:p>
            <w:pPr/>
            <w:r>
              <w:rPr/>
              <w:t xml:space="preserve">A cumulative total of 10,952 people (6,111 males and 4,841 females) has directly benefited from project interventions implemented under Outcomes 1.1, 1.2, 2.2, and 3.1. The overall achievement is 103% representing (94% men and 116% women) of the midterm (MTR) and 71.5% of end of project target.</w:t>
            </w:r>
          </w:p>
          <w:p>
            <w:pPr/>
            <w:r>
              <w:rPr/>
              <w:t xml:space="preserve">The Beneficiaries include 609 people (501 males and 108 females) who gained short-term contractual employment through labor-intensive construction and maintenance of reserve infrastructure; 286 people (207 males and 79 females) who participated in climate change risk assessment and mitigation activities; 97 people (64 males and 33 females) trained on environmental and social safeguards; and 157 people (90 males and 67 females) trained in wildfire management.</w:t>
            </w:r>
          </w:p>
          <w:p>
            <w:pPr/>
            <w:r>
              <w:rPr/>
              <w:t xml:space="preserve">The project also enhanced community livelihoods and resilience through capacity-building initiatives. A total of 2,963 people (2,010 males and 953 females) received training on sustainable land-use practices, including the production of high-value crops and fruit seedlings as alternative sources of income, as well as participation in joint forest management initiatives.</w:t>
            </w:r>
          </w:p>
          <w:p>
            <w:pPr/>
            <w:r>
              <w:rPr/>
              <w:t xml:space="preserve">In addition, communities living adjacent to Nature Forest Reserves (NFRs) participated in the establishment and management of Village Land Forest Reserves (VLFRs). As a result, 1,030 community members (654 males and 376 females) are benefiting from improved ecosystem services and regulated access to natural resources such as water, firewood, and fodder. Furthermore, the renovation of livestock dip has benefited 5,810 people (2,585 males and 3,225 females) by improving access to livestock health services, reducing livestock disease risks, and enhancing livestock productivity and household livelihoods.</w:t>
            </w:r>
          </w:p>
          <w:p>
            <w:pPr/>
            <w:r>
              <w:rPr/>
              <w:t xml:space="preserve"/>
            </w:r>
          </w:p>
          <w:p>
            <w:pPr/>
            <w:r>
              <w:rPr/>
              <w:t xml:space="preserve">During the reporting period, 9,574 people (5,106 male and 4,468 female) equivalent to 87.4% of cumulative number of beneficiaries was achieved through activities explained above. The significant achievement compared to the number in the previous reporting period is because most beneficiary‑targeted activities were implemented during the reporting period, including training on the production of high‑value crops and fruit seedlings as alternative income sources, alongside active participation in joint forest management initiatives.</w:t>
            </w:r>
          </w:p>
          <w:p>
            <w:pPr/>
            <w:r>
              <w:rPr/>
              <w:t xml:space="preserve"/>
            </w:r>
          </w:p>
          <w:p>
            <w:pPr/>
            <w:r>
              <w:rPr/>
              <w:t xml:space="preserve">Overall, these interventions have contributed to strengthening biodiversity conservation, improving climate resilience, and enhancing sustainable livelihood opportunities for communities living in and around project site landscapes.</w:t>
            </w:r>
          </w:p>
          <w:p>
            <w:pPr/>
            <w:r>
              <w:rPr/>
              <w:t xml:space="preserve"/>
            </w:r>
          </w:p>
          <w:p>
            <w:pPr/>
            <w:r>
              <w:rPr/>
              <w:t xml:space="preserve">Evidence of reported progress: Outcome 1.1_indicator 6_Capacity building on ESS-2026; Outcome 1.1_indicator 6_Report on JMA-2026; Outcome 1.1_indicator 6_report on constructed buildings-2026; Outcome 1.2_indicator 9_training on establishment of VLFRs-2025; Outcome 1.2_indicator 9_report on tree nursery activity-2025; Outcome 1.2_indicator 9_report on CSA and GAP-2026; Outcome 1.2_indicator 9_report on ESIA-2026; Outcome 1.2_indicator 9_report on rehabilitation of livestock dip-2026 and Outcome 1.2_indicator 9_report on construction employment -2026.</w:t>
            </w:r>
          </w:p>
        </w:tc>
      </w:tr>
      <w:tr>
        <w:trPr/>
        <w:tc>
          <w:tcPr>
            <w:tcW w:w="4000" w:type="dxa"/>
            <w:gridSpan w:val="1"/>
            <w:noWrap/>
          </w:tcPr>
          <w:p>
            <w:pPr/>
            <w:r>
              <w:rPr/>
              <w:t xml:space="preserve">Mandatory Indicator 2:</w:t>
            </w:r>
          </w:p>
          <w:p>
            <w:pPr/>
            <w:r>
              <w:rPr/>
              <w:t xml:space="preserve">Terrestrial protected areas created or under improved management for conservation and sustainable use (ha and METT score)</w:t>
            </w:r>
          </w:p>
          <w:p>
            <w:pPr/>
            <w:r>
              <w:rPr/>
              <w:t xml:space="preserve">(GEF Core Indicator 1)</w:t>
            </w:r>
          </w:p>
          <w:p>
            <w:pPr/>
            <w:r>
              <w:rPr/>
              <w:t xml:space="preserve"/>
            </w:r>
          </w:p>
        </w:tc>
        <w:tc>
          <w:tcPr>
            <w:tcW w:w="2000" w:type="dxa"/>
            <w:gridSpan w:val="1"/>
            <w:noWrap/>
          </w:tcPr>
          <w:p>
            <w:pPr/>
            <w:r>
              <w:rPr/>
              <w:t xml:space="preserve">0 ha</w:t>
            </w:r>
          </w:p>
          <w:p>
            <w:pPr/>
            <w:r>
              <w:rPr/>
              <w:t xml:space="preserve">Mt Hanang = 41</w:t>
            </w:r>
          </w:p>
          <w:p>
            <w:pPr/>
            <w:r>
              <w:rPr/>
              <w:t xml:space="preserve">Essimingor = 38</w:t>
            </w:r>
          </w:p>
          <w:p>
            <w:pPr/>
            <w:r>
              <w:rPr/>
              <w:t xml:space="preserve">Hassama Hills = 36</w:t>
            </w:r>
          </w:p>
          <w:p>
            <w:pPr/>
            <w:r>
              <w:rPr/>
              <w:t xml:space="preserve">Mwambesi = 37</w:t>
            </w:r>
          </w:p>
          <w:p>
            <w:pPr/>
            <w:r>
              <w:rPr/>
              <w:t xml:space="preserve">Nou = 36</w:t>
            </w:r>
          </w:p>
          <w:p>
            <w:pPr/>
            <w:r>
              <w:rPr/>
              <w:t xml:space="preserve">Pindiro = 43</w:t>
            </w:r>
          </w:p>
          <w:p>
            <w:pPr/>
            <w:r>
              <w:rPr/>
              <w:t xml:space="preserve">Pugu-Kazimzumwi = 45</w:t>
            </w:r>
          </w:p>
          <w:p>
            <w:pPr/>
            <w:r>
              <w:rPr/>
              <w:t xml:space="preserve">Rondo = 57</w:t>
            </w:r>
          </w:p>
          <w:p>
            <w:pPr/>
            <w:r>
              <w:rPr/>
              <w:t xml:space="preserve">Uzigua = 46</w:t>
            </w:r>
          </w:p>
          <w:p>
            <w:pPr/>
            <w:r>
              <w:rPr/>
              <w:t xml:space="preserve"/>
            </w:r>
          </w:p>
          <w:p>
            <w:pPr/>
            <w:r>
              <w:rPr/>
              <w:t xml:space="preserve"/>
            </w:r>
          </w:p>
        </w:tc>
        <w:tc>
          <w:tcPr>
            <w:tcW w:w="2000" w:type="dxa"/>
            <w:gridSpan w:val="1"/>
            <w:noWrap/>
          </w:tcPr>
          <w:p>
            <w:pPr/>
            <w:r>
              <w:rPr/>
              <w:t xml:space="preserve">185,452 ha</w:t>
            </w:r>
          </w:p>
          <w:p>
            <w:pPr/>
            <w:r>
              <w:rPr/>
              <w:t xml:space="preserve">Mt Hanang = 64</w:t>
            </w:r>
          </w:p>
          <w:p>
            <w:pPr/>
            <w:r>
              <w:rPr/>
              <w:t xml:space="preserve">Essimingor = 64</w:t>
            </w:r>
          </w:p>
          <w:p>
            <w:pPr/>
            <w:r>
              <w:rPr/>
              <w:t xml:space="preserve">Hassama Hills = 67</w:t>
            </w:r>
          </w:p>
          <w:p>
            <w:pPr/>
            <w:r>
              <w:rPr/>
              <w:t xml:space="preserve">Mwambesi = 69</w:t>
            </w:r>
          </w:p>
          <w:p>
            <w:pPr/>
            <w:r>
              <w:rPr/>
              <w:t xml:space="preserve">Nou = 64</w:t>
            </w:r>
          </w:p>
          <w:p>
            <w:pPr/>
            <w:r>
              <w:rPr/>
              <w:t xml:space="preserve">Pindiro = 67</w:t>
            </w:r>
          </w:p>
          <w:p>
            <w:pPr/>
            <w:r>
              <w:rPr/>
              <w:t xml:space="preserve">Pugu-Kazimzumwi = 69</w:t>
            </w:r>
          </w:p>
          <w:p>
            <w:pPr/>
            <w:r>
              <w:rPr/>
              <w:t xml:space="preserve">Rondo = 72</w:t>
            </w:r>
          </w:p>
          <w:p>
            <w:pPr/>
            <w:r>
              <w:rPr/>
              <w:t xml:space="preserve">Uzigua = 62</w:t>
            </w:r>
          </w:p>
          <w:p>
            <w:pPr/>
            <w:r>
              <w:rPr/>
              <w:t xml:space="preserve"/>
            </w:r>
          </w:p>
        </w:tc>
        <w:tc>
          <w:tcPr>
            <w:tcW w:w="2000" w:type="dxa"/>
            <w:gridSpan w:val="1"/>
            <w:noWrap/>
          </w:tcPr>
          <w:p>
            <w:pPr/>
            <w:r>
              <w:rPr/>
              <w:t xml:space="preserve">219,244 ha</w:t>
            </w:r>
          </w:p>
          <w:p>
            <w:pPr/>
            <w:r>
              <w:rPr/>
              <w:t xml:space="preserve">Mt Hanang = 81</w:t>
            </w:r>
          </w:p>
          <w:p>
            <w:pPr/>
            <w:r>
              <w:rPr/>
              <w:t xml:space="preserve">Essimingor = 83</w:t>
            </w:r>
          </w:p>
          <w:p>
            <w:pPr/>
            <w:r>
              <w:rPr/>
              <w:t xml:space="preserve">Hasasma Hills = 78</w:t>
            </w:r>
          </w:p>
          <w:p>
            <w:pPr/>
            <w:r>
              <w:rPr/>
              <w:t xml:space="preserve">Mwambesi = 80</w:t>
            </w:r>
          </w:p>
          <w:p>
            <w:pPr/>
            <w:r>
              <w:rPr/>
              <w:t xml:space="preserve">Nou = 76</w:t>
            </w:r>
          </w:p>
          <w:p>
            <w:pPr/>
            <w:r>
              <w:rPr/>
              <w:t xml:space="preserve">Pindiro = 81</w:t>
            </w:r>
          </w:p>
          <w:p>
            <w:pPr/>
            <w:r>
              <w:rPr/>
              <w:t xml:space="preserve">Pugu-Kazimzumwi = 77</w:t>
            </w:r>
          </w:p>
          <w:p>
            <w:pPr/>
            <w:r>
              <w:rPr/>
              <w:t xml:space="preserve">Rondo = 80</w:t>
            </w:r>
          </w:p>
          <w:p>
            <w:pPr/>
            <w:r>
              <w:rPr/>
              <w:t xml:space="preserve">Uzigua = 72</w:t>
            </w:r>
          </w:p>
          <w:p>
            <w:pPr/>
            <w:r>
              <w:rPr/>
              <w:t xml:space="preserve"/>
            </w:r>
          </w:p>
        </w:tc>
        <w:tc>
          <w:tcPr>
            <w:tcW w:w="4000" w:type="dxa"/>
            <w:gridSpan w:val="1"/>
            <w:noWrap/>
          </w:tcPr>
          <w:p>
            <w:pPr/>
            <w:r>
              <w:rPr/>
              <w:t xml:space="preserve">23,678 ha of protected area were supported by the project to improve management for conservation and sustainable use of four (4) forest reserves as per Outcome 1.1 through the following activities: Boundary demarcation of 158.7 kilometers of boundaries in Rondo NFR (51.6km), Mount Hanang NFR (26.6 km and 4 signboards), Essimingor NFR (10 beacons and 2 signboards), Pugu NFR (50 km and 2 signboards), and Vikindu Range (20.5 km and 7 signboards).</w:t>
            </w:r>
          </w:p>
          <w:p>
            <w:pPr/>
            <w:r>
              <w:rPr/>
              <w:t xml:space="preserve"/>
            </w:r>
          </w:p>
          <w:p>
            <w:pPr/>
            <w:r>
              <w:rPr/>
              <w:t xml:space="preserve">Evidence: Objective_indicator 2_boundary demarcation reports for Essimingor, Mt. Hanang, Pugu-Kazimzumbwi, Rondo and Vikindu Range NFR-2024.</w:t>
            </w:r>
          </w:p>
        </w:tc>
        <w:tc>
          <w:tcPr>
            <w:tcW w:w="4000" w:type="dxa"/>
            <w:gridSpan w:val="1"/>
            <w:noWrap/>
          </w:tcPr>
          <w:p>
            <w:pPr/>
            <w:r>
              <w:rPr/>
              <w:t xml:space="preserve">A total of 181,612 hectares (97.9% of the MTR target) of protected areas is under improved management for conservation and sustainable use. The total area of NFRs remains the same, although the number of targeted NFRs has increased from 9 at project inception to 10, including Vikindu NFR which was formerly a range under Pugu Kazimzumbi NFR, now under independent management. The total area has been achieved through activities under outcome 1.1, conducted in 8 Nature Forest Reserves, which are Mt. Hanang (5,837 ha), Essimingor (6,100 ha), Mwambesi (112,283 ha), Pindiro (12,249 ha), Pugu Kazimzumbwi (7,297 ha), Rondo (11,742 ha), Uzigua (24,436 ha), and Vikindu      NFR (1,668 ha).</w:t>
            </w:r>
          </w:p>
          <w:p>
            <w:pPr/>
            <w:r>
              <w:rPr/>
              <w:t xml:space="preserve"/>
            </w:r>
          </w:p>
          <w:p>
            <w:pPr/>
            <w:r>
              <w:rPr/>
              <w:t xml:space="preserve">The average METT Score for the 9 NFRs achieved as of June 2026 is 76 against an average baseline of 42. The METT Score achieved for each NFR is as follows: Mt. Hanang (78), Essimingor (72), Mwambesi (73), Pindiro (72), Pugu Kazimzumbwi (79), Rondo (85), Uzigua (71), Nou (74), Hassama (76). Vikindu      NFR which is now under independent management, has a METT score of 86.</w:t>
            </w:r>
          </w:p>
          <w:p>
            <w:pPr/>
            <w:r>
              <w:rPr/>
              <w:t xml:space="preserve"/>
            </w:r>
          </w:p>
          <w:p>
            <w:pPr/>
            <w:r>
              <w:rPr/>
              <w:t xml:space="preserve">To improve reserve management and reduce encroachment risks, the project facilitated the demarcation of 158.7 km of forest reserve boundaries, comprising 51.6 km in Rondo NFR, 26.6 km in Mt. Hanang NFR, 50 km in Pugu Kazimzumbwi NFR, 10 km in Essimingor NFR, and 20.5 km in Vikindu NFR. In addition, permanent boundary beacons and information signboards were installed at strategic locations to strengthen reserve protection and raise public awareness. A total of 10 beacons were installed in Essimingor NFR, while 15 signboards were erected across the reserves, including 4 in Mt. Hanang NFR, 2 in Essimingor NFR, 2 in Pugu Kazimzumbwi NFR, and 7 in Vikindu NFR.</w:t>
            </w:r>
          </w:p>
          <w:p>
            <w:pPr/>
            <w:r>
              <w:rPr/>
              <w:t xml:space="preserve"/>
            </w:r>
          </w:p>
          <w:p>
            <w:pPr/>
            <w:r>
              <w:rPr/>
              <w:t xml:space="preserve">Furthermore, the project enhanced local capacity for wildfire prevention and response through wildfire management training provided to 157 participants (90 males and 67 females) from eight villages located within the buffer zones of 4 Nature Forest Reserves: Mt. Hanang, Uzigua, Pindiro, and Mwambesi. These interventions have contributed to strengthening community participation in forest conservation and improving the long-term management of protected areas.</w:t>
            </w:r>
          </w:p>
          <w:p>
            <w:pPr/>
            <w:r>
              <w:rPr/>
              <w:t xml:space="preserve"/>
            </w:r>
          </w:p>
          <w:p>
            <w:pPr/>
            <w:r>
              <w:rPr/>
              <w:t xml:space="preserve">During the reporting period, the project accelerated implementation of activities across all 10 Nature Forest Reserves (NFRs), contributing to the protection of 157,934 hectares through infrastructure development. Key achievements include construction of ranger posts at Uzigua and Mount Hanang. In addition, three NFRs namely: Rondo (6 villages), Mount Hanang (11 villages), and Essimingor (1 village) have established Joint Management Agreements (JMAs) with 18 adjacent villages, which are currently under implementation.</w:t>
            </w:r>
          </w:p>
          <w:p>
            <w:pPr/>
            <w:r>
              <w:rPr/>
              <w:t xml:space="preserve"/>
            </w:r>
          </w:p>
          <w:p>
            <w:pPr/>
            <w:r>
              <w:rPr/>
              <w:t xml:space="preserve">Evidence: Objective_indicator 2_Technical Working Session-2026 and Objective_indicator 2_METT-2026.</w:t>
            </w:r>
          </w:p>
          <w:p>
            <w:pPr/>
            <w:r>
              <w:rPr/>
              <w:t xml:space="preserve"/>
            </w:r>
          </w:p>
        </w:tc>
      </w:tr>
      <w:tr>
        <w:trPr/>
        <w:tc>
          <w:tcPr>
            <w:tcW w:w="4000" w:type="dxa"/>
            <w:gridSpan w:val="1"/>
            <w:noWrap/>
          </w:tcPr>
          <w:p>
            <w:pPr/>
            <w:r>
              <w:rPr/>
              <w:t xml:space="preserve">Mandatory Indicator 3:</w:t>
            </w:r>
          </w:p>
          <w:p>
            <w:pPr/>
            <w:r>
              <w:rPr/>
              <w:t xml:space="preserve">Area of landscapes under improved practices (excluding protected areas)</w:t>
            </w:r>
          </w:p>
          <w:p>
            <w:pPr/>
            <w:r>
              <w:rPr/>
              <w:t xml:space="preserve">(GEF Core Indicator 4)</w:t>
            </w:r>
          </w:p>
          <w:p>
            <w:pPr/>
            <w:r>
              <w:rPr/>
              <w:t xml:space="preserve"/>
            </w:r>
          </w:p>
        </w:tc>
        <w:tc>
          <w:tcPr>
            <w:tcW w:w="2000" w:type="dxa"/>
            <w:gridSpan w:val="1"/>
            <w:noWrap/>
          </w:tcPr>
          <w:p>
            <w:pPr/>
            <w:r>
              <w:rPr/>
              <w:t xml:space="preserve">0</w:t>
            </w:r>
          </w:p>
        </w:tc>
        <w:tc>
          <w:tcPr>
            <w:tcW w:w="2000" w:type="dxa"/>
            <w:gridSpan w:val="1"/>
            <w:noWrap/>
          </w:tcPr>
          <w:p>
            <w:pPr/>
            <w:r>
              <w:rPr/>
              <w:t xml:space="preserve">3,758 ha</w:t>
            </w:r>
          </w:p>
        </w:tc>
        <w:tc>
          <w:tcPr>
            <w:tcW w:w="2000" w:type="dxa"/>
            <w:gridSpan w:val="1"/>
            <w:noWrap/>
          </w:tcPr>
          <w:p>
            <w:pPr/>
            <w:r>
              <w:rPr/>
              <w:t xml:space="preserve">9,500 ha</w:t>
            </w:r>
          </w:p>
        </w:tc>
        <w:tc>
          <w:tcPr>
            <w:tcW w:w="4000" w:type="dxa"/>
            <w:gridSpan w:val="1"/>
            <w:noWrap/>
          </w:tcPr>
          <w:p>
            <w:pPr/>
            <w:r>
              <w:rPr/>
              <w:t xml:space="preserve">4,077.27 hectares of landscape are under improved management practices as per Outcome 1.2 through the following activities: the project successfully established 12 Village Land Forest Reserves (VLFRs), covering 4,077.27 hectares across four villages adjacent to Uzigua Nature Forest Reserve (NFR). The villages are Kwamduma (2,362.6 ha), Kwamsanja (376.7 ha), Kwaruhombo (1,102.1 ha) and Kimange (235.87 ha).</w:t>
            </w:r>
          </w:p>
          <w:p>
            <w:pPr/>
            <w:r>
              <w:rPr/>
              <w:t xml:space="preserve"/>
            </w:r>
          </w:p>
          <w:p>
            <w:pPr/>
            <w:r>
              <w:rPr/>
              <w:t xml:space="preserve">Evidence: Objective_indicator 3_Establishment of VLFRs Report-2025.</w:t>
            </w:r>
          </w:p>
        </w:tc>
        <w:tc>
          <w:tcPr>
            <w:tcW w:w="4000" w:type="dxa"/>
            <w:gridSpan w:val="1"/>
            <w:noWrap/>
          </w:tcPr>
          <w:p>
            <w:pPr/>
            <w:r>
              <w:rPr/>
              <w:t xml:space="preserve">4,077.27 hectares of landscape (108.5% of MTR target) are under improved management practices through the implementation of activities under Outcome 1.2. This has been achieved through the establishment of 17 Village Land Forest Reserves (VLFRs) covering 4,077.27 hectares across four villages adjacent to Uzigua Nature Forest Reserve (NFR). The VLFRs were established in Kwamduma (2,362.6 ha), Kwamsanja (376.7 ha), Kwaruhombo (1,102.1 ha), and Kimange (235.87 ha), strengthening community-based forest management and contributing to the sustainable conservation of forest resources. In the previous report, 12 VLFRs were reported, of which 8 forests were from Kwamduma village registered as 3 forests (6 forests were registered under one VLFR). During the reporting period, Kwamduma village made a decision to register each of the 6 forests as a separate VLFR for easy management arrangement, contributing to increasing the number to 17 VLFRs.</w:t>
            </w:r>
          </w:p>
          <w:p>
            <w:pPr/>
            <w:r>
              <w:rPr/>
              <w:t xml:space="preserve"/>
            </w:r>
          </w:p>
          <w:p>
            <w:pPr/>
            <w:r>
              <w:rPr/>
              <w:t xml:space="preserve">During the reporting period, a total of 43 signboards were installed across the 17 VLFRs in the four villages adjacent to Uzigua NFR. The signboards clearly demarcate forest boundaries, increase community awareness of conservation areas, and promote compliance with forest management regulations.</w:t>
            </w:r>
          </w:p>
          <w:p>
            <w:pPr/>
            <w:r>
              <w:rPr/>
              <w:t xml:space="preserve"/>
            </w:r>
          </w:p>
          <w:p>
            <w:pPr/>
            <w:r>
              <w:rPr/>
              <w:t xml:space="preserve">In addition, the project strengthened community capacity for sustainable landscape management through the establishment of Farmer Field Schools (FFS) and demonstration plots promoting Climate-Smart Agriculture (CSA) practices. Through these initiatives, 180 community members (96 males and 84 females) from six villages received practical training on sustainable land management and climate-resilient agricultural practices, contributing to improved agricultural productivity and environmental sustainability.</w:t>
            </w:r>
          </w:p>
          <w:p>
            <w:pPr/>
            <w:r>
              <w:rPr/>
              <w:t xml:space="preserve">The FFS demonstration plots showcase improved cassava variety that is more resilient to climate change impacts and have higher market potential. The adoption of these varieties is expected to enhance food security, increase household incomes, and improve the livelihoods of participating communities while supporting sustainable management of the surrounding landscape.</w:t>
            </w:r>
          </w:p>
          <w:p>
            <w:pPr/>
            <w:r>
              <w:rPr/>
              <w:t xml:space="preserve">Overall, the measures taken have improved community awareness on conservation, which has reduced illegal activities into the NFRs, for example at project start, Uzigua NFR registered 125 incidences of illegal timber harvest annually, which have reduced to 75 incidences (60%). Similarly, poaching for charcoal has decreased from a baseline of 130 annually to 70 incidences (53.8%) in year 2025/2026.</w:t>
            </w:r>
          </w:p>
          <w:p>
            <w:pPr/>
            <w:r>
              <w:rPr/>
              <w:t xml:space="preserve"/>
            </w:r>
          </w:p>
          <w:p>
            <w:pPr/>
            <w:r>
              <w:rPr/>
              <w:t xml:space="preserve">Evidence: Objective_indicator 3_Establishment of VLFRs Report-2025; Objective_indicator 3_Installation of signboard in VLFRs-2026</w:t>
            </w:r>
          </w:p>
          <w:p>
            <w:pPr/>
            <w:r>
              <w:rPr/>
              <w:t xml:space="preserve"/>
            </w:r>
          </w:p>
        </w:tc>
      </w:tr>
      <w:tr>
        <w:trPr/>
        <w:tc>
          <w:tcPr>
            <w:tcW w:w="4000" w:type="dxa"/>
            <w:gridSpan w:val="1"/>
            <w:noWrap/>
          </w:tcPr>
          <w:p>
            <w:pPr/>
            <w:r>
              <w:rPr/>
              <w:t xml:space="preserve">Mandatory Indicator 4:</w:t>
            </w:r>
          </w:p>
          <w:p>
            <w:pPr/>
            <w:r>
              <w:rPr/>
              <w:t xml:space="preserve">Greenhouse Gas Emissions Mitigated, in metric tons of CO2eq.</w:t>
            </w:r>
          </w:p>
          <w:p>
            <w:pPr/>
            <w:r>
              <w:rPr/>
              <w:t xml:space="preserve">(GEF Core Indicator 6)</w:t>
            </w:r>
          </w:p>
          <w:p>
            <w:pPr/>
            <w:r>
              <w:rPr/>
              <w:t xml:space="preserve"/>
            </w:r>
          </w:p>
        </w:tc>
        <w:tc>
          <w:tcPr>
            <w:tcW w:w="2000" w:type="dxa"/>
            <w:gridSpan w:val="1"/>
            <w:noWrap/>
          </w:tcPr>
          <w:p>
            <w:pPr/>
            <w:r>
              <w:rPr/>
              <w:t xml:space="preserve">7,330,073 t</w:t>
            </w:r>
          </w:p>
        </w:tc>
        <w:tc>
          <w:tcPr>
            <w:tcW w:w="2000" w:type="dxa"/>
            <w:gridSpan w:val="1"/>
            <w:noWrap/>
          </w:tcPr>
          <w:p>
            <w:pPr/>
            <w:r>
              <w:rPr/>
              <w:t xml:space="preserve">7,862,381 t</w:t>
            </w:r>
          </w:p>
        </w:tc>
        <w:tc>
          <w:tcPr>
            <w:tcW w:w="2000" w:type="dxa"/>
            <w:gridSpan w:val="1"/>
            <w:noWrap/>
          </w:tcPr>
          <w:p>
            <w:pPr/>
            <w:r>
              <w:rPr/>
              <w:t xml:space="preserve">8,394,689 t</w:t>
            </w:r>
          </w:p>
        </w:tc>
        <w:tc>
          <w:tcPr>
            <w:tcW w:w="4000" w:type="dxa"/>
            <w:gridSpan w:val="1"/>
            <w:noWrap/>
          </w:tcPr>
          <w:p>
            <w:pPr/>
            <w:r>
              <w:rPr/>
              <w:t xml:space="preserve">Too early to report on greenhouse gas emissions, which is expected at MTR. However, progress was made under Outcome 1.1 and 1.2, which are expected to contribute to the mitigation of greenhouse gas emissions, although a formal assessment was not conducted.</w:t>
            </w:r>
          </w:p>
          <w:p>
            <w:pPr/>
            <w:r>
              <w:rPr/>
              <w:t xml:space="preserve"/>
            </w:r>
          </w:p>
          <w:p>
            <w:pPr/>
            <w:r>
              <w:rPr/>
              <w:t xml:space="preserve">Evidence: Outcome 1.1_indicator 7_Climate Change Risk Assessment Report-2024, Outcome 1.2_indicator 9_training on establishment of VLFRs-2025 and Outcome 1.2_indicator 8_Climate Change Mitigation and Adaptation Strategy-2024</w:t>
            </w:r>
          </w:p>
        </w:tc>
        <w:tc>
          <w:tcPr>
            <w:tcW w:w="4000" w:type="dxa"/>
            <w:gridSpan w:val="1"/>
            <w:noWrap/>
          </w:tcPr>
          <w:p>
            <w:pPr/>
            <w:r>
              <w:rPr/>
              <w:t xml:space="preserve">A cumulative total of 8,008,713 (101.9% of MTR target) tCO₂e of carbon emissions reduction has been achieved through interventions implemented under Outcomes 1.1 and 1.2, making a substantial contribution to climate change mitigation and the reduction of greenhouse gas emissions.</w:t>
            </w:r>
          </w:p>
          <w:p>
            <w:pPr/>
            <w:r>
              <w:rPr/>
              <w:t xml:space="preserve">This achievement was verified through carbon stock measurement and assessment processes conducted between 2023 and 2026, which quantified the amount of carbon stored within the landscape ecosystems. The results demonstrate the significant role of improved forest conservation and sustainable landscape management practices in enhancing carbon sequestration and supporting long-term ecosystem resilience.</w:t>
            </w:r>
          </w:p>
          <w:p>
            <w:pPr/>
            <w:r>
              <w:rPr/>
              <w:t xml:space="preserve">Measurement and assessment process completed in June 2026, shows an estimated increase of 678,640 tCO₂e from baseline stock, further strengthening the project's contribution to national and global climate mitigation objectives while delivering co-benefits for biodiversity conservation and sustainable natural resource management.</w:t>
            </w:r>
          </w:p>
          <w:p>
            <w:pPr/>
            <w:r>
              <w:rPr/>
              <w:t xml:space="preserve">Carbon sequestration was quantified using IPCC Tier 2 and 3 methods under the 2006 IPCC Guidelines for National Greenhouse Gas Inventories and the 2019 Refinement, consistent with UNFCCC transparency requirements. Tier 2 recognizes the use of country-specific or region-specific data, such as emission factors derived from national forest inventories or locally established sample plots, rather than relying on global default values. Tier 3 goes further by applying detailed, site-specific measurements and models, including permanent sample plots, growth and biomass models, or remote sensing systems, to provide the highest level of accuracy in carbon accounting. Since this assessment is derived from data taken from an adjacent reserve (Uzigua NFR) rather than national-level averages, it represents a transition between Tier 2 and Tier 3 more robust than Tier 1 defaults, but not yet a full Tier 3 model, as it applies site-specific data by proxy to the newly established VLFRs.</w:t>
            </w:r>
          </w:p>
          <w:p>
            <w:pPr/>
            <w:r>
              <w:rPr/>
              <w:t xml:space="preserve"/>
            </w:r>
          </w:p>
          <w:p>
            <w:pPr/>
            <w:r>
              <w:rPr/>
              <w:t xml:space="preserve">Evidence: Objective_indicator 4_GHG_estimation-2026</w:t>
            </w:r>
          </w:p>
          <w:p>
            <w:pPr/>
            <w:r>
              <w:rPr/>
              <w:t xml:space="preserve"/>
            </w:r>
          </w:p>
        </w:tc>
      </w:tr>
      <w:tr>
        <w:trPr/>
        <w:tc>
          <w:tcPr>
            <w:tcW w:w="4000" w:type="dxa"/>
            <w:gridSpan w:val="1"/>
            <w:noWrap/>
          </w:tcPr>
          <w:p>
            <w:pPr/>
            <w:r>
              <w:rPr/>
              <w:t xml:space="preserve">Mandatory indicator 5:</w:t>
            </w:r>
          </w:p>
          <w:p>
            <w:pPr/>
            <w:r>
              <w:rPr/>
              <w:t xml:space="preserve">Improvement (as a % of the baseline) in forest health indices (tree mortality, tree growth, forest crown cover, invasive alien plant cover) in permanent plots (25m x 25m)</w:t>
            </w:r>
          </w:p>
          <w:p>
            <w:pPr/>
            <w:r>
              <w:rPr/>
              <w:t xml:space="preserve"/>
            </w:r>
          </w:p>
        </w:tc>
        <w:tc>
          <w:tcPr>
            <w:tcW w:w="2000" w:type="dxa"/>
            <w:gridSpan w:val="1"/>
            <w:noWrap/>
          </w:tcPr>
          <w:p>
            <w:pPr/>
            <w:r>
              <w:rPr/>
              <w:t xml:space="preserve">Mt Hanang = 0</w:t>
            </w:r>
          </w:p>
          <w:p>
            <w:pPr/>
            <w:r>
              <w:rPr/>
              <w:t xml:space="preserve">Essimingor = 0</w:t>
            </w:r>
          </w:p>
          <w:p>
            <w:pPr/>
            <w:r>
              <w:rPr/>
              <w:t xml:space="preserve">Hassama Hills = 0</w:t>
            </w:r>
          </w:p>
          <w:p>
            <w:pPr/>
            <w:r>
              <w:rPr/>
              <w:t xml:space="preserve">Mwambesi = 0</w:t>
            </w:r>
          </w:p>
          <w:p>
            <w:pPr/>
            <w:r>
              <w:rPr/>
              <w:t xml:space="preserve">Nou = 0</w:t>
            </w:r>
          </w:p>
          <w:p>
            <w:pPr/>
            <w:r>
              <w:rPr/>
              <w:t xml:space="preserve">Pindiro = 0</w:t>
            </w:r>
          </w:p>
          <w:p>
            <w:pPr/>
            <w:r>
              <w:rPr/>
              <w:t xml:space="preserve">Pugu-Kazimzumwi = 0</w:t>
            </w:r>
          </w:p>
          <w:p>
            <w:pPr/>
            <w:r>
              <w:rPr/>
              <w:t xml:space="preserve">Rondo = 0</w:t>
            </w:r>
          </w:p>
          <w:p>
            <w:pPr/>
            <w:r>
              <w:rPr/>
              <w:t xml:space="preserve">Uzigua = 0</w:t>
            </w:r>
          </w:p>
          <w:p>
            <w:pPr/>
            <w:r>
              <w:rPr/>
              <w:t xml:space="preserve"/>
            </w:r>
          </w:p>
        </w:tc>
        <w:tc>
          <w:tcPr>
            <w:tcW w:w="2000" w:type="dxa"/>
            <w:gridSpan w:val="1"/>
            <w:noWrap/>
          </w:tcPr>
          <w:p>
            <w:pPr/>
            <w:r>
              <w:rPr/>
              <w:t xml:space="preserve">Mt Hanang = &gt;10%</w:t>
            </w:r>
          </w:p>
          <w:p>
            <w:pPr/>
            <w:r>
              <w:rPr/>
              <w:t xml:space="preserve">Essimingor = &gt;10%</w:t>
            </w:r>
          </w:p>
          <w:p>
            <w:pPr/>
            <w:r>
              <w:rPr/>
              <w:t xml:space="preserve">Hassama Hills = &gt;5%</w:t>
            </w:r>
          </w:p>
          <w:p>
            <w:pPr/>
            <w:r>
              <w:rPr/>
              <w:t xml:space="preserve">Mwambesi = &gt;10%</w:t>
            </w:r>
          </w:p>
          <w:p>
            <w:pPr/>
            <w:r>
              <w:rPr/>
              <w:t xml:space="preserve">Nou = &gt;15%</w:t>
            </w:r>
          </w:p>
          <w:p>
            <w:pPr/>
            <w:r>
              <w:rPr/>
              <w:t xml:space="preserve">Pindiro = &gt;15%</w:t>
            </w:r>
          </w:p>
          <w:p>
            <w:pPr/>
            <w:r>
              <w:rPr/>
              <w:t xml:space="preserve">Pugu-Kazimzumwi = &gt;20%</w:t>
            </w:r>
          </w:p>
          <w:p>
            <w:pPr/>
            <w:r>
              <w:rPr/>
              <w:t xml:space="preserve">Rondo = &gt;15%</w:t>
            </w:r>
          </w:p>
          <w:p>
            <w:pPr/>
            <w:r>
              <w:rPr/>
              <w:t xml:space="preserve">Uzigua = &gt;5%</w:t>
            </w:r>
          </w:p>
          <w:p>
            <w:pPr/>
            <w:r>
              <w:rPr/>
              <w:t xml:space="preserve"/>
            </w:r>
          </w:p>
        </w:tc>
        <w:tc>
          <w:tcPr>
            <w:tcW w:w="2000" w:type="dxa"/>
            <w:gridSpan w:val="1"/>
            <w:noWrap/>
          </w:tcPr>
          <w:p>
            <w:pPr/>
            <w:r>
              <w:rPr/>
              <w:t xml:space="preserve">Mt Hanang = &gt;15%</w:t>
            </w:r>
          </w:p>
          <w:p>
            <w:pPr/>
            <w:r>
              <w:rPr/>
              <w:t xml:space="preserve">Essimingor = &gt;15%</w:t>
            </w:r>
          </w:p>
          <w:p>
            <w:pPr/>
            <w:r>
              <w:rPr/>
              <w:t xml:space="preserve">Hassama Hills = &gt;10%</w:t>
            </w:r>
          </w:p>
          <w:p>
            <w:pPr/>
            <w:r>
              <w:rPr/>
              <w:t xml:space="preserve">Mwambesi = &gt;15%</w:t>
            </w:r>
          </w:p>
          <w:p>
            <w:pPr/>
            <w:r>
              <w:rPr/>
              <w:t xml:space="preserve">Nou = &gt;20%</w:t>
            </w:r>
          </w:p>
          <w:p>
            <w:pPr/>
            <w:r>
              <w:rPr/>
              <w:t xml:space="preserve">Pindiro = &gt;20%</w:t>
            </w:r>
          </w:p>
          <w:p>
            <w:pPr/>
            <w:r>
              <w:rPr/>
              <w:t xml:space="preserve">Pugu-Kazimzumwi = &gt;30%</w:t>
            </w:r>
          </w:p>
          <w:p>
            <w:pPr/>
            <w:r>
              <w:rPr/>
              <w:t xml:space="preserve">Rondo = &gt;20%</w:t>
            </w:r>
          </w:p>
          <w:p>
            <w:pPr/>
            <w:r>
              <w:rPr/>
              <w:t xml:space="preserve">Uzigua = &gt;10%</w:t>
            </w:r>
          </w:p>
          <w:p>
            <w:pPr/>
            <w:r>
              <w:rPr/>
              <w:t xml:space="preserve"/>
            </w:r>
          </w:p>
        </w:tc>
        <w:tc>
          <w:tcPr>
            <w:tcW w:w="4000" w:type="dxa"/>
            <w:gridSpan w:val="1"/>
            <w:noWrap/>
          </w:tcPr>
          <w:p>
            <w:pPr/>
            <w:r>
              <w:rPr/>
              <w:t xml:space="preserve">The project has contributed to improving forest health in four (4) forest reserves as per Outcome 1.1 through the following activities: a biodiversity survey focusing on Invasive Alien Species (IAS) was conducted in Pugu-Kazimzumbwi Nature Forest Reserve; and an ecological and tourism assessment is ongoing in Essmingor, Hassama Hills, and Nou NFRs.</w:t>
            </w:r>
          </w:p>
          <w:p>
            <w:pPr/>
            <w:r>
              <w:rPr/>
              <w:t xml:space="preserve"/>
            </w:r>
          </w:p>
          <w:p>
            <w:pPr/>
            <w:r>
              <w:rPr/>
              <w:t xml:space="preserve">Evidence: Objective_indicator 5_Biodiversity Survey Report-2024.</w:t>
            </w:r>
          </w:p>
        </w:tc>
        <w:tc>
          <w:tcPr>
            <w:tcW w:w="4000" w:type="dxa"/>
            <w:gridSpan w:val="1"/>
            <w:noWrap/>
          </w:tcPr>
          <w:p>
            <w:pPr/>
            <w:r>
              <w:rPr/>
              <w:t xml:space="preserve">During the reporting period, forest health indices were measured. The forest Health indices show varying forest conditions across the monitored reserves. Mount Hanang NFR recorded 522 stems/ha, 57% crown cover, 170.51 m³/ha of standing volume, 137.31 t/ha of biomass, and 4% mortality. Essimingor NFR recorded 1,229 stems/ha, 51% crown cover, 253.82 m³/ha of volume, 196.55 t/ha of biomass, and 3% mortality. Hassama NFR showed relatively high forest productivity, with 808 stems/ha, 70% crown cover, 429.40 m³/ha of standing volume, 351.09 t/ha of biomass, and 6% mortality. Mwambesi NFR recorded 711 stems/ha, 57% crown cover, 102.18 m³/ha of volume, 102.53 t/ha of biomass, and 5% mortality.</w:t>
            </w:r>
          </w:p>
          <w:p>
            <w:pPr/>
            <w:r>
              <w:rPr/>
              <w:t xml:space="preserve">Similarly, Nou NFR demonstrated strong carbon storage potential, with 335.22 m³/ha of standing volume and 271.91 t/ha of biomass, although crown cover remained relatively low at 15%, with a mortality rate of 5%. Pindiro NFR recorded 612 stems/ha, 50% crown cover, 87.27 m³/ha of volume, 85.93 t/ha of biomass, and 8% mortality. Pugu–Kazimzumbwi NFR recorded 585 stems/ha, 63% crown cover, 38.14 m³/ha of volume, 27.81 t/ha of biomass, and the lowest mortality rate among most reserves at 2%. Rondo NFR recorded 718 stems/ha, 52% crown cover, 143.58 m³/ha of volume, 141.87 t/ha of biomass, and 6% mortality, while Uzigua NFR recorded 1,036 stems/ha, 12% crown cover, 127.06 m³/ha of volume, 96.50 t/ha of biomass, and the lowest mortality rate at 1%.</w:t>
            </w:r>
          </w:p>
          <w:p>
            <w:pPr/>
            <w:r>
              <w:rPr/>
              <w:t xml:space="preserve">The methodology used to determine the percentage for each of the four forest health indices for the NFRs involved the following:</w:t>
            </w:r>
          </w:p>
          <w:p>
            <w:pPr/>
            <w:r>
              <w:rPr/>
              <w:t xml:space="preserve">i) Tree mortality: Tracking the changes in the number of trees in the permanent sample plots, ii) Growth: Measure diameter at breast height (DBH) and tree height annually, tracking productivity and vitality, iii) Invasive species cover: Field identification of invasive plants, detecting threats to native biodiversity, iv) Canopy cover: Spherical Densitometer to indicate the shading of forest floor by tree crowns reflecting the forest conditions. The measurement process has established a baseline situation indicated above, percent change will therefore be computed in the next assessment period.</w:t>
            </w:r>
          </w:p>
          <w:p>
            <w:pPr/>
            <w:r>
              <w:rPr/>
              <w:t xml:space="preserve">The project strengthened forest ecosystem monitoring and management through the establishment of 142 Permanent Sample Plots (PSPs) across nine Nature Forest Reserves. Each PSP measured 25 × 25 metres and was arranged in paired clusters to provide a scientific framework for tracking changes in key forest health indicators, including tree density, crown cover, standing volume, biomass, mortality rates, and the presence of invasive species.</w:t>
            </w:r>
          </w:p>
          <w:p>
            <w:pPr/>
            <w:r>
              <w:rPr/>
              <w:t xml:space="preserve">The PSP network provides a robust long-term monitoring system for assessing forest conditions and measuring the impacts of project interventions. The data generated contribute to improved forest management planning, carbon stock assessment, biodiversity conservation, and evidence-based decision-making for sustainable forest management.</w:t>
            </w:r>
          </w:p>
          <w:p>
            <w:pPr/>
            <w:r>
              <w:rPr/>
              <w:t xml:space="preserve"/>
            </w:r>
          </w:p>
          <w:p>
            <w:pPr/>
            <w:r>
              <w:rPr/>
              <w:t xml:space="preserve">Evidence: Objective_indicator 5_PSPs Activity report-2026 and Objective_indicator 5_PSP Assessment report-2026.</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PROJECT OUTCOME 1.1:</w:t>
            </w:r>
          </w:p>
          <w:p>
            <w:pPr/>
            <w:r>
              <w:rPr>
                <w:b w:val="1"/>
                <w:bCs w:val="1"/>
              </w:rPr>
              <w:t xml:space="preserve">The improved planning and operational management capacity in NFRs enables a more proactive response to climate change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1.1, Indicator 6:</w:t>
            </w:r>
          </w:p>
          <w:p>
            <w:pPr/>
            <w:r>
              <w:rPr/>
              <w:t xml:space="preserve">Number of project-supported NFRs with a basic planning and management functionality in place</w:t>
            </w:r>
          </w:p>
          <w:p>
            <w:pPr/>
            <w:r>
              <w:rPr/>
              <w:t xml:space="preserve"/>
            </w:r>
          </w:p>
        </w:tc>
        <w:tc>
          <w:tcPr>
            <w:tcW w:w="2000" w:type="dxa"/>
            <w:gridSpan w:val="1"/>
            <w:noWrap/>
          </w:tcPr>
          <w:p>
            <w:pPr/>
            <w:r>
              <w:rPr/>
              <w:t xml:space="preserve">Demarcated reserve boundaries = 0</w:t>
            </w:r>
          </w:p>
          <w:p>
            <w:pPr/>
            <w:r>
              <w:rPr/>
              <w:t xml:space="preserve">Approved management plan under implementation = 0</w:t>
            </w:r>
          </w:p>
          <w:p>
            <w:pPr/>
            <w:r>
              <w:rPr/>
              <w:t xml:space="preserve">Adequate full-time staff complement = 0</w:t>
            </w:r>
          </w:p>
          <w:p>
            <w:pPr/>
            <w:r>
              <w:rPr/>
              <w:t xml:space="preserve">Fully equipped and trained forest rangers = 0</w:t>
            </w:r>
          </w:p>
          <w:p>
            <w:pPr/>
            <w:r>
              <w:rPr/>
              <w:t xml:space="preserve">Functional communications, infrastructure and services = 0</w:t>
            </w:r>
          </w:p>
          <w:p>
            <w:pPr/>
            <w:r>
              <w:rPr/>
              <w:t xml:space="preserve">JMA with adjacent villages under implementation = 0</w:t>
            </w:r>
          </w:p>
          <w:p>
            <w:pPr/>
            <w:r>
              <w:rPr/>
              <w:t xml:space="preserve">Secure, reliable sources of additional funding = 0</w:t>
            </w:r>
          </w:p>
          <w:p>
            <w:pPr/>
            <w:r>
              <w:rPr/>
              <w:t xml:space="preserve"/>
            </w:r>
          </w:p>
        </w:tc>
        <w:tc>
          <w:tcPr>
            <w:tcW w:w="2000" w:type="dxa"/>
            <w:gridSpan w:val="1"/>
            <w:noWrap/>
          </w:tcPr>
          <w:p>
            <w:pPr/>
            <w:r>
              <w:rPr/>
              <w:t xml:space="preserve">Demarcated reserve boundaries = 7</w:t>
            </w:r>
          </w:p>
          <w:p>
            <w:pPr/>
            <w:r>
              <w:rPr/>
              <w:t xml:space="preserve">Approved management plan under implementation = 7</w:t>
            </w:r>
          </w:p>
          <w:p>
            <w:pPr/>
            <w:r>
              <w:rPr/>
              <w:t xml:space="preserve">Adequate full-time staff complement = 5</w:t>
            </w:r>
          </w:p>
          <w:p>
            <w:pPr/>
            <w:r>
              <w:rPr/>
              <w:t xml:space="preserve">Fully equipped and trained forest rangers = 5</w:t>
            </w:r>
          </w:p>
          <w:p>
            <w:pPr/>
            <w:r>
              <w:rPr/>
              <w:t xml:space="preserve">Functional communications, infrastructure and services = 4</w:t>
            </w:r>
          </w:p>
          <w:p>
            <w:pPr/>
            <w:r>
              <w:rPr/>
              <w:t xml:space="preserve">JMA with adjacent villages under implementation = 5</w:t>
            </w:r>
          </w:p>
          <w:p>
            <w:pPr/>
            <w:r>
              <w:rPr/>
              <w:t xml:space="preserve">Secure, reliable sources of additional funding = 2</w:t>
            </w:r>
          </w:p>
          <w:p>
            <w:pPr/>
            <w:r>
              <w:rPr/>
              <w:t xml:space="preserve"/>
            </w:r>
          </w:p>
        </w:tc>
        <w:tc>
          <w:tcPr>
            <w:tcW w:w="2000" w:type="dxa"/>
            <w:gridSpan w:val="1"/>
            <w:noWrap/>
          </w:tcPr>
          <w:p>
            <w:pPr/>
            <w:r>
              <w:rPr/>
              <w:t xml:space="preserve">Demarcated reserve boundaries = 9</w:t>
            </w:r>
          </w:p>
          <w:p>
            <w:pPr/>
            <w:r>
              <w:rPr/>
              <w:t xml:space="preserve">Approved management plan under implementation = 9</w:t>
            </w:r>
          </w:p>
          <w:p>
            <w:pPr/>
            <w:r>
              <w:rPr/>
              <w:t xml:space="preserve">Adequate full-time staff complement = 7</w:t>
            </w:r>
          </w:p>
          <w:p>
            <w:pPr/>
            <w:r>
              <w:rPr/>
              <w:t xml:space="preserve">Fully equipped and trained forest rangers = 9</w:t>
            </w:r>
          </w:p>
          <w:p>
            <w:pPr/>
            <w:r>
              <w:rPr/>
              <w:t xml:space="preserve">Functional communications, infrastructure and services = 7</w:t>
            </w:r>
          </w:p>
          <w:p>
            <w:pPr/>
            <w:r>
              <w:rPr/>
              <w:t xml:space="preserve">JMA with adjacent villages under implementation = 9</w:t>
            </w:r>
          </w:p>
          <w:p>
            <w:pPr/>
            <w:r>
              <w:rPr/>
              <w:t xml:space="preserve">Secure, reliable sources of additional funding = 4</w:t>
            </w:r>
          </w:p>
          <w:p>
            <w:pPr/>
            <w:r>
              <w:rPr/>
              <w:t xml:space="preserve"/>
            </w:r>
          </w:p>
        </w:tc>
        <w:tc>
          <w:tcPr>
            <w:tcW w:w="4000" w:type="dxa"/>
            <w:gridSpan w:val="1"/>
            <w:noWrap/>
          </w:tcPr>
          <w:p>
            <w:pPr/>
            <w:r>
              <w:rPr/>
              <w:t xml:space="preserve">Four (4) NFRs have been supported by the project through the following activities: Boundary demarcation of 158.7 kilometers of boundaries in Rondo NFR (51.6km), Mount Hanang NFR (26.6 km and 4 signboards), Essimingor NFR (10 beacons and 2 signboards), Pugu NFR (50 km and 2 signboards), and Vikindu Range (20.5 km and 7 signboards).</w:t>
            </w:r>
          </w:p>
          <w:p>
            <w:pPr/>
            <w:r>
              <w:rPr/>
              <w:t xml:space="preserve"/>
            </w:r>
          </w:p>
          <w:p>
            <w:pPr/>
            <w:r>
              <w:rPr/>
              <w:t xml:space="preserve">Evidence: Outcome 1.1_indicator 6_boundary demarcation for Essimingor,  Mt.Hanang, Pugu-Kazimzumbwi,  Rondo and Vikindu Range NFR-2024.</w:t>
            </w:r>
          </w:p>
        </w:tc>
        <w:tc>
          <w:tcPr>
            <w:tcW w:w="4000" w:type="dxa"/>
            <w:gridSpan w:val="1"/>
            <w:noWrap/>
          </w:tcPr>
          <w:p>
            <w:pPr/>
            <w:r>
              <w:rPr/>
              <w:t xml:space="preserve">5 NFRs (71.4% of MTR target) have maintained boundary demarcation covering a total of 158.7 kilometers. This includes Rondo NFR (51.6km), Mount Hanang NFR (26.6 km and 4 signboards), Essimingor NFR (10 beacons, 2 signboards and 10 km), Pugu NFR (50 km and 2 signboards), and Vikindu NFR (20.5 km and 7 signboards).</w:t>
            </w:r>
          </w:p>
          <w:p>
            <w:pPr/>
            <w:r>
              <w:rPr/>
              <w:t xml:space="preserve"/>
            </w:r>
          </w:p>
          <w:p>
            <w:pPr/>
            <w:r>
              <w:rPr/>
              <w:t xml:space="preserve">7 NFRs i.e Mt. Hanang, Essimingor, Hassama, Mwambesi, Nou, Pugu Kazimzumbwi, and Rondo have approved management plans. The management plans have been useful for the management of the nature reserves to keep focusing on effectiveness, resource mobilization, development and implementation of investment plans as reported under indicator 10.</w:t>
            </w:r>
          </w:p>
          <w:p>
            <w:pPr/>
            <w:r>
              <w:rPr/>
              <w:t xml:space="preserve"/>
            </w:r>
          </w:p>
          <w:p>
            <w:pPr/>
            <w:r>
              <w:rPr/>
              <w:t xml:space="preserve">All 10 NFRs have adequate full-time staff complementing conservation initiatives in management of forest reserves. with the necessary training and equipment. A total of 33 full-time staff (M 23 and F 10) are allocated as follows: Mt. Hanang (3), Essimingor (1), Hassama (3), Mwambesi (5), Nou (4), Pugu Kazimzumbwi (5), Rondo (4), Vikindu (4), Uzigua (3) and Pindiro (1).</w:t>
            </w:r>
          </w:p>
          <w:p>
            <w:pPr/>
            <w:r>
              <w:rPr/>
              <w:t xml:space="preserve"/>
            </w:r>
          </w:p>
          <w:p>
            <w:pPr/>
            <w:r>
              <w:rPr/>
              <w:t xml:space="preserve">All 10 NFRs have trained and equipped forest rangers, who      are equipped with two (2) vehicles and 20 motorcycles, and trained on climate resilience, gender mainstreaming, environmental safeguarding, and community engagement. These measures strengthen biodiversity protection by expanding surveillance coverage, reducing threats such as illegal logging, poaching, and uncontrolled wildfires, and enhancing collaboration with local communities to safeguard critical habitats and species.</w:t>
            </w:r>
          </w:p>
          <w:p>
            <w:pPr/>
            <w:r>
              <w:rPr/>
              <w:t xml:space="preserve">During the reporting period, 10 full-time staff (M 8 and F 2) were trained on gender mainstreaming, environmental safeguarding, stakeholder engagement and grievance redress      mechanism.</w:t>
            </w:r>
          </w:p>
          <w:p>
            <w:pPr/>
            <w:r>
              <w:rPr/>
              <w:t xml:space="preserve"/>
            </w:r>
          </w:p>
          <w:p>
            <w:pPr/>
            <w:r>
              <w:rPr/>
              <w:t xml:space="preserve">7 NFRs (100% of EOP target) established functional infrastructures as follows: Pindiro (Entry Gate and tourism office), Pugu kazimzumbwi (Tourist resting banda), Vikindu NFR (Entry Gate and tourism office), Uzigua (Ranger post), Mwambesi (Entry Gate and tourism office), Nou (ranger office), Mt. Hanang (ranger post and office), Hassama (ranger office).</w:t>
            </w:r>
          </w:p>
          <w:p>
            <w:pPr/>
            <w:r>
              <w:rPr/>
              <w:t xml:space="preserve">During the reporting period, two (2) NFRs developed infrastructure as follows: Uzigua (Ranger post), and Mt. Hanang (ranger post and office). At Mid-term, the end of project target has been reached, contributed by higher commitment of government to training and equip staff to manage forests. In the next reporting period, the project will focus on sustaining the results achieved and on improving efficiency through capacity development on use of appropriate technology.</w:t>
            </w:r>
          </w:p>
          <w:p>
            <w:pPr/>
            <w:r>
              <w:rPr/>
              <w:t xml:space="preserve"/>
            </w:r>
          </w:p>
          <w:p>
            <w:pPr/>
            <w:r>
              <w:rPr/>
              <w:t xml:space="preserve">3 NFRs (75% of the MTR target) have Joint Management Agreements (JMAs) with 18 adjacent villages, these are Rondo (6), Mt. Hanang (11) and Essimingor (1) NFRs, which are currently under implementation.  The JMAs have increased community engagement for collaborative      management for forest biodiversity and access to resources as reported under indicator 1. The achievements were realized during this reporting period.</w:t>
            </w:r>
          </w:p>
          <w:p>
            <w:pPr/>
            <w:r>
              <w:rPr/>
              <w:t xml:space="preserve"/>
            </w:r>
          </w:p>
          <w:p>
            <w:pPr/>
            <w:r>
              <w:rPr/>
              <w:t xml:space="preserve">On JMAs, the community processes were inclusive and time demanding, requiring thorough engagement with target communities and their local government authorities. The procedure to develop JMAs was somehow affected by political processes which Tanzania went through in 2024 (local government elections and 2025 general election). Further, in the multi-year workplan JMAs were planned for implementation from 2nd year onward, these were the contributing factors for the project not achieving MTR target of 5 JMAs. The experiences gained through development of the 3 JMAs will be used to increase cumulative achievement in the next reporting year and in attaining the EOP target.</w:t>
            </w:r>
          </w:p>
          <w:p>
            <w:pPr/>
            <w:r>
              <w:rPr/>
              <w:t xml:space="preserve"/>
            </w:r>
          </w:p>
          <w:p>
            <w:pPr/>
            <w:r>
              <w:rPr/>
              <w:t xml:space="preserve">3 NFRs (exceeding MTR target of 2 and 75% of the EOP target) namely Essimingor, Pugu Kazimzumbwi and Mwambesi have successfully secured reliable sources of additional funding through concession fees on investments in ecotourism facilities amounting to 89,348 USD (Essimingor- 71,739 USD, Mwambesi - 11,957 USD and Pugu-Kazimzumbwi - 5,652 USD) from Uhusiano Company and an Individual enterprises as reported under indicator 11. The achievements were realized during this reporting period. This milestone complements ranger capacity‑building efforts and ensures long‑term financing for biodiversity protection</w:t>
            </w:r>
          </w:p>
          <w:p>
            <w:pPr/>
            <w:r>
              <w:rPr/>
              <w:t xml:space="preserve"/>
            </w:r>
          </w:p>
          <w:p>
            <w:pPr/>
            <w:r>
              <w:rPr/>
              <w:t xml:space="preserve">Evidence: Outcome 1.1_indicator 6_boundary demarcation for Essimingor, Mt.Hanang, Pugu-Kazimzumbwi, Rondo and Vikindu Range NFR-2024; Outcome 1.1_indicator 6_Capacity building on ESS-2026; Outcome 1.1_indicator 6_Report on JMA-2026; Outcome 2.2_indicator 11_user fee income report-2026. and Outcome 1.1_indicator 6_report on constructed buildings-2026.</w:t>
            </w:r>
          </w:p>
          <w:p>
            <w:pPr/>
            <w:r>
              <w:rPr/>
              <w:t xml:space="preserve"/>
            </w:r>
          </w:p>
        </w:tc>
      </w:tr>
      <w:tr>
        <w:trPr/>
        <w:tc>
          <w:tcPr>
            <w:tcW w:w="4000" w:type="dxa"/>
            <w:gridSpan w:val="1"/>
            <w:noWrap/>
          </w:tcPr>
          <w:p>
            <w:pPr/>
            <w:r>
              <w:rPr/>
              <w:t xml:space="preserve">Outcome 1.1, Indicator 7:</w:t>
            </w:r>
          </w:p>
          <w:p>
            <w:pPr/>
            <w:r>
              <w:rPr/>
              <w:t xml:space="preserve">Number of operational staff that are adequately trained, equipped and deployed in NFRs to manage and reduce the climate-induced threats of encroachment, fire, invasive plants and habitat degradation</w:t>
            </w:r>
          </w:p>
          <w:p>
            <w:pPr/>
            <w:r>
              <w:rPr/>
              <w:t xml:space="preserve"/>
            </w:r>
          </w:p>
        </w:tc>
        <w:tc>
          <w:tcPr>
            <w:tcW w:w="2000" w:type="dxa"/>
            <w:gridSpan w:val="1"/>
            <w:noWrap/>
          </w:tcPr>
          <w:p>
            <w:pPr/>
            <w:r>
              <w:rPr/>
              <w:t xml:space="preserve">Mt Hanang = 1</w:t>
            </w:r>
          </w:p>
          <w:p>
            <w:pPr/>
            <w:r>
              <w:rPr/>
              <w:t xml:space="preserve">Essimingor = 0</w:t>
            </w:r>
          </w:p>
          <w:p>
            <w:pPr/>
            <w:r>
              <w:rPr/>
              <w:t xml:space="preserve">Hassama Hills = 0</w:t>
            </w:r>
          </w:p>
          <w:p>
            <w:pPr/>
            <w:r>
              <w:rPr/>
              <w:t xml:space="preserve">Mwambesi = 0</w:t>
            </w:r>
          </w:p>
          <w:p>
            <w:pPr/>
            <w:r>
              <w:rPr/>
              <w:t xml:space="preserve">Nou = 0</w:t>
            </w:r>
          </w:p>
          <w:p>
            <w:pPr/>
            <w:r>
              <w:rPr/>
              <w:t xml:space="preserve">Pindiro = 0</w:t>
            </w:r>
          </w:p>
          <w:p>
            <w:pPr/>
            <w:r>
              <w:rPr/>
              <w:t xml:space="preserve">Pugu-Kazimzumwi = 4</w:t>
            </w:r>
          </w:p>
          <w:p>
            <w:pPr/>
            <w:r>
              <w:rPr/>
              <w:t xml:space="preserve">Rondo = 9</w:t>
            </w:r>
          </w:p>
          <w:p>
            <w:pPr/>
            <w:r>
              <w:rPr/>
              <w:t xml:space="preserve">Uzigua = 0</w:t>
            </w:r>
          </w:p>
          <w:p>
            <w:pPr/>
            <w:r>
              <w:rPr/>
              <w:t xml:space="preserve"/>
            </w:r>
          </w:p>
        </w:tc>
        <w:tc>
          <w:tcPr>
            <w:tcW w:w="2000" w:type="dxa"/>
            <w:gridSpan w:val="1"/>
            <w:noWrap/>
          </w:tcPr>
          <w:p>
            <w:pPr/>
            <w:r>
              <w:rPr/>
              <w:t xml:space="preserve">Mt Hanang = 5</w:t>
            </w:r>
          </w:p>
          <w:p>
            <w:pPr/>
            <w:r>
              <w:rPr/>
              <w:t xml:space="preserve">Essimingor = 5</w:t>
            </w:r>
          </w:p>
          <w:p>
            <w:pPr/>
            <w:r>
              <w:rPr/>
              <w:t xml:space="preserve">Hassama Hills = 7</w:t>
            </w:r>
          </w:p>
          <w:p>
            <w:pPr/>
            <w:r>
              <w:rPr/>
              <w:t xml:space="preserve">Mwambesi = 6</w:t>
            </w:r>
          </w:p>
          <w:p>
            <w:pPr/>
            <w:r>
              <w:rPr/>
              <w:t xml:space="preserve">Nou = 4</w:t>
            </w:r>
          </w:p>
          <w:p>
            <w:pPr/>
            <w:r>
              <w:rPr/>
              <w:t xml:space="preserve">Pindiro = 4</w:t>
            </w:r>
          </w:p>
          <w:p>
            <w:pPr/>
            <w:r>
              <w:rPr/>
              <w:t xml:space="preserve">Pugu-Kazimzumwi = 5</w:t>
            </w:r>
          </w:p>
          <w:p>
            <w:pPr/>
            <w:r>
              <w:rPr/>
              <w:t xml:space="preserve">Rondo = 10</w:t>
            </w:r>
          </w:p>
          <w:p>
            <w:pPr/>
            <w:r>
              <w:rPr/>
              <w:t xml:space="preserve">Uzigua = 4</w:t>
            </w:r>
          </w:p>
          <w:p>
            <w:pPr/>
            <w:r>
              <w:rPr/>
              <w:t xml:space="preserve"/>
            </w:r>
          </w:p>
        </w:tc>
        <w:tc>
          <w:tcPr>
            <w:tcW w:w="2000" w:type="dxa"/>
            <w:gridSpan w:val="1"/>
            <w:noWrap/>
          </w:tcPr>
          <w:p>
            <w:pPr/>
            <w:r>
              <w:rPr/>
              <w:t xml:space="preserve">Mt Hanang = 8</w:t>
            </w:r>
          </w:p>
          <w:p>
            <w:pPr/>
            <w:r>
              <w:rPr/>
              <w:t xml:space="preserve">Essimingor = 8</w:t>
            </w:r>
          </w:p>
          <w:p>
            <w:pPr/>
            <w:r>
              <w:rPr/>
              <w:t xml:space="preserve">Hassama Hills = 12</w:t>
            </w:r>
          </w:p>
          <w:p>
            <w:pPr/>
            <w:r>
              <w:rPr/>
              <w:t xml:space="preserve">Mwambesi = 10</w:t>
            </w:r>
          </w:p>
          <w:p>
            <w:pPr/>
            <w:r>
              <w:rPr/>
              <w:t xml:space="preserve">Nou = 6</w:t>
            </w:r>
          </w:p>
          <w:p>
            <w:pPr/>
            <w:r>
              <w:rPr/>
              <w:t xml:space="preserve">Pindiro = 6</w:t>
            </w:r>
          </w:p>
          <w:p>
            <w:pPr/>
            <w:r>
              <w:rPr/>
              <w:t xml:space="preserve">Pugu-Kazimzumwi = 10</w:t>
            </w:r>
          </w:p>
          <w:p>
            <w:pPr/>
            <w:r>
              <w:rPr/>
              <w:t xml:space="preserve">Rondo = 10</w:t>
            </w:r>
          </w:p>
          <w:p>
            <w:pPr/>
            <w:r>
              <w:rPr/>
              <w:t xml:space="preserve">Uzigua = 8</w:t>
            </w:r>
          </w:p>
          <w:p>
            <w:pPr/>
            <w:r>
              <w:rPr/>
              <w:t xml:space="preserve"/>
            </w:r>
          </w:p>
        </w:tc>
        <w:tc>
          <w:tcPr>
            <w:tcW w:w="4000" w:type="dxa"/>
            <w:gridSpan w:val="1"/>
            <w:noWrap/>
          </w:tcPr>
          <w:p>
            <w:pPr/>
            <w:r>
              <w:rPr/>
              <w:t xml:space="preserve">40 operation staff (M 29 and F 11) have been trained and equipped through the following activities: training in procurement and contract management, and social and environmental safeguards; provided with 15 computers and 15 printers; and equipped with two (2) vehicles and 20 motorcycles to enhance management of forest reserves handed over during project launching event. Also, climate risk vulnerability and impact assessments for nine (9) targeted NFRs were conducted and report in place. Additionally, the project initiated the construction and rehabilitation of infrastructure to support forest protection and management across five (5) Nature Forest Reserves (NFRs). This included the construction of two (2) main ranger post, three (3) tourism office and entry gates and rehabilitation of two buildings at Nou, Hassama, Vikindu Range, Mwambesi, and Pindiro NFR. Furthermore, a training on wildfire management was conducted, involving 157 participants (M 90 and F 67) from 8 villages located in the buffer area of four (4) Nature Forest Reserves (NFRs):  Mt. Hanang, Uzigua, Pindiro, and Mwambesi.</w:t>
            </w:r>
          </w:p>
          <w:p>
            <w:pPr/>
            <w:r>
              <w:rPr/>
              <w:t xml:space="preserve"/>
            </w:r>
          </w:p>
          <w:p>
            <w:pPr/>
            <w:r>
              <w:rPr/>
              <w:t xml:space="preserve">Evidence: Outcome 1.1_indicator 7_training on wildfire management-2024; Outcome 1.1_indicator 7_Climate Change Risk Assessment Report-2024; Outcome 1.1_indicator 7_Project Launching Report-2025; Outcome 1.1_indicator 7_Report on construction and rehabilitation of infastructures-2025; and Outcome 1.1_indicator 7_training on SES-2024.</w:t>
            </w:r>
          </w:p>
        </w:tc>
        <w:tc>
          <w:tcPr>
            <w:tcW w:w="4000" w:type="dxa"/>
            <w:gridSpan w:val="1"/>
            <w:noWrap/>
          </w:tcPr>
          <w:p>
            <w:pPr/>
            <w:r>
              <w:rPr/>
              <w:t xml:space="preserve">42 operation staff (M 31     and F 13) which is 84% of the MTR target have been adequately trained, equipped and deployed as follows: Mt. Hanang (5), Essimingor (4), Hassama Hills (5), Mwambesi (5), Nou (4), Pindiro (3), Pugu Kazimzumbwi (8), Rondo (4), Uzigua (4). Further, 15 operation staff (M 13 and 2 F) from HQ, who are supporting NFRs, were also trained and equipped. The staff have been trained and provided with equipment as follows: training in procurement and contract management, fire mitigation, climate adaptation and mitigation, gender mainstreaming, grievance redress mechanism and social and environmental safeguards; provided with 15 computers and 15 printers; and equipped with two (2) vehicles and 20 motorcycles to enhance management of forest reserves handed over during project launching event.</w:t>
            </w:r>
          </w:p>
          <w:p>
            <w:pPr/>
            <w:r>
              <w:rPr/>
              <w:t xml:space="preserve"/>
            </w:r>
          </w:p>
          <w:p>
            <w:pPr/>
            <w:r>
              <w:rPr/>
              <w:t xml:space="preserve">During the report period, 25 operational staff (M 21 and F 4) were trained on environmental safeguards, gender mainstreaming, grievance redress mechanism, and stakeholder engagement, strengthening institutional gender balance as follows: Mt. Hanang (1), Essimingor (1), Hassama Hills (1), Mwambesi (1), Nou (1), Pindiro (1), Pugu Kazimzumbwi (2), Rondo (1), Uzigua (1) and other operational staff from HQ (15). Additionally, the project constructed 8 buildings and rehabilitated infrastructure to support forest protection and management across 7 NFRs to enhance management of forest biodiversity as reported under indicator 6.</w:t>
            </w:r>
          </w:p>
          <w:p>
            <w:pPr/>
            <w:r>
              <w:rPr/>
              <w:t xml:space="preserve"/>
            </w:r>
          </w:p>
          <w:p>
            <w:pPr/>
            <w:r>
              <w:rPr/>
              <w:t xml:space="preserve">Evidence: Outcome 1.1_indicator 6_Capacity building on ESS-2026; Outcome 1.1_indicator 6_report on constructed buildings-2026; Outcome 1.1_indicator 7_training on wildfire management-2024; Outcome 1.1_indicator 7_Climate Change Risk Assessment Report-2024; and Outcome 1.1_indicator 7_training on SES-2024</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PROJECT OUTCOME 1.2:</w:t>
            </w:r>
          </w:p>
          <w:p>
            <w:pPr/>
            <w:r>
              <w:rPr>
                <w:b w:val="1"/>
                <w:bCs w:val="1"/>
              </w:rPr>
              <w:t xml:space="preserve">Enhanced collaboration in the management of buffer areas around NFRs contributes to mitigating and adapting to climate-induced threats to forest biodiversity</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1.2, Indicator 8:</w:t>
            </w:r>
          </w:p>
          <w:p>
            <w:pPr/>
            <w:r>
              <w:rPr/>
              <w:t xml:space="preserve">Total number of plans, agreements and initiatives (by type) that are collaboratively developed, and their implementation, supported, by the project in the reserve adjacent buffer areas</w:t>
            </w:r>
          </w:p>
          <w:p>
            <w:pPr/>
            <w:r>
              <w:rPr/>
              <w:t xml:space="preserve"/>
            </w:r>
          </w:p>
        </w:tc>
        <w:tc>
          <w:tcPr>
            <w:tcW w:w="2000" w:type="dxa"/>
            <w:gridSpan w:val="1"/>
            <w:noWrap/>
          </w:tcPr>
          <w:p>
            <w:pPr/>
            <w:r>
              <w:rPr/>
              <w:t xml:space="preserve">VLUPs = 0</w:t>
            </w:r>
          </w:p>
          <w:p>
            <w:pPr/>
            <w:r>
              <w:rPr/>
              <w:t xml:space="preserve">Community Forest Management Plans = 0</w:t>
            </w:r>
          </w:p>
          <w:p>
            <w:pPr/>
            <w:r>
              <w:rPr/>
              <w:t xml:space="preserve">JMAs = 0</w:t>
            </w:r>
          </w:p>
          <w:p>
            <w:pPr/>
            <w:r>
              <w:rPr/>
              <w:t xml:space="preserve">Landscape-scale conservation/tourism initiatives = 0</w:t>
            </w:r>
          </w:p>
          <w:p>
            <w:pPr/>
            <w:r>
              <w:rPr/>
              <w:t xml:space="preserve"/>
            </w:r>
          </w:p>
        </w:tc>
        <w:tc>
          <w:tcPr>
            <w:tcW w:w="2000" w:type="dxa"/>
            <w:gridSpan w:val="1"/>
            <w:noWrap/>
          </w:tcPr>
          <w:p>
            <w:pPr/>
            <w:r>
              <w:rPr/>
              <w:t xml:space="preserve">VLUPs = 17</w:t>
            </w:r>
          </w:p>
          <w:p>
            <w:pPr/>
            <w:r>
              <w:rPr/>
              <w:t xml:space="preserve">Community Forest Management Plans = 5</w:t>
            </w:r>
          </w:p>
          <w:p>
            <w:pPr/>
            <w:r>
              <w:rPr/>
              <w:t xml:space="preserve">JMAs = 32</w:t>
            </w:r>
          </w:p>
          <w:p>
            <w:pPr/>
            <w:r>
              <w:rPr/>
              <w:t xml:space="preserve">Landscape conservation/tourism initiatives = 3</w:t>
            </w:r>
          </w:p>
          <w:p>
            <w:pPr/>
            <w:r>
              <w:rPr/>
              <w:t xml:space="preserve"/>
            </w:r>
          </w:p>
        </w:tc>
        <w:tc>
          <w:tcPr>
            <w:tcW w:w="2000" w:type="dxa"/>
            <w:gridSpan w:val="1"/>
            <w:noWrap/>
          </w:tcPr>
          <w:p>
            <w:pPr/>
            <w:r>
              <w:rPr/>
              <w:t xml:space="preserve">VLUPs = 33</w:t>
            </w:r>
          </w:p>
          <w:p>
            <w:pPr/>
            <w:r>
              <w:rPr/>
              <w:t xml:space="preserve">Forest Management Plans = 7</w:t>
            </w:r>
          </w:p>
          <w:p>
            <w:pPr/>
            <w:r>
              <w:rPr/>
              <w:t xml:space="preserve">JMAs = 44</w:t>
            </w:r>
          </w:p>
          <w:p>
            <w:pPr/>
            <w:r>
              <w:rPr/>
              <w:t xml:space="preserve">Landscape conservation/tourism initiatives = 5</w:t>
            </w:r>
          </w:p>
          <w:p>
            <w:pPr/>
            <w:r>
              <w:rPr/>
              <w:t xml:space="preserve"/>
            </w:r>
          </w:p>
        </w:tc>
        <w:tc>
          <w:tcPr>
            <w:tcW w:w="4000" w:type="dxa"/>
            <w:gridSpan w:val="1"/>
            <w:noWrap/>
          </w:tcPr>
          <w:p>
            <w:pPr/>
            <w:r>
              <w:rPr/>
              <w:t xml:space="preserve">9 plans have been developed through the project, comprising four (4) Community Forest Management Plans for the Kimange, Kwaruhombo, Kwamduma, and Kwamsanja VLFRs, and four (4) bylaws for the Kimange, Kwaruhombo, Kwamduma, and Kwamsanja VLFRs. These plans will enhance collaboration in the management of buffer areas around NFRs and improve management of forest biodiversity. Additionally, the project conducted a climate-related risk and vulnerability assessment of the adjacent local communities and developed one (1) climate adaptation and mitigation strategy.</w:t>
            </w:r>
          </w:p>
          <w:p>
            <w:pPr/>
            <w:r>
              <w:rPr/>
              <w:t xml:space="preserve"/>
            </w:r>
          </w:p>
          <w:p>
            <w:pPr/>
            <w:r>
              <w:rPr/>
              <w:t xml:space="preserve">Evidence: Outcome 1.2_indicator 8_ Community FMP for Kimange, Kwamduma, Kwamsanja and Kwaruhombo-2025; Outcome 1.2_indicator 8_Climate Change Mitigation and Adaptation Strategy-2024; and Outcome 1.2_indicator 8_ Community FM bylaw for Kimange, Kwamduma, Kwamsanja and Kwaruhombo -2025.</w:t>
            </w:r>
          </w:p>
        </w:tc>
        <w:tc>
          <w:tcPr>
            <w:tcW w:w="4000" w:type="dxa"/>
            <w:gridSpan w:val="1"/>
            <w:noWrap/>
          </w:tcPr>
          <w:p>
            <w:pPr/>
            <w:r>
              <w:rPr/>
              <w:t xml:space="preserve">24 VLUPS have been operationalized and villages adjacent to 4 NFRs in areas of priorities particularly development and implementation of 18 JMAs, establishment of 17 Village Land Forest Reserves (VLFR) and installation of 43 signboard, climate smart Agriculture through establishment of farm field schools for production of high value crops in 6 villages covering 180 households (32 women headed) as reported under indicator 10, provision of infrastructure for improved land management practices such as livestock dip which saves a community population of 5,810 people (2,585 M and 3,225 F) and livestock population of 13,825.</w:t>
            </w:r>
          </w:p>
          <w:p>
            <w:pPr/>
            <w:r>
              <w:rPr/>
              <w:t xml:space="preserve"/>
            </w:r>
          </w:p>
          <w:p>
            <w:pPr/>
            <w:r>
              <w:rPr/>
              <w:t xml:space="preserve">During the reporting period, the project supported operationalization of VLUPs in 7 villages (Lossimingor, Kwamsanja, Kibindu, Kwaruhombo, Kwamduma, Kwang'andu and Kimange) adjacent to Essimingor (1) and Uzigua (6) through: establishment of farm field schools for production of high value crops in 6 villages covering 180 households (32 women headed) in Uzigua and provision of infrastructure for improved land management practices such as livestock dip which saves a community population of 5,810 people (2,585 M and 3,225 F) and livestock population of 13,825 in Essimingor as reported under indicator 9. Additionally, a total of 43 signboards were installed across the 17 VLFRs in the four villages surrounding Uzigua NFR. Although the project did not fully meet the VLUP targets during this reporting period, plans have been developed to escalate efforts to additional Nature Forest Reserves. This approach is expected to accelerate progress and ensure achievement of the set targets in the forthcoming reporting period. Further, the Local Government Authorities have limited capacity to fully operationalize VLUPs, project initiatives have contributed to operationalization of VLUPs through establishment and management of VLFRs.</w:t>
            </w:r>
          </w:p>
          <w:p>
            <w:pPr/>
            <w:r>
              <w:rPr/>
              <w:t xml:space="preserve"/>
            </w:r>
          </w:p>
          <w:p>
            <w:pPr/>
            <w:r>
              <w:rPr/>
              <w:t xml:space="preserve">4 Community Forest Management Plans (80% of the MTR target) covering an area of 4,077.27 ha have been      developed for Kimange, Kwaruhombo, Kwamduma, and Kwamsanja      VLFRs, with relevant bylaws for each of the VLFRs. The management plans for VLFRs are being implemented, and they have improved community engagement in the conservation of the forest nature reserves as a result of reduced incidences of illegal harvesting of timber and charcoal as reported under indicator 3.</w:t>
            </w:r>
          </w:p>
          <w:p>
            <w:pPr/>
            <w:r>
              <w:rPr/>
              <w:t xml:space="preserve"/>
            </w:r>
          </w:p>
          <w:p>
            <w:pPr/>
            <w:r>
              <w:rPr/>
              <w:t xml:space="preserve">18 Joint Management Agreements (JMAs) in 18 villages adjacent to 3 NFRs; Rondo (6), Mt. Hanang (11) and Essimingor (1) are currently under implementation, thereby increasing community engagements for collaborative management of forest biodiversity and realisation of conservation benefits. These agreements mitigate threats by promoting sustainable forest use, fostering community stewardship, and ensuring shared responsibility for conserving critical habitats and species. These were achieved during this reporting period.</w:t>
            </w:r>
          </w:p>
          <w:p>
            <w:pPr/>
            <w:r>
              <w:rPr/>
              <w:t xml:space="preserve"/>
            </w:r>
          </w:p>
          <w:p>
            <w:pPr/>
            <w:r>
              <w:rPr/>
              <w:t xml:space="preserve">3 tourism initiatives have been pursued in NFRs these are: Infrastructure development, staff capacity development and improved tourism products which have attracted new investors as reported under indicator 6 and 11 expected to raise the number of tourists visiting the nature reserves. These were achieved during this reporting period.</w:t>
            </w:r>
          </w:p>
          <w:p>
            <w:pPr/>
            <w:r>
              <w:rPr/>
              <w:t xml:space="preserve"/>
            </w:r>
          </w:p>
          <w:p>
            <w:pPr/>
            <w:r>
              <w:rPr/>
              <w:t xml:space="preserve">Implementation of the management plans, agreements and initiatives has contributed to improved management of VLFRs which has reduced threats to NFRs.</w:t>
            </w:r>
          </w:p>
          <w:p>
            <w:pPr/>
            <w:r>
              <w:rPr/>
              <w:t xml:space="preserve"/>
            </w:r>
          </w:p>
          <w:p>
            <w:pPr/>
            <w:r>
              <w:rPr/>
              <w:t xml:space="preserve">Evidence: Outcome 1.2_indicator 8_ Community FMP for Kimange, Kwamduma, Kwamsanja and Kwaruhombo-2025; Outcome 1.2_indicator 8_ Community FM bylaw for Kimange, Kwamduma, Kwamsanja and Kwaruhombo -2025; Objective_indicator 3_Installation of signboard in VLFRs-2026; and Outcome 1.2 indicator 8_draft JMA-2026.</w:t>
            </w:r>
          </w:p>
        </w:tc>
      </w:tr>
      <w:tr>
        <w:trPr/>
        <w:tc>
          <w:tcPr>
            <w:tcW w:w="4000" w:type="dxa"/>
            <w:gridSpan w:val="1"/>
            <w:noWrap/>
          </w:tcPr>
          <w:p>
            <w:pPr/>
            <w:r>
              <w:rPr/>
              <w:t xml:space="preserve">Outcome 1.2, Indicator 9:</w:t>
            </w:r>
          </w:p>
          <w:p>
            <w:pPr/>
            <w:r>
              <w:rPr/>
              <w:t xml:space="preserve">Total number of households (disaggregated by women-headed households) in reserve-adjacent villages directly benefiting (by type of benefit) from project support to the management of village/community forests, forest-based livelihood development, sustainable crop farming, and tourism and recreational activities</w:t>
            </w:r>
          </w:p>
          <w:p>
            <w:pPr/>
            <w:r>
              <w:rPr/>
              <w:t xml:space="preserve"/>
            </w:r>
          </w:p>
        </w:tc>
        <w:tc>
          <w:tcPr>
            <w:tcW w:w="2000" w:type="dxa"/>
            <w:gridSpan w:val="1"/>
            <w:noWrap/>
          </w:tcPr>
          <w:p>
            <w:pPr/>
            <w:r>
              <w:rPr/>
              <w:t xml:space="preserve">Employment = 0</w:t>
            </w:r>
          </w:p>
          <w:p>
            <w:pPr/>
            <w:r>
              <w:rPr/>
              <w:t xml:space="preserve">Income-generating activities = 0</w:t>
            </w:r>
          </w:p>
          <w:p>
            <w:pPr/>
            <w:r>
              <w:rPr/>
              <w:t xml:space="preserve">Training and skills = 0</w:t>
            </w:r>
          </w:p>
          <w:p>
            <w:pPr/>
            <w:r>
              <w:rPr/>
              <w:t xml:space="preserve">Access to forest resources = 0</w:t>
            </w:r>
          </w:p>
          <w:p>
            <w:pPr/>
            <w:r>
              <w:rPr/>
              <w:t xml:space="preserve"/>
            </w:r>
          </w:p>
        </w:tc>
        <w:tc>
          <w:tcPr>
            <w:tcW w:w="2000" w:type="dxa"/>
            <w:gridSpan w:val="1"/>
            <w:noWrap/>
          </w:tcPr>
          <w:p>
            <w:pPr/>
            <w:r>
              <w:rPr/>
              <w:t xml:space="preserve">Employment = 700 (105)</w:t>
            </w:r>
          </w:p>
          <w:p>
            <w:pPr/>
            <w:r>
              <w:rPr/>
              <w:t xml:space="preserve">Income -generating activities = 1,036 (155)</w:t>
            </w:r>
          </w:p>
          <w:p>
            <w:pPr/>
            <w:r>
              <w:rPr/>
              <w:t xml:space="preserve">Training and skills = 2,490 (373)</w:t>
            </w:r>
          </w:p>
          <w:p>
            <w:pPr/>
            <w:r>
              <w:rPr/>
              <w:t xml:space="preserve">Access to forest resources = 1,110 (166)</w:t>
            </w:r>
          </w:p>
          <w:p>
            <w:pPr/>
            <w:r>
              <w:rPr/>
              <w:t xml:space="preserve"/>
            </w:r>
          </w:p>
        </w:tc>
        <w:tc>
          <w:tcPr>
            <w:tcW w:w="2000" w:type="dxa"/>
            <w:gridSpan w:val="1"/>
            <w:noWrap/>
          </w:tcPr>
          <w:p>
            <w:pPr/>
            <w:r>
              <w:rPr/>
              <w:t xml:space="preserve">Employment = 925 (139)</w:t>
            </w:r>
          </w:p>
          <w:p>
            <w:pPr/>
            <w:r>
              <w:rPr/>
              <w:t xml:space="preserve">Income-generating activities = 1,850 (277)</w:t>
            </w:r>
          </w:p>
          <w:p>
            <w:pPr/>
            <w:r>
              <w:rPr/>
              <w:t xml:space="preserve">Training and skills = 3,034 (455)</w:t>
            </w:r>
          </w:p>
          <w:p>
            <w:pPr/>
            <w:r>
              <w:rPr/>
              <w:t xml:space="preserve">Access to forest resources = 1,850 (277)</w:t>
            </w:r>
          </w:p>
          <w:p>
            <w:pPr/>
            <w:r>
              <w:rPr/>
              <w:t xml:space="preserve"/>
            </w:r>
          </w:p>
        </w:tc>
        <w:tc>
          <w:tcPr>
            <w:tcW w:w="4000" w:type="dxa"/>
            <w:gridSpan w:val="1"/>
            <w:noWrap/>
          </w:tcPr>
          <w:p>
            <w:pPr/>
            <w:r>
              <w:rPr/>
              <w:t xml:space="preserve">465 households (19 Women headed households) were trained and capacitated, through project support, on the establishment and management of Village Land Forest Reserves.</w:t>
            </w:r>
          </w:p>
          <w:p>
            <w:pPr/>
            <w:r>
              <w:rPr/>
              <w:t xml:space="preserve"/>
            </w:r>
          </w:p>
          <w:p>
            <w:pPr/>
            <w:r>
              <w:rPr/>
              <w:t xml:space="preserve">Evidence: Outcome 1.2_indicator 9_training on establishment of VLFRs-2025.</w:t>
            </w:r>
          </w:p>
        </w:tc>
        <w:tc>
          <w:tcPr>
            <w:tcW w:w="4000" w:type="dxa"/>
            <w:gridSpan w:val="1"/>
            <w:noWrap/>
          </w:tcPr>
          <w:p>
            <w:pPr/>
            <w:r>
              <w:rPr/>
              <w:t xml:space="preserve">573 households (including 91 female‑headed households), which is an overall 82% of the MTR target, have directly benefited from employment through project activities, including forest restoration, construction activities, and community‑based conservation initiatives. These were achieved during this reporting period. Further, more labour-intensive activities are scheduled in the next implementation period and escalation of efforts is expected to accelerate progress toward achieving the set targets.</w:t>
            </w:r>
          </w:p>
          <w:p>
            <w:pPr/>
            <w:r>
              <w:rPr/>
              <w:t xml:space="preserve"/>
            </w:r>
          </w:p>
          <w:p>
            <w:pPr/>
            <w:r>
              <w:rPr/>
              <w:t xml:space="preserve">587 households (including 123 female‑headed households) from six villages adjacent to Uzigua NFR (equivalent to 57% of MTR target have directly benefited           from Income‑Generating Activities (IGAs) where smallholder crop farmers in the buffer zones of the NFRs adopted Climate‑Smart Agriculture (CSA) and Good Agricultural Practices (GAP) through the establishment of farmer field schools in six villages; fruit and timber seedlings distribution initiatives; and provision of infrastructure for improved land management practices such as livestock dip which saves a community population of 5,810 people (2,585 M and 3,225 F) and livestock population of 13,825 in Essimingor to enhance livelihood support. These were achieved during this reporting period. The low achievement of the IGA MTR target is partly contributed by scheduling of relevant activities in the multi-year plan, most IGA activities are scheduled for implementation year 3, 4 and 5.</w:t>
            </w:r>
          </w:p>
          <w:p>
            <w:pPr/>
            <w:r>
              <w:rPr/>
              <w:t xml:space="preserve"/>
            </w:r>
          </w:p>
          <w:p>
            <w:pPr/>
            <w:r>
              <w:rPr/>
              <w:t xml:space="preserve">1,190 households (including 165 female‑headed households) equivalent to 48% of the MTR target were trained and capacitated on the establishment and management of Village Land Forest Reserves, environmental and social safeguarding, wildfire management, sustainable management, joint forest management Climate‑Smart Agriculture (CSA), and climate mitigation and adaptation.</w:t>
            </w:r>
          </w:p>
          <w:p>
            <w:pPr/>
            <w:r>
              <w:rPr/>
              <w:t xml:space="preserve">During the reporting period, 725 households (including 146 female-headed households) were trained on environmental and social safeguarding, sustainable management, joint forest management Climate‑Smart Agriculture (CSA).</w:t>
            </w:r>
          </w:p>
          <w:p>
            <w:pPr/>
            <w:r>
              <w:rPr/>
              <w:t xml:space="preserve"/>
            </w:r>
          </w:p>
          <w:p>
            <w:pPr/>
            <w:r>
              <w:rPr/>
              <w:t xml:space="preserve">1,127 households (266 women-headed) which an overall 101% of the MTR target have access to forest resources on agreement terms included in JMAs, which has enhanced       community participation in conservation, promoting sustainable forest and biodiversity management, supporting eco‑friendly livelihoods, and fostering collaboration in awareness programs. This achievement was realized during the reporting period.</w:t>
            </w:r>
          </w:p>
          <w:p>
            <w:pPr/>
            <w:r>
              <w:rPr/>
              <w:t xml:space="preserve"/>
            </w:r>
          </w:p>
          <w:p>
            <w:pPr/>
            <w:r>
              <w:rPr/>
              <w:t xml:space="preserve">Evidence: Outcome 1.2_indicator 9_training on establishment of VLFRs-2025; Outcome 1.2_indicator 9_report on tree nursery activity-2025; Outcome 1.2_indicator 9_report on CSA and GAP-2026; Outcome 1.2_indicator 9_report on ESIA-2026; Outcome 1.2_indicator 9_report on rehabilitation of livestock dip-2026; Outcome 1.2_indicator 9_report on JMA; and Outcome 1.2_indicator 9_report on construction employment -2026.</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OUTCOME 2.1:</w:t>
            </w:r>
          </w:p>
          <w:p>
            <w:pPr/>
            <w:r>
              <w:rPr>
                <w:b w:val="1"/>
                <w:bCs w:val="1"/>
              </w:rPr>
              <w:t xml:space="preserve">The enabling conditions for implementing income-generating activities in NFRs are in place</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2.1, Indicator 10:</w:t>
            </w:r>
          </w:p>
          <w:p>
            <w:pPr/>
            <w:r>
              <w:rPr/>
              <w:t xml:space="preserve">Number of NFRs with approved Conservation Investment Plans (CIPs), detailed implementation plans for income generating activities (IGAs), and adequate visitor infrastructure and services.</w:t>
            </w:r>
          </w:p>
          <w:p>
            <w:pPr/>
            <w:r>
              <w:rPr/>
              <w:t xml:space="preserve"/>
            </w:r>
          </w:p>
        </w:tc>
        <w:tc>
          <w:tcPr>
            <w:tcW w:w="2000" w:type="dxa"/>
            <w:gridSpan w:val="1"/>
            <w:noWrap/>
          </w:tcPr>
          <w:p>
            <w:pPr/>
            <w:r>
              <w:rPr/>
              <w:t xml:space="preserve">CIPs = 1</w:t>
            </w:r>
          </w:p>
          <w:p>
            <w:pPr/>
            <w:r>
              <w:rPr/>
              <w:t xml:space="preserve">Implementation plans for IGAs = 0</w:t>
            </w:r>
          </w:p>
          <w:p>
            <w:pPr/>
            <w:r>
              <w:rPr/>
              <w:t xml:space="preserve">Visitor infrastructure = 0</w:t>
            </w:r>
          </w:p>
          <w:p>
            <w:pPr/>
            <w:r>
              <w:rPr/>
              <w:t xml:space="preserve">Visitor services = 0</w:t>
            </w:r>
          </w:p>
          <w:p>
            <w:pPr/>
            <w:r>
              <w:rPr/>
              <w:t xml:space="preserve"/>
            </w:r>
          </w:p>
        </w:tc>
        <w:tc>
          <w:tcPr>
            <w:tcW w:w="2000" w:type="dxa"/>
            <w:gridSpan w:val="1"/>
            <w:noWrap/>
          </w:tcPr>
          <w:p>
            <w:pPr/>
            <w:r>
              <w:rPr/>
              <w:t xml:space="preserve">CIPs = 7</w:t>
            </w:r>
          </w:p>
          <w:p>
            <w:pPr/>
            <w:r>
              <w:rPr/>
              <w:t xml:space="preserve">Implementation plans for IGAs = 4</w:t>
            </w:r>
          </w:p>
          <w:p>
            <w:pPr/>
            <w:r>
              <w:rPr/>
              <w:t xml:space="preserve">Visitor infrastructure = 1</w:t>
            </w:r>
          </w:p>
          <w:p>
            <w:pPr/>
            <w:r>
              <w:rPr/>
              <w:t xml:space="preserve">Visitor services = 1</w:t>
            </w:r>
          </w:p>
          <w:p>
            <w:pPr/>
            <w:r>
              <w:rPr/>
              <w:t xml:space="preserve"/>
            </w:r>
          </w:p>
        </w:tc>
        <w:tc>
          <w:tcPr>
            <w:tcW w:w="2000" w:type="dxa"/>
            <w:gridSpan w:val="1"/>
            <w:noWrap/>
          </w:tcPr>
          <w:p>
            <w:pPr/>
            <w:r>
              <w:rPr/>
              <w:t xml:space="preserve">CIPs = 9</w:t>
            </w:r>
          </w:p>
          <w:p>
            <w:pPr/>
            <w:r>
              <w:rPr/>
              <w:t xml:space="preserve">Implementation plans for IGAs = 4</w:t>
            </w:r>
          </w:p>
          <w:p>
            <w:pPr/>
            <w:r>
              <w:rPr/>
              <w:t xml:space="preserve">Visitor infrastructure = 3</w:t>
            </w:r>
          </w:p>
          <w:p>
            <w:pPr/>
            <w:r>
              <w:rPr/>
              <w:t xml:space="preserve">Visitor services = 3</w:t>
            </w:r>
          </w:p>
          <w:p>
            <w:pPr/>
            <w:r>
              <w:rPr/>
              <w:t xml:space="preserve"/>
            </w:r>
          </w:p>
        </w:tc>
        <w:tc>
          <w:tcPr>
            <w:tcW w:w="4000" w:type="dxa"/>
            <w:gridSpan w:val="1"/>
            <w:noWrap/>
          </w:tcPr>
          <w:p>
            <w:pPr/>
            <w:r>
              <w:rPr/>
              <w:t xml:space="preserve">5 NFRs have been supported in the preparation of five (5) Conservation Investment Plans including Pugu Kazimzumbwi, Mt. Hanang, Nou, Rondo, and Essimingor NFRs. These plans outline a set of priority conservation interventions and the financial requirements necessary for effective implementation of the Forest Management Plans (FMPs). Additionally, they identify and prioritize potential funding solutions based on assessing their financial and technical feasibility.</w:t>
            </w:r>
          </w:p>
          <w:p>
            <w:pPr/>
            <w:r>
              <w:rPr/>
              <w:t xml:space="preserve">Two (2) Tourists resting facilities with a capacity to host 50 visitors each have been constructed at Pugu NFR. The facilities will enhance visitors experience and maximize tourist arrivals and revenues.</w:t>
            </w:r>
          </w:p>
          <w:p>
            <w:pPr/>
            <w:r>
              <w:rPr/>
              <w:t xml:space="preserve"/>
            </w:r>
          </w:p>
          <w:p>
            <w:pPr/>
            <w:r>
              <w:rPr/>
              <w:t xml:space="preserve">Evidence: Outcome 2.1_indicator 10_CIP for Essimingor, Mt. Hanang, Nou, Pugu- Kazimzumbwi and Rondo NFRs-2024.</w:t>
            </w:r>
          </w:p>
        </w:tc>
        <w:tc>
          <w:tcPr>
            <w:tcW w:w="4000" w:type="dxa"/>
            <w:gridSpan w:val="1"/>
            <w:noWrap/>
          </w:tcPr>
          <w:p>
            <w:pPr/>
            <w:r>
              <w:rPr/>
              <w:t xml:space="preserve">5 NFRs have approved Conservation Investment Plans (CIPs), which is 71% of MRT target. These include one for each of the following NFRs: Pugu Kazimzumbwi, Mt. Hanang, Nou, Rondo, and Essimingor NFRs.  These plans have prioritized visitor services, including camping facilities, hiking routes and trails, visitor resting points, and viewpoints.</w:t>
            </w:r>
          </w:p>
          <w:p>
            <w:pPr/>
            <w:r>
              <w:rPr/>
              <w:t xml:space="preserve"/>
            </w:r>
          </w:p>
          <w:p>
            <w:pPr/>
            <w:r>
              <w:rPr/>
              <w:t xml:space="preserve">During the reporting period, approval processes for the 5 CIPs were completed and execution of the CIPs initiated.</w:t>
            </w:r>
          </w:p>
          <w:p>
            <w:pPr/>
            <w:r>
              <w:rPr/>
              <w:t xml:space="preserve"/>
            </w:r>
          </w:p>
          <w:p>
            <w:pPr/>
            <w:r>
              <w:rPr/>
              <w:t xml:space="preserve">1 NFR has an IGA implementation plan (25% of the MTR target) which is being operationalized in villages adjacent to Uzigua NFR. Implementation plans for IGAs for each of the 9 NFRs have been incorporated into the Climate Change Adaptation and Mitigation Plan.  This initiative was successfully achieved during the reporting period. Operationalization of IGA plans for communities adjacent to other NFRs is scheduled for subsequent implementation periods.</w:t>
            </w:r>
          </w:p>
          <w:p>
            <w:pPr/>
            <w:r>
              <w:rPr/>
              <w:t xml:space="preserve">The low achievement of the IGA MTR target is partly contributed by scheduling of relevant activities in the multi-year plan, most IGA activities are scheduled for implementation year 3, 4 and 5.</w:t>
            </w:r>
          </w:p>
          <w:p>
            <w:pPr/>
            <w:r>
              <w:rPr/>
              <w:t xml:space="preserve"/>
            </w:r>
          </w:p>
          <w:p>
            <w:pPr/>
            <w:r>
              <w:rPr/>
              <w:t xml:space="preserve">5 NFRs against MTR target of 1 NFR have developed visitor infrastructure, which includes 3 tourism offices/ tourist information centres, and 3 entry gates in Pindiro, Mwambesi, Uzigua, and Vikindu; maintenance of 34 km nature trails in Pugu Kazimzumbwi and Mt. Hanang; rehabilitation of 12 km forest roads and development of 2 tourist resting facilities with a capacity to host 50 visitors each have been constructed at Pugu NFR. During the reporting period, three tourism offices/tourist information centres and entry gates were completed in Pindiro, Mwambesi, and Vikindu, while one in Uzigua is at the finishing stage. The facilities have significantly enhanced the visitor experience, maximized tourist arrivals, and increased revenue potential for the reserves.</w:t>
            </w:r>
          </w:p>
          <w:p>
            <w:pPr/>
            <w:r>
              <w:rPr/>
              <w:t xml:space="preserve"/>
            </w:r>
          </w:p>
          <w:p>
            <w:pPr/>
            <w:r>
              <w:rPr/>
              <w:t xml:space="preserve">2 visitor services (200% of MTR target) have been established in Pugu Kazimzumbwi and Vikindu      NFR, these are ecolodge lodge and restaurant services. The services are provided in a Public-Private Partnership arrangement, which is part of the implementation of CIPs for the reserves. The visitor services were achieved during the reporting period.</w:t>
            </w:r>
          </w:p>
          <w:p>
            <w:pPr/>
            <w:r>
              <w:rPr/>
              <w:t xml:space="preserve">The overachievement in visitor services and infrastructure development is primarily attributed to the rapid growth of the tourism sector in Tanzania. This expansion has resulted in increased pressure from rising tourist numbers in key destinations, further amplified by the Government’s proactive initiatives and promotional campaigns to position Tanzania as a leading tourism hub.</w:t>
            </w:r>
          </w:p>
          <w:p>
            <w:pPr/>
            <w:r>
              <w:rPr/>
              <w:t xml:space="preserve"/>
            </w:r>
          </w:p>
          <w:p>
            <w:pPr/>
            <w:r>
              <w:rPr/>
              <w:t xml:space="preserve">Evidence: Outcome 2.1_indicator 10_CIP for Essimingor, Mt. Hanang, Nou, Pugu- Kazimzumbwi and Rondo NFRs-2024; Outcome 2.1_indicator 10_visitor infrastructure report-2026; and Outcome 1.2_indicator 9_report on CSA and GAP-2026.</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OUTCOME 2.2:</w:t>
            </w:r>
          </w:p>
          <w:p>
            <w:pPr/>
            <w:r>
              <w:rPr>
                <w:b w:val="1"/>
                <w:bCs w:val="1"/>
              </w:rPr>
              <w:t xml:space="preserve">Alternative income generating activities are implemented, and their cost effectiveness evaluated, in selected NFRs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2.2, Indicator 11:</w:t>
            </w:r>
          </w:p>
          <w:p>
            <w:pPr/>
            <w:r>
              <w:rPr/>
              <w:t xml:space="preserve">Income (in USD/annum) from four income generating activities operationalised in four targeted NFRs</w:t>
            </w:r>
          </w:p>
          <w:p>
            <w:pPr/>
            <w:r>
              <w:rPr/>
              <w:t xml:space="preserve"/>
            </w:r>
          </w:p>
        </w:tc>
        <w:tc>
          <w:tcPr>
            <w:tcW w:w="2000" w:type="dxa"/>
            <w:gridSpan w:val="1"/>
            <w:noWrap/>
          </w:tcPr>
          <w:p>
            <w:pPr/>
            <w:r>
              <w:rPr/>
              <w:t xml:space="preserve">User fee income = USD15,228</w:t>
            </w:r>
          </w:p>
          <w:p>
            <w:pPr/>
            <w:r>
              <w:rPr/>
              <w:t xml:space="preserve"/>
            </w:r>
          </w:p>
          <w:p>
            <w:pPr/>
            <w:r>
              <w:rPr/>
              <w:t xml:space="preserve">Concession income = USD 0</w:t>
            </w:r>
          </w:p>
          <w:p>
            <w:pPr/>
            <w:r>
              <w:rPr/>
              <w:t xml:space="preserve"/>
            </w:r>
          </w:p>
          <w:p>
            <w:pPr/>
            <w:r>
              <w:rPr/>
              <w:t xml:space="preserve">Carbon credit income = USD 0</w:t>
            </w:r>
          </w:p>
          <w:p>
            <w:pPr/>
            <w:r>
              <w:rPr/>
              <w:t xml:space="preserve"/>
            </w:r>
          </w:p>
          <w:p>
            <w:pPr/>
            <w:r>
              <w:rPr/>
              <w:t xml:space="preserve">Package tour operator income = USD 0</w:t>
            </w:r>
          </w:p>
          <w:p>
            <w:pPr/>
            <w:r>
              <w:rPr/>
              <w:t xml:space="preserve"/>
            </w:r>
          </w:p>
        </w:tc>
        <w:tc>
          <w:tcPr>
            <w:tcW w:w="2000" w:type="dxa"/>
            <w:gridSpan w:val="1"/>
            <w:noWrap/>
          </w:tcPr>
          <w:p>
            <w:pPr/>
            <w:r>
              <w:rPr/>
              <w:t xml:space="preserve">User fee income = &gt;USD 35,000</w:t>
            </w:r>
          </w:p>
          <w:p>
            <w:pPr/>
            <w:r>
              <w:rPr/>
              <w:t xml:space="preserve">Concession income = USD 0</w:t>
            </w:r>
          </w:p>
          <w:p>
            <w:pPr/>
            <w:r>
              <w:rPr/>
              <w:t xml:space="preserve"/>
            </w:r>
          </w:p>
          <w:p>
            <w:pPr/>
            <w:r>
              <w:rPr/>
              <w:t xml:space="preserve">Carbon credit income = USD 0</w:t>
            </w:r>
          </w:p>
          <w:p>
            <w:pPr/>
            <w:r>
              <w:rPr/>
              <w:t xml:space="preserve"/>
            </w:r>
          </w:p>
          <w:p>
            <w:pPr/>
            <w:r>
              <w:rPr/>
              <w:t xml:space="preserve">Package tour operator income = &gt;USD 5,000</w:t>
            </w:r>
          </w:p>
          <w:p>
            <w:pPr/>
            <w:r>
              <w:rPr/>
              <w:t xml:space="preserve"/>
            </w:r>
          </w:p>
        </w:tc>
        <w:tc>
          <w:tcPr>
            <w:tcW w:w="2000" w:type="dxa"/>
            <w:gridSpan w:val="1"/>
            <w:noWrap/>
          </w:tcPr>
          <w:p>
            <w:pPr/>
            <w:r>
              <w:rPr/>
              <w:t xml:space="preserve">User fee income = &gt;USD 50,000</w:t>
            </w:r>
          </w:p>
          <w:p>
            <w:pPr/>
            <w:r>
              <w:rPr/>
              <w:t xml:space="preserve"/>
            </w:r>
          </w:p>
          <w:p>
            <w:pPr/>
            <w:r>
              <w:rPr/>
              <w:t xml:space="preserve">Concession income = &gt;USD 35,000</w:t>
            </w:r>
          </w:p>
          <w:p>
            <w:pPr/>
            <w:r>
              <w:rPr/>
              <w:t xml:space="preserve">Carbon credit income = &gt;USD 40,000</w:t>
            </w:r>
          </w:p>
          <w:p>
            <w:pPr/>
            <w:r>
              <w:rPr/>
              <w:t xml:space="preserve">Package tour operator income = &gt;USD 20,000</w:t>
            </w:r>
          </w:p>
          <w:p>
            <w:pPr/>
            <w:r>
              <w:rPr/>
              <w:t xml:space="preserve"/>
            </w:r>
          </w:p>
        </w:tc>
        <w:tc>
          <w:tcPr>
            <w:tcW w:w="4000" w:type="dxa"/>
            <w:gridSpan w:val="1"/>
            <w:noWrap/>
          </w:tcPr>
          <w:p>
            <w:pPr/>
            <w:r>
              <w:rPr/>
              <w:t xml:space="preserve">User fee income: A total of USD 279,869.31 has been generated from user fee income across six (6) NFRs, through activities including: the rehabilitation of 12 kilometers of road, construction of one box culvert and a bridge, rehabilitation and maintenance of 21 kilometers of nature trails in Pugu Kazimzumbwi, and the ongoing construction of two tourism resting bandas (each with a capacity of 50 seats) at Pugu Kazimzumbwi NFR.</w:t>
            </w:r>
          </w:p>
          <w:p>
            <w:pPr/>
            <w:r>
              <w:rPr/>
              <w:t xml:space="preserve"/>
            </w:r>
          </w:p>
          <w:p>
            <w:pPr/>
            <w:r>
              <w:rPr/>
              <w:t xml:space="preserve">Concession income: A total of USD 2,534 has been generated from two (2) NFRs, designated for investment in recreational areas and facilities.</w:t>
            </w:r>
          </w:p>
          <w:p>
            <w:pPr/>
            <w:r>
              <w:rPr/>
              <w:t xml:space="preserve"/>
            </w:r>
          </w:p>
          <w:p>
            <w:pPr/>
            <w:r>
              <w:rPr/>
              <w:t xml:space="preserve">Evidence: Outcome 2.2_indicator 11_infrastructure development report at Pugu-Kazimzumbwi NFR-2025, and Outcome 2.2_indicator 11_user fee income report-2025.</w:t>
            </w:r>
          </w:p>
        </w:tc>
        <w:tc>
          <w:tcPr>
            <w:tcW w:w="4000" w:type="dxa"/>
            <w:gridSpan w:val="1"/>
            <w:noWrap/>
          </w:tcPr>
          <w:p>
            <w:pPr/>
            <w:r>
              <w:rPr/>
              <w:t xml:space="preserve">413,352 USD user fee income has been generated across six (6) NFRs since the project started through activities including: the rehabilitation of 12 kilometers of road, construction of one box culvert and a bridge, rehabilitation and maintenance of 21 kilometers of nature trails in Pugu Kazimzumbwi, and the construction of two tourism resting bandas (each with a capacity of 50 seats) at Pugu Kazimzumbwi NFR.</w:t>
            </w:r>
          </w:p>
          <w:p>
            <w:pPr/>
            <w:r>
              <w:rPr/>
              <w:t xml:space="preserve"/>
            </w:r>
          </w:p>
          <w:p>
            <w:pPr/>
            <w:r>
              <w:rPr/>
              <w:t xml:space="preserve">During the reporting period, 129,539 USD user fee income was generated across six NFRs. (Data Source: TFS Tourism Portal). These achievements were realized through the development of visitor infrastructure, targeted promotion, and strengthened management of tourism services. The improved facilities and enhanced outreach have contributed to a steady increase in tourist visits, thereby boosting revenue generation and reinforcing the sustainability of conservation efforts.</w:t>
            </w:r>
          </w:p>
          <w:p>
            <w:pPr/>
            <w:r>
              <w:rPr/>
              <w:t xml:space="preserve"/>
            </w:r>
          </w:p>
          <w:p>
            <w:pPr/>
            <w:r>
              <w:rPr/>
              <w:t xml:space="preserve">89,348 USD concession income has been generated during this reporting period from Pugu Kazimzimbwi, Mwambesi,  and Essimingor NFRs designated for investment in recreational areas and facilities. (Data Source: TFS Tourism Portal).</w:t>
            </w:r>
          </w:p>
          <w:p>
            <w:pPr/>
            <w:r>
              <w:rPr/>
              <w:t xml:space="preserve">The achievement has surpassed the EOP target, attributed by increased flow of visitors, which has generated higher user income and attracted new investors, reflecting both the growing demand for tourism services and the confidence in Tanzania’s initiatives to promote the sector.</w:t>
            </w:r>
          </w:p>
          <w:p>
            <w:pPr/>
            <w:r>
              <w:rPr/>
              <w:t xml:space="preserve"/>
            </w:r>
          </w:p>
          <w:p>
            <w:pPr/>
            <w:r>
              <w:rPr/>
              <w:t xml:space="preserve">Carbon credit income has not been realized, however the project has made progress to establish Permanent Sample Plots in 9 NFRs for monitoring and measuring carbon emission reduction potential of the NFRs, which has amounted to 8,008,713 tCO₂e (as reported under project indicator 4) registering an increase of 678,640 tCO₂e from the status at project inception.</w:t>
            </w:r>
          </w:p>
          <w:p>
            <w:pPr/>
            <w:r>
              <w:rPr/>
              <w:t xml:space="preserve"/>
            </w:r>
          </w:p>
          <w:p>
            <w:pPr/>
            <w:r>
              <w:rPr/>
              <w:t xml:space="preserve">Package tour operator income was not realized; this was not measured because it is not provided in the current tourism fee structure. The project management unit will table the matter during MTR, due September 2026 for adaptive management.</w:t>
            </w:r>
          </w:p>
          <w:p>
            <w:pPr/>
            <w:r>
              <w:rPr/>
              <w:t xml:space="preserve"/>
            </w:r>
          </w:p>
          <w:p>
            <w:pPr/>
            <w:r>
              <w:rPr/>
              <w:t xml:space="preserve">Evidence: Outcome 2.2_indicator 11_user fee income report-2026.</w:t>
            </w:r>
          </w:p>
          <w:p>
            <w:pPr/>
            <w:r>
              <w:rPr/>
              <w:t xml:space="preserve"/>
            </w:r>
          </w:p>
        </w:tc>
      </w:tr>
      <w:tr>
        <w:trPr/>
        <w:tc>
          <w:tcPr>
            <w:tcW w:w="4000" w:type="dxa"/>
            <w:gridSpan w:val="1"/>
            <w:noWrap/>
          </w:tcPr>
          <w:p>
            <w:pPr/>
            <w:r>
              <w:rPr/>
              <w:t xml:space="preserve">Outcome 2.2, Indicator 12:</w:t>
            </w:r>
          </w:p>
          <w:p>
            <w:pPr/>
            <w:r>
              <w:rPr/>
              <w:t xml:space="preserve">Total number of households in reserve-adjacent villages directly benefiting (by type of benefit) from the operationalisation of four income generating activities in NFRs with at least 50% of beneficiaries being women Headed</w:t>
            </w:r>
          </w:p>
          <w:p>
            <w:pPr/>
            <w:r>
              <w:rPr/>
              <w:t xml:space="preserve"/>
            </w:r>
          </w:p>
        </w:tc>
        <w:tc>
          <w:tcPr>
            <w:tcW w:w="2000" w:type="dxa"/>
            <w:gridSpan w:val="1"/>
            <w:noWrap/>
          </w:tcPr>
          <w:p>
            <w:pPr/>
            <w:r>
              <w:rPr/>
              <w:t xml:space="preserve">HH benefiting from Employment opportunities =0</w:t>
            </w:r>
          </w:p>
          <w:p>
            <w:pPr/>
            <w:r>
              <w:rPr/>
              <w:t xml:space="preserve">HH benefiting from Income generating activities = 0</w:t>
            </w:r>
          </w:p>
          <w:p>
            <w:pPr/>
            <w:r>
              <w:rPr/>
              <w:t xml:space="preserve">HH benefiting from Training and skills development activities = 0</w:t>
            </w:r>
          </w:p>
          <w:p>
            <w:pPr/>
            <w:r>
              <w:rPr/>
              <w:t xml:space="preserve"/>
            </w:r>
          </w:p>
        </w:tc>
        <w:tc>
          <w:tcPr>
            <w:tcW w:w="2000" w:type="dxa"/>
            <w:gridSpan w:val="1"/>
            <w:noWrap/>
          </w:tcPr>
          <w:p>
            <w:pPr/>
            <w:r>
              <w:rPr/>
              <w:t xml:space="preserve">HH benefiting from Employment opportunities = &gt;300</w:t>
            </w:r>
          </w:p>
          <w:p>
            <w:pPr/>
            <w:r>
              <w:rPr/>
              <w:t xml:space="preserve">HH benefiting from Income generating activities = &gt; 8</w:t>
            </w:r>
          </w:p>
          <w:p>
            <w:pPr/>
            <w:r>
              <w:rPr/>
              <w:t xml:space="preserve">HH benefiting from Training and skills development activities = &gt;70</w:t>
            </w:r>
          </w:p>
          <w:p>
            <w:pPr/>
            <w:r>
              <w:rPr/>
              <w:t xml:space="preserve">50% of beneficiaries being women Headed</w:t>
            </w:r>
          </w:p>
          <w:p>
            <w:pPr/>
            <w:r>
              <w:rPr/>
              <w:t xml:space="preserve"/>
            </w:r>
          </w:p>
        </w:tc>
        <w:tc>
          <w:tcPr>
            <w:tcW w:w="2000" w:type="dxa"/>
            <w:gridSpan w:val="1"/>
            <w:noWrap/>
          </w:tcPr>
          <w:p>
            <w:pPr/>
            <w:r>
              <w:rPr/>
              <w:t xml:space="preserve">HH benefiting from Employment opportunities = &gt;380</w:t>
            </w:r>
          </w:p>
          <w:p>
            <w:pPr/>
            <w:r>
              <w:rPr/>
              <w:t xml:space="preserve">HH benefiting from Income generating activities = &gt;12</w:t>
            </w:r>
          </w:p>
          <w:p>
            <w:pPr/>
            <w:r>
              <w:rPr/>
              <w:t xml:space="preserve">HH benefiting from Training and skills development activities = &gt;90</w:t>
            </w:r>
          </w:p>
          <w:p>
            <w:pPr/>
            <w:r>
              <w:rPr/>
              <w:t xml:space="preserve">50% of beneficiaries being women Headed</w:t>
            </w:r>
          </w:p>
          <w:p>
            <w:pPr/>
            <w:r>
              <w:rPr/>
              <w:t xml:space="preserve"/>
            </w:r>
          </w:p>
        </w:tc>
        <w:tc>
          <w:tcPr>
            <w:tcW w:w="4000" w:type="dxa"/>
            <w:gridSpan w:val="1"/>
            <w:noWrap/>
          </w:tcPr>
          <w:p>
            <w:pPr/>
            <w:r>
              <w:rPr/>
              <w:t xml:space="preserve">134 households (14 female headed households) from adjacent villages have directly benefited from income-generating activities, including 134 employment opportunities (120 M and 14 F).</w:t>
            </w:r>
          </w:p>
          <w:p>
            <w:pPr/>
            <w:r>
              <w:rPr/>
              <w:t xml:space="preserve"/>
            </w:r>
          </w:p>
          <w:p>
            <w:pPr/>
            <w:r>
              <w:rPr/>
              <w:t xml:space="preserve">Evidence: Outcome 2.2_indicator 12_Report on Employment in Construction activities-2025.</w:t>
            </w:r>
          </w:p>
        </w:tc>
        <w:tc>
          <w:tcPr>
            <w:tcW w:w="4000" w:type="dxa"/>
            <w:gridSpan w:val="1"/>
            <w:noWrap/>
          </w:tcPr>
          <w:p>
            <w:pPr/>
            <w:r>
              <w:rPr/>
              <w:t xml:space="preserve">366 households (54 women-headed households, 14.8%) from adjacent villages have directly benefited from employment opportunities.</w:t>
            </w:r>
          </w:p>
          <w:p>
            <w:pPr/>
            <w:r>
              <w:rPr/>
              <w:t xml:space="preserve"/>
            </w:r>
          </w:p>
          <w:p>
            <w:pPr/>
            <w:r>
              <w:rPr/>
              <w:t xml:space="preserve">During the reporting period, 234 households (40 women-headed households) benefited from employment opportunities from labour intensive investments in the NFRs.</w:t>
            </w:r>
          </w:p>
          <w:p>
            <w:pPr/>
            <w:r>
              <w:rPr/>
              <w:t xml:space="preserve"/>
            </w:r>
          </w:p>
          <w:p>
            <w:pPr/>
            <w:r>
              <w:rPr/>
              <w:t xml:space="preserve">180 households (including 32 female‑headed households, 18%) from six villages adjacent to Uzigua NFR have been supported to operationalize Income‑Generating Activities (IGAs). These are smallholder crop farmers in the buffer zones of the NFRs, who adopted Climate‑Smart Agriculture (CSA) and Good Agricultural Practices (GAP) through the establishment of farmer field schools in six villages; and fruit and timber seedlings distribution initiatives to enhance livelihood support. This was achieved during this reporting period.</w:t>
            </w:r>
          </w:p>
          <w:p>
            <w:pPr/>
            <w:r>
              <w:rPr/>
              <w:t xml:space="preserve"/>
            </w:r>
          </w:p>
          <w:p>
            <w:pPr/>
            <w:r>
              <w:rPr/>
              <w:t xml:space="preserve">466 households (including 84 women‑headed households, 18%) were trained and capacitated, through project support, on the establishment and management of Village Land Forest Reserves, environmental and social safeguarding, joint forest management, Climate‑Smart Agriculture (CSA), and climate mitigation and adaptation. During the reporting period, 180 households (84 women-headed) were trained on Climate‑Smart Agriculture (CSA).</w:t>
            </w:r>
          </w:p>
          <w:p>
            <w:pPr/>
            <w:r>
              <w:rPr/>
              <w:t xml:space="preserve"/>
            </w:r>
          </w:p>
          <w:p>
            <w:pPr/>
            <w:r>
              <w:rPr/>
              <w:t xml:space="preserve">Most IGA activities are scheduled for the next reporting periods, during which the project will implement gender actions as guided by the Gender Action Plan to ensure gender balance among the direct beneficiaries. In particular, the project will enhance the participation of female-headed households, ensuring that more women benefit directly in the upcoming phase.</w:t>
            </w:r>
          </w:p>
          <w:p>
            <w:pPr/>
            <w:r>
              <w:rPr/>
              <w:t xml:space="preserve"/>
            </w:r>
          </w:p>
          <w:p>
            <w:pPr/>
            <w:r>
              <w:rPr/>
              <w:t xml:space="preserve">Evidence: Outcome 1.2_indicator 9_report on tree nursery activity-2025; Outcome 1.2_indicator 9_report on CSA and GAP-2026</w:t>
            </w:r>
          </w:p>
          <w:p>
            <w:pPr/>
            <w:r>
              <w:rPr/>
              <w:t xml:space="preserve"/>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5</w:t>
            </w:r>
          </w:p>
          <w:p>
            <w:pPr/>
            <w:r>
              <w:rPr>
                <w:b w:val="1"/>
                <w:bCs w:val="1"/>
              </w:rPr>
              <w:t xml:space="preserve">OUTCOME 3.1:</w:t>
            </w:r>
          </w:p>
          <w:p>
            <w:pPr/>
            <w:r>
              <w:rPr>
                <w:b w:val="1"/>
                <w:bCs w:val="1"/>
              </w:rPr>
              <w:t xml:space="preserve">Improved knowledge on the management of climate-induced threats to forest biodiversity guides the future climate proofing of the national network of NFRs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3.1, indicator 13:</w:t>
            </w:r>
          </w:p>
          <w:p>
            <w:pPr/>
            <w:r>
              <w:rPr/>
              <w:t xml:space="preserve">Number of TFS and VPO staff (disaggregated by gender) trained and capacitated to mainstream climate change knowledge into forest reserve planning and management, and/or to create the enabling conditions for forest carbon credit market development</w:t>
            </w:r>
          </w:p>
          <w:p>
            <w:pPr/>
            <w:r>
              <w:rPr/>
              <w:t xml:space="preserve"/>
            </w:r>
          </w:p>
        </w:tc>
        <w:tc>
          <w:tcPr>
            <w:tcW w:w="2000" w:type="dxa"/>
            <w:gridSpan w:val="1"/>
            <w:noWrap/>
          </w:tcPr>
          <w:p>
            <w:pPr/>
            <w:r>
              <w:rPr/>
              <w:t xml:space="preserve">VPO = 0</w:t>
            </w:r>
          </w:p>
          <w:p>
            <w:pPr/>
            <w:r>
              <w:rPr/>
              <w:t xml:space="preserve">TFS = 0</w:t>
            </w:r>
          </w:p>
          <w:p>
            <w:pPr/>
            <w:r>
              <w:rPr/>
              <w:t xml:space="preserve"/>
            </w:r>
          </w:p>
        </w:tc>
        <w:tc>
          <w:tcPr>
            <w:tcW w:w="2000" w:type="dxa"/>
            <w:gridSpan w:val="1"/>
            <w:noWrap/>
          </w:tcPr>
          <w:p>
            <w:pPr/>
            <w:r>
              <w:rPr/>
              <w:t xml:space="preserve">VPO = 10 (F=5; M=5)</w:t>
            </w:r>
          </w:p>
          <w:p>
            <w:pPr/>
            <w:r>
              <w:rPr/>
              <w:t xml:space="preserve">TFS = 12 (F=5; M=7)</w:t>
            </w:r>
          </w:p>
          <w:p>
            <w:pPr/>
            <w:r>
              <w:rPr/>
              <w:t xml:space="preserve"/>
            </w:r>
          </w:p>
        </w:tc>
        <w:tc>
          <w:tcPr>
            <w:tcW w:w="2000" w:type="dxa"/>
            <w:gridSpan w:val="1"/>
            <w:noWrap/>
          </w:tcPr>
          <w:p>
            <w:pPr/>
            <w:r>
              <w:rPr/>
              <w:t xml:space="preserve">VPO = 15 (F=6; M=9)</w:t>
            </w:r>
          </w:p>
          <w:p>
            <w:pPr/>
            <w:r>
              <w:rPr/>
              <w:t xml:space="preserve">TFS = 17 (F=7; M=10)</w:t>
            </w:r>
          </w:p>
          <w:p>
            <w:pPr/>
            <w:r>
              <w:rPr/>
              <w:t xml:space="preserve"/>
            </w:r>
          </w:p>
        </w:tc>
        <w:tc>
          <w:tcPr>
            <w:tcW w:w="4000" w:type="dxa"/>
            <w:gridSpan w:val="1"/>
            <w:noWrap/>
          </w:tcPr>
          <w:p>
            <w:pPr/>
            <w:r>
              <w:rPr/>
              <w:t xml:space="preserve">40 TFS staff (M 29 and F 11) were trained and capacitated on procurement and contract management, and Social and Environmental Safeguards.</w:t>
            </w:r>
          </w:p>
          <w:p>
            <w:pPr/>
            <w:r>
              <w:rPr/>
              <w:t xml:space="preserve"/>
            </w:r>
          </w:p>
          <w:p>
            <w:pPr/>
            <w:r>
              <w:rPr/>
              <w:t xml:space="preserve">Evidence: Outcome 3.1_indicator 13_training on SES Report-2024.</w:t>
            </w:r>
          </w:p>
          <w:p>
            <w:pPr/>
            <w:r>
              <w:rPr/>
              <w:t xml:space="preserve"/>
            </w:r>
          </w:p>
        </w:tc>
        <w:tc>
          <w:tcPr>
            <w:tcW w:w="4000" w:type="dxa"/>
            <w:gridSpan w:val="1"/>
            <w:noWrap/>
          </w:tcPr>
          <w:p>
            <w:pPr/>
            <w:r>
              <w:rPr/>
              <w:t xml:space="preserve">A total of 67 staff (M 51 and F 16) from VPO and TFS have been trained as follows: 2 staff from VPO (M 1 and F 1), which is 20% of MTR target, were facilitated to participate in the UNEA and CBD COP 16 where they engaged in side-events that provided a valuable learning platform on mainstreaming climate change into national planning and management processes.</w:t>
            </w:r>
          </w:p>
          <w:p>
            <w:pPr/>
            <w:r>
              <w:rPr/>
              <w:t xml:space="preserve"/>
            </w:r>
          </w:p>
          <w:p>
            <w:pPr/>
            <w:r>
              <w:rPr/>
              <w:t xml:space="preserve">65 TFS staff (M 50 and F 15) against 17 EOP targets were trained and capacitated on procurement and contract management, and Social and Environmental Safeguards as well as mainstreaming climate change in planning and management.</w:t>
            </w:r>
          </w:p>
          <w:p>
            <w:pPr/>
            <w:r>
              <w:rPr/>
              <w:t xml:space="preserve"/>
            </w:r>
          </w:p>
          <w:p>
            <w:pPr/>
            <w:r>
              <w:rPr/>
              <w:t xml:space="preserve">During the reporting period, 1 male staff from VPO was facilitated to attend UNEA which focuses on advancing solutions for a resilient planet. Although the target was not fully achieved, the project plans to scale up participation in future trainings and related forums as outlined in the multi-year workplan. In addition, 25 TFS staff (M 21 and F 4) were trained on gender mainstreaming, grievance redress mechanism and social and environmental safeguards.</w:t>
            </w:r>
          </w:p>
          <w:p>
            <w:pPr/>
            <w:r>
              <w:rPr/>
              <w:t xml:space="preserve"/>
            </w:r>
          </w:p>
          <w:p>
            <w:pPr/>
            <w:r>
              <w:rPr/>
              <w:t xml:space="preserve">Evidence: Outcome 3.1_indicator 13_report on COP CBD-2024, Outcome 3.1_indicator 13_report on UNEA-2025 and Outcome 3.1_indicator 13_training on ESS Report-2026.</w:t>
            </w:r>
          </w:p>
          <w:p>
            <w:pPr/>
            <w:r>
              <w:rPr/>
              <w:t xml:space="preserve"/>
            </w:r>
          </w:p>
        </w:tc>
      </w:tr>
      <w:tr>
        <w:trPr/>
        <w:tc>
          <w:tcPr>
            <w:tcW w:w="4000" w:type="dxa"/>
            <w:gridSpan w:val="1"/>
            <w:noWrap/>
          </w:tcPr>
          <w:p>
            <w:pPr/>
            <w:r>
              <w:rPr/>
              <w:t xml:space="preserve">Outcome 3.1, Indicator 14:</w:t>
            </w:r>
          </w:p>
          <w:p>
            <w:pPr/>
            <w:r>
              <w:rPr/>
              <w:t xml:space="preserve">Number of NFRs collecting and maintaining daily weather data</w:t>
            </w:r>
          </w:p>
          <w:p>
            <w:pPr/>
            <w:r>
              <w:rPr/>
              <w:t xml:space="preserve"/>
            </w:r>
          </w:p>
        </w:tc>
        <w:tc>
          <w:tcPr>
            <w:tcW w:w="2000" w:type="dxa"/>
            <w:gridSpan w:val="1"/>
            <w:noWrap/>
          </w:tcPr>
          <w:p>
            <w:pPr/>
            <w:r>
              <w:rPr/>
              <w:t xml:space="preserve">0</w:t>
            </w:r>
          </w:p>
        </w:tc>
        <w:tc>
          <w:tcPr>
            <w:tcW w:w="2000" w:type="dxa"/>
            <w:gridSpan w:val="1"/>
            <w:noWrap/>
          </w:tcPr>
          <w:p>
            <w:pPr/>
            <w:r>
              <w:rPr/>
              <w:t xml:space="preserve">2</w:t>
            </w:r>
          </w:p>
        </w:tc>
        <w:tc>
          <w:tcPr>
            <w:tcW w:w="2000" w:type="dxa"/>
            <w:gridSpan w:val="1"/>
            <w:noWrap/>
          </w:tcPr>
          <w:p>
            <w:pPr/>
            <w:r>
              <w:rPr/>
              <w:t xml:space="preserve">5</w:t>
            </w:r>
          </w:p>
        </w:tc>
        <w:tc>
          <w:tcPr>
            <w:tcW w:w="4000" w:type="dxa"/>
            <w:gridSpan w:val="1"/>
            <w:noWrap/>
          </w:tcPr>
          <w:p>
            <w:pPr/>
            <w:r>
              <w:rPr/>
              <w:t xml:space="preserve">9 NFRs are collecting and maintaining weather data with the aim of managing climate-induced threats to forest biodiversity.</w:t>
            </w:r>
          </w:p>
          <w:p>
            <w:pPr/>
            <w:r>
              <w:rPr/>
              <w:t xml:space="preserve"/>
            </w:r>
          </w:p>
          <w:p>
            <w:pPr/>
            <w:r>
              <w:rPr/>
              <w:t xml:space="preserve">Evidence: Outcome 3.1_indicator 14_Weather Data Report-2024.</w:t>
            </w:r>
          </w:p>
        </w:tc>
        <w:tc>
          <w:tcPr>
            <w:tcW w:w="4000" w:type="dxa"/>
            <w:gridSpan w:val="1"/>
            <w:noWrap/>
          </w:tcPr>
          <w:p>
            <w:pPr/>
            <w:r>
              <w:rPr/>
              <w:t xml:space="preserve">9 NFRs are collecting and maintaining weather data for managing climate induced threats to enhance forest biodiversity, for example, timely fire management activities such as maintenance of fire lines. The project has taken adaptive management by accessing weather data from Tanzania Meteorological Agency (TMA) which are made available for each NFR to use for planning and management.</w:t>
            </w:r>
          </w:p>
          <w:p>
            <w:pPr/>
            <w:r>
              <w:rPr/>
              <w:t xml:space="preserve"/>
            </w:r>
          </w:p>
          <w:p>
            <w:pPr/>
            <w:r>
              <w:rPr/>
              <w:t xml:space="preserve">Evidence: Outcome 3.1_indicator 14_Weather Data Report-2024.</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6</w:t>
            </w:r>
          </w:p>
          <w:p>
            <w:pPr/>
            <w:r>
              <w:rPr>
                <w:b w:val="1"/>
                <w:bCs w:val="1"/>
              </w:rPr>
              <w:t xml:space="preserve">Outcome 3.2:</w:t>
            </w:r>
          </w:p>
          <w:p>
            <w:pPr/>
            <w:r>
              <w:rPr>
                <w:b w:val="1"/>
                <w:bCs w:val="1"/>
              </w:rPr>
              <w:t xml:space="preserve">Measures to monitor and assess project performance, ensure gender mainstreaming, and mitigate social and environmental risks are developed, implemented, and reported on</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Outcome 3.2, Indicator 15:</w:t>
            </w:r>
          </w:p>
          <w:p>
            <w:pPr/>
            <w:r>
              <w:rPr/>
              <w:t xml:space="preserve">Overall MTE and FE report rating of the project objective and outcomes (HS, S, MS, MU, U, HU)</w:t>
            </w:r>
          </w:p>
          <w:p>
            <w:pPr/>
            <w:r>
              <w:rPr/>
              <w:t xml:space="preserve"/>
            </w:r>
          </w:p>
        </w:tc>
        <w:tc>
          <w:tcPr>
            <w:tcW w:w="2000" w:type="dxa"/>
            <w:gridSpan w:val="1"/>
            <w:noWrap/>
          </w:tcPr>
          <w:p>
            <w:pPr/>
            <w:r>
              <w:rPr/>
              <w:t xml:space="preserve">N/A</w:t>
            </w:r>
          </w:p>
        </w:tc>
        <w:tc>
          <w:tcPr>
            <w:tcW w:w="2000" w:type="dxa"/>
            <w:gridSpan w:val="1"/>
            <w:noWrap/>
          </w:tcPr>
          <w:p>
            <w:pPr/>
            <w:r>
              <w:rPr/>
              <w:t xml:space="preserve">Moderately Satisfactory</w:t>
            </w:r>
          </w:p>
        </w:tc>
        <w:tc>
          <w:tcPr>
            <w:tcW w:w="2000" w:type="dxa"/>
            <w:gridSpan w:val="1"/>
            <w:noWrap/>
          </w:tcPr>
          <w:p>
            <w:pPr/>
            <w:r>
              <w:rPr/>
              <w:t xml:space="preserve">Satisfactory</w:t>
            </w:r>
          </w:p>
        </w:tc>
        <w:tc>
          <w:tcPr>
            <w:tcW w:w="4000" w:type="dxa"/>
            <w:gridSpan w:val="1"/>
            <w:noWrap/>
          </w:tcPr>
          <w:p>
            <w:pPr/>
            <w:r>
              <w:rPr/>
              <w:t xml:space="preserve">This activity was not carried out, as it was scheduled to be covered during the midterm and terminal evaluation reports of the project.</w:t>
            </w:r>
          </w:p>
        </w:tc>
        <w:tc>
          <w:tcPr>
            <w:tcW w:w="4000" w:type="dxa"/>
            <w:gridSpan w:val="1"/>
            <w:noWrap/>
          </w:tcPr>
          <w:p>
            <w:pPr/>
            <w:r>
              <w:rPr/>
              <w:t xml:space="preserve">Development objective progress was rated. The Mid‑Term Review (MTR) is scheduled for September 2026 to assess progress, identify challenges, and strengthen implementation of project activities. However, general progress towards achievement of the development objective and implementation is on track with 8 out of 15 indicators exceeding MTR targets, 6 indicators on track to achieving MTR targets and one indicator on forest indices measured to set benchmark for comparison in the next assessment phase.</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The MTR is scheduled to be conducted in September 2026</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2,232,769</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t xml:space="preserve">150,000</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4,837,010</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27,686,000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2025-12-17</w:t>
            </w:r>
          </w:p>
        </w:tc>
      </w:tr>
      <w:tr>
        <w:trPr/>
        <w:tc>
          <w:tcPr>
            <w:tcW w:w="10000" w:type="dxa"/>
            <w:gridSpan w:val="1"/>
            <w:noWrap/>
          </w:tcPr>
          <w:p>
            <w:pPr/>
            <w:r>
              <w:rPr/>
              <w:t xml:space="preserve">2025-07-22</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This is the second PIR for the 6-year GEF-financed project whose objective is to strengthen the governance, operations, and financial management of Natural Forest Reserves (NFRs) to enhance the resilience of forest biodiversity to climate change threats. To deliver on the objective, the project is structured around three complementary components-1: Manage climate-induced threats to forest biodiversity; 2: Develop income-generating activities to finance threat-reduction measures; and 3: Knowledge management, monitoring and evaluation and gender mainstreaming.</w:t>
            </w:r>
          </w:p>
          <w:p>
            <w:pPr/>
            <w:r>
              <w:rPr/>
              <w:t xml:space="preserve"/>
            </w:r>
          </w:p>
          <w:p>
            <w:pPr/>
            <w:r>
              <w:rPr/>
              <w:t xml:space="preserve">The mid-term review of the project has been initiated and is expected to be completed in September 2026. Results of the MTR will inform adaptive measures required to address any emerging issues to ensure that implementation remains on track to achieve end of project targets.</w:t>
            </w:r>
          </w:p>
          <w:p>
            <w:pPr/>
            <w:r>
              <w:rPr/>
              <w:t xml:space="preserve"/>
            </w:r>
          </w:p>
          <w:p>
            <w:pPr/>
            <w:r>
              <w:rPr/>
              <w:t xml:space="preserve">The project has made substantial progress towards achieving its Development Objective of improving the governance, operational effectiveness and financial sustainability of Tanzania's Nature Forest Reserves (NFRs) to enhance the resilience of forest biodiversity to climate change. As of 30 June 2026, implementation has moved beyond establishment of enabling conditions and is increasingly generating measurable conservation, governance, livelihood and financing outcomes. Overall progress demonstrates that the project remains broadly on track to achieve most end-of-project targets, although several strategic areas require acceleration during the second half of implementation.</w:t>
            </w:r>
          </w:p>
          <w:p>
            <w:pPr/>
            <w:r>
              <w:rPr/>
              <w:t xml:space="preserve"/>
            </w:r>
          </w:p>
          <w:p>
            <w:pPr/>
            <w:r>
              <w:rPr/>
              <w:t xml:space="preserve">At the objective level, the project reports cumulative direct benefits to 10,952 people (6,111 men and 4,841 women) representing achievement of more than 100 percent of the MTR target and approximately 72 percent of the end-of-project target. The project has successfully combined biodiversity conservation with livelihood enhancement through climate-smart agriculture, participatory forest management, wildfire management, restoration activities, environmental safeguards training and employment creation in reserve management and infrastructure development. These results demonstrate strong community engagement and increasing local ownership of conservation interventions.</w:t>
            </w:r>
          </w:p>
          <w:p>
            <w:pPr/>
            <w:r>
              <w:rPr/>
              <w:t xml:space="preserve"/>
            </w:r>
          </w:p>
          <w:p>
            <w:pPr/>
            <w:r>
              <w:rPr/>
              <w:t xml:space="preserve">Protected area management performance has improved significantly. The project reports 181,612 ha of Nature Forest Reserves under improved management, equivalent to approximately 98 percent of the midterm target. Management effectiveness has improved substantially, with average METT scores increasing from approximately 42 at baseline to 76 at midterm. Major investments in reserve management have included boundary demarcation, strengthening ranger capacity, improving reserve infrastructure, deployment of operational equipment, wildfire management training and implementation of reserve management interventions across the targeted forest reserve system. These achievements represent one of the strongest dimensions of project performance to date.</w:t>
            </w:r>
          </w:p>
          <w:p>
            <w:pPr/>
            <w:r>
              <w:rPr/>
              <w:t xml:space="preserve"/>
            </w:r>
          </w:p>
          <w:p>
            <w:pPr/>
            <w:r>
              <w:rPr/>
              <w:t xml:space="preserve">The project has also exceeded its midterm target for landscapes under improved management through establishment and operationalization of 17 Village Land Forest Reserves covering 4,077.27 ha. Community-based conservation has been strengthened through Village Land Use Planning, Community Forest Management Plans, village by-laws and Joint Management Agreements. The resulting governance framework is creating an important foundation for sustaining conservation outcomes beyond the project period while reducing pressures on protected areas.</w:t>
            </w:r>
          </w:p>
          <w:p>
            <w:pPr/>
            <w:r>
              <w:rPr/>
              <w:t xml:space="preserve"/>
            </w:r>
          </w:p>
          <w:p>
            <w:pPr/>
            <w:r>
              <w:rPr/>
              <w:t xml:space="preserve">Institutional strengthening results are also noteworthy. All targeted reserves now have operational staffing arrangements, and significant investments have been made in ranger capacity, infrastructure, vehicles, communications equipment and biodiversity monitoring systems. The establishment of 142 Permanent Sample Plots across nine Nature Forest Reserves represents a major achievement that provides a long-term scientific platform for monitoring forest health, carbon stocks, biodiversity status and climate resilience outcomes. Weather-monitoring systems are operational across all targeted reserves, further strengthening adaptive management capacity.</w:t>
            </w:r>
          </w:p>
          <w:p>
            <w:pPr/>
            <w:r>
              <w:rPr/>
              <w:t xml:space="preserve"/>
            </w:r>
          </w:p>
          <w:p>
            <w:pPr/>
            <w:r>
              <w:rPr/>
              <w:t xml:space="preserve">Progress on sustainable financing has exceeded expectations at this stage of implementation. Tourism and concession investments have generated approximately USD 413,352 in visitor revenues and USD 89,348 in concession revenues, demonstrating growing private-sector confidence and increasing potential for long-term sustainability of conservation investments. Five Conservation Investment Plans have been completed and are guiding development of nature-based enterprises and ecotourism opportunities. Co-financing mobilization is also performing strongly, with approximately 80 percent of committed co-financing reported as materialized.</w:t>
            </w:r>
          </w:p>
          <w:p>
            <w:pPr/>
            <w:r>
              <w:rPr/>
              <w:t xml:space="preserve"/>
            </w:r>
          </w:p>
          <w:p>
            <w:pPr/>
            <w:r>
              <w:rPr/>
              <w:t xml:space="preserve">The project is making important contributions to UNDP's Nature Pledge and Tanzania's commitments under the Convention on Biological Diversity, UNFCCC and UNCCD. Results support GBF implementation through improved protected-area management, restoration, biodiversity finance, community conservation, sustainable land management, nature-positive livelihoods and enhanced governance arrangements.</w:t>
            </w:r>
          </w:p>
          <w:p>
            <w:pPr/>
            <w:r>
              <w:rPr/>
              <w:t xml:space="preserve">Based on cumulative progress achieved, the project remains positioned to achieve most of its expected development results and global environmental benefits. However, achievement of all end-of-project targets will depend on intensified implementation and adaptive management during the remaining implementation period.</w:t>
            </w:r>
          </w:p>
          <w:p>
            <w:pPr/>
            <w:r>
              <w:rPr/>
              <w:t xml:space="preserve"/>
            </w:r>
          </w:p>
          <w:p>
            <w:pPr/>
            <w:r>
              <w:rPr/>
              <w:t xml:space="preserve">DO rating and Justification: Satisfactory</w:t>
            </w:r>
          </w:p>
          <w:p>
            <w:pPr/>
            <w:r>
              <w:rPr/>
              <w:t xml:space="preserve">The project is making credible progress towards its Development Objective and is on track to achieve most of its end-of-project targets. Significant progress has been achieved in protected area management, governance, biodiversity monitoring, community conservation, sustainable financing and beneficiary outreach. However, shortcomings remain in livelihood implementation, collaborative management expansion, gender outcomes, delivery performance and validation of selected environmental indicators. Prompt adaptive management will be required to ensure full achievement of intended outcomes by project closure.</w:t>
            </w:r>
          </w:p>
          <w:p>
            <w:pPr/>
            <w:r>
              <w:rPr/>
              <w:t xml:space="preserve"/>
            </w:r>
          </w:p>
          <w:p>
            <w:pPr/>
            <w:r>
              <w:rPr/>
              <w:t xml:space="preserve">Direct beneficiaries and landscapes under improved management have exceeded midterm targets, while protected-area coverage has reached approximately 98% of target. Management effectiveness has improved substantially, with average METT scores rising from about 42 to 76. The establishment of 142 Permanent Sample Plots across nine reserves strengthens long-term monitoring. Reported GHG results also exceed the midterm target.</w:t>
            </w:r>
          </w:p>
          <w:p>
            <w:pPr/>
            <w:r>
              <w:rPr/>
              <w:t xml:space="preserve"/>
            </w:r>
          </w:p>
          <w:p>
            <w:pPr/>
            <w:r>
              <w:rPr/>
              <w:t xml:space="preserve">Evidence Supporting the Development Objective (DO) Rating</w:t>
            </w:r>
          </w:p>
          <w:p>
            <w:pPr/>
            <w:r>
              <w:rPr/>
              <w:t xml:space="preserve"/>
            </w:r>
          </w:p>
          <w:p>
            <w:pPr/>
            <w:r>
              <w:rPr/>
              <w:t xml:space="preserve">The assessment of progress towards the Development Objective is supported by a comprehensive body of evidence demonstrating improvements in protected area management, community-based conservation, biodiversity monitoring, climate resilience, sustainable livelihoods, and conservation financing.</w:t>
            </w:r>
          </w:p>
          <w:p>
            <w:pPr/>
            <w:r>
              <w:rPr/>
              <w:t xml:space="preserve">Key evidence include  Protected area management and management effectiveness METT assessment reports documenting improved management of 181,612 ha of Nature Forest Reserves and significant improvements in management effectiveness scores; Boundary demarcation reports for Essimingor, Mt. Hanang, Pugu-Kazimzumbwi, Rondo, and Vikindu Nature Forest Reserves, demonstrating strengthened reserve protection and governance; Village Land Forest Reserve (VLFR) establishment reports and signboard installation reports confirming the establishment and operationalization of 17 VLFRs covering 4,077.27 ha; Community Forest Management Plans and village by-laws for Kimange, Kwamduma, Kwamsanja, and Kwaruhombo, together with Joint Management Agreement (JMA) reports for Mt; Hanang, Essimingor, and Rondo, demonstrating strengthened community stewardship and collaborative management of forest resources; Greenhouse gas estimation reports and the establishment of 142 Permanent Sample Plots (PSPs) across nine Nature Forest Reserves, supported by PSP activity and assessment reports that provide evidence of strengthened biodiversity, carbon stock, and forest health monitoring systems; Construction, employment, climate-smart agriculture (CSA/GAP), livestock-dip rehabilitation, and wildfire management reports demonstrating benefits to local communities through livelihood enhancement, climate resilience building, and reduced pressure on forest ecosystems; TFS Tourism records and supporting documentation showing increased user-fee revenues and concession income from ecotourism investments, contributing to long-term financial sustainability of Nature Forest Reserves.</w:t>
            </w:r>
          </w:p>
          <w:p>
            <w:pPr/>
            <w:r>
              <w:rPr/>
              <w:t xml:space="preserve"/>
            </w:r>
          </w:p>
          <w:p>
            <w:pPr/>
            <w:r>
              <w:rPr/>
              <w:t xml:space="preserve">Outcome 1.1 Improved planning and operational management capacity in NFRs enables a more proactive response to climate change</w:t>
            </w:r>
          </w:p>
          <w:p>
            <w:pPr/>
            <w:r>
              <w:rPr/>
              <w:t xml:space="preserve"/>
            </w:r>
          </w:p>
          <w:p>
            <w:pPr/>
            <w:r>
              <w:rPr/>
              <w:t xml:space="preserve">Outcome 1.1 has demonstrated significant progress since the 2025 PIR. The project has successfully moved beyond establishing foundational conditions and is now generating tangible improvements in protected area governance, operational management, staffing, infrastructure development, management effectiveness, and conservation financing. Progress against the outcome indicator targets has been substantial. Seven Nature Forest Reserves (NFRs) are implementing approved management plans, achieving the midterm target. Staffing and operational capacity have significantly exceeded expectations, with all 10 targeted NFRs now adequately staffed and equipped, surpassing both the midterm and end-of-project targets. Similarly, functional infrastructure and services have been established in seven NFRs, already meeting the end-of-project target. The project has also strengthened the long-term sustainability of reserve management through implementation of 18 Joint Management Agreements across three NFR landscapes and mobilization of conservation financing through concession agreements in three NFRs, exceeding the midterm target of two reserves. In addition, 57 operational staff have been trained, equipped and deployed to address climate-induced threats such as wildfires, habitat degradation, encroachment and invasive species, surpassing the midterm target of 50 staff.</w:t>
            </w:r>
          </w:p>
          <w:p>
            <w:pPr/>
            <w:r>
              <w:rPr/>
              <w:t xml:space="preserve"/>
            </w:r>
          </w:p>
          <w:p>
            <w:pPr/>
            <w:r>
              <w:rPr/>
              <w:t xml:space="preserve">These achievements have contributed directly to improved reserve management effectiveness, strengthened operational readiness, enhanced community engagement and increased financial sustainability reported under the project objective. The outcome demonstrates clear evidence that investments made during the initial years of the project are translating into measurable management improvements and increased resilience of Nature Forest Reserves to climate change impacts. The outcome has moved from establishing management systems to demonstrating tangible improvements in the ability of NFRs to respond proactively to climate-related threats and biodiversity conservation challenges.</w:t>
            </w:r>
          </w:p>
          <w:p>
            <w:pPr/>
            <w:r>
              <w:rPr/>
              <w:t xml:space="preserve"/>
            </w:r>
          </w:p>
          <w:p>
            <w:pPr/>
            <w:r>
              <w:rPr/>
              <w:t xml:space="preserve">The reported results are supported by extensive evidence which has been reviewed including, boundary demarcation reports for Essimingor, Mt. Hanang, Pugu-Kazimzumbwi, Rondo and Vikindu NFRs; capacity-building reports on environmental and social safeguards; Joint Management Agreement implementation reports; infrastructure construction and rehabilitation reports; climate change risk assessment reports; wildfire management training reports; and staff training records. These documents collectively demonstrate delivery of planned outputs and provide adequate evidence of progress toward the outcome targets.</w:t>
            </w:r>
          </w:p>
          <w:p>
            <w:pPr/>
            <w:r>
              <w:rPr/>
              <w:t xml:space="preserve"/>
            </w:r>
          </w:p>
          <w:p>
            <w:pPr/>
            <w:r>
              <w:rPr/>
              <w:t xml:space="preserve">Given that most indicator targets have already been achieved or exceeded at midterm, and that the operational and institutional foundations for climate-resilient reserve management are firmly in place, the outcome is appropriately assessed as being on track to achieve, and potentially exceed, its end-of-project expectations.</w:t>
            </w:r>
          </w:p>
          <w:p>
            <w:pPr/>
            <w:r>
              <w:rPr/>
              <w:t xml:space="preserve"/>
            </w:r>
          </w:p>
          <w:p>
            <w:pPr/>
            <w:r>
              <w:rPr/>
              <w:t xml:space="preserve">Outcome 1.2: Enhanced collaboration in the management of buffer areas around NFRs contributes to mitigating and adapting to climate-induced threats to forest biodiversity</w:t>
            </w:r>
          </w:p>
          <w:p>
            <w:pPr/>
            <w:r>
              <w:rPr/>
              <w:t xml:space="preserve">Outcome 1.2 has made good progress in establishing community-based governance and collaborative forest management systems around targeted Nature Forest Reserves.</w:t>
            </w:r>
          </w:p>
          <w:p>
            <w:pPr/>
            <w:r>
              <w:rPr/>
              <w:t xml:space="preserve"/>
            </w:r>
          </w:p>
          <w:p>
            <w:pPr/>
            <w:r>
              <w:rPr/>
              <w:t xml:space="preserve">Building on the foundations established during the previous PIR cycle, the project has successfully strengthened local stewardship of forest resources through the establishment and operationalization of 17 Village Land Forest Reserves (VLFRs) covering 4,077.27 ha, supported by community governance arrangements, forest management plans, village by-laws, and livelihood interventions.</w:t>
            </w:r>
          </w:p>
          <w:p>
            <w:pPr/>
            <w:r>
              <w:rPr/>
              <w:t xml:space="preserve"/>
            </w:r>
          </w:p>
          <w:p>
            <w:pPr/>
            <w:r>
              <w:rPr/>
              <w:t xml:space="preserve">Progress has been particularly strong in strengthening community conservation structures. Four Community Forest Management Plans were completed and are being implemented in Kimange, Kwamduma, Kwamsanja and Kwaruhombo villages, representing 80 percent of the midterm target. The project has also operationalized 18 Joint Management Agreements (JMAs) involving communities adjacent to Mt. Hanang, Rondo and Essimingor NFRs, providing a framework for collaborative management of forest biodiversity and improved community access to natural resources. Furthermore, 1,127 households gained improved access to forest resources under agreed management arrangements, slightly exceeding the midterm target and demonstrating growing community participation in sustainable forest management.</w:t>
            </w:r>
          </w:p>
          <w:p>
            <w:pPr/>
            <w:r>
              <w:rPr/>
              <w:t xml:space="preserve"/>
            </w:r>
          </w:p>
          <w:p>
            <w:pPr/>
            <w:r>
              <w:rPr/>
              <w:t xml:space="preserve">The project has supported climate-smart agriculture, tree nursery development, livelihood diversification, village land-use planning implementation, and rehabilitation of community infrastructure such as livestock dips, contributing to improved resilience and reduced pressure on forest resources. These interventions provide an important foundation for strengthening conservation-livelihood linkages and supporting community adaptation to climate-induced threats.</w:t>
            </w:r>
          </w:p>
          <w:p>
            <w:pPr/>
            <w:r>
              <w:rPr/>
              <w:t xml:space="preserve"/>
            </w:r>
          </w:p>
          <w:p>
            <w:pPr/>
            <w:r>
              <w:rPr/>
              <w:t xml:space="preserve">The project has made commendable encouraging progress on sustainable financing. It reports cumulative user-fee income of USD 413,352 across six NFRs, including USD 129,539 during FY2026, and concession income of USD 89,348 from ecotourism arrangements in Pugu-Kazimzumbwi, Mwambesi and Essimingor. Co-financing of approximately USD 22.19 million—80.1% of the total commitment of USD 27.686 million is reported as materialized. This suggests strong government and partner ownership, although the amounts should be verified and classified by cash, in-kind, parallel and recurrent expenditure.</w:t>
            </w:r>
          </w:p>
          <w:p>
            <w:pPr/>
            <w:r>
              <w:rPr/>
              <w:t xml:space="preserve">The establishment of 142 Permanent Sample Plots across nine NFRs provides a potentially important scientific basis for monitoring forest condition, biomass, carbon and invasive species. Current measurements have been reported for crown cover, mortality, stem density, standing volume and biomass. These constitute useful baseline or status data, but do not yet demonstrate the percentage improvement in forest health required by the project indicator.</w:t>
            </w:r>
          </w:p>
          <w:p>
            <w:pPr/>
            <w:r>
              <w:rPr/>
              <w:t xml:space="preserve"/>
            </w:r>
          </w:p>
          <w:p>
            <w:pPr/>
            <w:r>
              <w:rPr/>
              <w:t xml:space="preserve">The project reports 4,077.27 hectares under improved management through 17 Village Land Forest Reserves, exceeding the 3,758-hectare midterm target. The VLFRs are supported by four Community Forest Management Plans, village by-laws, boundary signboards and community capacity development. Evidence cited includes the 2025 VLFR establishment report, Community Forest Management Plans and by-laws, and the 2026 signboard-installation report. Operational capacity has improved through the reported deployment and training of 57 operational staff, provision of two vehicles, 20 motorcycles, computers and printers, and completion or rehabilitation of infrastructure across several reserves. Seven approved reserve-management interventions are under implementation, 18 Joint Management Agreements have been developed or operationalized in villages adjacent to Rondo, Mt Hanang and Essimingor NFRs, and five Conservation Investment Plans have been approved. Supporting evidence includes the ESS capacity-building report, JMA reports, infrastructure reports, Conservation Investment Plans and procurement and equipment records.</w:t>
            </w:r>
          </w:p>
          <w:p>
            <w:pPr/>
            <w:r>
              <w:rPr/>
              <w:t xml:space="preserve"/>
            </w:r>
          </w:p>
          <w:p>
            <w:pPr/>
            <w:r>
              <w:rPr/>
              <w:t xml:space="preserve">The reported results are supported by evidence including Community Forest Management Plans and village by-laws for Kimange, Kwamduma, Kwamsanja and Kwaruhombo villages; the VLFR Establishment Report (2025); VLFR Signboard Installation Report (2026); JMA development and implementation reports; Climate-Smart Agriculture and Good Agricultural Practices reports; Tree Nursery Activity Reports; and Livestock Dip Rehabilitation Reports. Collectively, these documents provide adequate evidence of progress in strengthening participatory forest governance and sustainable landscape management.</w:t>
            </w:r>
          </w:p>
          <w:p>
            <w:pPr/>
            <w:r>
              <w:rPr/>
              <w:t xml:space="preserve"/>
            </w:r>
          </w:p>
          <w:p>
            <w:pPr/>
            <w:r>
              <w:rPr/>
              <w:t xml:space="preserve">However, performance remains uneven across the outcome. While community governance structures are functioning well and landscape management targets have been achieved or exceeded, implementation of JMAs remains below the midterm target (18 achieved against a target of 32), and household livelihood, income-generation and training targets remain below the expected trajectory at this stage of implementation. Continued effort will therefore be required to accelerate collaborative management arrangements and scale up livelihood interventions during the second half of the project</w:t>
            </w:r>
          </w:p>
          <w:p>
            <w:pPr/>
            <w:r>
              <w:rPr/>
              <w:t xml:space="preserve">Overall, the outcome is progressing satisfactorily toward its intended objectives, but several key targets require accelerated implementation before end-of-project.</w:t>
            </w:r>
          </w:p>
          <w:p>
            <w:pPr/>
            <w:r>
              <w:rPr/>
              <w:t xml:space="preserve"/>
            </w:r>
          </w:p>
          <w:p>
            <w:pPr/>
            <w:r>
              <w:rPr/>
              <w:t xml:space="preserve">Outcome 2.1: Enabling conditions for implementing income-generating activities in NFRs are in place</w:t>
            </w:r>
          </w:p>
          <w:p>
            <w:pPr/>
            <w:r>
              <w:rPr/>
              <w:t xml:space="preserve">Considerable progress has been made in establishing the foundational conditions required to support sustainable financing and nature-based income-generating activities within targeted Nature Forest Reserves. During the reporting period, the project strengthened the conservation financing framework through the development of five Conservation Investment Plans (CIPs) for Essimingor, Mt. Hanang, Nou, Pugu-Kazimzumbwi and Rondo NFRs, representing 71% of the midterm target. These plans provide strategic guidance for mobilizing investment, improving visitor services, and supporting implementation of reserve management priorities.</w:t>
            </w:r>
          </w:p>
          <w:p>
            <w:pPr/>
            <w:r>
              <w:rPr/>
              <w:t xml:space="preserve"/>
            </w:r>
          </w:p>
          <w:p>
            <w:pPr/>
            <w:r>
              <w:rPr/>
              <w:t xml:space="preserve">Progress has been particularly strong in tourism infrastructure development. Visitor infrastructure and tourism services have exceeded midterm targets, with tourism offices, entry gates, visitor facilities, nature trails, forest roads and tourist resting bandas established or rehabilitated across the targeted reserves. These investments have significantly enhanced the tourism readiness of participating NFRs and contributed to growing visitor revenues and private-sector interest in conservation-based enterprises.</w:t>
            </w:r>
          </w:p>
          <w:p>
            <w:pPr/>
            <w:r>
              <w:rPr/>
              <w:t xml:space="preserve">The project has also integrated income-generating opportunities within broader climate-resilient livelihood interventions, including climate-smart agriculture and community-based enterprise development in buffer zone communities. These interventions are helping create an enabling environment for future nature-positive livelihood investments and reducing pressure on forest resources.</w:t>
            </w:r>
          </w:p>
          <w:p>
            <w:pPr/>
            <w:r>
              <w:rPr/>
              <w:t xml:space="preserve"/>
            </w:r>
          </w:p>
          <w:p>
            <w:pPr/>
            <w:r>
              <w:rPr/>
              <w:t xml:space="preserve">Despite strong progress in tourism infrastructure and conservation financing, implementation of livelihood-focused Income Generating Activity (IGA) plans remains behind schedule, with only one IGA implementation plan operationalized against a midterm target of four. As a result, while the enabling conditions for sustainable financing are largely being established, community enterprise development and operationalization of livelihood investments require acceleration during the second half of project implementation.</w:t>
            </w:r>
          </w:p>
          <w:p>
            <w:pPr/>
            <w:r>
              <w:rPr/>
              <w:t xml:space="preserve"/>
            </w:r>
          </w:p>
          <w:p>
            <w:pPr/>
            <w:r>
              <w:rPr/>
              <w:t xml:space="preserve">Reported achievements are supported by evidence including the five approved Conservation Investment Plans, visitor infrastructure development reports, and climate-smart agriculture and Good Agricultural Practices (CSA/GAP) reports. These documents confirm substantial progress in establishing physical, institutional and financial foundations for sustainable conservation enterprises.</w:t>
            </w:r>
          </w:p>
          <w:p>
            <w:pPr/>
            <w:r>
              <w:rPr/>
              <w:t xml:space="preserve"/>
            </w:r>
          </w:p>
          <w:p>
            <w:pPr/>
            <w:r>
              <w:rPr/>
              <w:t xml:space="preserve">Outcome 2.2: Alternative income-generating activities are implemented and their cost effectiveness evaluated</w:t>
            </w:r>
          </w:p>
          <w:p>
            <w:pPr/>
            <w:r>
              <w:rPr/>
              <w:t xml:space="preserve"/>
            </w:r>
          </w:p>
          <w:p>
            <w:pPr/>
            <w:r>
              <w:rPr/>
              <w:t xml:space="preserve">Strong results have been generated in conservation financing and nature-based revenue generation, demonstrating the project's growing contribution to the financial sustainability of Tanzania's Nature Forest Reserves. Performance has been particularly strong in tourism-related income streams, with both user-fee revenues and concession income substantially exceeding midterm expectations. Cumulative user-fee revenues reached USD 413,352 across six NFRs, while concession revenues amounted to USD 89,348 from ecotourism investments in Pugu-Kazimzumbwi, Mwambesi and Essimingor NFRs. These results reflect successful investments in visitor infrastructure, tourism services, reserve promotion and private-sector engagement.</w:t>
            </w:r>
          </w:p>
          <w:p>
            <w:pPr/>
            <w:r>
              <w:rPr/>
              <w:t xml:space="preserve"/>
            </w:r>
          </w:p>
          <w:p>
            <w:pPr/>
            <w:r>
              <w:rPr/>
              <w:t xml:space="preserve">The project has also supported livelihood enhancement and local economic opportunities through climate-smart agriculture, tree nursery development, employment generated through infrastructure investments, and capacity-building activities in communities adjacent to targeted reserves. A substantial number of households have benefited from employment opportunities, training, and income-generating initiatives that contribute to both livelihood resilience and reduced pressure on forest resources. Climate-Smart Agriculture (CSA) and Good Agricultural Practices (GAP) interventions have expanded opportunities for diversified household incomes while supporting sustainable landscape management.</w:t>
            </w:r>
          </w:p>
          <w:p>
            <w:pPr/>
            <w:r>
              <w:rPr/>
              <w:t xml:space="preserve"/>
            </w:r>
          </w:p>
          <w:p>
            <w:pPr/>
            <w:r>
              <w:rPr/>
              <w:t xml:space="preserve">Reported achievements are supported by evidence including the Outcome 2.2 User Fee Income Report (2026), TFS Tourism Portal revenue records, Construction Employment Reports, CSA and GAP implementation reports, and Tree Nursery Activity Reports, all of which demonstrate measurable progress in generating financial returns and livelihood benefits linked to conservation investments.</w:t>
            </w:r>
          </w:p>
          <w:p>
            <w:pPr/>
            <w:r>
              <w:rPr/>
              <w:t xml:space="preserve"/>
            </w:r>
          </w:p>
          <w:p>
            <w:pPr/>
            <w:r>
              <w:rPr/>
              <w:t xml:space="preserve">Despite these positive results, progress remains uneven across the full range of planned income streams. Carbon financing mechanisms have not yet generated revenue, and package-tour operator income has not materialized. In addition, while livelihood benefits are increasing, the project remains below expectations with respect to gender-responsive economic outcomes, particularly the participation of women-headed households among direct livelihood beneficiaries. Further efforts will therefore be required to diversify conservation financing mechanisms, operationalize additional income-generating activities, and strengthen women's participation in economic opportunities during the remaining implementation period.</w:t>
            </w:r>
          </w:p>
          <w:p>
            <w:pPr/>
            <w:r>
              <w:rPr/>
              <w:t xml:space="preserve"/>
            </w:r>
          </w:p>
          <w:p>
            <w:pPr/>
            <w:r>
              <w:rPr/>
              <w:t xml:space="preserve">Overall, the outcome is performing well in terms of revenue generation and conservation finance but requires accelerated progress in livelihood diversification, carbon finance development, and gender-responsive economic empowerment.</w:t>
            </w:r>
          </w:p>
          <w:p>
            <w:pPr/>
            <w:r>
              <w:rPr/>
              <w:t xml:space="preserve"/>
            </w:r>
          </w:p>
          <w:p>
            <w:pPr/>
            <w:r>
              <w:rPr/>
              <w:t xml:space="preserve">Outcome 3.1: Improved knowledge on management of climate-induced threats to forest biodiversity guides future climate-proofing of the national NFR network</w:t>
            </w:r>
          </w:p>
          <w:p>
            <w:pPr/>
            <w:r>
              <w:rPr/>
              <w:t xml:space="preserve"/>
            </w:r>
          </w:p>
          <w:p>
            <w:pPr/>
            <w:r>
              <w:rPr/>
              <w:t xml:space="preserve">Outcome 3.1 is among the strongest-performing components of the project and has made substantial progress toward establishing the knowledge, monitoring, and technical capacity required to support climate-resilient management of Tanzania's Nature Forest Reserve network. Building on the foundational assessments undertaken during the previous reporting period, the project has successfully transitioned from climate-risk analysis to the operationalization of long-term biodiversity, forest health, and climate monitoring systems.</w:t>
            </w:r>
          </w:p>
          <w:p>
            <w:pPr/>
            <w:r>
              <w:rPr/>
              <w:t xml:space="preserve"/>
            </w:r>
          </w:p>
          <w:p>
            <w:pPr/>
            <w:r>
              <w:rPr/>
              <w:t xml:space="preserve">A major achievement under this outcome has been the establishment of 142 Permanent Sample Plots (PSPs) across nine Nature Forest Reserves, providing a robust scientific framework for monitoring forest condition, biodiversity status, carbon stocks, tree growth, mortality rates, invasive species, and ecosystem responses to climate change. Complementing this effort, weather monitoring systems are now operational across all targeted NFRs, substantially exceeding the midterm target and improving the capacity of reserve managers to anticipate and respond to climate-related threats such as wildfires, droughts, and ecosystem degradation.</w:t>
            </w:r>
          </w:p>
          <w:p>
            <w:pPr/>
            <w:r>
              <w:rPr/>
              <w:t xml:space="preserve"/>
            </w:r>
          </w:p>
          <w:p>
            <w:pPr/>
            <w:r>
              <w:rPr/>
              <w:t xml:space="preserve">The project has also made significant contributions to institutional capacity development. A total of 65 Tanzania Forest Services (TFS) staff have been trained on climate-risk management, safeguards, procurement, environmental and social standards, and climate-responsive forest management practices, greatly exceeding the envisaged end-of-project target. In parallel, biodiversity monitoring, forest condition assessment, and carbon accounting systems have been established and are generating evidence to inform adaptive management and future climate-proofing strategies across the national NFR network.</w:t>
            </w:r>
          </w:p>
          <w:p>
            <w:pPr/>
            <w:r>
              <w:rPr/>
              <w:t xml:space="preserve"/>
            </w:r>
          </w:p>
          <w:p>
            <w:pPr/>
            <w:r>
              <w:rPr/>
              <w:t xml:space="preserve">Reported achievements are supported by extensive evidence, including the PSP Activity Report (2026), PSP Assessment Report (2026), Weather Data Reports (2024 and 2026), Environmental and Social Safeguards Training Reports (2026), and the GHG Estimation Report (2026). Together, these documents demonstrate that the project has established the technical and institutional foundations needed to guide evidence-based forest management and climate adaptation planning.</w:t>
            </w:r>
          </w:p>
          <w:p>
            <w:pPr/>
            <w:r>
              <w:rPr/>
              <w:t xml:space="preserve"/>
            </w:r>
          </w:p>
          <w:p>
            <w:pPr/>
            <w:r>
              <w:rPr/>
              <w:t xml:space="preserve">While progress in strengthening the capacity of the Vice President's Office remains below target, this shortcoming does not materially affect the overall performance of the outcome. Most outcome indicators have achieved or exceeded their midterm targets, and the project has successfully established enduring systems for biodiversity, climate, and carbon monitoring that are expected to continue generating benefits beyond the project lifetime.</w:t>
            </w:r>
          </w:p>
          <w:p>
            <w:pPr/>
            <w:r>
              <w:rPr/>
              <w:t xml:space="preserve"/>
            </w:r>
          </w:p>
          <w:p>
            <w:pPr/>
            <w:r>
              <w:rPr/>
              <w:t xml:space="preserve">Outcome 3.2: Measures to monitor project performance, ensure gender mainstreaming, and mitigate social and environmental risks are developed, implemented and reported</w:t>
            </w:r>
          </w:p>
          <w:p>
            <w:pPr/>
            <w:r>
              <w:rPr/>
              <w:t xml:space="preserve"/>
            </w:r>
          </w:p>
          <w:p>
            <w:pPr/>
            <w:r>
              <w:rPr/>
              <w:t xml:space="preserve">Outcome 3.2 has registered good progress in establishing the systems, capacities and oversight mechanisms required to ensure effective project monitoring, stakeholder engagement, gender mainstreaming, and environmental and social risk management. The project has operationalized key accountability and safeguards instruments, including a functioning Grievance Redress Mechanism (GRM), implementation of the Stakeholder Engagement Plan, Environmental and Social Standards (ESS) capacity-building programmes, regular stakeholder consultations, gender mainstreaming activities, and Project Steering Committee (PSC) oversight and risk reporting processes. These systems have strengthened transparency, accountability, and compliance with UNDP social and environmental requirements while supporting adaptive project management.</w:t>
            </w:r>
          </w:p>
          <w:p>
            <w:pPr/>
            <w:r>
              <w:rPr/>
              <w:t xml:space="preserve"/>
            </w:r>
          </w:p>
          <w:p>
            <w:pPr/>
            <w:r>
              <w:rPr/>
              <w:t xml:space="preserve">During the reporting period, the project continued to integrate safeguards considerations into implementation of Village Land Forest Reserves, Joint Management Agreements, climate-smart agriculture activities, and community-based forest management interventions. Capacity development on environmental and social safeguards, grievance redress, stakeholder engagement and gender mainstreaming has enhanced the ability of project staff and partners to identify and manage risks associated with project implementation. Active stakeholder participation has also contributed to stronger community ownership of project activities and improved decision-making processes in target landscapes.</w:t>
            </w:r>
          </w:p>
          <w:p>
            <w:pPr/>
            <w:r>
              <w:rPr/>
              <w:t xml:space="preserve"/>
            </w:r>
          </w:p>
          <w:p>
            <w:pPr/>
            <w:r>
              <w:rPr/>
              <w:t xml:space="preserve">Progress under this outcome is supported by evidence including the Capacity Building on ESS Report (2026), Stakeholder Engagement Reports related to JMA development, Environmental and Social Safeguards Reports, GRM operational records, and Project Risk Management and PSC documentation. These reports demonstrate that project monitoring and safeguards systems are operational and are being applied across the project landscape.</w:t>
            </w:r>
          </w:p>
          <w:p>
            <w:pPr/>
            <w:r>
              <w:rPr/>
              <w:t xml:space="preserve"/>
            </w:r>
          </w:p>
          <w:p>
            <w:pPr/>
            <w:r>
              <w:rPr/>
              <w:t xml:space="preserve">Despite these achievements, several issues continue to require attention. Most notably, livestock encroachment into forest reserves and community-managed conservation areas remains unresolved and represents a significant environmental and social risk. In addition, while gender mainstreaming activities have been implemented, gender-responsive outcomes remain below the project's intended ambition, particularly regarding women-headed household participation in livelihood benefits. Continued follow-up is also required for several safeguards-related risks and stakeholder concerns identified during implementation.</w:t>
            </w:r>
          </w:p>
          <w:p>
            <w:pPr/>
            <w:r>
              <w:rPr/>
              <w:t xml:space="preserve"/>
            </w:r>
          </w:p>
          <w:p>
            <w:pPr/>
            <w:r>
              <w:rPr/>
              <w:t xml:space="preserve">Overall, the project has established a functioning safeguards, monitoring and accountability framework and is effectively applying core environmental and social risk-management measures. However, unresolved livestock-related conflicts and weaker-than-anticipated gender outcomes prevent assignment of a Satisfactory rating at this stage.</w:t>
            </w:r>
          </w:p>
          <w:p>
            <w:pPr/>
            <w:r>
              <w:rPr/>
              <w:t xml:space="preserve"/>
            </w:r>
          </w:p>
          <w:p>
            <w:pPr/>
            <w:r>
              <w:rPr/>
              <w:t xml:space="preserve">IP rating and justification: Satisfactory</w:t>
            </w:r>
          </w:p>
          <w:p>
            <w:pPr/>
            <w:r>
              <w:rPr/>
              <w:t xml:space="preserve">Implementation is progressing across all project components, and most outputs are on track. Strong results have been achieved in protected area management, infrastructure development, biodiversity monitoring, tourism development and community conservation. Governance arrangements appear functional, with Project Steering Committee oversight and active government, community and civil-society engagement. Evidence is referenced for most completed activities. Despite unresolved livestock-related risks and slower-than-planned implementation of livelihood interventions implementation is proceeding with minor deviations from the approved workplan. These challenges are being well managed through targeted adaptive management measures.</w:t>
            </w:r>
          </w:p>
          <w:p>
            <w:pPr/>
            <w:r>
              <w:rPr/>
              <w:t xml:space="preserve"/>
            </w:r>
          </w:p>
          <w:p>
            <w:pPr/>
            <w:r>
              <w:rPr/>
              <w:t xml:space="preserve">Cumulative grant delivery reached 46.16% of the total approved GEF grant amount and 56.7% of expected cumulative delivery for the year with total project disbursements of approximately USD 2.23 million as of 30 June 2026. Most project components were active during the reporting period, and the project delivered substantial outputs in protected-area management, staffing, infrastructure, community forestry, livelihoods, monitoring and tourism development. Co-financing mobilization is performing strongly (approximately 80% of commitments reportedly materialized by midterm).  Approximately USD 22.19 million of the committed co-financing has been reported as materialized, demonstrating strong partner commitment and support for project implementation.</w:t>
            </w:r>
          </w:p>
          <w:p>
            <w:pPr/>
            <w:r>
              <w:rPr/>
              <w:t xml:space="preserve"/>
            </w:r>
          </w:p>
          <w:p>
            <w:pPr/>
            <w:r>
              <w:rPr/>
              <w:t xml:space="preserve">Overall, project governance is assessed as effective as reflected in the governance section. The PSC is functioning effectively, oversight arrangements are adequate, and governance mechanisms have contributed positively to implementation progress, accountability, risk management and delivery of project results. Continued PSC attention to implementation acceleration, livelihood outcomes, gender performance and livestock-related conflicts will be important during the second half of project implementation. Based on the minutes reviewed, and as reported elsewhere in the PIR, the PSC chaired by the Permanent Secretary and co-chaired by the UNDP Resident Representative, has provided strong leadership and promoted effective inter-institutional coordination among Tanzania Forest Services (TFS), Local Government Authorities, UNDP, civil society partners and other stakeholders. Governance processes have supported timely decision-making, strengthened accountability, and facilitated adaptive management in response to emerging implementation challenges. PSC discussions have helped maintain focus on delivery of key results, including protected area management, community-based conservation, biodiversity monitoring, conservation financing and livelihood interventions.</w:t>
            </w:r>
          </w:p>
          <w:p>
            <w:pPr/>
            <w:r>
              <w:rPr/>
              <w:t xml:space="preserve"/>
            </w:r>
          </w:p>
          <w:p>
            <w:pPr/>
            <w:r>
              <w:rPr/>
              <w:t xml:space="preserve">Overall, the evidence cited in the PIR demonstrates significant progress in creating the institutional, physical, governance and monitoring conditions needed to achieve the Development Objective. The project has also strengthened relationships among the Ministry of Natural Resources and Tourism, Tanzania Forest Services, local government authorities, communities, civil-society organizations and private investors.</w:t>
            </w:r>
          </w:p>
          <w:p>
            <w:pPr/>
            <w:r>
              <w:rPr/>
              <w:t xml:space="preserve">----</w:t>
            </w:r>
          </w:p>
          <w:p>
            <w:pPr/>
            <w:r>
              <w:rPr/>
              <w:t xml:space="preserve">Despite the satisfactory implementation progress achieved during the reporting period, several challenges affected the pace and effectiveness of delivery of selected activities. While these challenges have not significantly jeopardized achievement of project outcomes, they require continued management and adaptive responses during the next implementation period.</w:t>
            </w:r>
          </w:p>
          <w:p>
            <w:pPr/>
            <w:r>
              <w:rPr/>
              <w:t xml:space="preserve"/>
            </w:r>
          </w:p>
          <w:p>
            <w:pPr/>
            <w:r>
              <w:rPr/>
              <w:t xml:space="preserve">The primary challenge relates to the complexity and time required for community-based governance processes, particularly the development and operationalization of Joint Management Agreements (JMAs). Establishing JMAs required extensive consultations, village assemblies, consensus-building processes, and reviews by multiple local government and sector authorities to ensure community ownership and compliance with legal requirements. These processes were further affected by local government elections in 2024 and the national election process in 2025, resulting in slower-than-planned progress in formalizing collaborative management arrangements.</w:t>
            </w:r>
          </w:p>
          <w:p>
            <w:pPr/>
            <w:r>
              <w:rPr/>
              <w:t xml:space="preserve"/>
            </w:r>
          </w:p>
          <w:p>
            <w:pPr/>
            <w:r>
              <w:rPr/>
              <w:t xml:space="preserve">Implementation of livelihood and income-generating activities has also progressed more slowly than originally anticipated. While climate-smart agriculture, farmer field schools, tree nursery development, and sustainable livelihood interventions have been successfully initiated, many income-generating activities are scheduled for implementation during the second half of the project. Consequently, achievement of some livelihood-related targets remains below the midterm trajectory and will require accelerated implementation during the next reporting period.</w:t>
            </w:r>
          </w:p>
          <w:p>
            <w:pPr/>
            <w:r>
              <w:rPr/>
              <w:t xml:space="preserve"/>
            </w:r>
          </w:p>
          <w:p>
            <w:pPr/>
            <w:r>
              <w:rPr/>
              <w:t xml:space="preserve">Procurement lead times and coordination requirements across multiple implementing partners also affected the timing of some field activities and infrastructure investments. The need to comply with national and UNDP procurement procedures, coupled with coordination among government institutions, local authorities, communities, and service providers, occasionally slowed implementation schedules, although no major procurement risks were reported.</w:t>
            </w:r>
          </w:p>
          <w:p>
            <w:pPr/>
            <w:r>
              <w:rPr/>
              <w:t xml:space="preserve"/>
            </w:r>
          </w:p>
          <w:p>
            <w:pPr/>
            <w:r>
              <w:rPr/>
              <w:t xml:space="preserve">A significant emerging challenge relates to livestock encroachment into Village Land Forest Reserves (VLFRs), community-managed forests, and reserve buffer zones by pastoralists originating from areas outside project-supported communities. These livestock keepers are not part of the established JMAs and VLFR governance arrangements and often do not comply with locally agreed land-use plans and by-laws. The situation has created tensions with participating communities, undermined community conservation efforts, and poses risks to forest restoration, biodiversity conservation, and sustainable landscape management achievements. Addressing this challenge requires coordinated action involving Tanzania Forest Services, local government authorities, livestock departments, PO-RALG, the Vice President's Office, and affected communities.</w:t>
            </w:r>
          </w:p>
          <w:p>
            <w:pPr/>
            <w:r>
              <w:rPr/>
              <w:t xml:space="preserve"/>
            </w:r>
          </w:p>
          <w:p>
            <w:pPr/>
            <w:r>
              <w:rPr/>
              <w:t xml:space="preserve">Climate variability, wildfire risks, illegal resource extraction, and continued pressure on forest resources remain ongoing challenges across several project landscapes. Although the project has strengthened wildfire management capacity, climate risk assessments, community engagement, and biodiversity monitoring systems, sustained investments will be required to maintain ecosystem resilience and prevent degradation of conservation gains.</w:t>
            </w:r>
          </w:p>
          <w:p>
            <w:pPr/>
            <w:r>
              <w:rPr/>
              <w:t xml:space="preserve"/>
            </w:r>
          </w:p>
          <w:p>
            <w:pPr/>
            <w:r>
              <w:rPr/>
              <w:t xml:space="preserve">In addition, achieving gender-responsive livelihood outcomes remains an area requiring further attention. While women's participation in project activities has increased significantly, additional efforts are needed to expand benefits for women-headed households and strengthen women's economic empowerment through targeted livelihood and enterprise-development interventions.</w:t>
            </w:r>
          </w:p>
          <w:p>
            <w:pPr/>
            <w:r>
              <w:rPr/>
              <w:t xml:space="preserve"/>
            </w:r>
          </w:p>
          <w:p>
            <w:pPr/>
            <w:r>
              <w:rPr/>
              <w:t xml:space="preserve">Overall, while these challenges have resulted in some implementation delays and required adaptive management measures, the project remains on track to achieve its intended outcomes. Priority attention during the next reporting period will focus on accelerating livelihood activities, expanding collaborative forest management arrangements, addressing livestock encroachment, strengthening gender-responsive interventions, and maintaining momentum in delivery of conservation and resilience-building activities.</w:t>
            </w:r>
          </w:p>
          <w:p>
            <w:pPr/>
            <w:r>
              <w:rPr/>
              <w:t xml:space="preserve"/>
            </w:r>
          </w:p>
          <w:p>
            <w:pPr/>
            <w:r>
              <w:rPr/>
              <w:t xml:space="preserve">Priorities for the next reporting period</w:t>
            </w:r>
          </w:p>
          <w:p>
            <w:pPr/>
            <w:r>
              <w:rPr/>
              <w:t xml:space="preserve">1. Address Livestock Encroachment and Strengthen Landscape Governance</w:t>
            </w:r>
          </w:p>
          <w:p>
            <w:pPr/>
            <w:r>
              <w:rPr/>
              <w:t xml:space="preserve">Escalate livestock encroachment issues to the PSC and establish a multi-stakeholder task force involving TFS, district authorities, livestock departments, PO-RALG, VPO, and affected communities.</w:t>
            </w:r>
          </w:p>
          <w:p>
            <w:pPr/>
            <w:r>
              <w:rPr/>
              <w:t xml:space="preserve">Strengthen enforcement and monitoring of Joint Management Agreements (JMAs) and Village Land Forest Reserves (VLFRs).</w:t>
            </w:r>
          </w:p>
          <w:p>
            <w:pPr/>
            <w:r>
              <w:rPr/>
              <w:t xml:space="preserve">Develop and implement locally agreed livestock management and grazing plans in high-risk landscapes.</w:t>
            </w:r>
          </w:p>
          <w:p>
            <w:pPr/>
            <w:r>
              <w:rPr/>
              <w:t xml:space="preserve">2. Accelerate Delivery of Community Livelihoods and Income-Generating Activities</w:t>
            </w:r>
          </w:p>
          <w:p>
            <w:pPr/>
            <w:r>
              <w:rPr/>
              <w:t xml:space="preserve">Fast-track implementation of planned income-generating activities, particularly those benefiting women, youth, and vulnerable households.</w:t>
            </w:r>
          </w:p>
          <w:p>
            <w:pPr/>
            <w:r>
              <w:rPr/>
              <w:t xml:space="preserve">Operationalize concession agreements, ecotourism investments, and carbon-financing initiatives.</w:t>
            </w:r>
          </w:p>
          <w:p>
            <w:pPr/>
            <w:r>
              <w:rPr/>
              <w:t xml:space="preserve">Expand climate-smart livelihood interventions to strengthen incentives for forest conservation and reduce pressure on natural resources.</w:t>
            </w:r>
          </w:p>
          <w:p>
            <w:pPr/>
            <w:r>
              <w:rPr/>
              <w:t xml:space="preserve">3. Advance Conservation Financing and Carbon Market Readiness</w:t>
            </w:r>
          </w:p>
          <w:p>
            <w:pPr/>
            <w:r>
              <w:rPr/>
              <w:t xml:space="preserve">Recruit international carbon finance expertise as directed by the PSC.</w:t>
            </w:r>
          </w:p>
          <w:p>
            <w:pPr/>
            <w:r>
              <w:rPr/>
              <w:t xml:space="preserve">Complete carbon opportunity assessments and develop a roadmap for forest carbon projects.</w:t>
            </w:r>
          </w:p>
          <w:p>
            <w:pPr/>
            <w:r>
              <w:rPr/>
              <w:t xml:space="preserve">Strengthen implementation of Conservation Investment Plans and attract additional private sector investment in ecotourism and conservation enterprises.</w:t>
            </w:r>
          </w:p>
          <w:p>
            <w:pPr/>
            <w:r>
              <w:rPr/>
              <w:t xml:space="preserve">4. Complete Safeguards and Risk Management Deliverables</w:t>
            </w:r>
          </w:p>
          <w:p>
            <w:pPr/>
            <w:r>
              <w:rPr/>
              <w:t xml:space="preserve">Finalize and implement all remaining ESMPs and the Strategic Environmental and Social Assessment (SESA).</w:t>
            </w:r>
          </w:p>
          <w:p>
            <w:pPr/>
            <w:r>
              <w:rPr/>
              <w:t xml:space="preserve">Strengthen safeguards monitoring and reporting.</w:t>
            </w:r>
          </w:p>
          <w:p>
            <w:pPr/>
            <w:r>
              <w:rPr/>
              <w:t xml:space="preserve">Continue implementation of the Stakeholder Engagement Plan, Gender Action Plan, and Grievance Redress Mechanism across all project sites.</w:t>
            </w:r>
          </w:p>
          <w:p>
            <w:pPr/>
            <w:r>
              <w:rPr/>
              <w:t xml:space="preserve">Maintain regular updates of the Quantum Risk Register and integration of emerging risks into management responses.</w:t>
            </w:r>
          </w:p>
          <w:p>
            <w:pPr/>
            <w:r>
              <w:rPr/>
              <w:t xml:space="preserve">5. Strengthen Gender Equality and Social Inclusion</w:t>
            </w:r>
          </w:p>
          <w:p>
            <w:pPr/>
            <w:r>
              <w:rPr/>
              <w:t xml:space="preserve">Increase participation of women and women-headed households in livelihood activities and decision-making structures.</w:t>
            </w:r>
          </w:p>
          <w:p>
            <w:pPr/>
            <w:r>
              <w:rPr/>
              <w:t xml:space="preserve">Systematically monitor gender-disaggregated benefits and outcomes.</w:t>
            </w:r>
          </w:p>
          <w:p>
            <w:pPr/>
            <w:r>
              <w:rPr/>
              <w:t xml:space="preserve">Implement priority actions identified in the updated Gender Action Plan.</w:t>
            </w:r>
          </w:p>
          <w:p>
            <w:pPr/>
            <w:r>
              <w:rPr/>
              <w:t xml:space="preserve">6. Consolidate Community Forest Governance</w:t>
            </w:r>
          </w:p>
          <w:p>
            <w:pPr/>
            <w:r>
              <w:rPr/>
              <w:t xml:space="preserve">Complete all legal and procedural steps required for VLFR establishment, including approval of Forest Management Plans and gazettement.</w:t>
            </w:r>
          </w:p>
          <w:p>
            <w:pPr/>
            <w:r>
              <w:rPr/>
              <w:t xml:space="preserve">Scale up JMAs and strengthen community governance institutions.</w:t>
            </w:r>
          </w:p>
          <w:p>
            <w:pPr/>
            <w:r>
              <w:rPr/>
              <w:t xml:space="preserve">Expand community awareness and capacity-building on sustainable forest management and benefit-sharing arrangements.</w:t>
            </w:r>
          </w:p>
          <w:p>
            <w:pPr/>
            <w:r>
              <w:rPr/>
              <w:t xml:space="preserve">7. Strengthen Knowledge Management and Visibility</w:t>
            </w:r>
          </w:p>
          <w:p>
            <w:pPr/>
            <w:r>
              <w:rPr/>
              <w:t xml:space="preserve">Systematically document and disseminate project success stories, lessons learned, and best practices.</w:t>
            </w:r>
          </w:p>
          <w:p>
            <w:pPr/>
            <w:r>
              <w:rPr/>
              <w:t xml:space="preserve">Increase project visibility to support replication and attract investors.</w:t>
            </w:r>
          </w:p>
          <w:p>
            <w:pPr/>
            <w:r>
              <w:rPr/>
              <w:t xml:space="preserve">Share technical tools, reports, and knowledge products regularly with PSC members and stakeholders.</w:t>
            </w:r>
          </w:p>
          <w:p>
            <w:pPr/>
            <w:r>
              <w:rPr/>
              <w:t xml:space="preserve">8. Sustain Financial and Institutional Capacity</w:t>
            </w:r>
          </w:p>
          <w:p>
            <w:pPr/>
            <w:r>
              <w:rPr/>
              <w:t xml:space="preserve">Continue quarterly monitoring of financial delivery, procurement performance, and co-financing realization.</w:t>
            </w:r>
          </w:p>
          <w:p>
            <w:pPr/>
            <w:r>
              <w:rPr/>
              <w:t xml:space="preserve">Strengthen partner capacity to track and report co-financing contributions.</w:t>
            </w:r>
          </w:p>
          <w:p>
            <w:pPr/>
            <w:r>
              <w:rPr/>
              <w:t xml:space="preserve">Ensure continued deployment and capacity development of NFR staff to maintain management effectiveness.</w:t>
            </w:r>
          </w:p>
          <w:p>
            <w:pPr/>
            <w:r>
              <w:rPr/>
              <w:t xml:space="preserve">9. Enhance Climate Resilience and Biodiversity Monitoring</w:t>
            </w:r>
          </w:p>
          <w:p>
            <w:pPr/>
            <w:r>
              <w:rPr/>
              <w:t xml:space="preserve">Finalize climate-resilient forest management plans.</w:t>
            </w:r>
          </w:p>
          <w:p>
            <w:pPr/>
            <w:r>
              <w:rPr/>
              <w:t xml:space="preserve">Expand implementation of restoration, invasive species control, and integrated fire management interventions.</w:t>
            </w:r>
          </w:p>
          <w:p>
            <w:pPr/>
            <w:r>
              <w:rPr/>
              <w:t xml:space="preserve">10. Strengthen monitoring of biodiversity, ecosystem health, and climate resilience indicators to support adaptive management and future reporting.</w:t>
            </w:r>
          </w:p>
          <w:p>
            <w:pPr/>
            <w:r>
              <w:rPr/>
              <w:t xml:space="preserve"/>
            </w:r>
          </w:p>
          <w:p>
            <w:pPr/>
            <w:r>
              <w:rPr/>
              <w:t xml:space="preserve">The MTR underway is expected to provide additional input into the priorities for the next phase of the project.</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Now in its third year of implementation and approaching the Mid-Term Evaluation, the project remains on track toward achieving its intended outcomes. Overall project delivery has reached 50.49% of the total approved budget as outlined in the Project Document (ProDoc), reflecting steady implementation progress and providing a strong foundation for the successful delivery of the remaining activities.</w:t>
            </w:r>
          </w:p>
          <w:p>
            <w:pPr/>
            <w:r>
              <w:rPr/>
              <w:t xml:space="preserve">During the reporting period, interventions across all three project components were implemented in accordance with the approved Annual Work Plan (AWP) and Budget. Significant achievements were recorded, including reaching 10,952 direct beneficiaries (6,111 men and 4,841 women) through project interventions under Outcomes 1.1, 1.2, 2.2, and 3.1. Beneficiaries participated in activities such as short-term labour-intensive construction works, maintenance of reserve infrastructure, climate change risk assessment and mitigation measures, training on environmental and social safeguards, and wildfire management. These interventions strengthened local capacity for sustainable natural resource management while generating livelihood opportunities for communities surrounding targeted Nature Forest Reserves.</w:t>
            </w:r>
          </w:p>
          <w:p>
            <w:pPr/>
            <w:r>
              <w:rPr/>
              <w:t xml:space="preserve">Furthermore, with project support, 8,773 individuals (4,595 men and 4,178 women) received training on sustainable land-use practices, including the production of high-value crops and fruit tree seedlings as alternative livelihood options. Support was also provided for the renovation of livestock treatment dip facilities and participation in Joint Forest Management (JFM) initiatives. These interventions improved access to livestock health services, reduced livestock disease risks, enhanced livestock productivity, and strengthened household resilience. Collectively, these efforts are contributing to improved socio-economic well-being while reducing community dependence on unsustainable exploitation of forest resources.</w:t>
            </w:r>
          </w:p>
          <w:p>
            <w:pPr/>
            <w:r>
              <w:rPr/>
              <w:t xml:space="preserve">A notable milestone during the reporting period was the establishment and management of Village Land Forest Reserves (VLFRs) in villages surrounding the Uzigua Nature Forest Reserve. This achievement was complemented by training on sustainable land management and climate-resilient agricultural practices, helping communities increase agricultural productivity while promoting forest conservation and environmental sustainability.</w:t>
            </w:r>
          </w:p>
          <w:p>
            <w:pPr/>
            <w:r>
              <w:rPr/>
              <w:t xml:space="preserve">In addition, Farmer Field Schools (FFS) and Climate-Smart Agriculture (CSA) demonstration plots were established in four villages in Handeni District, namely Kimange, Kwamsanja, Kwaruhombo, and Kwamduma. These interventions promote the adoption of climate-resilient farming practices, improve productivity, diversify household income sources, and reduce pressure on natural forest ecosystems. As a result, they contribute directly to biodiversity conservation, climate change adaptation, and improved livelihoods.</w:t>
            </w:r>
          </w:p>
          <w:p>
            <w:pPr/>
            <w:r>
              <w:rPr/>
              <w:t xml:space="preserve">At the community level, the project supported the implementation of Village Land Use Plans (VLUPs) in seven villages adjacent to Essimingor and Uzigua Nature Forest Reserves in Monduli and Handeni districts, namely Lossimingor, Kwamsanja, Kibindu, Kwaruhombo, Kwamduma, Kwang'andu, and Kimange. The project also facilitated the establishment of Farmer Field Schools for high-value crop production in six villages, benefiting 180 households, including 32 female-headed households, within the Uzigua landscape. FFS demonstration plots showcase improved cassava varieties that are more resilient to climate-related stresses and offer stronger market potential. Adoption of these varieties is anticipated to strengthen food security, increase household incomes, and improve community livelihoods while supporting sustainable landscape management.</w:t>
            </w:r>
          </w:p>
          <w:p>
            <w:pPr/>
            <w:r>
              <w:rPr/>
              <w:t xml:space="preserve">Combined with the implementation of VLUPs, these interventions promote sustainable landscape management by increasing agricultural productivity and income generation while encouraging land-use practices that balance conservation and development objectives. Improved livelihoods derived from climate-resilient and high-value crops are helping reduce pressure on forest resources and limit agricultural expansion into forested areas. At the same time, VLUPs provide an important framework for safeguarding critical habitats and regulating land use around protected areas.</w:t>
            </w:r>
          </w:p>
          <w:p>
            <w:pPr/>
            <w:r>
              <w:rPr/>
              <w:t xml:space="preserve">The project has also contributed significantly to strengthening the operational capacity of the Tanzania Forest Services (TFS). Institutional capacity-building initiatives included training on wildfire management, climate change risk mitigation, procurement procedures, contract management, and environmental and social safeguards. During the reporting period, 40 operational staff (29 men and 11 women) were trained in these key areas, enhancing their capacity to support effective forest management, compliance, and project implementation.</w:t>
            </w:r>
          </w:p>
          <w:p>
            <w:pPr/>
            <w:r>
              <w:rPr/>
              <w:t xml:space="preserve">In terms of ecosystem restoration and protected area management, a total of 23,678 hectares across Mount Hanang, Rondo, Pugu, and Essimingor Nature Forest Reserves were strengthened through boundary demarcation, installation of beacons and signboards, and identification of Invasive Alien Species (IAS) in the Pugu-Kazimzumbwi Nature Forest Reserve. Ecological and tourism assessments were also undertaken in Essimingor, Hassama Hills, and Nou Nature Forest Reserves to inform future conservation, ecosystem restoration, and tourism development interventions.</w:t>
            </w:r>
          </w:p>
          <w:p>
            <w:pPr/>
            <w:r>
              <w:rPr/>
              <w:t xml:space="preserve">To further enhance operational efficiency within TFS, the project supported the procurement of essential equipment, including printers, vehicles, and motorcycles. These investments have improved field supervision, monitoring, law enforcement operations, and overall management effectiveness across the targeted reserves.</w:t>
            </w:r>
          </w:p>
          <w:p>
            <w:pPr/>
            <w:r>
              <w:rPr/>
              <w:t xml:space="preserve">Infrastructure development remained a key priority during the reporting period and represents one of the project's major achievements. Significant progress was made in the construction and rehabilitation of tourism and conservation infrastructure across targeted Nature Forest Reserves. This included the construction of two ranger posts, three tourism offices, entry gates, and the rehabilitation of two buildings, all aimed at strengthening reserve management and enhancing visitor services.</w:t>
            </w:r>
          </w:p>
          <w:p>
            <w:pPr/>
            <w:r>
              <w:rPr/>
              <w:t xml:space="preserve">These investments contributed to broader efforts to promote sustainable forest conservation while increasing tourism potential and revenue generation. Improved reserve infrastructure and visitor facilities supported the generation of USD 279,869.31 in user-fee revenue across six targeted Nature Forest Reserves during the reporting period.</w:t>
            </w:r>
          </w:p>
          <w:p>
            <w:pPr/>
            <w:r>
              <w:rPr/>
              <w:t xml:space="preserve">Building on this achievement, the project facilitated the construction of two tourism resting bandas, each with a seating capacity of 50 visitors, to improve visitor experiences, attract additional tourists, and further increase revenue generation. These developments are being guided by the Conservation Investment Plans (CIPs) developed and approved during the previous reporting period.</w:t>
            </w:r>
          </w:p>
          <w:p>
            <w:pPr/>
            <w:r>
              <w:rPr/>
              <w:t xml:space="preserve">While implementation progress remains satisfactory, some challenges continue to affect the pace of delivery, including procurement lead times, coordination requirements across multiple implementing partners, and seasonal factors affecting field activities. Nevertheless, strong stakeholder engagement, improving institutional capacity, and increasing co-financing contributions position the project well to achieve its intended outcomes during the remaining implementation period.</w:t>
            </w:r>
          </w:p>
          <w:p>
            <w:pPr/>
            <w:r>
              <w:rPr/>
              <w:t xml:space="preserve">Overall, the achievements recorded during the reporting period demonstrate substantial progress toward the project's objectives and provide a strong basis for sustained implementation, impact, and long-term sustainability.</w:t>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The project continued to make progress during the 2025/26 reporting period and remains on track to achieve its Development Objective of strengthening the governance, operational effectiveness, and financial sustainability of Tanzania's Nature Forest Reserves (NFRs) to enhance the resilience of forest biodiversity to climate change. The project has successfully transitioned from establishing enabling conditions to delivering measurable results on the ground, demonstrating increasing implementation maturity and stronger integration of biodiversity conservation, climate resilience, and community livelihoods.</w:t>
            </w:r>
          </w:p>
          <w:p>
            <w:pPr/>
            <w:r>
              <w:rPr/>
              <w:t xml:space="preserve"/>
            </w:r>
          </w:p>
          <w:p>
            <w:pPr/>
            <w:r>
              <w:rPr/>
              <w:t xml:space="preserve">During the reporting period, implementation generated significant cumulative results across all project outcomes. The project improved the management effectiveness of 181,612 hectares of Nature Forest Reserves, strengthened 17 Village Land Forest Reserves covering 4,077.27 hectares, established 142 Permanent Sample Plots to support long-term biodiversity and forest health monitoring, facilitated implementation of 18 Joint Management Agreements, mobilized USD 89,348 through ecotourism concession agreements, and directly benefited 10,952 people through sustainable livelihood, climate resilience, and participatory forest management interventions. These achievements demonstrate tangible progress in strengthening protected area management, empowering local communities, and improving ecosystem resilience while contributing to national biodiversity and climate change priorities.</w:t>
            </w:r>
          </w:p>
          <w:p>
            <w:pPr/>
            <w:r>
              <w:rPr/>
              <w:t xml:space="preserve"/>
            </w:r>
          </w:p>
          <w:p>
            <w:pPr/>
            <w:r>
              <w:rPr/>
              <w:t xml:space="preserve">The reported progress is supported by robust evidence, including boundary demarcation reports, biodiversity surveys, climate change risk assessments, Village Land Forest Reserve establishment reports, employment records, Management Effectiveness Tracking Tool (METT) assessments, and field monitoring data. The establishment of the Permanent Sample Plot network has created a strong scientific foundation for long-term monitoring of biodiversity, forest health, carbon stocks, and ecosystem change, while improved METT scores across participating Nature Forest Reserves demonstrate measurable improvements in institutional and operational management capacity. Collectively, the evidence confirms that project outputs are increasingly translating into higher-level development outcomes and supports the reported progress towards achievement of the Development Objective.</w:t>
            </w:r>
          </w:p>
          <w:p>
            <w:pPr/>
            <w:r>
              <w:rPr/>
              <w:t xml:space="preserve"/>
            </w:r>
          </w:p>
          <w:p>
            <w:pPr/>
            <w:r>
              <w:rPr/>
              <w:t xml:space="preserve">Implementation during the reporting period also reflects a positive trajectory compared to the previous PIR. While the 2024/25 reporting period focused primarily on establishing enabling conditions including boundary demarcation, biodiversity assessments, climate risk studies, and establishment of Village Land Forest Reserves, the current reporting period demonstrates clear progression towards outcome-level achievements. Earlier investments have translated into expanded protected area management, strengthened participatory forest management, enhanced biodiversity monitoring systems, measurable greenhouse gas mitigation, improved community governance through Joint Management Agreements and village by-laws, and a substantial increase in direct project beneficiaries. This progression demonstrates that the project is successfully moving from planning and capacity development to delivering measurable conservation and livelihood impacts.</w:t>
            </w:r>
          </w:p>
          <w:p>
            <w:pPr/>
            <w:r>
              <w:rPr/>
              <w:t xml:space="preserve"/>
            </w:r>
          </w:p>
          <w:p>
            <w:pPr/>
            <w:r>
              <w:rPr/>
              <w:t xml:space="preserve">Although implementation remains on track, several challenges continue to require close attention. Climate variability, recurrent wildfires, illegal forest use, encroachment for livestock grazing, and increasing pressure on natural resources continue to affect project landscapes and require sustained management interventions. In addition, ecological improvements such as forest regeneration, biodiversity recovery, and improvements in forest health indicators will require continued monitoring over a longer period, given the inherently gradual nature of ecosystem restoration. Sustaining community engagement and diversifying long-term conservation financing will also remain critical priorities during the remaining implementation period to ensure that project achievements are maintained beyond project closure.</w:t>
            </w:r>
          </w:p>
          <w:p>
            <w:pPr/>
            <w:r>
              <w:rPr/>
              <w:t xml:space="preserve"/>
            </w:r>
          </w:p>
          <w:p>
            <w:pPr/>
            <w:r>
              <w:rPr/>
              <w:t xml:space="preserve">Project financing and co-financing performance remain satisfactory. The project continues to receive strong support from the Government of Tanzania, UNDP, and implementation partners. As of June 2026, cumulative UNDP GL delivery reached 46.16% of the total approved project budget and 56.7% of the planned cumulative delivery for this stage of implementation, with cumulative project disbursements estimated at USD 2.23 million. Co-financing performance has been particularly encouraging, with partners realizing approximately USD 22.19 million, equivalent to 80.1% of the total committed co-financing of USD 27.686 million. This reflects strong national ownership and continued commitment by government institutions and partner organizations to complement GEF resources in delivering project outcomes. The overall co-financing mobilization remains on track and provides confidence that sufficient financial resources are available to sustain implementation and achieve the project's intended outcomes.</w:t>
            </w:r>
          </w:p>
          <w:p>
            <w:pPr/>
            <w:r>
              <w:rPr/>
              <w:t xml:space="preserve"/>
            </w:r>
          </w:p>
          <w:p>
            <w:pPr/>
            <w:r>
              <w:rPr/>
              <w:t xml:space="preserve">The project is delivering results consistent with its results framework, implementation arrangements remain effective, partnerships continue to strengthen, and there is clear evidence that project investments are generating measurable environmental, institutional, and socio-economic benefits. With continued focus on addressing emerging implementation challenges, strengthening long-term financing mechanisms, and maintaining implementation momentum, the project remains well positioned to achieve its Development Objective and deliver lasting contributions to biodiversity conservation, climate resilience, and sustainable forest management in Tanzania.</w:t>
            </w:r>
          </w:p>
          <w:p>
            <w:pPr/>
            <w:r>
              <w:rPr/>
              <w:t xml:space="preserve"/>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Final GAP and Action Plan.pdf</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the reporting period, the project made notable progress in advancing gender equality and women's empowerment through targeted efforts to increase women's participation in governance, capacity development, and livelihood activities. A total of 1,072 women and 1,994 men participated in the establishment of Climate-Smart Agriculture (CSA), Community-Based Forest Management (CBFM), environmental and social safeguards processes, and the development of Joint Management Agreements (JMAs). By ensuring women's meaningful participation in consultations and decision-making processes, the project strengthened women's voices in community governance structures and increased their influence over forest management, climate resilience planning, and natural resource governance. This helped challenge traditional norms that often limit women's participation in decision-making related to natural resources.</w:t>
            </w:r>
          </w:p>
          <w:p>
            <w:pPr/>
            <w:r>
              <w:rPr/>
              <w:t xml:space="preserve"/>
            </w:r>
          </w:p>
          <w:p>
            <w:pPr/>
            <w:r>
              <w:rPr/>
              <w:t xml:space="preserve">The project also strengthened the capacities of 739 community members, including 278 women, through training on participatory forest management, JMA development, environmental safeguards, and climate-smart agricultural practices. These interventions enhanced women's technical skills, confidence, leadership capacities, and ability to participate effectively in community decision-making processes. In addition, 25 operational staff were trained on gender mainstreaming, environmental and social safeguards, grievance redress mechanisms, and stakeholder engagement, helping strengthen institutional capacity to apply gender-responsive approaches throughout project implementation.</w:t>
            </w:r>
          </w:p>
          <w:p>
            <w:pPr/>
            <w:r>
              <w:rPr/>
              <w:t xml:space="preserve"/>
            </w:r>
          </w:p>
          <w:p>
            <w:pPr/>
            <w:r>
              <w:rPr/>
              <w:t xml:space="preserve">Livelihood interventions were designed to address the specific needs of both women and men while improving household resilience and reducing vulnerability. The project supported 587 households, including 123 women-headed households, through climate-smart agriculture and Good Agricultural Practices delivered via farmer field schools in six villages. Women gained improved access to agricultural knowledge, technologies, productive resources, and opportunities for income diversification through fruit and timber seedling distribution. These activities enhanced women's economic participation and contributed to reducing barriers to productive asset ownership and income generation.</w:t>
            </w:r>
          </w:p>
          <w:p>
            <w:pPr/>
            <w:r>
              <w:rPr/>
              <w:t xml:space="preserve"/>
            </w:r>
          </w:p>
          <w:p>
            <w:pPr/>
            <w:r>
              <w:rPr/>
              <w:t xml:space="preserve">Infrastructure investments also generated important gender-responsive benefits. The rehabilitation of the livestock dip facility in Essimingor benefited 5,810 community members (3,225 women and 2,585 men) and supported improved livestock health services for 13,825 livestock. By reducing time and labour burdens associated with livestock management and improving household productivity, these investments contributed to strengthening women's economic wellbeing and resilience.</w:t>
            </w:r>
          </w:p>
          <w:p>
            <w:pPr/>
            <w:r>
              <w:rPr/>
              <w:t xml:space="preserve"/>
            </w:r>
          </w:p>
          <w:p>
            <w:pPr/>
            <w:r>
              <w:rPr/>
              <w:t xml:space="preserve">Overall, the project has contributed to transforming gender relations by increasing women's participation in community governance, strengthening leadership and technical capacities, improving access to livelihood opportunities and productive resources, and promoting more equitable sharing of development benefits. These actions have helped create a more inclusive environment for decision-making, strengthened recognition of women as key actors in natural resource management, and laid important foundations for longer-term progress toward gender equality and women's empowerment within project landscapes.</w:t>
            </w:r>
          </w:p>
          <w:p>
            <w:pPr/>
            <w:r>
              <w:rPr/>
              <w:t xml:space="preserve"/>
            </w:r>
          </w:p>
          <w:p>
            <w:pPr/>
            <w:r>
              <w:rPr/>
              <w:t xml:space="preserve"/>
            </w:r>
          </w:p>
          <w:p>
            <w:pPr/>
            <w:r>
              <w:rPr/>
              <w:t xml:space="preserve">Evidence:</w:t>
            </w:r>
          </w:p>
          <w:p>
            <w:pPr/>
            <w:r>
              <w:rPr/>
              <w:t xml:space="preserve">Final GAP and Action Plan</w:t>
            </w:r>
          </w:p>
          <w:p>
            <w:pPr/>
            <w:r>
              <w:rPr/>
              <w:t xml:space="preserve">Outcome 1.2_indicator 9_report on CSA and GAP-2026.pdf</w:t>
            </w:r>
          </w:p>
          <w:p>
            <w:pPr/>
            <w:r>
              <w:rPr/>
              <w:t xml:space="preserve">Outcome 1.2_indicator 9_report on rehabilitation of livestock dip-2026.pdf</w:t>
            </w:r>
          </w:p>
          <w:p>
            <w:pPr/>
            <w:r>
              <w:rPr/>
              <w:t xml:space="preserve">Outcome 1.2_indicator 9_report on tree nursery activity-2025.pdf</w:t>
            </w:r>
          </w:p>
          <w:p>
            <w:pPr/>
            <w:r>
              <w:rPr/>
              <w:t xml:space="preserve">Outcome 3.1_indicator 13_training on ESS Report-2026.pdf</w:t>
            </w:r>
          </w:p>
          <w:p>
            <w:pPr/>
            <w:r>
              <w:rPr/>
              <w:t xml:space="preserve"/>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Work to advance gender equality and women's empowerment significantly enhanced the project's environmental sustainability and climate resilience outcomes by ensuring that women were not only beneficiaries but also active participants in conservation planning, natural resource governance, and sustainable livelihood development. Through inclusive participation in Climate-Smart Agriculture (CSA), Community-Based Forest Management (CBFM), environmental and social safeguards processes, and Joint Management Agreement (JMA) development, 1,072 women actively contributed to decisions affecting forest management, climate adaptation, and resource use. Integrating women's knowledge, priorities, and perspectives into these processes strengthened the relevance, effectiveness, and long-term sustainability of conservation interventions.</w:t>
            </w:r>
          </w:p>
          <w:p>
            <w:pPr/>
            <w:r>
              <w:rPr/>
              <w:t xml:space="preserve"/>
            </w:r>
          </w:p>
          <w:p>
            <w:pPr/>
            <w:r>
              <w:rPr/>
              <w:t xml:space="preserve">The project also strengthened women's capacity to contribute to environmental stewardship and resilience-building. Women participated in training on participatory forest management, climate-smart agriculture, environmental safeguards, wildfire management, and sustainable natural resource management. These investments improved women's technical skills, leadership capacity, and confidence to engage in community governance and conservation actions, resulting in stronger local stewardship of forest resources and greater community ownership of biodiversity conservation initiatives.</w:t>
            </w:r>
          </w:p>
          <w:p>
            <w:pPr/>
            <w:r>
              <w:rPr/>
              <w:t xml:space="preserve"/>
            </w:r>
          </w:p>
          <w:p>
            <w:pPr/>
            <w:r>
              <w:rPr/>
              <w:t xml:space="preserve">Gender-responsive livelihood interventions generated direct environmental benefits by reducing pressure on forest ecosystems. The project supported 123 women-headed households and other women farmers through farmer field schools, climate-smart agriculture, Good Agricultural Practices (GAP), and distribution of fruit and timber seedlings. By increasing agricultural productivity, diversifying household incomes, and strengthening food security, these activities reduced dependence on unsustainable extraction of forest resources while promoting sustainable land management practices in buffer zones surrounding Nature Forest Reserves.</w:t>
            </w:r>
          </w:p>
          <w:p>
            <w:pPr/>
            <w:r>
              <w:rPr/>
              <w:t xml:space="preserve"/>
            </w:r>
          </w:p>
          <w:p>
            <w:pPr/>
            <w:r>
              <w:rPr/>
              <w:t xml:space="preserve">Women's economic empowerment also strengthened community resilience to climate change. Access to climate-resilient agricultural technologies, improved farming practices, and livelihood diversification enabled women to better manage climate-related risks, absorb environmental shocks, and support household adaptation strategies. The rehabilitation of the livestock dip facility, which benefited 3,225 women, further improved livestock health, reduced household vulnerability, and enhanced resilience among communities exposed to climate variability.</w:t>
            </w:r>
          </w:p>
          <w:p>
            <w:pPr/>
            <w:r>
              <w:rPr/>
              <w:t xml:space="preserve"/>
            </w:r>
          </w:p>
          <w:p>
            <w:pPr/>
            <w:r>
              <w:rPr/>
              <w:t xml:space="preserve">In addition, the project's emphasis on women's participation in Joint Management Agreements, Village Land Forest Reserves, and community governance structures strengthened social cohesion, accountability, and compliance with sustainable resource management rules. Increased involvement of women in decision-making contributed to more inclusive governance systems and fostered stronger community commitment to biodiversity conservation, wildfire prevention, forest restoration, and sustainable management of ecosystem services.</w:t>
            </w:r>
          </w:p>
          <w:p>
            <w:pPr/>
            <w:r>
              <w:rPr/>
              <w:t xml:space="preserve"/>
            </w:r>
          </w:p>
          <w:p>
            <w:pPr/>
            <w:r>
              <w:rPr/>
              <w:t xml:space="preserve">Overall, advancing gender equality and women's empowerment contributed directly to improved conservation outcomes, sustainable landscape management, reduced pressure on forest resources, strengthened climate resilience, enhanced community stewardship, and more effective implementation of biodiversity conservation measures across the project landscapes. The results demonstrate that empowering women as leaders, resource managers, and economic actors is critical for achieving lasting environmental and resilience benefits.</w:t>
            </w:r>
          </w:p>
          <w:p>
            <w:pPr/>
            <w:r>
              <w:rPr/>
              <w:t xml:space="preserve"/>
            </w:r>
          </w:p>
          <w:p>
            <w:pPr/>
            <w:r>
              <w:rPr/>
              <w:t xml:space="preserve"/>
            </w:r>
          </w:p>
          <w:p>
            <w:pPr/>
            <w:r>
              <w:rPr/>
              <w:t xml:space="preserve">Evidence:</w:t>
            </w:r>
          </w:p>
          <w:p>
            <w:pPr/>
            <w:r>
              <w:rPr/>
              <w:t xml:space="preserve">Final GAP and Action Plan</w:t>
            </w:r>
          </w:p>
          <w:p>
            <w:pPr/>
            <w:r>
              <w:rPr/>
              <w:t xml:space="preserve">Outcome 1.2_indicator 9_report on CSA and GAP-2026.pdf</w:t>
            </w:r>
          </w:p>
          <w:p>
            <w:pPr/>
            <w:r>
              <w:rPr/>
              <w:t xml:space="preserve">Outcome 1.2_indicator 9_report on rehabilitation of livestock dip-2026.pdf</w:t>
            </w:r>
          </w:p>
          <w:p>
            <w:pPr/>
            <w:r>
              <w:rPr/>
              <w:t xml:space="preserve">Outcome 1.2_indicator 9_report on tree nursery activity-2025.pdf</w:t>
            </w:r>
          </w:p>
          <w:p>
            <w:pPr/>
            <w:r>
              <w:rPr/>
              <w:t xml:space="preserve">Outcome 3.1_indicator 13_training on ESS Report-2026.pdf</w:t>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The project risk rating can be considered moderate based on evidence from the Quantum Risk Register, the PIMS+ Vertical Fund Risk Dashboard, the PIR, and the updated risk matrix which indicate that risk management during the reporting period was generally effective, and the project has maintained most risks at manageable levels.</w:t>
            </w:r>
          </w:p>
          <w:p>
            <w:pPr/>
            <w:r>
              <w:rPr/>
              <w:t xml:space="preserve"/>
            </w:r>
          </w:p>
          <w:p>
            <w:pPr/>
            <w:r>
              <w:rPr/>
              <w:t xml:space="preserve">The project has made significant progress in operationalizing its safeguards architecture and strengthening management of social and environmental risks. Key achievements include updating the Social and Environmental Screening Procedure (SESP), scoping Environmental and Social Impact Assessments (ESIAs), and preparing site-specific Environmental and Social Management Plans (ESMPs) for infrastructure investments across targeted Nature Forest Reserves. The project has also effectively implemented the Stakeholder Engagement Plan, Gender Action Plan, and Grievance Redress Mechanism (GRM), while enhancing safeguards capacity through training on environmental and social standards, stakeholder engagement, grievance management, and gender mainstreaming. In addition, 18 Joint Management Agreements and 17 Village Land Forest Reserves have been established, supported by regular safeguards monitoring and Project Steering Committee oversight. Collectively, these measures have strengthened transparency, accountability, community participation, and benefit-sharing arrangements, while significantly reducing risks related to stakeholder exclusion, Indigenous Peoples' rights, economic displacement, and resource-use conflicts.</w:t>
            </w:r>
          </w:p>
          <w:p>
            <w:pPr/>
            <w:r>
              <w:rPr/>
              <w:t xml:space="preserve"/>
            </w:r>
          </w:p>
          <w:p>
            <w:pPr/>
            <w:r>
              <w:rPr/>
              <w:t xml:space="preserve">Risks related to community access restrictions, economic displacement, Indigenous Peoples, and forest governance have been effectively managed through extensive community consultations, the establishment of 17 Joint Management Agreements (JMAs), Village Land Forest Reserves (VLFRs), community forest management plans, and climate-smart livelihood interventions. By June 2026, more than 1,000 community members and 1,127 households were benefiting from improved forest governance arrangements and regulated access to forest resources and ecosystem services through negotiated agreements. These measures have strengthened trust, community ownership, benefit-sharing, and collaborative forest governance, while significantly reducing risks associated with resource-use conflicts, access restrictions, and stakeholder exclusion. Although the risk remains relevant, it is currently well managed and under effective control.</w:t>
            </w:r>
          </w:p>
          <w:p>
            <w:pPr/>
            <w:r>
              <w:rPr/>
              <w:t xml:space="preserve"/>
            </w:r>
          </w:p>
          <w:p>
            <w:pPr/>
            <w:r>
              <w:rPr/>
              <w:t xml:space="preserve">Financial and institutional sustainability prospects have improved significantly during the reporting period. Risks associated with inadequate government funding and staffing of Nature Forest Reserves (NFRs) have declined due to strong government commitment, increased deployment of permanent staff (33 staff compared to 15 at project inception), substantial co-financing mobilization, and growing internally generated revenues. Co-financing realization reached approximately USD 22.19 million against a cumulative target of USD 11.79 million, representing 188% achievement and demonstrating strong partner commitment to project objectives. In parallel, tourism user fees and concession agreements generated approximately USD 413,352 and USD 89,348 respectively, while Conservation Investment Plans and ecotourism investments are expected to further strengthen long-term financing for reserve management. Collectively, these achievements have substantially reduced sustainability concerns, strengthened institutional capacity, and lowered dependence on GEF resources for the long-term management of Nature Forest Reserves.</w:t>
            </w:r>
          </w:p>
          <w:p>
            <w:pPr/>
            <w:r>
              <w:rPr/>
              <w:t xml:space="preserve"/>
            </w:r>
          </w:p>
          <w:p>
            <w:pPr/>
            <w:r>
              <w:rPr/>
              <w:t xml:space="preserve">Climate-related risks remain moderate but are being proactively addressed through climate vulnerability assessments, development of a Climate Mitigation and Adaptation Strategy, biodiversity assessments, invasive species mapping, climate-smart agriculture initiatives, integrated fire management, and restoration planning. Climate risk assessments have now been completed across all targeted Nature Forest Reserves, providing a strong basis for developing climate-resilient forest management plans and adaptation measures</w:t>
            </w:r>
          </w:p>
          <w:p>
            <w:pPr/>
            <w:r>
              <w:rPr/>
              <w:t xml:space="preserve"/>
            </w:r>
          </w:p>
          <w:p>
            <w:pPr/>
            <w:r>
              <w:rPr/>
              <w:t xml:space="preserve">Despite strong progress, some implementation-related risks remain. Livelihood and benefit-sharing interventions are progressing more slowly than anticipated, with only a limited number of the planned income-generating activities fully operational. Delayed livelihood benefits could weaken community support for conservation, particularly where restrictions on forest access apply. In addition, gender-responsive livelihood outcomes and participation of women-headed households require continued monitoring and targeted support to ensure equitable access to project benefits.</w:t>
            </w:r>
          </w:p>
          <w:p>
            <w:pPr/>
            <w:r>
              <w:rPr/>
              <w:t xml:space="preserve"/>
            </w:r>
          </w:p>
          <w:p>
            <w:pPr/>
            <w:r>
              <w:rPr/>
              <w:t xml:space="preserve">The most significant emerging risk relates to livestock encroachment into Village Land Forest Reserves (VLFRs) and reserve buffer zones by livestock keepers originating from outside project-supported communities and operating outside established Joint Management Agreements (JMAs) and VLFR governance arrangements. Identified during the RTA oversight mission, this risk poses a growing threat to biodiversity conservation, forest restoration investments, community relations, and the long-term sustainability of participatory forest management efforts. Existing community governance mechanisms have limited authority to regulate external livestock movements, highlighting the need for a coordinated response involving Tanzania Forest Services (TFS), district and livestock authorities, PO-RALG, the Vice President’s Office, and affected communities to prevent further degradation of conservation gains and strengthen landscape-level management.</w:t>
            </w:r>
          </w:p>
          <w:p>
            <w:pPr/>
            <w:r>
              <w:rPr/>
              <w:t xml:space="preserve"/>
            </w:r>
          </w:p>
          <w:p>
            <w:pPr/>
            <w:r>
              <w:rPr/>
              <w:t xml:space="preserve">Overall, the project's risk management framework is functioning effectively and has successfully prevented identified risks from significantly affecting implementation progress or achievement of results. Most safeguards, governance, and financial sustainability risks have either stabilized or declined due to the implementation of robust mitigation measures, strong stakeholder engagement, effective safeguards systems, substantial co-financing mobilization, and increased government commitment. While emerging risks related to livestock encroachment, delayed livelihood benefits, gender-responsive benefit sharing, and sustaining long-term financing require continued attention, current risk management arrangements remain adequate and responsive. Subject to implementation of the agreed mitigation measures and continued oversight, the project remains well positioned to achieve its biodiversity conservation, climate resilience, sustainable forest management, and community development objectives.</w:t>
            </w:r>
          </w:p>
          <w:p>
            <w:pPr/>
            <w:r>
              <w:rPr/>
              <w:t xml:space="preserve"/>
            </w:r>
          </w:p>
          <w:p>
            <w:pPr/>
            <w:r>
              <w:rPr/>
              <w:t xml:space="preserve">Agreed risk-management actions for FY2027</w:t>
            </w:r>
          </w:p>
          <w:p>
            <w:pPr/>
            <w:r>
              <w:rPr/>
              <w:t xml:space="preserve"/>
            </w:r>
          </w:p>
          <w:p>
            <w:pPr/>
            <w:r>
              <w:rPr/>
              <w:t xml:space="preserve">1. Address livestock encroachment risks through escalation to the Project Steering Committee and development of a coordinated action plan involving Tanzania Forest Services, PO-RALG, the Vice President's Office, district authorities, livestock departments, and affected communities.</w:t>
            </w:r>
          </w:p>
          <w:p>
            <w:pPr/>
            <w:r>
              <w:rPr/>
              <w:t xml:space="preserve"/>
            </w:r>
          </w:p>
          <w:p>
            <w:pPr/>
            <w:r>
              <w:rPr/>
              <w:t xml:space="preserve">2. Strengthen implementation and monitoring of JMAs and VLFRs to reinforce community ownership, compliance with agreed land-use arrangements, and prevention of illegal encroachment.</w:t>
            </w:r>
          </w:p>
          <w:p>
            <w:pPr/>
            <w:r>
              <w:rPr/>
              <w:t xml:space="preserve"/>
            </w:r>
          </w:p>
          <w:p>
            <w:pPr/>
            <w:r>
              <w:rPr/>
              <w:t xml:space="preserve">3. Accelerate implementation of livelihood and income-generating activities, particularly those targeting women, youth, and vulnerable households, to strengthen incentives for sustainable natural resource management and conservation.</w:t>
            </w:r>
          </w:p>
          <w:p>
            <w:pPr/>
            <w:r>
              <w:rPr/>
              <w:t xml:space="preserve"/>
            </w:r>
          </w:p>
          <w:p>
            <w:pPr/>
            <w:r>
              <w:rPr/>
              <w:t xml:space="preserve">4. Maintain implementation of the Stakeholder Engagement Plan and GRM awareness activities, ensuring grievances and emerging social conflicts are identified and addressed in a timely manner.</w:t>
            </w:r>
          </w:p>
          <w:p>
            <w:pPr/>
            <w:r>
              <w:rPr/>
              <w:t xml:space="preserve"/>
            </w:r>
          </w:p>
          <w:p>
            <w:pPr/>
            <w:r>
              <w:rPr/>
              <w:t xml:space="preserve">5. Finalize and operationalize outstanding safeguards instruments, including ESMPs, climate-smart forest management plans, and implementation of recommendations emerging from ongoing safeguard assessments.</w:t>
            </w:r>
          </w:p>
          <w:p>
            <w:pPr/>
            <w:r>
              <w:rPr/>
              <w:t xml:space="preserve"/>
            </w:r>
          </w:p>
          <w:p>
            <w:pPr/>
            <w:r>
              <w:rPr/>
              <w:t xml:space="preserve">6. Continue quarterly monitoring of financial delivery, co-financing realization, concession revenues, tourism revenues, procurement performance, and implementation of risk mitigation measures.</w:t>
            </w:r>
          </w:p>
          <w:p>
            <w:pPr/>
            <w:r>
              <w:rPr/>
              <w:t xml:space="preserve"/>
            </w:r>
          </w:p>
          <w:p>
            <w:pPr/>
            <w:r>
              <w:rPr/>
              <w:t xml:space="preserve">7. Strengthen gender-responsive implementation, including systematic monitoring of women's participation, women-headed households' access to benefits, leadership roles in forest governance, and livelihood outcomes.</w:t>
            </w:r>
          </w:p>
          <w:p>
            <w:pPr/>
            <w:r>
              <w:rPr/>
              <w:t xml:space="preserve"/>
            </w:r>
          </w:p>
          <w:p>
            <w:pPr/>
            <w:r>
              <w:rPr/>
              <w:t xml:space="preserve">8. Strengthen monitoring of climate and biodiversity risks, including invasive alien species management, fire management, forest restoration performance, and climate adaptation measures across targeted NFRs.</w:t>
            </w:r>
          </w:p>
          <w:p>
            <w:pPr/>
            <w:r>
              <w:rPr/>
              <w:t xml:space="preserve"/>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Stakeholder engagement remained a strong feature of project implementation during the reporting period and has contributed significantly to progress in community conservation, governance, climate resilience, and sustainable forest management. The project engaged a broad range of institutional and community stakeholders, ensuring that both national priorities and local perspectives informed decision-making and implementation processes. A total of 3,066 stakeholders (1,994 men and 1,072 women) participated in activities related to Joint Management Agreements (JMAs), Climate-Smart Agriculture (CSA), gender mainstreaming, and Environmental and Social Safeguards, promoting inclusive and participatory approaches to natural resource management.</w:t>
            </w:r>
          </w:p>
          <w:p>
            <w:pPr/>
            <w:r>
              <w:rPr/>
              <w:t xml:space="preserve"/>
            </w:r>
          </w:p>
          <w:p>
            <w:pPr/>
            <w:r>
              <w:rPr/>
              <w:t xml:space="preserve">Local communities remained central to implementation. The project provided conservation and governance-related training to 2,963 community members (2,010 men and 953 women) and actively involved communities in livelihood activities, forest management initiatives, tree nursery development, and short-term employment opportunities. Village assemblies in 18 villages adjacent to Mt. Hanang, Essimingor, and Rondo Nature Forest Reserves played a key role in developing and validating JMAs, ensuring broad participation, including women and youth, and strengthening local ownership of conservation efforts.</w:t>
            </w:r>
          </w:p>
          <w:p>
            <w:pPr/>
            <w:r>
              <w:rPr/>
              <w:t xml:space="preserve"/>
            </w:r>
          </w:p>
          <w:p>
            <w:pPr/>
            <w:r>
              <w:rPr/>
              <w:t xml:space="preserve">Institutional partners also played an important role. MJUMITA supported implementation of sustainable forest management and participatory forest governance around Rondo Nature Forest Reserve, while PO-RALG and district authorities in Chalinze and Monduli actively participated in JMA development, oversight, and implementation. In addition, growing private-sector interest in ecotourism investments in Essimingor, Mwambesi, and Pugu Kazimzumbwi NFRs contributed to strengthening conservation financing and stakeholder collaboration.</w:t>
            </w:r>
          </w:p>
          <w:p>
            <w:pPr/>
            <w:r>
              <w:rPr/>
              <w:t xml:space="preserve"/>
            </w:r>
          </w:p>
          <w:p>
            <w:pPr/>
            <w:r>
              <w:rPr/>
              <w:t xml:space="preserve">These achievements are evidenced through the Environmental and Social Impact Assessment reports, JMA development and implementation reports for Mt. Hanang, Essimingor and Rondo, ESS capacity-building reports, and project co-financing documentation, which collectively demonstrate effective stakeholder engagement and collaborative implementation across project landscapes.</w:t>
            </w:r>
          </w:p>
          <w:p>
            <w:pPr/>
            <w:r>
              <w:rPr/>
              <w:t xml:space="preserve"/>
            </w:r>
          </w:p>
          <w:p>
            <w:pPr/>
            <w:r>
              <w:rPr/>
              <w:t xml:space="preserve">Evidence:</w:t>
            </w:r>
          </w:p>
          <w:p>
            <w:pPr/>
            <w:r>
              <w:rPr/>
              <w:t xml:space="preserve">Co-financing June 2026</w:t>
            </w:r>
          </w:p>
          <w:p>
            <w:pPr/>
            <w:r>
              <w:rPr/>
              <w:t xml:space="preserve">Outcome 1.2_indicator 9_report on ESIA-2026</w:t>
            </w:r>
          </w:p>
          <w:p>
            <w:pPr/>
            <w:r>
              <w:rPr/>
              <w:t xml:space="preserve">Outcome 1.1_indicator 6_Report on JMA_Mt. Hanang-2026</w:t>
            </w:r>
          </w:p>
          <w:p>
            <w:pPr/>
            <w:r>
              <w:rPr/>
              <w:t xml:space="preserve">Outcome 1.1_indicator 6_Report on JMA_Essimingor-2026</w:t>
            </w:r>
          </w:p>
          <w:p>
            <w:pPr/>
            <w:r>
              <w:rPr/>
              <w:t xml:space="preserve">Outcome 1.1_indicator 6_Report on JMA_Rondo-2026</w:t>
            </w:r>
          </w:p>
          <w:p>
            <w:pPr/>
            <w:r>
              <w:rPr/>
              <w:t xml:space="preserve">Outcome 1.1_indicator 6_Capacity building on ESS-2026</w:t>
            </w:r>
          </w:p>
          <w:p>
            <w:pPr/>
            <w:r>
              <w:rPr/>
              <w:t xml:space="preserve"/>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The project is implementing its Knowledge Management (KM) and Communications approach effectively and has established mechanisms to systematically capture, document, share, and promote lessons learned, best practices, innovations, and project results. Knowledge management activities have been integrated into implementation across all project components to ensure that experiences from biodiversity conservation, climate resilience, sustainable forest management, community governance, and livelihood interventions inform policy, practice, and future scaling-up.</w:t>
            </w:r>
          </w:p>
          <w:p>
            <w:pPr/>
            <w:r>
              <w:rPr/>
              <w:t xml:space="preserve"/>
            </w:r>
          </w:p>
          <w:p>
            <w:pPr/>
            <w:r>
              <w:rPr/>
              <w:t xml:space="preserve">During the reporting period, the project strengthened documentation and dissemination of knowledge products generated through implementation. Technical reports, management effectiveness assessments, climate risk assessments, biodiversity monitoring results, Village Land Forest Reserve (VLFR) establishment processes, Joint Management Agreements (JMAs), climate-smart agriculture initiatives, and conservation financing experiences were documented and shared among project stakeholders. These products are being used to support adaptive management, inform decision-making, and facilitate replication of successful approaches in other forest landscapes.</w:t>
            </w:r>
          </w:p>
          <w:p>
            <w:pPr/>
            <w:r>
              <w:rPr/>
              <w:t xml:space="preserve"/>
            </w:r>
          </w:p>
          <w:p>
            <w:pPr/>
            <w:r>
              <w:rPr/>
              <w:t xml:space="preserve">A key achievement was the operationalization of the project website (https://burefobi.nature-reserves.go.tz), which serves as a central knowledge and communication platform. The website hosts project reports, technical documents, success stories, photographs, videos, and other communication materials, improving transparency, accessibility of information, and institutional memory. It also provides stakeholders with a platform to access project results, lessons learned, and best practices emerging from implementation.</w:t>
            </w:r>
          </w:p>
          <w:p>
            <w:pPr/>
            <w:r>
              <w:rPr/>
              <w:t xml:space="preserve"/>
            </w:r>
          </w:p>
          <w:p>
            <w:pPr/>
            <w:r>
              <w:rPr/>
              <w:t xml:space="preserve">The project has actively used digital communication and social media platforms, including Instagram, Facebook, YouTube, and media outlets, to disseminate project achievements, promote awareness of biodiversity conservation and climate resilience, and share evidence of successful interventions. Regular communication products highlight progress in protected area management, community-based conservation, climate-smart agriculture, restoration activities, tourism development, and stakeholder engagement, helping increase visibility and stakeholder ownership of project results.</w:t>
            </w:r>
          </w:p>
          <w:p>
            <w:pPr/>
            <w:r>
              <w:rPr/>
              <w:t xml:space="preserve"/>
            </w:r>
          </w:p>
          <w:p>
            <w:pPr/>
            <w:r>
              <w:rPr/>
              <w:t xml:space="preserve">Knowledge exchange and learning have also been strengthened through stakeholder consultations, Project Steering Committee meetings, training programmes, field missions, and community engagement processes. These platforms have facilitated sharing of experiences among Tanzania Forest Services (TFS), local government authorities, community institutions, civil society organizations, research institutions, and development partners. Lessons emerging from implementation of VLFRs, JMAs, climate-smart agriculture, environmental safeguards, and conservation financing initiatives are being incorporated into project planning and management processes.</w:t>
            </w:r>
          </w:p>
          <w:p>
            <w:pPr/>
            <w:r>
              <w:rPr/>
              <w:t xml:space="preserve"/>
            </w:r>
          </w:p>
          <w:p>
            <w:pPr/>
            <w:r>
              <w:rPr/>
              <w:t xml:space="preserve">The project has generated valuable knowledge and good practices on participatory forest management, biodiversity monitoring, gender-responsive conservation approaches, climate adaptation, wildfire management, and sustainable financing of Nature Forest Reserves. Notable examples include the establishment of 17 Village Land Forest Reserves, implementation of 18 Joint Management Agreements, development of Conservation Investment Plans, establishment of 142 Permanent Sample Plots for long-term ecosystem monitoring, and promotion of climate-smart agriculture in forest-adjacent communities. These experiences provide practical models for replication and scaling-up within Tanzania's forest conservation sector.</w:t>
            </w:r>
          </w:p>
          <w:p>
            <w:pPr/>
            <w:r>
              <w:rPr/>
              <w:t xml:space="preserve"/>
            </w:r>
          </w:p>
          <w:p>
            <w:pPr/>
            <w:r>
              <w:rPr/>
              <w:t xml:space="preserve">Overall, implementation of the Knowledge Management approach is progressing satisfactorily and is contributing to improved learning, adaptive management, stakeholder engagement, evidence-based decision-making, visibility of project achievements, and long-term sustainability of project results. The project will continue to strengthen documentation of success stories, lessons learned, and innovative practices during the next reporting period, including dissemination of findings from the upcoming Mid-Term Review to support broader uptake and scaling of successful interventions.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The following Instagram links relate to the Building Resilience project in Tanzania. They specifically showcase activities and updates published by the Tanzania Forest Services Agency (TFS) official page and other social media. These posts highlight the project's role in forest conservation, climate resilience, and sustainable resource management under the broader project framework.</w:t>
            </w:r>
          </w:p>
          <w:p>
            <w:pPr/>
            <w:r>
              <w:rPr/>
              <w:t xml:space="preserve">1. Media Coverage</w:t>
            </w:r>
          </w:p>
          <w:p>
            <w:pPr/>
            <w:r>
              <w:rPr/>
              <w:t xml:space="preserve">Description: Provides updates on ongoing construction activities related to the Building Resilience project and the Regional Technical Advisor mission.</w:t>
            </w:r>
          </w:p>
          <w:p>
            <w:pPr/>
            <w:r>
              <w:rPr/>
              <w:t xml:space="preserve">https://dailynews.co.tz/undp-supported-climate-change-project-yields-result-in-tfs-southern-zone/</w:t>
            </w:r>
          </w:p>
          <w:p>
            <w:pPr/>
            <w:r>
              <w:rPr/>
              <w:t xml:space="preserve">https://habarileo.co.tz/mradi-wachochea-utalii-ikolojia-hifadhi-ya-misitu-pugu-kazimzumbwi/</w:t>
            </w:r>
          </w:p>
          <w:p>
            <w:pPr/>
            <w:r>
              <w:rPr/>
              <w:t xml:space="preserve">https://www.therespondents.co.tz/2026/05/tanzania-forest-project-boosts-eco.html</w:t>
            </w:r>
          </w:p>
          <w:p>
            <w:pPr/>
            <w:r>
              <w:rPr/>
              <w:t xml:space="preserve">https://www.michuzi.co.tz/2026/05/mradi-wa-burefobi-wachochea-utalii.html?m=1</w:t>
            </w:r>
          </w:p>
          <w:p>
            <w:pPr/>
            <w:r>
              <w:rPr/>
              <w:t xml:space="preserve"/>
            </w:r>
          </w:p>
          <w:p>
            <w:pPr/>
            <w:r>
              <w:rPr/>
              <w:t xml:space="preserve">2. Social Media – Instagram Links</w:t>
            </w:r>
          </w:p>
          <w:p>
            <w:pPr/>
            <w:r>
              <w:rPr/>
              <w:t xml:space="preserve">i.) Description: This post provides updates on project governance and construction activities related to the Building Resilience project. It highlights progress on infrastructure development, including the main ranger posts, ranger offices, and forest roads, Community-Based Forest Management, restoration activities, and Climate-Smart Agriculture.</w:t>
            </w:r>
          </w:p>
          <w:p>
            <w:pPr/>
            <w:r>
              <w:rPr/>
              <w:t xml:space="preserve">https://www.instagram.com/p/DK_VHgTNkez/?igsh=NnRpaDV5a21qdjkx</w:t>
            </w:r>
          </w:p>
          <w:p>
            <w:pPr/>
            <w:r>
              <w:rPr/>
              <w:t xml:space="preserve">https://www.instagram.com/p/DKzFlbNNA7i/?igsh=Y3cwamdwOWphYzJj</w:t>
            </w:r>
          </w:p>
          <w:p>
            <w:pPr/>
            <w:r>
              <w:rPr/>
              <w:t xml:space="preserve">https://www.instagram.com/p/DK3-pKytzA2/?igsh=bjlydnZrdjVia2J6</w:t>
            </w:r>
          </w:p>
          <w:p>
            <w:pPr/>
            <w:r>
              <w:rPr/>
              <w:t xml:space="preserve">https://www.instagram.com/p/DK4UC9dtCFl/?igsh=cmZpMHNhbWRobWJi</w:t>
            </w:r>
          </w:p>
          <w:p>
            <w:pPr/>
            <w:r>
              <w:rPr/>
              <w:t xml:space="preserve">https://www.instagram.com/p/DK5NQDrBLp3/?igsh=MWJvNWVxbmFvd29zOA==</w:t>
            </w:r>
          </w:p>
          <w:p>
            <w:pPr/>
            <w:r>
              <w:rPr/>
              <w:t xml:space="preserve">https://www.instagram.com/p/DK6XmnVNPxc/?igsh=MWlmOGtzNTlxMmcy</w:t>
            </w:r>
          </w:p>
          <w:p>
            <w:pPr/>
            <w:r>
              <w:rPr/>
              <w:t xml:space="preserve">https://www.instagram.com/reel/DXL75piCPZ4/?igsh=cmw4Y2FkMzNoZXpw</w:t>
            </w:r>
          </w:p>
          <w:p>
            <w:pPr/>
            <w:r>
              <w:rPr/>
              <w:t xml:space="preserve">https://www.instagram.com/p/DSX8TVxDYJe/?igsh=a2d0ZTVmcm9tbzNp</w:t>
            </w:r>
          </w:p>
          <w:p>
            <w:pPr/>
            <w:r>
              <w:rPr/>
              <w:t xml:space="preserve">https://www.instagram.com/p/DalYixkCBk8/?igsh=OWw2YWdjNWVtbHQ0</w:t>
            </w:r>
          </w:p>
          <w:p>
            <w:pPr/>
            <w:r>
              <w:rPr/>
              <w:t xml:space="preserve">https://www.instagram.com/p/DY3waQSjFzC/?igsh=MWhvaXB5dHN2b2pjMg==</w:t>
            </w:r>
          </w:p>
          <w:p>
            <w:pPr/>
            <w:r>
              <w:rPr/>
              <w:t xml:space="preserve">https://www.instagram.com/reel/DMdVYqotf0D/?igsh=MXBtaW5tZzl6ajl4bg==</w:t>
            </w:r>
          </w:p>
          <w:p>
            <w:pPr/>
            <w:r>
              <w:rPr/>
              <w:t xml:space="preserve">https://www.instagram.com/p/DMcgHijNq57/?igsh=MTRvcWUxcnk0ZGZ5bQ==</w:t>
            </w:r>
          </w:p>
          <w:p>
            <w:pPr/>
            <w:r>
              <w:rPr/>
              <w:t xml:space="preserve">https://www.instagram.com/p/DSYBhOzCKzA/?img_index=7&amp;igsh=c3Q0dmJvNDk2MDA=</w:t>
            </w:r>
          </w:p>
          <w:p>
            <w:pPr/>
            <w:r>
              <w:rPr/>
              <w:t xml:space="preserve">https://www.instagram.com/p/DVv5CcJCMRB/?igsh=MXNhd3B0eXVmcjRqaw==</w:t>
            </w:r>
          </w:p>
          <w:p>
            <w:pPr/>
            <w:r>
              <w:rPr/>
              <w:t xml:space="preserve"/>
            </w:r>
          </w:p>
          <w:p>
            <w:pPr/>
            <w:r>
              <w:rPr/>
              <w:t xml:space="preserve"/>
            </w:r>
          </w:p>
          <w:p>
            <w:pPr/>
            <w:r>
              <w:rPr/>
              <w:t xml:space="preserve">ii.) Description: This post features coverage of the official launching event for the Building Resilience project.</w:t>
            </w:r>
          </w:p>
          <w:p>
            <w:pPr/>
            <w:r>
              <w:rPr/>
              <w:t xml:space="preserve">https://www.instagram.com/p/DJObxMKtK4U/?igsh=cDhtNjdzMThhOGsx</w:t>
            </w:r>
          </w:p>
          <w:p>
            <w:pPr/>
            <w:r>
              <w:rPr/>
              <w:t xml:space="preserve">https://www.instagram.com/p/DJQ7sGzto6K/?igsh=b2c3ejdjZmFqb2Fw</w:t>
            </w:r>
          </w:p>
          <w:p>
            <w:pPr/>
            <w:r>
              <w:rPr/>
              <w:t xml:space="preserve">https://www.instagram.com/p/DJRmbyftnpo/?igsh=MXUwanMwcXJmYWZuaQ==</w:t>
            </w:r>
          </w:p>
          <w:p>
            <w:pPr/>
            <w:r>
              <w:rPr/>
              <w:t xml:space="preserve">https://www.instagram.com/p/DJTSmXpNtPb/?igsh=MTFtazl3emEwY3N4eA==</w:t>
            </w:r>
          </w:p>
          <w:p>
            <w:pPr/>
            <w:r>
              <w:rPr/>
              <w:t xml:space="preserve">https://www.instagram.com/p/DJTTf52tJx3/?igsh=YjRhc3VmbGd3NmN1</w:t>
            </w:r>
          </w:p>
          <w:p>
            <w:pPr/>
            <w:r>
              <w:rPr/>
              <w:t xml:space="preserve"/>
            </w:r>
          </w:p>
          <w:p>
            <w:pPr/>
            <w:r>
              <w:rPr/>
              <w:t xml:space="preserve">iii.) Description: This post documents a field mission conducted with the Regional Technical Advisor and UNDP Resident Representative (RR). It showcases site visits to project locations and discussions on the progress and impact of the Building Resilience project in advancing climate adaptation and resilience efforts.</w:t>
            </w:r>
          </w:p>
          <w:p>
            <w:pPr/>
            <w:r>
              <w:rPr/>
              <w:t xml:space="preserve">https://www.instagram.com/p/C_7aDbDthi1/?igsh=c251c2RvdWtmcDNr</w:t>
            </w:r>
          </w:p>
          <w:p>
            <w:pPr/>
            <w:r>
              <w:rPr/>
              <w:t xml:space="preserve">https://www.instagram.com/p/C_2fVocNkya/?img_index=8&amp;igsh=MWg2YWoyemNjZGJmbA==</w:t>
            </w:r>
          </w:p>
          <w:p>
            <w:pPr/>
            <w:r>
              <w:rPr/>
              <w:t xml:space="preserve">https://www.instagram.com/reel/C_75Qebt4EQ/?igsh=MTZiYWhsc2p5OXk2Zg==</w:t>
            </w:r>
          </w:p>
          <w:p>
            <w:pPr/>
            <w:r>
              <w:rPr/>
              <w:t xml:space="preserve">https://www.instagram.com/p/DY2bk6iDSv9/?igsh=MWhnc21nM2t6cnY1Mg==</w:t>
            </w:r>
          </w:p>
          <w:p>
            <w:pPr/>
            <w:r>
              <w:rPr/>
              <w:t xml:space="preserve">https://www.instagram.com/p/DY2hJHciNJJ/?img_index=5&amp;igsh=MWc1OTV5MzJzZGp6eg==</w:t>
            </w:r>
          </w:p>
          <w:p>
            <w:pPr/>
            <w:r>
              <w:rPr/>
              <w:t xml:space="preserve">https://www.instagram.com/p/DY2oSc-AIq2/?igsh=ZjFkYzMzMDQzZg==</w:t>
            </w:r>
          </w:p>
          <w:p>
            <w:pPr/>
            <w:r>
              <w:rPr/>
              <w:t xml:space="preserve"/>
            </w:r>
          </w:p>
          <w:p>
            <w:pPr/>
            <w:r>
              <w:rPr/>
              <w:t xml:space="preserve">iv.) Description: This post highlights a series of workshops conducted as part of the Building Resilience project, including inception and training sessions.</w:t>
            </w:r>
          </w:p>
          <w:p>
            <w:pPr/>
            <w:r>
              <w:rPr/>
              <w:t xml:space="preserve">https://www.instagram.com/p/C_nRqhItBLq/?igsh=cWJ2ejBmeTlpc3hr Workshop trainings</w:t>
            </w:r>
          </w:p>
          <w:p>
            <w:pPr/>
            <w:r>
              <w:rPr/>
              <w:t xml:space="preserve">https://www.instagram.com/p/Cy3spD7NM3k/?img_index=5&amp;igsh=MXBjZWZsNGtsd3NtZg==</w:t>
            </w:r>
          </w:p>
          <w:p>
            <w:pPr/>
            <w:r>
              <w:rPr/>
              <w:t xml:space="preserve">https://www.instagram.com/reel/Cy53UnaNNcA/?igsh=NnJ0NG01NGpuaTk1</w:t>
            </w:r>
          </w:p>
          <w:p>
            <w:pPr/>
            <w:r>
              <w:rPr/>
              <w:t xml:space="preserve">https://www.instagram.com/p/Cy3z9jnNoB-/?igsh=dTQzbWV3aHJyY3Vo</w:t>
            </w:r>
          </w:p>
          <w:p>
            <w:pPr/>
            <w:r>
              <w:rPr/>
              <w:t xml:space="preserve">https://www.instagram.com/p/Cy3zlQNNH_Y/?img_index=8&amp;igsh=ZGp6eWg3a3o4eHY=</w:t>
            </w:r>
          </w:p>
          <w:p>
            <w:pPr/>
            <w:r>
              <w:rPr/>
              <w:t xml:space="preserve"/>
            </w:r>
          </w:p>
          <w:p>
            <w:pPr/>
            <w:r>
              <w:rPr/>
              <w:t xml:space="preserve">3. Social Media: Facebook Link</w:t>
            </w:r>
          </w:p>
          <w:p>
            <w:pPr/>
            <w:r>
              <w:rPr/>
              <w:t xml:space="preserve">i.) Description: This post documents a field mission conducted with the Regional Technical Advisor</w:t>
            </w:r>
          </w:p>
          <w:p>
            <w:pPr/>
            <w:r>
              <w:rPr/>
              <w:t xml:space="preserve">https://www.facebook.com/share/p/1DvrUDzog4/</w:t>
            </w:r>
          </w:p>
          <w:p>
            <w:pPr/>
            <w:r>
              <w:rPr/>
              <w:t xml:space="preserve"/>
            </w:r>
          </w:p>
          <w:p>
            <w:pPr/>
            <w:r>
              <w:rPr/>
              <w:t xml:space="preserve">4. Social Media: YouTube Link</w:t>
            </w:r>
          </w:p>
          <w:p>
            <w:pPr/>
            <w:r>
              <w:rPr/>
              <w:t xml:space="preserve">i.) Description: This post video shows a tree seedling distribution to adjacent communities in Chalinze District</w:t>
            </w:r>
          </w:p>
          <w:p>
            <w:pPr/>
            <w:r>
              <w:rPr/>
              <w:t xml:space="preserve">https://www.youtube.com/live/eg1-LuAJU1s?si=a5J7dhGdzcuTvd4S</w:t>
            </w:r>
          </w:p>
          <w:p>
            <w:pPr/>
            <w:r>
              <w:rPr/>
              <w:t xml:space="preserve"/>
            </w:r>
          </w:p>
          <w:p>
            <w:pPr/>
            <w:r>
              <w:rPr/>
              <w:t xml:space="preserve">5. Project Website</w:t>
            </w:r>
          </w:p>
          <w:p>
            <w:pPr/>
            <w:r>
              <w:rPr/>
              <w:t xml:space="preserve"/>
            </w:r>
          </w:p>
          <w:p>
            <w:pPr/>
            <w:r>
              <w:rPr/>
              <w:t xml:space="preserve">https://burefobi.nature-reserves.go.tz</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CSA and GAP Initiatives- Uzigua NFR.mp4</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7977BD"/>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B0382 - United Republic of Tanzania</OfficeCountry>
    <DocumentStatus xmlns="d9cf0e28-81d2-4dc7-8b10-820d80ed680d">Final</DocumentStatus>
    <DocCoverageEndDate xmlns="d9cf0e28-81d2-4dc7-8b10-820d80ed680d">2026-09-30T04:00:00+00:00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FileNameDescription>
    <ProjectNumber xmlns="d9cf0e28-81d2-4dc7-8b10-820d80ed680d">00141918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00130361</OutputNumber>
  </documentManagement>
</p:properties>
</file>

<file path=customXml/itemProps1.xml><?xml version="1.0" encoding="utf-8"?>
<ds:datastoreItem xmlns:ds="http://schemas.openxmlformats.org/officeDocument/2006/customXml" ds:itemID="{7FEE2FF4-9DD1-4889-8CDC-A16BC3BAFF5D}"/>
</file>

<file path=customXml/itemProps2.xml><?xml version="1.0" encoding="utf-8"?>
<ds:datastoreItem xmlns:ds="http://schemas.openxmlformats.org/officeDocument/2006/customXml" ds:itemID="{EA334879-4097-4226-9C6A-FE99F6509089}"/>
</file>

<file path=customXml/itemProps3.xml><?xml version="1.0" encoding="utf-8"?>
<ds:datastoreItem xmlns:ds="http://schemas.openxmlformats.org/officeDocument/2006/customXml" ds:itemID="{E2AF9E2F-12F9-4B0E-A16E-A1AD02AB0A0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
  <cp:keywords/>
  <dc:description/>
  <cp:lastModifiedBy/>
  <dcterms:created xsi:type="dcterms:W3CDTF">2026-09-09T05:00:49Z</dcterms:created>
  <dcterms:modified xsi:type="dcterms:W3CDTF">2026-09-09T05:00:49Z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