
<file path=[Content_Types].xml><?xml version="1.0" encoding="utf-8"?>
<Types xmlns="http://schemas.openxmlformats.org/package/2006/content-types">
  <Default Extension="gif" ContentType="image/gif"/>
  <Default Extension="jpg" ContentType="image/jpeg"/>
  <Default Extension="rels" ContentType="application/vnd.openxmlformats-package.relationships+xml"/>
  <Default Extension="xml" ContentType="application/xml"/>
  <Override PartName="/word/header1.xml" ContentType="application/vnd.openxmlformats-officedocument.wordprocessingml.header+xml"/>
  <Override PartName="/word/footer1.xml" ContentType="application/vnd.openxmlformats-officedocument.wordprocessingml.footer+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pict>
          <v:shape type="#_x0000_t75" stroked="f" style="width:83.149606299213pt; height:91.086614173228pt; margin-left:0pt; margin-top:0pt; position:absolute; mso-position-horizontal:left; mso-position-vertical:top; mso-position-horizontal-relative:margin; mso-position-vertical-relative:line;">
            <w10:wrap type="square" anchorx="page" anchory="page"/>
            <v:imagedata r:id="rId7" o:title=""/>
          </v:shape>
        </w:pict>
      </w:r>
      <w:r>
        <w:pict>
          <v:shape type="#_x0000_t75" stroked="f" style="width:67.275590551181pt; height:120.18897637795pt; margin-left:0pt; margin-top:0pt; position:absolute; mso-position-horizontal:right; mso-position-vertical:top; mso-position-horizontal-relative:margin; mso-position-vertical-relative:line;">
            <w10:wrap type="square" anchorx="page" anchory="page"/>
            <v:imagedata r:id="rId8" o:title=""/>
          </v:shape>
        </w:pict>
      </w:r>
    </w:p>
    <w:p>
      <w:pPr>
        <w:jc w:val="center"/>
      </w:pPr>
      <w:r>
        <w:rPr>
          <w:sz w:val="28"/>
          <w:szCs w:val="28"/>
        </w:rPr>
        <w:t xml:space="preserve">2025</w:t>
      </w:r>
    </w:p>
    <w:p>
      <w:pPr>
        <w:jc w:val="center"/>
      </w:pPr>
      <w:r>
        <w:rPr>
          <w:sz w:val="28"/>
          <w:szCs w:val="28"/>
        </w:rPr>
        <w:t xml:space="preserve">Project Implementation Report (PIR)</w:t>
      </w:r>
    </w:p>
    <w:p>
      <w:pPr/>
      <w:r>
        <w:rPr/>
        <w:t xml:space="preserve"/>
      </w:r>
    </w:p>
    <w:p>
      <w:pPr/>
      <w:r>
        <w:rPr/>
        <w:t xml:space="preserve"/>
      </w:r>
    </w:p>
    <w:p>
      <w:pPr/>
      <w:r>
        <w:rPr/>
        <w:t xml:space="preserve"/>
      </w:r>
    </w:p>
    <w:p>
      <w:pPr>
        <w:jc w:val="center"/>
      </w:pPr>
      <w:r>
        <w:rPr>
          <w:sz w:val="28"/>
          <w:szCs w:val="28"/>
          <w:b w:val="1"/>
          <w:bCs w:val="1"/>
        </w:rPr>
        <w:t xml:space="preserve">Advancing Climate Resilience of Water Sector in Bhutan (ACREWAS)</w:t>
      </w:r>
    </w:p>
    <w:p>
      <w:pPr>
        <w:tabs>
          <w:tab w:val="right" w:leader="dot" w:pos="9062"/>
        </w:tabs>
      </w:pPr>
      <w:r>
        <w:fldChar w:fldCharType="begin"/>
      </w:r>
      <w:r>
        <w:instrText xml:space="preserve">TOC \o 1-1 \h \z \u</w:instrText>
      </w:r>
      <w:r>
        <w:fldChar w:fldCharType="separate"/>
      </w:r>
      <w:hyperlink w:anchor="_Toc0" w:history="1">
        <w:r>
          <w:t>Basic Data</w:t>
        </w:r>
        <w:r>
          <w:tab/>
        </w:r>
        <w:r>
          <w:fldChar w:fldCharType="begin"/>
        </w:r>
        <w:r>
          <w:instrText xml:space="preserve">PAGEREF 0 \h</w:instrText>
        </w:r>
        <w:r>
          <w:fldChar w:fldCharType="end"/>
        </w:r>
      </w:hyperlink>
    </w:p>
    <w:p>
      <w:pPr>
        <w:tabs>
          <w:tab w:val="right" w:leader="dot" w:pos="9062"/>
        </w:tabs>
      </w:pPr>
      <w:hyperlink w:anchor="_Toc1" w:history="1">
        <w:r>
          <w:t>Key project dates</w:t>
        </w:r>
        <w:r>
          <w:tab/>
        </w:r>
        <w:r>
          <w:fldChar w:fldCharType="begin"/>
        </w:r>
        <w:r>
          <w:instrText xml:space="preserve">PAGEREF 1 \h</w:instrText>
        </w:r>
        <w:r>
          <w:fldChar w:fldCharType="end"/>
        </w:r>
      </w:hyperlink>
    </w:p>
    <w:p>
      <w:pPr>
        <w:tabs>
          <w:tab w:val="right" w:leader="dot" w:pos="9062"/>
        </w:tabs>
      </w:pPr>
      <w:hyperlink w:anchor="_Toc2" w:history="1">
        <w:r>
          <w:t>Overall ratings</w:t>
        </w:r>
        <w:r>
          <w:tab/>
        </w:r>
        <w:r>
          <w:fldChar w:fldCharType="begin"/>
        </w:r>
        <w:r>
          <w:instrText xml:space="preserve">PAGEREF 2 \h</w:instrText>
        </w:r>
        <w:r>
          <w:fldChar w:fldCharType="end"/>
        </w:r>
      </w:hyperlink>
    </w:p>
    <w:p>
      <w:pPr>
        <w:tabs>
          <w:tab w:val="right" w:leader="dot" w:pos="9062"/>
        </w:tabs>
      </w:pPr>
      <w:hyperlink w:anchor="_Toc3" w:history="1">
        <w:r>
          <w:t>Development Objective Progress</w:t>
        </w:r>
        <w:r>
          <w:tab/>
        </w:r>
        <w:r>
          <w:fldChar w:fldCharType="begin"/>
        </w:r>
        <w:r>
          <w:instrText xml:space="preserve">PAGEREF 3 \h</w:instrText>
        </w:r>
        <w:r>
          <w:fldChar w:fldCharType="end"/>
        </w:r>
      </w:hyperlink>
    </w:p>
    <w:p>
      <w:pPr>
        <w:tabs>
          <w:tab w:val="right" w:leader="dot" w:pos="9062"/>
        </w:tabs>
      </w:pPr>
      <w:hyperlink w:anchor="_Toc4" w:history="1">
        <w:r>
          <w:t>Finance/Co-Finance</w:t>
        </w:r>
        <w:r>
          <w:tab/>
        </w:r>
        <w:r>
          <w:fldChar w:fldCharType="begin"/>
        </w:r>
        <w:r>
          <w:instrText xml:space="preserve">PAGEREF 4 \h</w:instrText>
        </w:r>
        <w:r>
          <w:fldChar w:fldCharType="end"/>
        </w:r>
      </w:hyperlink>
    </w:p>
    <w:p>
      <w:pPr>
        <w:tabs>
          <w:tab w:val="right" w:leader="dot" w:pos="9062"/>
        </w:tabs>
      </w:pPr>
      <w:hyperlink w:anchor="_Toc6" w:history="1">
        <w:r>
          <w:t>Implementation Progress</w:t>
        </w:r>
        <w:r>
          <w:tab/>
        </w:r>
        <w:r>
          <w:fldChar w:fldCharType="begin"/>
        </w:r>
        <w:r>
          <w:instrText xml:space="preserve">PAGEREF 6 \h</w:instrText>
        </w:r>
        <w:r>
          <w:fldChar w:fldCharType="end"/>
        </w:r>
      </w:hyperlink>
    </w:p>
    <w:p>
      <w:pPr>
        <w:tabs>
          <w:tab w:val="right" w:leader="dot" w:pos="9062"/>
        </w:tabs>
      </w:pPr>
      <w:hyperlink w:anchor="_Toc7" w:history="1">
        <w:r>
          <w:t>Project Governance</w:t>
        </w:r>
        <w:r>
          <w:tab/>
        </w:r>
        <w:r>
          <w:fldChar w:fldCharType="begin"/>
        </w:r>
        <w:r>
          <w:instrText xml:space="preserve">PAGEREF 7 \h</w:instrText>
        </w:r>
        <w:r>
          <w:fldChar w:fldCharType="end"/>
        </w:r>
      </w:hyperlink>
    </w:p>
    <w:p>
      <w:pPr>
        <w:tabs>
          <w:tab w:val="right" w:leader="dot" w:pos="9062"/>
        </w:tabs>
      </w:pPr>
      <w:hyperlink w:anchor="_Toc8" w:history="1">
        <w:r>
          <w:t>Ratings and Overall Assessments</w:t>
        </w:r>
        <w:r>
          <w:tab/>
        </w:r>
        <w:r>
          <w:fldChar w:fldCharType="begin"/>
        </w:r>
        <w:r>
          <w:instrText xml:space="preserve">PAGEREF 8 \h</w:instrText>
        </w:r>
        <w:r>
          <w:fldChar w:fldCharType="end"/>
        </w:r>
      </w:hyperlink>
    </w:p>
    <w:p>
      <w:pPr>
        <w:tabs>
          <w:tab w:val="right" w:leader="dot" w:pos="9062"/>
        </w:tabs>
      </w:pPr>
      <w:hyperlink w:anchor="_Toc9" w:history="1">
        <w:r>
          <w:t>Minor Amendments</w:t>
        </w:r>
        <w:r>
          <w:tab/>
        </w:r>
        <w:r>
          <w:fldChar w:fldCharType="begin"/>
        </w:r>
        <w:r>
          <w:instrText xml:space="preserve">PAGEREF 9 \h</w:instrText>
        </w:r>
        <w:r>
          <w:fldChar w:fldCharType="end"/>
        </w:r>
      </w:hyperlink>
    </w:p>
    <w:p>
      <w:pPr>
        <w:tabs>
          <w:tab w:val="right" w:leader="dot" w:pos="9062"/>
        </w:tabs>
      </w:pPr>
      <w:hyperlink w:anchor="_Toc10" w:history="1">
        <w:r>
          <w:t>Gender</w:t>
        </w:r>
        <w:r>
          <w:tab/>
        </w:r>
        <w:r>
          <w:fldChar w:fldCharType="begin"/>
        </w:r>
        <w:r>
          <w:instrText xml:space="preserve">PAGEREF 10 \h</w:instrText>
        </w:r>
        <w:r>
          <w:fldChar w:fldCharType="end"/>
        </w:r>
      </w:hyperlink>
    </w:p>
    <w:p>
      <w:pPr>
        <w:tabs>
          <w:tab w:val="right" w:leader="dot" w:pos="9062"/>
        </w:tabs>
      </w:pPr>
      <w:hyperlink w:anchor="_Toc12" w:history="1">
        <w:r>
          <w:t>Risk Management</w:t>
        </w:r>
        <w:r>
          <w:tab/>
        </w:r>
        <w:r>
          <w:fldChar w:fldCharType="begin"/>
        </w:r>
        <w:r>
          <w:instrText xml:space="preserve">PAGEREF 12 \h</w:instrText>
        </w:r>
        <w:r>
          <w:fldChar w:fldCharType="end"/>
        </w:r>
      </w:hyperlink>
    </w:p>
    <w:p>
      <w:pPr>
        <w:tabs>
          <w:tab w:val="right" w:leader="dot" w:pos="9062"/>
        </w:tabs>
      </w:pPr>
      <w:hyperlink w:anchor="_Toc15" w:history="1">
        <w:r>
          <w:t>Knowledge Management &amp; Communications</w:t>
        </w:r>
        <w:r>
          <w:tab/>
        </w:r>
        <w:r>
          <w:fldChar w:fldCharType="begin"/>
        </w:r>
        <w:r>
          <w:instrText xml:space="preserve">PAGEREF 15 \h</w:instrText>
        </w:r>
        <w:r>
          <w:fldChar w:fldCharType="end"/>
        </w:r>
      </w:hyperlink>
    </w:p>
    <w:p>
      <w:pPr>
        <w:tabs>
          <w:tab w:val="right" w:leader="dot" w:pos="9062"/>
        </w:tabs>
      </w:pPr>
      <w:hyperlink w:anchor="_Toc16" w:history="1">
        <w:r>
          <w:t>Annex - Ratings Definitions</w:t>
        </w:r>
        <w:r>
          <w:tab/>
        </w:r>
        <w:r>
          <w:fldChar w:fldCharType="begin"/>
        </w:r>
        <w:r>
          <w:instrText xml:space="preserve">PAGEREF 16 \h</w:instrText>
        </w:r>
        <w:r>
          <w:fldChar w:fldCharType="end"/>
        </w:r>
      </w:hyperlink>
    </w:p>
    <w:p>
      <w:r>
        <w:fldChar w:fldCharType="end"/>
      </w:r>
    </w:p>
    <w:p>
      <w:pPr>
        <w:sectPr>
          <w:headerReference w:type="default" r:id="rId11"/>
          <w:footerReference w:type="default" r:id="rId12"/>
          <w:pgSz w:orient="portrait" w:w="11905.511811023622" w:h="16837.79527559055"/>
          <w:pgMar w:top="1440" w:right="1440" w:bottom="1440" w:left="1440" w:header="720" w:footer="720" w:gutter="0"/>
          <w:cols w:num="1" w:space="720"/>
        </w:sectPr>
      </w:pPr>
    </w:p>
    <w:p>
      <w:pPr>
        <w:pStyle w:val="Heading1"/>
      </w:pPr>
      <w:bookmarkStart w:id="0" w:name="_Toc0"/>
      <w:r>
        <w:t>Basic Data</w:t>
      </w:r>
      <w:bookmarkEnd w:id="0"/>
    </w:p>
    <w:tbl>
      <w:tblGrid>
        <w:gridCol w:w="5000" w:type="dxa"/>
        <w:gridCol w:w="5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2"/>
            <w:noWrap/>
          </w:tcPr>
          <w:p>
            <w:pPr/>
            <w:r>
              <w:rPr>
                <w:b w:val="1"/>
                <w:bCs w:val="1"/>
              </w:rPr>
              <w:t xml:space="preserve">Project Information</w:t>
            </w:r>
          </w:p>
        </w:tc>
      </w:tr>
      <w:tr>
        <w:trPr/>
        <w:tc>
          <w:tcPr>
            <w:tcW w:w="5000" w:type="dxa"/>
            <w:gridSpan w:val="1"/>
            <w:noWrap/>
          </w:tcPr>
          <w:p>
            <w:pPr/>
            <w:r>
              <w:rPr/>
              <w:t xml:space="preserve">UNDP PIMS ID</w:t>
            </w:r>
          </w:p>
        </w:tc>
        <w:tc>
          <w:tcPr>
            <w:tcW w:w="5000" w:type="dxa"/>
            <w:gridSpan w:val="1"/>
            <w:noWrap/>
          </w:tcPr>
          <w:p>
            <w:pPr/>
            <w:r>
              <w:rPr/>
              <w:t xml:space="preserve">6647</w:t>
            </w:r>
          </w:p>
        </w:tc>
      </w:tr>
      <w:tr>
        <w:trPr/>
        <w:tc>
          <w:tcPr>
            <w:tcW w:w="5000" w:type="dxa"/>
            <w:gridSpan w:val="1"/>
            <w:noWrap/>
          </w:tcPr>
          <w:p>
            <w:pPr/>
            <w:r>
              <w:rPr/>
              <w:t xml:space="preserve">GEF ID</w:t>
            </w:r>
          </w:p>
        </w:tc>
        <w:tc>
          <w:tcPr>
            <w:tcW w:w="5000" w:type="dxa"/>
            <w:gridSpan w:val="1"/>
            <w:noWrap/>
          </w:tcPr>
          <w:p>
            <w:pPr/>
            <w:r>
              <w:rPr/>
              <w:t xml:space="preserve">10779</w:t>
            </w:r>
          </w:p>
        </w:tc>
      </w:tr>
      <w:tr>
        <w:trPr/>
        <w:tc>
          <w:tcPr>
            <w:tcW w:w="5000" w:type="dxa"/>
            <w:gridSpan w:val="1"/>
            <w:noWrap/>
          </w:tcPr>
          <w:p>
            <w:pPr/>
            <w:r>
              <w:rPr/>
              <w:t xml:space="preserve">Title</w:t>
            </w:r>
          </w:p>
        </w:tc>
        <w:tc>
          <w:tcPr>
            <w:tcW w:w="5000" w:type="dxa"/>
            <w:gridSpan w:val="1"/>
            <w:noWrap/>
          </w:tcPr>
          <w:p>
            <w:pPr/>
            <w:r>
              <w:rPr/>
              <w:t xml:space="preserve">Advancing Climate Resilience of Water Sector in Bhutan (ACREWAS)</w:t>
            </w:r>
          </w:p>
        </w:tc>
      </w:tr>
      <w:tr>
        <w:trPr/>
        <w:tc>
          <w:tcPr>
            <w:tcW w:w="5000" w:type="dxa"/>
            <w:gridSpan w:val="1"/>
            <w:noWrap/>
          </w:tcPr>
          <w:p>
            <w:pPr/>
            <w:r>
              <w:rPr/>
              <w:t xml:space="preserve">Country(ies)</w:t>
            </w:r>
          </w:p>
        </w:tc>
        <w:tc>
          <w:tcPr>
            <w:tcW w:w="5000" w:type="dxa"/>
            <w:gridSpan w:val="1"/>
            <w:noWrap/>
          </w:tcPr>
          <w:p>
            <w:pPr/>
            <w:r>
              <w:rPr/>
              <w:t xml:space="preserve">Bhutan, Bhutan</w:t>
            </w:r>
          </w:p>
        </w:tc>
      </w:tr>
      <w:tr>
        <w:trPr/>
        <w:tc>
          <w:tcPr>
            <w:tcW w:w="5000" w:type="dxa"/>
            <w:gridSpan w:val="1"/>
            <w:noWrap/>
          </w:tcPr>
          <w:p>
            <w:pPr/>
            <w:r>
              <w:rPr/>
              <w:t xml:space="preserve">UNDP Technical Team</w:t>
            </w:r>
          </w:p>
        </w:tc>
        <w:tc>
          <w:tcPr>
            <w:tcW w:w="5000" w:type="dxa"/>
            <w:gridSpan w:val="1"/>
            <w:noWrap/>
          </w:tcPr>
          <w:p>
            <w:pPr/>
            <w:r>
              <w:rPr/>
              <w:t xml:space="preserve">Water and Oceans</w:t>
            </w:r>
          </w:p>
        </w:tc>
      </w:tr>
      <w:tr>
        <w:trPr/>
        <w:tc>
          <w:tcPr>
            <w:tcW w:w="5000" w:type="dxa"/>
            <w:gridSpan w:val="1"/>
            <w:noWrap/>
          </w:tcPr>
          <w:p>
            <w:pPr/>
            <w:r>
              <w:rPr/>
              <w:t xml:space="preserve">Management Arrangements</w:t>
            </w:r>
          </w:p>
        </w:tc>
        <w:tc>
          <w:tcPr>
            <w:tcW w:w="5000" w:type="dxa"/>
            <w:gridSpan w:val="1"/>
            <w:noWrap/>
          </w:tcPr>
          <w:p>
            <w:pPr/>
            <w:r>
              <w:rPr/>
              <w:t xml:space="preserve">NIM</w:t>
            </w:r>
          </w:p>
        </w:tc>
      </w:tr>
      <w:tr>
        <w:trPr/>
        <w:tc>
          <w:tcPr>
            <w:tcW w:w="5000" w:type="dxa"/>
            <w:gridSpan w:val="1"/>
            <w:noWrap/>
          </w:tcPr>
          <w:p>
            <w:pPr/>
            <w:r>
              <w:rPr/>
              <w:t xml:space="preserve">Project Implementing Partner</w:t>
            </w:r>
          </w:p>
        </w:tc>
        <w:tc>
          <w:tcPr>
            <w:tcW w:w="5000" w:type="dxa"/>
            <w:gridSpan w:val="1"/>
            <w:noWrap/>
          </w:tcPr>
          <w:p>
            <w:pPr/>
            <w:r>
              <w:rPr/>
              <w:t xml:space="preserve">Ministry of Infrastructure and Transport (MoIT)</w:t>
            </w:r>
          </w:p>
        </w:tc>
      </w:tr>
      <w:tr>
        <w:trPr/>
        <w:tc>
          <w:tcPr>
            <w:tcW w:w="5000" w:type="dxa"/>
            <w:gridSpan w:val="1"/>
            <w:noWrap/>
          </w:tcPr>
          <w:p>
            <w:pPr/>
            <w:r>
              <w:rPr/>
              <w:t xml:space="preserve">Joint Agencies</w:t>
            </w:r>
          </w:p>
        </w:tc>
        <w:tc>
          <w:tcPr>
            <w:tcW w:w="5000" w:type="dxa"/>
            <w:gridSpan w:val="1"/>
            <w:noWrap/>
          </w:tcPr>
          <w:p>
            <w:pPr/>
            <w:r>
              <w:rPr>
                <w:i w:val="1"/>
                <w:iCs w:val="1"/>
              </w:rPr>
              <w:t xml:space="preserve">(not set or not applicable)</w:t>
            </w:r>
          </w:p>
        </w:tc>
      </w:tr>
      <w:tr>
        <w:trPr/>
        <w:tc>
          <w:tcPr>
            <w:tcW w:w="5000" w:type="dxa"/>
            <w:gridSpan w:val="1"/>
            <w:noWrap/>
          </w:tcPr>
          <w:p>
            <w:pPr/>
            <w:r>
              <w:rPr/>
              <w:t xml:space="preserve">Project Type</w:t>
            </w:r>
          </w:p>
        </w:tc>
        <w:tc>
          <w:tcPr>
            <w:tcW w:w="5000" w:type="dxa"/>
            <w:gridSpan w:val="1"/>
            <w:noWrap/>
          </w:tcPr>
          <w:p>
            <w:pPr/>
            <w:r>
              <w:rPr/>
              <w:t xml:space="preserve">Full Size</w:t>
            </w:r>
          </w:p>
        </w:tc>
      </w:tr>
      <w:tr>
        <w:trPr/>
        <w:tc>
          <w:tcPr>
            <w:tcW w:w="5000" w:type="dxa"/>
            <w:gridSpan w:val="1"/>
            <w:noWrap/>
          </w:tcPr>
          <w:p>
            <w:pPr/>
            <w:r>
              <w:rPr/>
              <w:t xml:space="preserve">Implementation Status</w:t>
            </w:r>
          </w:p>
        </w:tc>
        <w:tc>
          <w:tcPr>
            <w:tcW w:w="5000" w:type="dxa"/>
            <w:gridSpan w:val="1"/>
            <w:noWrap/>
          </w:tcPr>
          <w:p>
            <w:pPr/>
            <w:r>
              <w:rPr/>
              <w:t xml:space="preserve">2nd PIR</w:t>
            </w:r>
          </w:p>
        </w:tc>
      </w:tr>
      <w:tr>
        <w:trPr/>
        <w:tc>
          <w:tcPr>
            <w:tcW w:w="5000" w:type="dxa"/>
            <w:gridSpan w:val="1"/>
            <w:noWrap/>
          </w:tcPr>
          <w:p>
            <w:pPr/>
            <w:r>
              <w:rPr/>
              <w:t xml:space="preserve">GEF Fiscal Year</w:t>
            </w:r>
          </w:p>
        </w:tc>
        <w:tc>
          <w:tcPr>
            <w:tcW w:w="5000" w:type="dxa"/>
            <w:gridSpan w:val="1"/>
            <w:noWrap/>
          </w:tcPr>
          <w:p>
            <w:pPr/>
            <w:r>
              <w:rPr/>
              <w:t xml:space="preserve">FY25</w:t>
            </w:r>
          </w:p>
        </w:tc>
      </w:tr>
      <w:tr>
        <w:trPr/>
        <w:tc>
          <w:tcPr>
            <w:tcW w:w="5000" w:type="dxa"/>
            <w:gridSpan w:val="1"/>
            <w:noWrap/>
          </w:tcPr>
          <w:p>
            <w:pPr/>
            <w:r>
              <w:rPr/>
              <w:t xml:space="preserve">Trust Fund</w:t>
            </w:r>
          </w:p>
        </w:tc>
        <w:tc>
          <w:tcPr>
            <w:tcW w:w="5000" w:type="dxa"/>
            <w:gridSpan w:val="1"/>
            <w:noWrap/>
          </w:tcPr>
          <w:p>
            <w:pPr/>
            <w:r>
              <w:rPr/>
              <w:t xml:space="preserve">Least Developed Countries Fund</w:t>
            </w:r>
          </w:p>
        </w:tc>
      </w:tr>
    </w:tbl>
    <w:p/>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1"/>
            <w:noWrap/>
          </w:tcPr>
          <w:p>
            <w:pPr/>
            <w:r>
              <w:rPr>
                <w:b w:val="1"/>
                <w:bCs w:val="1"/>
              </w:rPr>
              <w:t xml:space="preserve">Project Description</w:t>
            </w:r>
          </w:p>
        </w:tc>
      </w:tr>
      <w:tr>
        <w:trPr/>
        <w:tc>
          <w:tcPr>
            <w:tcW w:w="10000" w:type="dxa"/>
            <w:gridSpan w:val="1"/>
            <w:noWrap/>
          </w:tcPr>
          <w:p>
            <w:pPr/>
            <w:r>
              <w:rPr/>
              <w:t xml:space="preserve">To enhance resilience and adaptation through “integrated water resource management” to secure freshwater system for economic well-being of the people of Bhutan</w:t>
            </w:r>
          </w:p>
        </w:tc>
      </w:tr>
    </w:tbl>
    <w:p/>
    <w:tbl>
      <w:tblGrid>
        <w:gridCol w:w="5000" w:type="dxa"/>
        <w:gridCol w:w="5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2"/>
            <w:noWrap/>
          </w:tcPr>
          <w:p>
            <w:pPr/>
            <w:r>
              <w:rPr>
                <w:b w:val="1"/>
                <w:bCs w:val="1"/>
              </w:rPr>
              <w:t xml:space="preserve">Project Contacts</w:t>
            </w:r>
          </w:p>
        </w:tc>
      </w:tr>
      <w:tr>
        <w:trPr/>
        <w:tc>
          <w:tcPr>
            <w:tcW w:w="5000" w:type="dxa"/>
            <w:gridSpan w:val="1"/>
            <w:noWrap/>
          </w:tcPr>
          <w:p>
            <w:pPr/>
            <w:r>
              <w:rPr/>
              <w:t xml:space="preserve">UNDP BPPS Technical Advisor</w:t>
            </w:r>
          </w:p>
        </w:tc>
        <w:tc>
          <w:tcPr>
            <w:tcW w:w="5000" w:type="dxa"/>
            <w:gridSpan w:val="1"/>
            <w:noWrap/>
          </w:tcPr>
          <w:p>
            <w:pPr/>
            <w:r>
              <w:rPr/>
              <w:t xml:space="preserve">Mr. Sofiane Mahjoub (sofiane.mahjoub@undp.org)</w:t>
            </w:r>
          </w:p>
        </w:tc>
      </w:tr>
      <w:tr>
        <w:trPr/>
        <w:tc>
          <w:tcPr>
            <w:tcW w:w="5000" w:type="dxa"/>
            <w:gridSpan w:val="1"/>
            <w:noWrap/>
          </w:tcPr>
          <w:p>
            <w:pPr/>
            <w:r>
              <w:rPr/>
              <w:t xml:space="preserve">UNDP BPPS Programme Associate</w:t>
            </w:r>
          </w:p>
        </w:tc>
        <w:tc>
          <w:tcPr>
            <w:tcW w:w="5000" w:type="dxa"/>
            <w:gridSpan w:val="1"/>
            <w:noWrap/>
          </w:tcPr>
          <w:p>
            <w:pPr/>
            <w:r>
              <w:rPr/>
              <w:t xml:space="preserve">Ms. Pinyavi Chaiwongsrisuk (pinyavi.chaiwongsrisuk@undp.org)</w:t>
            </w:r>
          </w:p>
        </w:tc>
      </w:tr>
      <w:tr>
        <w:trPr/>
        <w:tc>
          <w:tcPr>
            <w:tcW w:w="5000" w:type="dxa"/>
            <w:gridSpan w:val="1"/>
            <w:noWrap/>
          </w:tcPr>
          <w:p>
            <w:pPr/>
            <w:r>
              <w:rPr/>
              <w:t xml:space="preserve">UNDP BPPS SES Technical Advisor</w:t>
            </w:r>
          </w:p>
        </w:tc>
        <w:tc>
          <w:tcPr>
            <w:tcW w:w="5000" w:type="dxa"/>
            <w:gridSpan w:val="1"/>
            <w:noWrap/>
          </w:tcPr>
          <w:p>
            <w:pPr/>
            <w:r>
              <w:rPr/>
              <w:t xml:space="preserve">Ms. Chansouk Insouvanh (chansouk.insouvanh@undp.org)</w:t>
            </w:r>
          </w:p>
        </w:tc>
      </w:tr>
      <w:tr>
        <w:trPr/>
        <w:tc>
          <w:tcPr>
            <w:tcW w:w="5000" w:type="dxa"/>
            <w:gridSpan w:val="1"/>
            <w:noWrap/>
          </w:tcPr>
          <w:p>
            <w:pPr/>
            <w:r>
              <w:rPr/>
              <w:t xml:space="preserve">Project Manager/Coordinator</w:t>
            </w:r>
          </w:p>
        </w:tc>
        <w:tc>
          <w:tcPr>
            <w:tcW w:w="5000" w:type="dxa"/>
            <w:gridSpan w:val="1"/>
            <w:noWrap/>
          </w:tcPr>
          <w:p>
            <w:pPr/>
            <w:r>
              <w:rPr/>
              <w:t xml:space="preserve">Ms. Thinley Choden (tchoden@moit.gov.bt)</w:t>
            </w:r>
          </w:p>
        </w:tc>
      </w:tr>
      <w:tr>
        <w:trPr/>
        <w:tc>
          <w:tcPr>
            <w:tcW w:w="5000" w:type="dxa"/>
            <w:gridSpan w:val="1"/>
            <w:noWrap/>
          </w:tcPr>
          <w:p>
            <w:pPr/>
            <w:r>
              <w:rPr/>
              <w:t xml:space="preserve">UNDP Country Office Programme Officer</w:t>
            </w:r>
          </w:p>
        </w:tc>
        <w:tc>
          <w:tcPr>
            <w:tcW w:w="5000" w:type="dxa"/>
            <w:gridSpan w:val="1"/>
            <w:noWrap/>
          </w:tcPr>
          <w:p>
            <w:pPr/>
            <w:r>
              <w:rPr/>
              <w:t xml:space="preserve">Mr. Nawaraj Chhetri (nawaraj.chhetri@undp.org)</w:t>
            </w:r>
          </w:p>
          <w:p>
            <w:pPr/>
            <w:r>
              <w:rPr/>
              <w:t xml:space="preserve">Ms. Sonam Choki (sonam.choki@undp.org)</w:t>
            </w:r>
          </w:p>
        </w:tc>
      </w:tr>
      <w:tr>
        <w:trPr/>
        <w:tc>
          <w:tcPr>
            <w:tcW w:w="5000" w:type="dxa"/>
            <w:gridSpan w:val="1"/>
            <w:noWrap/>
          </w:tcPr>
          <w:p>
            <w:pPr/>
            <w:r>
              <w:rPr/>
              <w:t xml:space="preserve">UNDP Country Office Deputy Resident Representative</w:t>
            </w:r>
          </w:p>
        </w:tc>
        <w:tc>
          <w:tcPr>
            <w:tcW w:w="5000" w:type="dxa"/>
            <w:gridSpan w:val="1"/>
            <w:noWrap/>
          </w:tcPr>
          <w:p>
            <w:pPr/>
            <w:r>
              <w:rPr/>
              <w:t xml:space="preserve">Mr. Md Khurshid ALAM (khurshid.alam@undp.org)</w:t>
            </w:r>
          </w:p>
        </w:tc>
      </w:tr>
      <w:tr>
        <w:trPr/>
        <w:tc>
          <w:tcPr>
            <w:tcW w:w="5000" w:type="dxa"/>
            <w:gridSpan w:val="1"/>
            <w:noWrap/>
          </w:tcPr>
          <w:p>
            <w:pPr/>
            <w:r>
              <w:rPr/>
              <w:t xml:space="preserve">UNDP Regional Bureau Desk Officer</w:t>
            </w:r>
          </w:p>
        </w:tc>
        <w:tc>
          <w:tcPr>
            <w:tcW w:w="5000" w:type="dxa"/>
            <w:gridSpan w:val="1"/>
            <w:noWrap/>
          </w:tcPr>
          <w:p>
            <w:pPr/>
            <w:r>
              <w:rPr/>
              <w:t xml:space="preserve">Paola Piccione (paola.piccione@undp.org)</w:t>
            </w:r>
          </w:p>
        </w:tc>
      </w:tr>
      <w:tr>
        <w:trPr/>
        <w:tc>
          <w:tcPr>
            <w:tcW w:w="5000" w:type="dxa"/>
            <w:gridSpan w:val="1"/>
            <w:noWrap/>
          </w:tcPr>
          <w:p>
            <w:pPr/>
            <w:r>
              <w:rPr/>
              <w:t xml:space="preserve">GEF Operational Focal Point</w:t>
            </w:r>
          </w:p>
        </w:tc>
        <w:tc>
          <w:tcPr>
            <w:tcW w:w="5000" w:type="dxa"/>
            <w:gridSpan w:val="1"/>
            <w:noWrap/>
          </w:tcPr>
          <w:p>
            <w:pPr/>
            <w:r>
              <w:rPr/>
              <w:t xml:space="preserve">Mr. Tshering Dorji (tsheringdorji@mof.gov.bt)</w:t>
            </w:r>
          </w:p>
        </w:tc>
      </w:tr>
      <w:tr>
        <w:trPr/>
        <w:tc>
          <w:tcPr>
            <w:tcW w:w="5000" w:type="dxa"/>
            <w:gridSpan w:val="1"/>
            <w:noWrap/>
          </w:tcPr>
          <w:p>
            <w:pPr/>
            <w:r>
              <w:rPr/>
              <w:t xml:space="preserve">Project Implementing Partner</w:t>
            </w:r>
          </w:p>
        </w:tc>
        <w:tc>
          <w:tcPr>
            <w:tcW w:w="5000" w:type="dxa"/>
            <w:gridSpan w:val="1"/>
            <w:noWrap/>
          </w:tcPr>
          <w:p>
            <w:pPr/>
            <w:r>
              <w:rPr>
                <w:i w:val="1"/>
                <w:iCs w:val="1"/>
              </w:rPr>
              <w:t xml:space="preserve">(not set or not applicable)</w:t>
            </w:r>
          </w:p>
        </w:tc>
      </w:tr>
      <w:tr>
        <w:trPr/>
        <w:tc>
          <w:tcPr>
            <w:tcW w:w="5000" w:type="dxa"/>
            <w:gridSpan w:val="1"/>
            <w:noWrap/>
          </w:tcPr>
          <w:p>
            <w:pPr/>
            <w:r>
              <w:rPr/>
              <w:t xml:space="preserve">Other Partners</w:t>
            </w:r>
          </w:p>
        </w:tc>
        <w:tc>
          <w:tcPr>
            <w:tcW w:w="5000" w:type="dxa"/>
            <w:gridSpan w:val="1"/>
            <w:noWrap/>
          </w:tcPr>
          <w:p>
            <w:pPr/>
            <w:r>
              <w:rPr>
                <w:i w:val="1"/>
                <w:iCs w:val="1"/>
              </w:rPr>
              <w:t xml:space="preserve">(not set or not applicable)</w:t>
            </w:r>
          </w:p>
        </w:tc>
      </w:tr>
    </w:tbl>
    <w:p>
      <w:pPr>
        <w:sectPr>
          <w:pgSz w:orient="portrait" w:w="11905.511811023622" w:h="16837.79527559055"/>
          <w:pgMar w:top="1440" w:right="1440" w:bottom="1440" w:left="1440" w:header="720" w:footer="720" w:gutter="0"/>
          <w:cols w:num="1" w:space="720"/>
        </w:sectPr>
      </w:pPr>
    </w:p>
    <w:p>
      <w:pPr>
        <w:pStyle w:val="Heading1"/>
      </w:pPr>
      <w:bookmarkStart w:id="1" w:name="_Toc1"/>
      <w:r>
        <w:t>Key project dates</w:t>
      </w:r>
      <w:bookmarkEnd w:id="1"/>
    </w:p>
    <w:tbl>
      <w:tblGrid>
        <w:gridCol w:w="5000" w:type="dxa"/>
        <w:gridCol w:w="5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5000" w:type="dxa"/>
            <w:gridSpan w:val="1"/>
            <w:noWrap/>
          </w:tcPr>
          <w:p>
            <w:pPr/>
            <w:r>
              <w:rPr/>
              <w:t xml:space="preserve">Project duration</w:t>
            </w:r>
          </w:p>
        </w:tc>
        <w:tc>
          <w:tcPr>
            <w:tcW w:w="5000" w:type="dxa"/>
            <w:vAlign w:val="center"/>
            <w:gridSpan w:val="1"/>
            <w:noWrap/>
          </w:tcPr>
          <w:p>
            <w:pPr>
              <w:jc w:val="right"/>
            </w:pPr>
            <w:r>
              <w:rPr/>
              <w:t xml:space="preserve">60 months</w:t>
            </w:r>
          </w:p>
        </w:tc>
      </w:tr>
      <w:tr>
        <w:trPr/>
        <w:tc>
          <w:tcPr>
            <w:tcW w:w="5000" w:type="dxa"/>
            <w:gridSpan w:val="1"/>
            <w:noWrap/>
          </w:tcPr>
          <w:p>
            <w:pPr/>
            <w:r>
              <w:rPr/>
              <w:t xml:space="preserve">PIF Approval Date</w:t>
            </w:r>
          </w:p>
        </w:tc>
        <w:tc>
          <w:tcPr>
            <w:tcW w:w="5000" w:type="dxa"/>
            <w:vAlign w:val="center"/>
            <w:gridSpan w:val="1"/>
            <w:noWrap/>
          </w:tcPr>
          <w:p>
            <w:pPr>
              <w:jc w:val="right"/>
            </w:pPr>
            <w:r>
              <w:rPr/>
              <w:t xml:space="preserve">Jun 17, 2021</w:t>
            </w:r>
          </w:p>
        </w:tc>
      </w:tr>
      <w:tr>
        <w:trPr/>
        <w:tc>
          <w:tcPr>
            <w:tcW w:w="5000" w:type="dxa"/>
            <w:gridSpan w:val="1"/>
            <w:noWrap/>
          </w:tcPr>
          <w:p>
            <w:pPr/>
            <w:r>
              <w:rPr/>
              <w:t xml:space="preserve">CEO Endorsement Date</w:t>
            </w:r>
          </w:p>
        </w:tc>
        <w:tc>
          <w:tcPr>
            <w:tcW w:w="5000" w:type="dxa"/>
            <w:vAlign w:val="center"/>
            <w:gridSpan w:val="1"/>
            <w:noWrap/>
          </w:tcPr>
          <w:p>
            <w:pPr>
              <w:jc w:val="right"/>
            </w:pPr>
            <w:r>
              <w:rPr/>
              <w:t xml:space="preserve">Apr 10, 2023</w:t>
            </w:r>
          </w:p>
        </w:tc>
      </w:tr>
      <w:tr>
        <w:trPr/>
        <w:tc>
          <w:tcPr>
            <w:tcW w:w="5000" w:type="dxa"/>
            <w:gridSpan w:val="1"/>
            <w:noWrap/>
          </w:tcPr>
          <w:p>
            <w:pPr/>
            <w:r>
              <w:rPr/>
              <w:t xml:space="preserve">Project Document Signature Date (project start date):</w:t>
            </w:r>
          </w:p>
        </w:tc>
        <w:tc>
          <w:tcPr>
            <w:tcW w:w="5000" w:type="dxa"/>
            <w:vAlign w:val="center"/>
            <w:gridSpan w:val="1"/>
            <w:noWrap/>
          </w:tcPr>
          <w:p>
            <w:pPr>
              <w:jc w:val="right"/>
            </w:pPr>
            <w:r>
              <w:rPr/>
              <w:t xml:space="preserve">Sep 1, 2023</w:t>
            </w:r>
          </w:p>
        </w:tc>
      </w:tr>
      <w:tr>
        <w:trPr/>
        <w:tc>
          <w:tcPr>
            <w:tcW w:w="5000" w:type="dxa"/>
            <w:gridSpan w:val="1"/>
            <w:noWrap/>
          </w:tcPr>
          <w:p>
            <w:pPr/>
            <w:r>
              <w:rPr/>
              <w:t xml:space="preserve">Date of Inception Workshop</w:t>
            </w:r>
          </w:p>
        </w:tc>
        <w:tc>
          <w:tcPr>
            <w:tcW w:w="5000" w:type="dxa"/>
            <w:vAlign w:val="center"/>
            <w:gridSpan w:val="1"/>
            <w:noWrap/>
          </w:tcPr>
          <w:p>
            <w:pPr>
              <w:jc w:val="right"/>
            </w:pPr>
            <w:r>
              <w:rPr/>
              <w:t xml:space="preserve">Sep 18, 2023</w:t>
            </w:r>
          </w:p>
        </w:tc>
      </w:tr>
      <w:tr>
        <w:trPr/>
        <w:tc>
          <w:tcPr>
            <w:tcW w:w="5000" w:type="dxa"/>
            <w:gridSpan w:val="1"/>
            <w:noWrap/>
          </w:tcPr>
          <w:p>
            <w:pPr/>
            <w:r>
              <w:rPr/>
              <w:t xml:space="preserve">First Disbursement Date</w:t>
            </w:r>
          </w:p>
        </w:tc>
        <w:tc>
          <w:tcPr>
            <w:tcW w:w="5000" w:type="dxa"/>
            <w:vAlign w:val="center"/>
            <w:gridSpan w:val="1"/>
            <w:noWrap/>
          </w:tcPr>
          <w:p>
            <w:pPr>
              <w:jc w:val="right"/>
            </w:pPr>
            <w:r>
              <w:rPr/>
              <w:t xml:space="preserve">Oct 9, 2023</w:t>
            </w:r>
          </w:p>
        </w:tc>
      </w:tr>
      <w:tr>
        <w:trPr/>
        <w:tc>
          <w:tcPr>
            <w:tcW w:w="5000" w:type="dxa"/>
            <w:gridSpan w:val="1"/>
            <w:noWrap/>
          </w:tcPr>
          <w:p>
            <w:pPr/>
            <w:r>
              <w:rPr/>
              <w:t xml:space="preserve">Expected Date of Mid-term Review</w:t>
            </w:r>
          </w:p>
        </w:tc>
        <w:tc>
          <w:tcPr>
            <w:tcW w:w="5000" w:type="dxa"/>
            <w:vAlign w:val="center"/>
            <w:gridSpan w:val="1"/>
            <w:noWrap/>
          </w:tcPr>
          <w:p>
            <w:pPr>
              <w:jc w:val="right"/>
            </w:pPr>
            <w:r>
              <w:rPr/>
              <w:t xml:space="preserve">Mar 1, 2026</w:t>
            </w:r>
          </w:p>
        </w:tc>
      </w:tr>
      <w:tr>
        <w:trPr/>
        <w:tc>
          <w:tcPr>
            <w:tcW w:w="5000" w:type="dxa"/>
            <w:gridSpan w:val="1"/>
            <w:noWrap/>
          </w:tcPr>
          <w:p>
            <w:pPr/>
            <w:r>
              <w:rPr/>
              <w:t xml:space="preserve">Actual Date of Mid-term Review</w:t>
            </w:r>
          </w:p>
        </w:tc>
        <w:tc>
          <w:tcPr>
            <w:tcW w:w="5000" w:type="dxa"/>
            <w:vAlign w:val="center"/>
            <w:gridSpan w:val="1"/>
            <w:noWrap/>
          </w:tcPr>
          <w:p>
            <w:pPr>
              <w:jc w:val="right"/>
            </w:pPr>
            <w:r>
              <w:rPr>
                <w:i w:val="1"/>
                <w:iCs w:val="1"/>
              </w:rPr>
              <w:t xml:space="preserve">(not set or not applicable)</w:t>
            </w:r>
          </w:p>
        </w:tc>
      </w:tr>
      <w:tr>
        <w:trPr/>
        <w:tc>
          <w:tcPr>
            <w:tcW w:w="5000" w:type="dxa"/>
            <w:gridSpan w:val="1"/>
            <w:noWrap/>
          </w:tcPr>
          <w:p>
            <w:pPr/>
            <w:r>
              <w:rPr/>
              <w:t xml:space="preserve">Expected Date of Terminal Evaluation</w:t>
            </w:r>
          </w:p>
        </w:tc>
        <w:tc>
          <w:tcPr>
            <w:tcW w:w="5000" w:type="dxa"/>
            <w:vAlign w:val="center"/>
            <w:gridSpan w:val="1"/>
            <w:noWrap/>
          </w:tcPr>
          <w:p>
            <w:pPr>
              <w:jc w:val="right"/>
            </w:pPr>
            <w:r>
              <w:rPr/>
              <w:t xml:space="preserve">Mar 1, 2029</w:t>
            </w:r>
          </w:p>
        </w:tc>
      </w:tr>
      <w:tr>
        <w:trPr/>
        <w:tc>
          <w:tcPr>
            <w:tcW w:w="5000" w:type="dxa"/>
            <w:gridSpan w:val="1"/>
            <w:noWrap/>
          </w:tcPr>
          <w:p>
            <w:pPr/>
            <w:r>
              <w:rPr/>
              <w:t xml:space="preserve">Original Planned Closing Date</w:t>
            </w:r>
          </w:p>
        </w:tc>
        <w:tc>
          <w:tcPr>
            <w:tcW w:w="5000" w:type="dxa"/>
            <w:vAlign w:val="center"/>
            <w:gridSpan w:val="1"/>
            <w:noWrap/>
          </w:tcPr>
          <w:p>
            <w:pPr>
              <w:jc w:val="right"/>
            </w:pPr>
            <w:r>
              <w:rPr/>
              <w:t xml:space="preserve">Sep 1, 2028</w:t>
            </w:r>
          </w:p>
        </w:tc>
      </w:tr>
      <w:tr>
        <w:trPr/>
        <w:tc>
          <w:tcPr>
            <w:tcW w:w="5000" w:type="dxa"/>
            <w:gridSpan w:val="1"/>
            <w:noWrap/>
          </w:tcPr>
          <w:p>
            <w:pPr/>
            <w:r>
              <w:rPr/>
              <w:t xml:space="preserve">Revised Planned Closing Date</w:t>
            </w:r>
          </w:p>
        </w:tc>
        <w:tc>
          <w:tcPr>
            <w:tcW w:w="5000" w:type="dxa"/>
            <w:vAlign w:val="center"/>
            <w:gridSpan w:val="1"/>
            <w:noWrap/>
          </w:tcPr>
          <w:p>
            <w:pPr>
              <w:jc w:val="right"/>
            </w:pPr>
            <w:r>
              <w:rPr>
                <w:i w:val="1"/>
                <w:iCs w:val="1"/>
              </w:rPr>
              <w:t xml:space="preserve">(not set or not applicable)</w:t>
            </w:r>
          </w:p>
        </w:tc>
      </w:tr>
    </w:tbl>
    <w:p>
      <w:pPr>
        <w:sectPr>
          <w:pgSz w:orient="portrait" w:w="11905.511811023622" w:h="16837.79527559055"/>
          <w:pgMar w:top="1440" w:right="1440" w:bottom="1440" w:left="1440" w:header="720" w:footer="720" w:gutter="0"/>
          <w:cols w:num="1" w:space="720"/>
        </w:sectPr>
      </w:pPr>
    </w:p>
    <w:p>
      <w:pPr>
        <w:pStyle w:val="Heading1"/>
      </w:pPr>
      <w:bookmarkStart w:id="2" w:name="_Toc2"/>
      <w:r>
        <w:t>Overall ratings</w:t>
      </w:r>
      <w:bookmarkEnd w:id="2"/>
    </w:p>
    <w:tbl>
      <w:tblGrid>
        <w:gridCol w:w="8000" w:type="dxa"/>
        <w:gridCol w:w="8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8000" w:type="dxa"/>
            <w:gridSpan w:val="1"/>
            <w:noWrap/>
          </w:tcPr>
          <w:p>
            <w:pPr/>
            <w:r>
              <w:rPr/>
              <w:t xml:space="preserve">Overall DO Rating</w:t>
            </w:r>
          </w:p>
        </w:tc>
        <w:tc>
          <w:tcPr>
            <w:tcW w:w="8000" w:type="dxa"/>
            <w:gridSpan w:val="1"/>
            <w:noWrap/>
          </w:tcPr>
          <w:p>
            <w:pPr/>
            <w:r>
              <w:rPr/>
              <w:t xml:space="preserve">Satisfactory</w:t>
            </w:r>
          </w:p>
        </w:tc>
      </w:tr>
      <w:tr>
        <w:trPr/>
        <w:tc>
          <w:tcPr>
            <w:tcW w:w="8000" w:type="dxa"/>
            <w:gridSpan w:val="1"/>
            <w:noWrap/>
          </w:tcPr>
          <w:p>
            <w:pPr/>
            <w:r>
              <w:rPr/>
              <w:t xml:space="preserve">Overall IP Rating</w:t>
            </w:r>
          </w:p>
        </w:tc>
        <w:tc>
          <w:tcPr>
            <w:tcW w:w="8000" w:type="dxa"/>
            <w:gridSpan w:val="1"/>
            <w:noWrap/>
          </w:tcPr>
          <w:p>
            <w:pPr/>
            <w:r>
              <w:rPr/>
              <w:t xml:space="preserve">Highly Satisfactory</w:t>
            </w:r>
          </w:p>
        </w:tc>
      </w:tr>
      <w:tr>
        <w:trPr/>
        <w:tc>
          <w:tcPr>
            <w:tcW w:w="8000" w:type="dxa"/>
            <w:gridSpan w:val="1"/>
            <w:noWrap/>
          </w:tcPr>
          <w:p>
            <w:pPr/>
            <w:r>
              <w:rPr/>
              <w:t xml:space="preserve">Overall Risk Rating</w:t>
            </w:r>
          </w:p>
        </w:tc>
        <w:tc>
          <w:tcPr>
            <w:tcW w:w="8000" w:type="dxa"/>
            <w:gridSpan w:val="1"/>
            <w:noWrap/>
          </w:tcPr>
          <w:p>
            <w:pPr/>
            <w:r>
              <w:rPr/>
              <w:t xml:space="preserve">low</w:t>
            </w:r>
          </w:p>
        </w:tc>
      </w:tr>
    </w:tbl>
    <w:p>
      <w:pPr>
        <w:sectPr>
          <w:pgSz w:orient="portrait" w:w="11905.511811023622" w:h="16837.79527559055"/>
          <w:pgMar w:top="1440" w:right="1440" w:bottom="1440" w:left="1440" w:header="720" w:footer="720" w:gutter="0"/>
          <w:cols w:num="1" w:space="720"/>
        </w:sectPr>
      </w:pPr>
    </w:p>
    <w:p>
      <w:pPr>
        <w:pStyle w:val="Heading1"/>
      </w:pPr>
      <w:bookmarkStart w:id="3" w:name="_Toc3"/>
      <w:r>
        <w:t>Development Objective Progress</w:t>
      </w:r>
      <w:bookmarkEnd w:id="3"/>
    </w:p>
    <w:p>
      <w:pPr/>
      <w:r>
        <w:rPr/>
        <w:t xml:space="preserve">It is mandatory for all reported progress to be substantiated by evidence. Please upload evidence files for each objective/outcome via the DO PROGRESS section in the online PIR platform.  If there is no evidence to upload, the Project Manager is required to provide an explanation. </w:t>
      </w:r>
    </w:p>
    <w:tbl>
      <w:tblGrid>
        <w:gridCol w:w="4000" w:type="dxa"/>
        <w:gridCol w:w="2000" w:type="dxa"/>
        <w:gridCol w:w="2000" w:type="dxa"/>
        <w:gridCol w:w="2000" w:type="dxa"/>
        <w:gridCol w:w="4000" w:type="dxa"/>
        <w:gridCol w:w="4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6000" w:type="dxa"/>
            <w:gridSpan w:val="7"/>
            <w:noWrap/>
          </w:tcPr>
          <w:p>
            <w:pPr/>
            <w:r>
              <w:rPr>
                <w:b w:val="1"/>
                <w:bCs w:val="1"/>
              </w:rPr>
              <w:t xml:space="preserve">Description</w:t>
            </w:r>
          </w:p>
        </w:tc>
      </w:tr>
      <w:tr>
        <w:trPr/>
        <w:tc>
          <w:tcPr>
            <w:tcW w:w="16000" w:type="dxa"/>
            <w:shd w:val="clear" w:fill="#D9D9D9"/>
            <w:gridSpan w:val="7"/>
            <w:noWrap/>
          </w:tcPr>
          <w:p>
            <w:pPr/>
            <w:r>
              <w:rPr>
                <w:b w:val="1"/>
                <w:bCs w:val="1"/>
              </w:rPr>
              <w:t xml:space="preserve">Objective</w:t>
            </w:r>
          </w:p>
          <w:p>
            <w:pPr/>
            <w:r>
              <w:rPr>
                <w:b w:val="1"/>
                <w:bCs w:val="1"/>
              </w:rPr>
              <w:t xml:space="preserve">Project Objective: To enhance resilience for sustainable economic well-being of the people of Bhutan through climate adaptation of the water sector</w:t>
            </w:r>
          </w:p>
        </w:tc>
      </w:tr>
      <w:tr>
        <w:trPr/>
        <w:tc>
          <w:tcPr>
            <w:tcW w:w="4000" w:type="dxa"/>
            <w:gridSpan w:val="1"/>
            <w:noWrap/>
          </w:tcPr>
          <w:p>
            <w:pPr/>
            <w:r>
              <w:rPr>
                <w:b w:val="1"/>
                <w:bCs w:val="1"/>
              </w:rPr>
              <w:t xml:space="preserve">Description of Indicator</w:t>
            </w:r>
          </w:p>
        </w:tc>
        <w:tc>
          <w:tcPr>
            <w:tcW w:w="2000" w:type="dxa"/>
            <w:gridSpan w:val="1"/>
            <w:noWrap/>
          </w:tcPr>
          <w:p>
            <w:pPr/>
            <w:r>
              <w:rPr>
                <w:b w:val="1"/>
                <w:bCs w:val="1"/>
              </w:rPr>
              <w:t xml:space="preserve">Baseline Level</w:t>
            </w:r>
          </w:p>
        </w:tc>
        <w:tc>
          <w:tcPr>
            <w:tcW w:w="2000" w:type="dxa"/>
            <w:gridSpan w:val="1"/>
            <w:noWrap/>
          </w:tcPr>
          <w:p>
            <w:pPr/>
            <w:r>
              <w:rPr>
                <w:b w:val="1"/>
                <w:bCs w:val="1"/>
              </w:rPr>
              <w:t xml:space="preserve">Midterm target level</w:t>
            </w:r>
          </w:p>
        </w:tc>
        <w:tc>
          <w:tcPr>
            <w:tcW w:w="2000" w:type="dxa"/>
            <w:gridSpan w:val="1"/>
            <w:noWrap/>
          </w:tcPr>
          <w:p>
            <w:pPr/>
            <w:r>
              <w:rPr>
                <w:b w:val="1"/>
                <w:bCs w:val="1"/>
              </w:rPr>
              <w:t xml:space="preserve">End of project target level</w:t>
            </w:r>
          </w:p>
        </w:tc>
        <w:tc>
          <w:tcPr>
            <w:tcW w:w="4000" w:type="dxa"/>
            <w:gridSpan w:val="1"/>
            <w:noWrap/>
          </w:tcPr>
          <w:p>
            <w:pPr/>
            <w:r>
              <w:rPr>
                <w:b w:val="1"/>
                <w:bCs w:val="1"/>
              </w:rPr>
              <w:t xml:space="preserve">Level at Jun 30, 2024</w:t>
            </w:r>
          </w:p>
        </w:tc>
        <w:tc>
          <w:tcPr>
            <w:tcW w:w="4000" w:type="dxa"/>
            <w:gridSpan w:val="1"/>
            <w:noWrap/>
          </w:tcPr>
          <w:p>
            <w:pPr/>
            <w:r>
              <w:rPr>
                <w:b w:val="1"/>
                <w:bCs w:val="1"/>
              </w:rPr>
              <w:t xml:space="preserve">Cumulative progress since project start as of Jun 30, 2025</w:t>
            </w:r>
          </w:p>
        </w:tc>
      </w:tr>
      <w:tr>
        <w:trPr/>
        <w:tc>
          <w:tcPr>
            <w:tcW w:w="4000" w:type="dxa"/>
            <w:gridSpan w:val="1"/>
            <w:noWrap/>
          </w:tcPr>
          <w:p>
            <w:pPr/>
            <w:r>
              <w:rPr/>
              <w:t xml:space="preserve">Mandatory Indicator 1: People benefitting from GEF financed investments (disaggregated by gender) GEF Indicator 11</w:t>
            </w:r>
          </w:p>
        </w:tc>
        <w:tc>
          <w:tcPr>
            <w:tcW w:w="2000" w:type="dxa"/>
            <w:gridSpan w:val="1"/>
            <w:noWrap/>
          </w:tcPr>
          <w:p>
            <w:pPr/>
            <w:r>
              <w:rPr/>
              <w:t xml:space="preserve">0</w:t>
            </w:r>
          </w:p>
        </w:tc>
        <w:tc>
          <w:tcPr>
            <w:tcW w:w="2000" w:type="dxa"/>
            <w:gridSpan w:val="1"/>
            <w:noWrap/>
          </w:tcPr>
          <w:p>
            <w:pPr/>
            <w:r>
              <w:rPr/>
              <w:t xml:space="preserve">11,200 people (male = 5,840 &amp; female =5,361)</w:t>
            </w:r>
          </w:p>
        </w:tc>
        <w:tc>
          <w:tcPr>
            <w:tcW w:w="2000" w:type="dxa"/>
            <w:gridSpan w:val="1"/>
            <w:noWrap/>
          </w:tcPr>
          <w:p>
            <w:pPr/>
            <w:r>
              <w:rPr/>
              <w:t xml:space="preserve">37,334 people (Male =19,465 &amp; Female = 17,869)</w:t>
            </w:r>
          </w:p>
        </w:tc>
        <w:tc>
          <w:tcPr>
            <w:tcW w:w="4000" w:type="dxa"/>
            <w:gridSpan w:val="1"/>
            <w:noWrap/>
          </w:tcPr>
          <w:p>
            <w:pPr/>
            <w:r>
              <w:rPr>
                <w:i w:val="1"/>
                <w:iCs w:val="1"/>
              </w:rPr>
              <w:t xml:space="preserve">(not set or not applicable)</w:t>
            </w:r>
          </w:p>
        </w:tc>
        <w:tc>
          <w:tcPr>
            <w:tcW w:w="4000" w:type="dxa"/>
            <w:gridSpan w:val="1"/>
            <w:noWrap/>
          </w:tcPr>
          <w:p>
            <w:pPr/>
            <w:r>
              <w:rPr/>
              <w:t xml:space="preserve">During the reporting period, a total of 10,894 people (4,951 female) directly benefited from GEF-financed investments,  achieving 97.27 % of the Mid-Term Review target of 11,200 beneficiaries.</w:t>
            </w:r>
          </w:p>
          <w:p>
            <w:pPr/>
            <w:r>
              <w:rPr/>
              <w:t xml:space="preserve"/>
            </w:r>
          </w:p>
          <w:p>
            <w:pPr/>
            <w:r>
              <w:rPr/>
              <w:t xml:space="preserve">Two main categories of benefits were delivered:</w:t>
            </w:r>
          </w:p>
          <w:p>
            <w:pPr/>
            <w:r>
              <w:rPr/>
              <w:t xml:space="preserve"/>
            </w:r>
          </w:p>
          <w:p>
            <w:pPr/>
            <w:r>
              <w:rPr/>
              <w:t xml:space="preserve">• Capacity Building and Consultations : A total of 3,255 people (1,127 female) participated in training, workshops, meetings, and consultations, strengthening knowledge on environmental and social safeguards, climate-resilient water infrastructure, nursery management, spring-shed management, sustainable land practices, and waste management. These activities also included consultations on ESMP/SES/GRM, smart patrolling, and WUA sensitization programs, ensuring community engagement and institutional strengthening. The  PMU has maintained record of the capacity building provided  in the excel sheet ( Please refer Evidence in excel: Training-meeting-workshop)</w:t>
            </w:r>
          </w:p>
          <w:p>
            <w:pPr/>
            <w:r>
              <w:rPr/>
              <w:t xml:space="preserve"/>
            </w:r>
          </w:p>
          <w:p>
            <w:pPr/>
            <w:r>
              <w:rPr/>
              <w:t xml:space="preserve">• Distribution of Agricultural Materials and Equipment: A total of 7,639 people (3,824 female) from 1,743 households benefited from the distribution of agricultural materials, including sintex tanks, HDPE pipes, sprinklers, hose connectors, water pumps, and mulching plastics. These investments enhanced water access, climate-resilient farming practices, and household-level resilience.</w:t>
            </w:r>
          </w:p>
          <w:p>
            <w:pPr/>
            <w:r>
              <w:rPr/>
              <w:t xml:space="preserve">Looking ahead, the number of direct beneficiaries is expected to further increase from Q2 of 2026, with the completion of three water supply schemes that will provide sustained access to climate-resilient water resources.</w:t>
            </w:r>
          </w:p>
          <w:p>
            <w:pPr/>
            <w:r>
              <w:rPr/>
              <w:t xml:space="preserve">Forest resources in the three project sites have been protected through SMART patrolling, informative signage, and waste management campaigns enhancing monitoring, community participation, and conservation outcomes. A forest cleaning drive and training programs in plantation and nursery techniques further supported local capacity for sustainable management.</w:t>
            </w:r>
          </w:p>
          <w:p>
            <w:pPr/>
            <w:r>
              <w:rPr/>
              <w:t xml:space="preserve">Plans underway include Local and Community Forest Management Plans, Payment for Ecosystem Services, and Water Resource Assessments aimed at strengthening ecosystem health, fostering ownership, and building long-term resilience. Protecting watershed can improve water quality and availability, reduce disaster risks, and deliver benefits to downstream communities through interconnected natural systems. The full impact will be realized once construction is completed and safe and reliable water is accessible to project landscape and beneficiaries parallel to management  plans  implemented in compliance with SES standards.</w:t>
            </w:r>
          </w:p>
          <w:p>
            <w:pPr/>
            <w:r>
              <w:rPr/>
              <w:t xml:space="preserve"/>
            </w:r>
          </w:p>
        </w:tc>
      </w:tr>
      <w:tr>
        <w:trPr/>
        <w:tc>
          <w:tcPr>
            <w:tcW w:w="4000" w:type="dxa"/>
            <w:gridSpan w:val="1"/>
            <w:noWrap/>
          </w:tcPr>
          <w:p>
            <w:pPr/>
            <w:r>
              <w:rPr/>
              <w:t xml:space="preserve">Mandatory Indicator 2: Area of land  and ecosystem under restoration (Ha under climate-resilient management): GEF Indicator 3</w:t>
            </w:r>
          </w:p>
        </w:tc>
        <w:tc>
          <w:tcPr>
            <w:tcW w:w="2000" w:type="dxa"/>
            <w:gridSpan w:val="1"/>
            <w:noWrap/>
          </w:tcPr>
          <w:p>
            <w:pPr/>
            <w:r>
              <w:rPr/>
              <w:t xml:space="preserve">0</w:t>
            </w:r>
          </w:p>
        </w:tc>
        <w:tc>
          <w:tcPr>
            <w:tcW w:w="2000" w:type="dxa"/>
            <w:gridSpan w:val="1"/>
            <w:noWrap/>
          </w:tcPr>
          <w:p>
            <w:pPr/>
            <w:r>
              <w:rPr/>
              <w:t xml:space="preserve">16,746 Ha</w:t>
            </w:r>
          </w:p>
        </w:tc>
        <w:tc>
          <w:tcPr>
            <w:tcW w:w="2000" w:type="dxa"/>
            <w:gridSpan w:val="1"/>
            <w:noWrap/>
          </w:tcPr>
          <w:p>
            <w:pPr/>
            <w:r>
              <w:rPr/>
              <w:t xml:space="preserve">41,910 Ha</w:t>
            </w:r>
          </w:p>
        </w:tc>
        <w:tc>
          <w:tcPr>
            <w:tcW w:w="4000" w:type="dxa"/>
            <w:gridSpan w:val="1"/>
            <w:noWrap/>
          </w:tcPr>
          <w:p>
            <w:pPr/>
            <w:r>
              <w:rPr>
                <w:i w:val="1"/>
                <w:iCs w:val="1"/>
              </w:rPr>
              <w:t xml:space="preserve">(not set or not applicable)</w:t>
            </w:r>
          </w:p>
        </w:tc>
        <w:tc>
          <w:tcPr>
            <w:tcW w:w="4000" w:type="dxa"/>
            <w:gridSpan w:val="1"/>
            <w:noWrap/>
          </w:tcPr>
          <w:p>
            <w:pPr/>
            <w:r>
              <w:rPr/>
              <w:t xml:space="preserve">4,426.014 Ha of land  and ecosystem under restored, managed and protected (Ha under climate-resilient management) following is the breakdown :</w:t>
            </w:r>
          </w:p>
          <w:p>
            <w:pPr/>
            <w:r>
              <w:rPr/>
              <w:t xml:space="preserve"/>
            </w:r>
          </w:p>
          <w:p>
            <w:pPr/>
            <w:r>
              <w:rPr/>
              <w:t xml:space="preserve">1) 664.73 ha of land under SMART Agriculture Practices: i. 651.28.Ha(1,743 HH) under sprinkler irrigation system and mulching. ii. 5.46 Ha (17 Hh) planted with grass slip hedgerows. iii. 7.99 Ha (38 HH) of farmland on slope land terraced.</w:t>
            </w:r>
          </w:p>
          <w:p>
            <w:pPr/>
            <w:r>
              <w:rPr/>
              <w:t xml:space="preserve">( Evidence -IND 2.14).</w:t>
            </w:r>
          </w:p>
          <w:p>
            <w:pPr/>
            <w:r>
              <w:rPr/>
              <w:t xml:space="preserve">Climate smart agricultural practices such as sprinkler irrigation, terracing, mulching and hedgerow plantation have been implemented at the project site as a strategy for adapting to climate change while promoting sustainable agriculture. Training programs on Sustainable Land Management (SLM) technologies and plastic mulching were conducted in Sergithang and Patshaling Gewogs. 198 farmers participated, gaining knowledge in soil conservation, moisture retention, and efficient use of mulching plastics.</w:t>
            </w:r>
          </w:p>
          <w:p>
            <w:pPr/>
            <w:r>
              <w:rPr/>
              <w:t xml:space="preserve"/>
            </w:r>
          </w:p>
          <w:p>
            <w:pPr/>
            <w:r>
              <w:rPr/>
              <w:t xml:space="preserve">2) 3,508.514  Ha of forest has been brought under sustainable forest management with the approval of  Local Forest Management Plan for Okalum watershed. Furthermore,   more areas  will be brought under sustainable forest management upon the approval of the three remaining LFMPs.</w:t>
            </w:r>
          </w:p>
          <w:p>
            <w:pPr/>
            <w:r>
              <w:rPr/>
              <w:t xml:space="preserve"/>
            </w:r>
          </w:p>
          <w:p>
            <w:pPr/>
            <w:r>
              <w:rPr/>
              <w:t xml:space="preserve">3) 252.77 Ha of forest has been brought under the sustainable forest management with the approval of  Community Forest Management Plans ( i. Rangzinkhuenphen CF 205.8 Ha ii. Tashithongmen now renamed as Tashithubar  CF 46.97 Ha)</w:t>
            </w:r>
          </w:p>
          <w:p>
            <w:pPr/>
            <w:r>
              <w:rPr/>
              <w:t xml:space="preserve"/>
            </w:r>
          </w:p>
          <w:p>
            <w:pPr/>
            <w:r>
              <w:rPr/>
              <w:t xml:space="preserve">Forest resources have been effectively safeguarded and managed through a suite of strategic actions including SMART (Spatial monitoring and reporting tool) patrolling, installation of informative signage, and solid waste management awareness campaigns in the three project sites. These initiatives enhance monitoring systems, encourage community participation, and foster long-term conservation outcomes. A dedicated forest cleaning campaign reinforced environmental stewardship and encouraged active engagement from local stakeholders. Additionally, plantation and nursery training programs were conducted to build local capacity in sustainable forest management and restoration efforts.</w:t>
            </w:r>
          </w:p>
          <w:p>
            <w:pPr/>
            <w:r>
              <w:rPr/>
              <w:t xml:space="preserve">Comprehensive plans including Local and Community Forest Management, Payment for Ecosystem Services, and Water Resource Assessments are underway to promote sustainable forest and water stewardship. These efforts build community ownership, enhance ecosystem health, and support long-term resilience.  Further to this ,SMART monitoring was conducted and will be continued  for the 4 watersheds such as  Okalum, Kuchikhola, Chedachu and Shingtalum.</w:t>
            </w:r>
          </w:p>
          <w:p>
            <w:pPr/>
            <w:r>
              <w:rPr/>
              <w:t xml:space="preserve"/>
            </w:r>
          </w:p>
          <w:p>
            <w:pPr/>
            <w:r>
              <w:rPr/>
              <w:t xml:space="preserve"/>
            </w:r>
          </w:p>
        </w:tc>
      </w:tr>
      <w:tr>
        <w:trPr/>
        <w:tc>
          <w:tcPr>
            <w:tcW w:w="4000" w:type="dxa"/>
            <w:gridSpan w:val="1"/>
            <w:noWrap/>
          </w:tcPr>
          <w:p>
            <w:pPr/>
            <w:r>
              <w:rPr>
                <w:b w:val="1"/>
                <w:bCs w:val="1"/>
              </w:rPr>
              <w:t xml:space="preserve">The progress of the objective/outcome can be described as:</w:t>
            </w:r>
          </w:p>
        </w:tc>
        <w:tc>
          <w:tcPr>
            <w:tcW w:w="12000" w:type="dxa"/>
            <w:gridSpan w:val="5"/>
            <w:noWrap/>
          </w:tcPr>
          <w:p>
            <w:pPr/>
            <w:r>
              <w:rPr>
                <w:b w:val="1"/>
                <w:bCs w:val="1"/>
              </w:rPr>
              <w:t xml:space="preserve">On track</w:t>
            </w:r>
          </w:p>
        </w:tc>
      </w:tr>
      <w:tr>
        <w:trPr/>
        <w:tc>
          <w:tcPr>
            <w:tcW w:w="4000" w:type="dxa"/>
            <w:gridSpan w:val="1"/>
            <w:noWrap/>
          </w:tcPr>
          <w:p>
            <w:pPr/>
            <w:r>
              <w:rPr>
                <w:b w:val="1"/>
                <w:bCs w:val="1"/>
              </w:rPr>
              <w:t xml:space="preserve">Evidence uploaded:</w:t>
            </w:r>
          </w:p>
        </w:tc>
        <w:tc>
          <w:tcPr>
            <w:tcW w:w="12000" w:type="dxa"/>
            <w:gridSpan w:val="5"/>
            <w:noWrap/>
          </w:tcPr>
          <w:p>
            <w:pPr/>
            <w:r>
              <w:rPr/>
              <w:t xml:space="preserve">YES</w:t>
            </w:r>
          </w:p>
        </w:tc>
      </w:tr>
      <w:tr>
        <w:trPr/>
        <w:tc>
          <w:tcPr>
            <w:tcW w:w="16000" w:type="dxa"/>
            <w:shd w:val="clear" w:fill="#D9D9D9"/>
            <w:gridSpan w:val="7"/>
            <w:noWrap/>
          </w:tcPr>
          <w:p>
            <w:pPr/>
            <w:r>
              <w:rPr>
                <w:b w:val="1"/>
                <w:bCs w:val="1"/>
              </w:rPr>
              <w:t xml:space="preserve">Outcome 1</w:t>
            </w:r>
          </w:p>
          <w:p>
            <w:pPr/>
            <w:r>
              <w:rPr>
                <w:b w:val="1"/>
                <w:bCs w:val="1"/>
              </w:rPr>
              <w:t xml:space="preserve">Water governance and institutions</w:t>
            </w:r>
          </w:p>
          <w:p>
            <w:pPr/>
            <w:r>
              <w:rPr>
                <w:b w:val="1"/>
                <w:bCs w:val="1"/>
              </w:rPr>
              <w:t xml:space="preserve">Project Outcome 1:</w:t>
            </w:r>
          </w:p>
          <w:p>
            <w:pPr/>
            <w:r>
              <w:rPr>
                <w:b w:val="1"/>
                <w:bCs w:val="1"/>
              </w:rPr>
              <w:t xml:space="preserve">Strengthened water governance, institutions and financing mechanism in support of climate-resilient water management</w:t>
            </w:r>
          </w:p>
          <w:p>
            <w:pPr/>
            <w:r>
              <w:rPr>
                <w:b w:val="1"/>
                <w:bCs w:val="1"/>
              </w:rPr>
              <w:t xml:space="preserve">Outputs to achieve Outcome 1</w:t>
            </w:r>
          </w:p>
          <w:p>
            <w:pPr/>
            <w:r>
              <w:rPr>
                <w:b w:val="1"/>
                <w:bCs w:val="1"/>
              </w:rPr>
              <w:t xml:space="preserve">1.1 Relevant national and local policies and strategies aligned with sustainable and climate resilient water management.</w:t>
            </w:r>
          </w:p>
          <w:p>
            <w:pPr/>
            <w:r>
              <w:rPr>
                <w:b w:val="1"/>
                <w:bCs w:val="1"/>
              </w:rPr>
              <w:t xml:space="preserve">1.2 Institutional &amp; community level capacity for climate-smart water and watershed management strengthened.</w:t>
            </w:r>
          </w:p>
          <w:p>
            <w:pPr/>
            <w:r>
              <w:rPr>
                <w:b w:val="1"/>
                <w:bCs w:val="1"/>
              </w:rPr>
              <w:t xml:space="preserve">1.3 Innovative financing mechanisms for both watershed management and water infrastructure introduced</w:t>
            </w:r>
          </w:p>
          <w:p>
            <w:pPr/>
            <w:r>
              <w:rPr>
                <w:b w:val="1"/>
                <w:bCs w:val="1"/>
              </w:rPr>
              <w:t xml:space="preserve"/>
            </w:r>
          </w:p>
          <w:p>
            <w:pPr/>
            <w:r>
              <w:rPr>
                <w:b w:val="1"/>
                <w:bCs w:val="1"/>
              </w:rPr>
              <w:t xml:space="preserve"/>
            </w:r>
          </w:p>
        </w:tc>
      </w:tr>
      <w:tr>
        <w:trPr/>
        <w:tc>
          <w:tcPr>
            <w:tcW w:w="4000" w:type="dxa"/>
            <w:gridSpan w:val="1"/>
            <w:noWrap/>
          </w:tcPr>
          <w:p>
            <w:pPr/>
            <w:r>
              <w:rPr>
                <w:b w:val="1"/>
                <w:bCs w:val="1"/>
              </w:rPr>
              <w:t xml:space="preserve">Description of Indicator</w:t>
            </w:r>
          </w:p>
        </w:tc>
        <w:tc>
          <w:tcPr>
            <w:tcW w:w="2000" w:type="dxa"/>
            <w:gridSpan w:val="1"/>
            <w:noWrap/>
          </w:tcPr>
          <w:p>
            <w:pPr/>
            <w:r>
              <w:rPr>
                <w:b w:val="1"/>
                <w:bCs w:val="1"/>
              </w:rPr>
              <w:t xml:space="preserve">Baseline Level</w:t>
            </w:r>
          </w:p>
        </w:tc>
        <w:tc>
          <w:tcPr>
            <w:tcW w:w="2000" w:type="dxa"/>
            <w:gridSpan w:val="1"/>
            <w:noWrap/>
          </w:tcPr>
          <w:p>
            <w:pPr/>
            <w:r>
              <w:rPr>
                <w:b w:val="1"/>
                <w:bCs w:val="1"/>
              </w:rPr>
              <w:t xml:space="preserve">Midterm target level</w:t>
            </w:r>
          </w:p>
        </w:tc>
        <w:tc>
          <w:tcPr>
            <w:tcW w:w="2000" w:type="dxa"/>
            <w:gridSpan w:val="1"/>
            <w:noWrap/>
          </w:tcPr>
          <w:p>
            <w:pPr/>
            <w:r>
              <w:rPr>
                <w:b w:val="1"/>
                <w:bCs w:val="1"/>
              </w:rPr>
              <w:t xml:space="preserve">End of project target level</w:t>
            </w:r>
          </w:p>
        </w:tc>
        <w:tc>
          <w:tcPr>
            <w:tcW w:w="4000" w:type="dxa"/>
            <w:gridSpan w:val="1"/>
            <w:noWrap/>
          </w:tcPr>
          <w:p>
            <w:pPr/>
            <w:r>
              <w:rPr>
                <w:b w:val="1"/>
                <w:bCs w:val="1"/>
              </w:rPr>
              <w:t xml:space="preserve">Level at Jun 30, 2024</w:t>
            </w:r>
          </w:p>
        </w:tc>
        <w:tc>
          <w:tcPr>
            <w:tcW w:w="4000" w:type="dxa"/>
            <w:gridSpan w:val="1"/>
            <w:noWrap/>
          </w:tcPr>
          <w:p>
            <w:pPr/>
            <w:r>
              <w:rPr>
                <w:b w:val="1"/>
                <w:bCs w:val="1"/>
              </w:rPr>
              <w:t xml:space="preserve">Cumulative progress since project start as of Jun 30, 2025</w:t>
            </w:r>
          </w:p>
        </w:tc>
      </w:tr>
      <w:tr>
        <w:trPr/>
        <w:tc>
          <w:tcPr>
            <w:tcW w:w="4000" w:type="dxa"/>
            <w:gridSpan w:val="1"/>
            <w:noWrap/>
          </w:tcPr>
          <w:p>
            <w:pPr/>
            <w:r>
              <w:rPr/>
              <w:t xml:space="preserve">Outcome1: Indicator 3: Number of local level institutions established for adaptative management of water resources</w:t>
            </w:r>
          </w:p>
        </w:tc>
        <w:tc>
          <w:tcPr>
            <w:tcW w:w="2000" w:type="dxa"/>
            <w:gridSpan w:val="1"/>
            <w:noWrap/>
          </w:tcPr>
          <w:p>
            <w:pPr/>
            <w:r>
              <w:rPr/>
              <w:t xml:space="preserve">0</w:t>
            </w:r>
          </w:p>
        </w:tc>
        <w:tc>
          <w:tcPr>
            <w:tcW w:w="2000" w:type="dxa"/>
            <w:gridSpan w:val="1"/>
            <w:noWrap/>
          </w:tcPr>
          <w:p>
            <w:pPr/>
            <w:r>
              <w:rPr/>
              <w:t xml:space="preserve">18</w:t>
            </w:r>
          </w:p>
        </w:tc>
        <w:tc>
          <w:tcPr>
            <w:tcW w:w="2000" w:type="dxa"/>
            <w:gridSpan w:val="1"/>
            <w:noWrap/>
          </w:tcPr>
          <w:p>
            <w:pPr/>
            <w:r>
              <w:rPr/>
              <w:t xml:space="preserve">18</w:t>
            </w:r>
          </w:p>
        </w:tc>
        <w:tc>
          <w:tcPr>
            <w:tcW w:w="4000" w:type="dxa"/>
            <w:gridSpan w:val="1"/>
            <w:noWrap/>
          </w:tcPr>
          <w:p>
            <w:pPr/>
            <w:r>
              <w:rPr>
                <w:i w:val="1"/>
                <w:iCs w:val="1"/>
              </w:rPr>
              <w:t xml:space="preserve">(not set or not applicable)</w:t>
            </w:r>
          </w:p>
        </w:tc>
        <w:tc>
          <w:tcPr>
            <w:tcW w:w="4000" w:type="dxa"/>
            <w:gridSpan w:val="1"/>
            <w:noWrap/>
          </w:tcPr>
          <w:p>
            <w:pPr/>
            <w:r>
              <w:rPr/>
              <w:t xml:space="preserve">While no achievement has been recorded under this indicator to date, activities are on track and progressing towards its realization by the midterm of the project. Key initiatives include:</w:t>
            </w:r>
          </w:p>
          <w:p>
            <w:pPr/>
            <w:r>
              <w:rPr/>
              <w:t xml:space="preserve"/>
            </w:r>
          </w:p>
          <w:p>
            <w:pPr/>
            <w:r>
              <w:rPr/>
              <w:t xml:space="preserve">i ) River Basin Committee (RBC)-</w:t>
            </w:r>
          </w:p>
          <w:p>
            <w:pPr/>
            <w:r>
              <w:rPr/>
              <w:t xml:space="preserve">An Inception Workshop held from April 28–30, 2025 initiated the formulation of the Punatsangchhu RBMP. A multidisciplinary Technical Working Group (TWG) was formed at both district and central levels, and a River Basin Committee will be established to oversee implementation of the activities related to water resources within the basin and update the river basin management plan periodically. (Participants: 31 males, 10 females)</w:t>
            </w:r>
          </w:p>
          <w:p>
            <w:pPr/>
            <w:r>
              <w:rPr/>
              <w:t xml:space="preserve"/>
            </w:r>
          </w:p>
          <w:p>
            <w:pPr/>
            <w:r>
              <w:rPr/>
              <w:t xml:space="preserve">ii) River Basin Committee Secretariat</w:t>
            </w:r>
          </w:p>
          <w:p>
            <w:pPr/>
            <w:r>
              <w:rPr/>
              <w:t xml:space="preserve">The approval to establish the “River Basin Section” under the Department of Water has been granted by the Royal Civil Service Commission.  This section will function as the secretariat office to the River Basin Committee for all 5 major river basins.</w:t>
            </w:r>
          </w:p>
          <w:p>
            <w:pPr/>
            <w:r>
              <w:rPr/>
              <w:t xml:space="preserve"/>
            </w:r>
          </w:p>
          <w:p>
            <w:pPr/>
            <w:r>
              <w:rPr/>
              <w:t xml:space="preserve">iii)  16 Water User Association:</w:t>
            </w:r>
          </w:p>
          <w:p>
            <w:pPr/>
            <w:r>
              <w:rPr/>
              <w:t xml:space="preserve">Sensitization on the Guideline for the Formation and Registration of 16 WUAs in Bhutan was conducted across three districts:</w:t>
            </w:r>
          </w:p>
          <w:p>
            <w:pPr/>
            <w:r>
              <w:rPr/>
              <w:t xml:space="preserve">●	Tsirang: 24–25 March 2025 (30 males, 5 females)</w:t>
            </w:r>
          </w:p>
          <w:p>
            <w:pPr/>
            <w:r>
              <w:rPr/>
              <w:t xml:space="preserve">●	Punakha: 27–28 March 2025 (29 males, 7 females)</w:t>
            </w:r>
          </w:p>
          <w:p>
            <w:pPr/>
            <w:r>
              <w:rPr/>
              <w:t xml:space="preserve">●	Gasa: 6–7 November 2025 (27 males, 8 females)</w:t>
            </w:r>
          </w:p>
          <w:p>
            <w:pPr/>
            <w:r>
              <w:rPr/>
              <w:t xml:space="preserve">The workshops oriented Local Government (LG) members on:</w:t>
            </w:r>
          </w:p>
          <w:p>
            <w:pPr/>
            <w:r>
              <w:rPr/>
              <w:t xml:space="preserve">●	WUA functions, establishment procedures, and organizational structure</w:t>
            </w:r>
          </w:p>
          <w:p>
            <w:pPr/>
            <w:r>
              <w:rPr/>
              <w:t xml:space="preserve"/>
            </w:r>
          </w:p>
          <w:p>
            <w:pPr/>
            <w:r>
              <w:rPr/>
              <w:t xml:space="preserve">●	Roles of Block Administration and application of WUA-related forms</w:t>
            </w:r>
          </w:p>
          <w:p>
            <w:pPr/>
            <w:r>
              <w:rPr/>
              <w:t xml:space="preserve"/>
            </w:r>
          </w:p>
          <w:p>
            <w:pPr/>
            <w:r>
              <w:rPr/>
              <w:t xml:space="preserve">●	Plans for formalizing WUAs to strengthen water resource management</w:t>
            </w:r>
          </w:p>
          <w:p>
            <w:pPr/>
            <w:r>
              <w:rPr/>
              <w:t xml:space="preserve"/>
            </w:r>
          </w:p>
          <w:p>
            <w:pPr/>
            <w:r>
              <w:rPr/>
              <w:t xml:space="preserve">●	Identification of challenges with existing informal WUAs</w:t>
            </w:r>
          </w:p>
          <w:p>
            <w:pPr/>
            <w:r>
              <w:rPr/>
              <w:t xml:space="preserve"/>
            </w:r>
          </w:p>
          <w:p>
            <w:pPr/>
            <w:r>
              <w:rPr/>
              <w:t xml:space="preserve">The Department of Water is currently reviewing existing WUA lists for rationalization and effective implementation.</w:t>
            </w:r>
          </w:p>
          <w:p>
            <w:pPr/>
            <w:r>
              <w:rPr/>
              <w:t xml:space="preserve"/>
            </w:r>
          </w:p>
        </w:tc>
      </w:tr>
      <w:tr>
        <w:trPr/>
        <w:tc>
          <w:tcPr>
            <w:tcW w:w="4000" w:type="dxa"/>
            <w:gridSpan w:val="1"/>
            <w:noWrap/>
          </w:tcPr>
          <w:p>
            <w:pPr/>
            <w:r>
              <w:rPr/>
              <w:t xml:space="preserve">Outcome1: Indicator 4: No of district and basin level climate-risk informed policies and strategies developed and endorsed</w:t>
            </w:r>
          </w:p>
        </w:tc>
        <w:tc>
          <w:tcPr>
            <w:tcW w:w="2000" w:type="dxa"/>
            <w:gridSpan w:val="1"/>
            <w:noWrap/>
          </w:tcPr>
          <w:p>
            <w:pPr/>
            <w:r>
              <w:rPr/>
              <w:t xml:space="preserve">0</w:t>
            </w:r>
          </w:p>
        </w:tc>
        <w:tc>
          <w:tcPr>
            <w:tcW w:w="2000" w:type="dxa"/>
            <w:gridSpan w:val="1"/>
            <w:noWrap/>
          </w:tcPr>
          <w:p>
            <w:pPr/>
            <w:r>
              <w:rPr/>
              <w:t xml:space="preserve">9</w:t>
            </w:r>
          </w:p>
        </w:tc>
        <w:tc>
          <w:tcPr>
            <w:tcW w:w="2000" w:type="dxa"/>
            <w:gridSpan w:val="1"/>
            <w:noWrap/>
          </w:tcPr>
          <w:p>
            <w:pPr/>
            <w:r>
              <w:rPr/>
              <w:t xml:space="preserve">13</w:t>
            </w:r>
          </w:p>
        </w:tc>
        <w:tc>
          <w:tcPr>
            <w:tcW w:w="4000" w:type="dxa"/>
            <w:gridSpan w:val="1"/>
            <w:noWrap/>
          </w:tcPr>
          <w:p>
            <w:pPr/>
            <w:r>
              <w:rPr>
                <w:i w:val="1"/>
                <w:iCs w:val="1"/>
              </w:rPr>
              <w:t xml:space="preserve">(not set or not applicable)</w:t>
            </w:r>
          </w:p>
        </w:tc>
        <w:tc>
          <w:tcPr>
            <w:tcW w:w="4000" w:type="dxa"/>
            <w:gridSpan w:val="1"/>
            <w:noWrap/>
          </w:tcPr>
          <w:p>
            <w:pPr/>
            <w:r>
              <w:rPr/>
              <w:t xml:space="preserve">The project has developed 6 climate risk informed policies and strategies as follows:</w:t>
            </w:r>
          </w:p>
          <w:p>
            <w:pPr/>
            <w:r>
              <w:rPr/>
              <w:t xml:space="preserve"/>
            </w:r>
          </w:p>
          <w:p>
            <w:pPr/>
            <w:r>
              <w:rPr/>
              <w:t xml:space="preserve">1) A guiding Tool for the development of National Integrated Water Master Plan-The Guiding Tool was developed and sensitized to the relevant officials of the Gasa, Punakha and Tsirang Districts. It will be used as a reference document to develop the District Integrated Water Master Plans, as well as the National Integrated Water Master Plan (Evidence: IND4.2)</w:t>
            </w:r>
          </w:p>
          <w:p>
            <w:pPr/>
            <w:r>
              <w:rPr/>
              <w:t xml:space="preserve"/>
            </w:r>
          </w:p>
          <w:p>
            <w:pPr/>
            <w:r>
              <w:rPr/>
              <w:t xml:space="preserve">2) Revised national water quality standards including the Domestic Water Quality Standard-The revised Bhutan Drinking Water Quality Standards 2025, endorsed by National Environment Commission, introduces updated parameters, units, permissible limits, and clarified roles for implementing agencies. In collaboration with the Royal Center for Disease Control, the Department of Water also trained health officials from 22 facilities in four districts on water quality testing.</w:t>
            </w:r>
          </w:p>
          <w:p>
            <w:pPr/>
            <w:r>
              <w:rPr/>
              <w:t xml:space="preserve"/>
            </w:r>
          </w:p>
          <w:p>
            <w:pPr/>
            <w:r>
              <w:rPr/>
              <w:t xml:space="preserve">3) Water tariff system for Gasa town and provide feedback on national water tariff guidelines/criteria-The Water Tariff Guideline was developed and introduced to municipal bodies and LG officials across Districts and Blocks.</w:t>
            </w:r>
          </w:p>
          <w:p>
            <w:pPr/>
            <w:r>
              <w:rPr/>
              <w:t xml:space="preserve">It received principal endorsement, with a directive to pilot in Thromde/District Municipal areas where tariffs are already applied, to assess impact and inform future decisions.</w:t>
            </w:r>
          </w:p>
          <w:p>
            <w:pPr/>
            <w:r>
              <w:rPr/>
              <w:t xml:space="preserve">A parallel assessment and PPP business case examined domestic and irrigation water tariffs in Gasa and Lobeysa:</w:t>
            </w:r>
          </w:p>
          <w:p>
            <w:pPr/>
            <w:r>
              <w:rPr/>
              <w:t xml:space="preserve">Gasa: High tariffs and low private sector profitability suggest District administration-led service is more viable.</w:t>
            </w:r>
          </w:p>
          <w:p>
            <w:pPr/>
            <w:r>
              <w:rPr/>
              <w:t xml:space="preserve">Lobeysa: Service provision may proceed via District administration or PPP models.</w:t>
            </w:r>
          </w:p>
          <w:p>
            <w:pPr/>
            <w:r>
              <w:rPr/>
              <w:t xml:space="preserve">4) Local Forest Management Plans- The Local Forest Management Plan(LFMP) for Okalum watershed in Punakha District was prepared and approved by the Department of Forests and Park Service.</w:t>
            </w:r>
          </w:p>
          <w:p>
            <w:pPr/>
            <w:r>
              <w:rPr/>
              <w:t xml:space="preserve">The remaining three LFMPs are developed and awaiting TAC approval as follows:</w:t>
            </w:r>
          </w:p>
          <w:p>
            <w:pPr/>
            <w:r>
              <w:rPr/>
              <w:t xml:space="preserve">-Singtalum, the key watershed that supplies water to the  Gasa town, has been added to Khatoed Block’s Local Forest Management Plan (LFMP) after revision. The updated LFMP awaits Technical Advisory Committee (TAC)  approval.</w:t>
            </w:r>
          </w:p>
          <w:p>
            <w:pPr/>
            <w:r>
              <w:rPr/>
              <w:t xml:space="preserve">-Pawkhola-Kuchi watershed, serving 5,000+ people, is now managed by the Kuchi-Thakorling community under a PES scheme. A forest and wildlife survey (Nov 2023) found rich biodiversity. The LFMP, developed after local consultations, awaits TAC approval. The consultation meeting took place from 20th to 22nd October 2023, and a total of 78 households (52 male-headed and 26 female-headed) attended.</w:t>
            </w:r>
          </w:p>
          <w:p>
            <w:pPr/>
            <w:r>
              <w:rPr/>
              <w:t xml:space="preserve">-The Sergithang LFMA  (Local Forest Management Area) covering Laraychu, Bulkey, and Chedachu watersheds provide water and other resources to five village: Tashithang, Sergithang Toed, Sergithang Maed, Norboogang, and Samdenjong.</w:t>
            </w:r>
          </w:p>
          <w:p>
            <w:pPr/>
            <w:r>
              <w:rPr/>
              <w:t xml:space="preserve"/>
            </w:r>
          </w:p>
          <w:p>
            <w:pPr/>
            <w:r>
              <w:rPr/>
              <w:t xml:space="preserve">The  awareness and consultation meetings were organized to develop the LFMP in the watershed areas from 18th to 20th October 2023 and were attended by 97 households (57 male-headed and 20 female-headed).The LFMP, developed after local consultations, awaits TAC approval.</w:t>
            </w:r>
          </w:p>
          <w:p>
            <w:pPr/>
            <w:r>
              <w:rPr/>
              <w:t xml:space="preserve"/>
            </w:r>
          </w:p>
          <w:p>
            <w:pPr/>
            <w:r>
              <w:rPr/>
              <w:t xml:space="preserve">5) Two  Community Forest Management plans-The assessment and revision of the Rangzhin Kuenphen Community Forest (CF) and Tashi Thogmen CF in Singtalum, Gasa have been completed and approved by the Department. The management plans are now being used in the field. In addition, the management plans for Jigme Dorji Kuenphen, Yamani, and Geondrab Chithuen CFs were also revised and are now being put into action in the field.</w:t>
            </w:r>
          </w:p>
        </w:tc>
      </w:tr>
      <w:tr>
        <w:trPr/>
        <w:tc>
          <w:tcPr>
            <w:tcW w:w="4000" w:type="dxa"/>
            <w:gridSpan w:val="1"/>
            <w:noWrap/>
          </w:tcPr>
          <w:p>
            <w:pPr/>
            <w:r>
              <w:rPr>
                <w:b w:val="1"/>
                <w:bCs w:val="1"/>
              </w:rPr>
              <w:t xml:space="preserve">The progress of the objective/outcome can be described as:</w:t>
            </w:r>
          </w:p>
        </w:tc>
        <w:tc>
          <w:tcPr>
            <w:tcW w:w="12000" w:type="dxa"/>
            <w:gridSpan w:val="5"/>
            <w:noWrap/>
          </w:tcPr>
          <w:p>
            <w:pPr/>
            <w:r>
              <w:rPr>
                <w:b w:val="1"/>
                <w:bCs w:val="1"/>
              </w:rPr>
              <w:t xml:space="preserve">On track</w:t>
            </w:r>
          </w:p>
        </w:tc>
      </w:tr>
      <w:tr>
        <w:trPr/>
        <w:tc>
          <w:tcPr>
            <w:tcW w:w="4000" w:type="dxa"/>
            <w:gridSpan w:val="1"/>
            <w:noWrap/>
          </w:tcPr>
          <w:p>
            <w:pPr/>
            <w:r>
              <w:rPr>
                <w:b w:val="1"/>
                <w:bCs w:val="1"/>
              </w:rPr>
              <w:t xml:space="preserve">Evidence uploaded:</w:t>
            </w:r>
          </w:p>
        </w:tc>
        <w:tc>
          <w:tcPr>
            <w:tcW w:w="12000" w:type="dxa"/>
            <w:gridSpan w:val="5"/>
            <w:noWrap/>
          </w:tcPr>
          <w:p>
            <w:pPr/>
            <w:r>
              <w:rPr/>
              <w:t xml:space="preserve">YES</w:t>
            </w:r>
          </w:p>
        </w:tc>
      </w:tr>
      <w:tr>
        <w:trPr/>
        <w:tc>
          <w:tcPr>
            <w:tcW w:w="16000" w:type="dxa"/>
            <w:shd w:val="clear" w:fill="#D9D9D9"/>
            <w:gridSpan w:val="7"/>
            <w:noWrap/>
          </w:tcPr>
          <w:p>
            <w:pPr/>
            <w:r>
              <w:rPr>
                <w:b w:val="1"/>
                <w:bCs w:val="1"/>
              </w:rPr>
              <w:t xml:space="preserve">Outcome 2</w:t>
            </w:r>
          </w:p>
          <w:p>
            <w:pPr/>
            <w:r>
              <w:rPr>
                <w:b w:val="1"/>
                <w:bCs w:val="1"/>
              </w:rPr>
              <w:t xml:space="preserve">Nature-based solutions for sustainable and climate-resilient watersheds, and livelihood enhancement</w:t>
            </w:r>
          </w:p>
          <w:p>
            <w:pPr/>
            <w:r>
              <w:rPr>
                <w:b w:val="1"/>
                <w:bCs w:val="1"/>
              </w:rPr>
              <w:t xml:space="preserve">Outcome 2</w:t>
            </w:r>
          </w:p>
          <w:p>
            <w:pPr/>
            <w:r>
              <w:rPr>
                <w:b w:val="1"/>
                <w:bCs w:val="1"/>
              </w:rPr>
              <w:t xml:space="preserve">Vulnerable natural water catchments in the target river basin (Punatsangchu River Basin) restored, sustainably managed, protected and their ecosystem conditions improved</w:t>
            </w:r>
          </w:p>
          <w:p>
            <w:pPr/>
            <w:r>
              <w:rPr>
                <w:b w:val="1"/>
                <w:bCs w:val="1"/>
              </w:rPr>
              <w:t xml:space="preserve">Outputs to achieve Outcome 2</w:t>
            </w:r>
          </w:p>
          <w:p>
            <w:pPr/>
            <w:r>
              <w:rPr>
                <w:b w:val="1"/>
                <w:bCs w:val="1"/>
              </w:rPr>
              <w:t xml:space="preserve">2.1 Nature-based solutions for watershed restorations implemented aimed at yielding stable spring/stream flows.</w:t>
            </w:r>
          </w:p>
          <w:p>
            <w:pPr/>
            <w:r>
              <w:rPr>
                <w:b w:val="1"/>
                <w:bCs w:val="1"/>
              </w:rPr>
              <w:t xml:space="preserve">2.2 Forest/Ground cover in catchment watersheds managed and maintained through the engagement of local communities and private/corporate sector</w:t>
            </w:r>
          </w:p>
          <w:p>
            <w:pPr/>
            <w:r>
              <w:rPr>
                <w:b w:val="1"/>
                <w:bCs w:val="1"/>
              </w:rPr>
              <w:t xml:space="preserve"/>
            </w:r>
          </w:p>
          <w:p>
            <w:pPr/>
            <w:r>
              <w:rPr>
                <w:b w:val="1"/>
                <w:bCs w:val="1"/>
              </w:rPr>
              <w:t xml:space="preserve"/>
            </w:r>
          </w:p>
        </w:tc>
      </w:tr>
      <w:tr>
        <w:trPr/>
        <w:tc>
          <w:tcPr>
            <w:tcW w:w="4000" w:type="dxa"/>
            <w:gridSpan w:val="1"/>
            <w:noWrap/>
          </w:tcPr>
          <w:p>
            <w:pPr/>
            <w:r>
              <w:rPr>
                <w:b w:val="1"/>
                <w:bCs w:val="1"/>
              </w:rPr>
              <w:t xml:space="preserve">Description of Indicator</w:t>
            </w:r>
          </w:p>
        </w:tc>
        <w:tc>
          <w:tcPr>
            <w:tcW w:w="2000" w:type="dxa"/>
            <w:gridSpan w:val="1"/>
            <w:noWrap/>
          </w:tcPr>
          <w:p>
            <w:pPr/>
            <w:r>
              <w:rPr>
                <w:b w:val="1"/>
                <w:bCs w:val="1"/>
              </w:rPr>
              <w:t xml:space="preserve">Baseline Level</w:t>
            </w:r>
          </w:p>
        </w:tc>
        <w:tc>
          <w:tcPr>
            <w:tcW w:w="2000" w:type="dxa"/>
            <w:gridSpan w:val="1"/>
            <w:noWrap/>
          </w:tcPr>
          <w:p>
            <w:pPr/>
            <w:r>
              <w:rPr>
                <w:b w:val="1"/>
                <w:bCs w:val="1"/>
              </w:rPr>
              <w:t xml:space="preserve">Midterm target level</w:t>
            </w:r>
          </w:p>
        </w:tc>
        <w:tc>
          <w:tcPr>
            <w:tcW w:w="2000" w:type="dxa"/>
            <w:gridSpan w:val="1"/>
            <w:noWrap/>
          </w:tcPr>
          <w:p>
            <w:pPr/>
            <w:r>
              <w:rPr>
                <w:b w:val="1"/>
                <w:bCs w:val="1"/>
              </w:rPr>
              <w:t xml:space="preserve">End of project target level</w:t>
            </w:r>
          </w:p>
        </w:tc>
        <w:tc>
          <w:tcPr>
            <w:tcW w:w="4000" w:type="dxa"/>
            <w:gridSpan w:val="1"/>
            <w:noWrap/>
          </w:tcPr>
          <w:p>
            <w:pPr/>
            <w:r>
              <w:rPr>
                <w:b w:val="1"/>
                <w:bCs w:val="1"/>
              </w:rPr>
              <w:t xml:space="preserve">Level at Jun 30, 2024</w:t>
            </w:r>
          </w:p>
        </w:tc>
        <w:tc>
          <w:tcPr>
            <w:tcW w:w="4000" w:type="dxa"/>
            <w:gridSpan w:val="1"/>
            <w:noWrap/>
          </w:tcPr>
          <w:p>
            <w:pPr/>
            <w:r>
              <w:rPr>
                <w:b w:val="1"/>
                <w:bCs w:val="1"/>
              </w:rPr>
              <w:t xml:space="preserve">Cumulative progress since project start as of Jun 30, 2025</w:t>
            </w:r>
          </w:p>
        </w:tc>
      </w:tr>
      <w:tr>
        <w:trPr/>
        <w:tc>
          <w:tcPr>
            <w:tcW w:w="4000" w:type="dxa"/>
            <w:gridSpan w:val="1"/>
            <w:noWrap/>
          </w:tcPr>
          <w:p>
            <w:pPr/>
            <w:r>
              <w:rPr/>
              <w:t xml:space="preserve">Outcome 2: Indicator 5: Area of watersheds restored and protected (Ha)</w:t>
            </w:r>
          </w:p>
        </w:tc>
        <w:tc>
          <w:tcPr>
            <w:tcW w:w="2000" w:type="dxa"/>
            <w:gridSpan w:val="1"/>
            <w:noWrap/>
          </w:tcPr>
          <w:p>
            <w:pPr/>
            <w:r>
              <w:rPr/>
              <w:t xml:space="preserve">0 Ha</w:t>
            </w:r>
          </w:p>
        </w:tc>
        <w:tc>
          <w:tcPr>
            <w:tcW w:w="2000" w:type="dxa"/>
            <w:gridSpan w:val="1"/>
            <w:noWrap/>
          </w:tcPr>
          <w:p>
            <w:pPr/>
            <w:r>
              <w:rPr/>
              <w:t xml:space="preserve">15,407 Ha</w:t>
            </w:r>
          </w:p>
        </w:tc>
        <w:tc>
          <w:tcPr>
            <w:tcW w:w="2000" w:type="dxa"/>
            <w:gridSpan w:val="1"/>
            <w:noWrap/>
          </w:tcPr>
          <w:p>
            <w:pPr/>
            <w:r>
              <w:rPr/>
              <w:t xml:space="preserve">38,518 Ha</w:t>
            </w:r>
          </w:p>
        </w:tc>
        <w:tc>
          <w:tcPr>
            <w:tcW w:w="4000" w:type="dxa"/>
            <w:gridSpan w:val="1"/>
            <w:noWrap/>
          </w:tcPr>
          <w:p>
            <w:pPr/>
            <w:r>
              <w:rPr>
                <w:i w:val="1"/>
                <w:iCs w:val="1"/>
              </w:rPr>
              <w:t xml:space="preserve">(not set or not applicable)</w:t>
            </w:r>
          </w:p>
        </w:tc>
        <w:tc>
          <w:tcPr>
            <w:tcW w:w="4000" w:type="dxa"/>
            <w:gridSpan w:val="1"/>
            <w:noWrap/>
          </w:tcPr>
          <w:p>
            <w:pPr/>
            <w:r>
              <w:rPr/>
              <w:t xml:space="preserve">3,761.284 Ha of watershed areas are protected/restored/managed as follows:</w:t>
            </w:r>
          </w:p>
          <w:p>
            <w:pPr/>
            <w:r>
              <w:rPr/>
              <w:t xml:space="preserve"/>
            </w:r>
          </w:p>
          <w:p>
            <w:pPr/>
            <w:r>
              <w:rPr/>
              <w:t xml:space="preserve">1)  3,508.514  Ha of forest has been brought under sustainable forest management with the approval of  Local Forest Management Plan for Okalum watershed. Furthermore,   more areas  will be brought under sustainable forest management upon the approval of the three remaining LFMPs.</w:t>
            </w:r>
          </w:p>
          <w:p>
            <w:pPr/>
            <w:r>
              <w:rPr/>
              <w:t xml:space="preserve">2)  252.77 Ha of forest has been brought under the sustainable forest management with the approval of  Community Forest Management Plans ( i. Rangzinkhuenphen CF 205.8 Ha ii. Tashithongmen now renamed as Tashithubar  CF 46.97 Ha)</w:t>
            </w:r>
          </w:p>
          <w:p>
            <w:pPr/>
            <w:r>
              <w:rPr/>
              <w:t xml:space="preserve">3)  SMART monitoring conducted for the 4 watersheds viz:</w:t>
            </w:r>
          </w:p>
          <w:p>
            <w:pPr/>
            <w:r>
              <w:rPr/>
              <w:t xml:space="preserve">i. Okalum(Punakha District)</w:t>
            </w:r>
          </w:p>
          <w:p>
            <w:pPr/>
            <w:r>
              <w:rPr/>
              <w:t xml:space="preserve">ii. Kuchi (Tsirang District)</w:t>
            </w:r>
          </w:p>
          <w:p>
            <w:pPr/>
            <w:r>
              <w:rPr/>
              <w:t xml:space="preserve">iii. Chedachu  (Tsirang District)</w:t>
            </w:r>
          </w:p>
          <w:p>
            <w:pPr/>
            <w:r>
              <w:rPr/>
              <w:t xml:space="preserve">iv. Shingtalum (Gasa District)</w:t>
            </w:r>
          </w:p>
          <w:p>
            <w:pPr/>
            <w:r>
              <w:rPr/>
              <w:t xml:space="preserve"/>
            </w:r>
          </w:p>
          <w:p>
            <w:pPr/>
            <w:r>
              <w:rPr/>
              <w:t xml:space="preserve">Forest resources have been effectively safeguarded and managed through a suite of strategic actions including SMART (Spatial monitoring and reporting tool) patrolling, installation of informative signage, and solid waste management awareness campaigns in the three project sites. These initiatives enhance monitoring systems, encourage community participation, and foster long-term conservation outcomes. A dedicated forest cleaning campaign reinforced environmental stewardship and encouraged active engagement from local stakeholders. Additionally, plantation and nursery training programs were conducted to build local capacity in sustainable forest management and restoration efforts.</w:t>
            </w:r>
          </w:p>
          <w:p>
            <w:pPr/>
            <w:r>
              <w:rPr/>
              <w:t xml:space="preserve">Comprehensive plans including Local and Community Forest Management, Payment for Ecosystem Services, and Water Resource Assessments are underway to promote sustainable forest and water stewardship. These efforts build community ownership, enhance ecosystem health, and support long-term resilience. The implementation will commence upon   approval of the  plans and full impact will be realized over project duration and beyond since all LFMPS have 10 years of validity with annual monitoring, mid-term review during the 5th year and terminal evaluation in the 9th year. The plans for the other remaining sites  are  anticipated to be approved in August 2025 .</w:t>
            </w:r>
          </w:p>
          <w:p>
            <w:pPr/>
            <w:r>
              <w:rPr/>
              <w:t xml:space="preserve"/>
            </w:r>
          </w:p>
        </w:tc>
      </w:tr>
      <w:tr>
        <w:trPr/>
        <w:tc>
          <w:tcPr>
            <w:tcW w:w="4000" w:type="dxa"/>
            <w:gridSpan w:val="1"/>
            <w:noWrap/>
          </w:tcPr>
          <w:p>
            <w:pPr/>
            <w:r>
              <w:rPr/>
              <w:t xml:space="preserve">Outcome 2: Indicator 6: Number of watershed and local level climate-risk informed policies and strategies</w:t>
            </w:r>
          </w:p>
        </w:tc>
        <w:tc>
          <w:tcPr>
            <w:tcW w:w="2000" w:type="dxa"/>
            <w:gridSpan w:val="1"/>
            <w:noWrap/>
          </w:tcPr>
          <w:p>
            <w:pPr/>
            <w:r>
              <w:rPr/>
              <w:t xml:space="preserve">0</w:t>
            </w:r>
          </w:p>
        </w:tc>
        <w:tc>
          <w:tcPr>
            <w:tcW w:w="2000" w:type="dxa"/>
            <w:gridSpan w:val="1"/>
            <w:noWrap/>
          </w:tcPr>
          <w:p>
            <w:pPr/>
            <w:r>
              <w:rPr/>
              <w:t xml:space="preserve">6</w:t>
            </w:r>
          </w:p>
        </w:tc>
        <w:tc>
          <w:tcPr>
            <w:tcW w:w="2000" w:type="dxa"/>
            <w:gridSpan w:val="1"/>
            <w:noWrap/>
          </w:tcPr>
          <w:p>
            <w:pPr/>
            <w:r>
              <w:rPr/>
              <w:t xml:space="preserve">6</w:t>
            </w:r>
          </w:p>
        </w:tc>
        <w:tc>
          <w:tcPr>
            <w:tcW w:w="4000" w:type="dxa"/>
            <w:gridSpan w:val="1"/>
            <w:noWrap/>
          </w:tcPr>
          <w:p>
            <w:pPr/>
            <w:r>
              <w:rPr>
                <w:i w:val="1"/>
                <w:iCs w:val="1"/>
              </w:rPr>
              <w:t xml:space="preserve">(not set or not applicable)</w:t>
            </w:r>
          </w:p>
        </w:tc>
        <w:tc>
          <w:tcPr>
            <w:tcW w:w="4000" w:type="dxa"/>
            <w:gridSpan w:val="1"/>
            <w:noWrap/>
          </w:tcPr>
          <w:p>
            <w:pPr/>
            <w:r>
              <w:rPr/>
              <w:t xml:space="preserve">Three numbers of watershed and local level climate-risk informed strategies are approved as follows:</w:t>
            </w:r>
          </w:p>
          <w:p>
            <w:pPr/>
            <w:r>
              <w:rPr/>
              <w:t xml:space="preserve"/>
            </w:r>
          </w:p>
          <w:p>
            <w:pPr/>
            <w:r>
              <w:rPr/>
              <w:t xml:space="preserve">1) One number of Local Forest Management Plan for Okalum was prepared and approved by the Department of Forests and Park Services. The status of the remaining three LFMPs are as follows:</w:t>
            </w:r>
          </w:p>
          <w:p>
            <w:pPr/>
            <w:r>
              <w:rPr/>
              <w:t xml:space="preserve">i) Singtalum, the key watershed that supplies water to the  Gasa town, has been added to Khatoed Block’s Local Forest Management Plan (LFMP) after revision. The updated LFMP awaits Technical Advisory Committee  approval.</w:t>
            </w:r>
          </w:p>
          <w:p>
            <w:pPr/>
            <w:r>
              <w:rPr/>
              <w:t xml:space="preserve">ii) Pawkhola-Kuchi watershed, serving 5,000+ people, is now managed by the Kuchi-Thakorling community under a PES scheme. A forest and wildlife survey (Nov 2023) found rich biodiversity. The LFMP, developed after local consultations, awaits TAC approval by Dec 2025. The consultation meeting took place from 20th to 22nd October 2023, and a total of 78 households (52 male-headed and 26 female-headed) attended.</w:t>
            </w:r>
          </w:p>
          <w:p>
            <w:pPr/>
            <w:r>
              <w:rPr/>
              <w:t xml:space="preserve">iii) The Sergithang LFMA covering Laraychu, Bulkey, and Chedachu watersheds provide water and other resources to five village: Tashithang, Sergithang Toed, Sergithang Maed, Norboogang, and Samdenjong. The  awareness and consultation meetings were organized to develop the LFMP in the watershed areas from 18th to 20th October 2023 and were attended by 97 households (57 male-headed and 20 female-headed).The LFMP, developed after local consultations, awaits TAC approval.</w:t>
            </w:r>
          </w:p>
          <w:p>
            <w:pPr/>
            <w:r>
              <w:rPr/>
              <w:t xml:space="preserve">2)  Two  Community Forest Management Plans approved.</w:t>
            </w:r>
          </w:p>
          <w:p>
            <w:pPr/>
            <w:r>
              <w:rPr/>
              <w:t xml:space="preserve">The assessment and revision of the Rangzhin Kuenphen Community Forest (CF) and Tashi Thogmen CF in Singtalum, Gasa have been completed and approved by the Department. The management plans are now being used in the field. In addition, the management plans for Jigme Dorji Kuenphen, Yamani, and Geondrab Chithuen CFs were also revised and are now being put into action in the field.</w:t>
            </w:r>
          </w:p>
          <w:p>
            <w:pPr/>
            <w:r>
              <w:rPr/>
              <w:t xml:space="preserve"/>
            </w:r>
          </w:p>
        </w:tc>
      </w:tr>
      <w:tr>
        <w:trPr/>
        <w:tc>
          <w:tcPr>
            <w:tcW w:w="4000" w:type="dxa"/>
            <w:gridSpan w:val="1"/>
            <w:noWrap/>
          </w:tcPr>
          <w:p>
            <w:pPr/>
            <w:r>
              <w:rPr/>
              <w:t xml:space="preserve">Outocme2: Indicator 7: Hectares of agricultural land under climate-resilient practices</w:t>
            </w:r>
          </w:p>
        </w:tc>
        <w:tc>
          <w:tcPr>
            <w:tcW w:w="2000" w:type="dxa"/>
            <w:gridSpan w:val="1"/>
            <w:noWrap/>
          </w:tcPr>
          <w:p>
            <w:pPr/>
            <w:r>
              <w:rPr/>
              <w:t xml:space="preserve">8 = 0</w:t>
            </w:r>
          </w:p>
        </w:tc>
        <w:tc>
          <w:tcPr>
            <w:tcW w:w="2000" w:type="dxa"/>
            <w:gridSpan w:val="1"/>
            <w:noWrap/>
          </w:tcPr>
          <w:p>
            <w:pPr/>
            <w:r>
              <w:rPr/>
              <w:t xml:space="preserve">8 = 1,357 Ha</w:t>
            </w:r>
          </w:p>
        </w:tc>
        <w:tc>
          <w:tcPr>
            <w:tcW w:w="2000" w:type="dxa"/>
            <w:gridSpan w:val="1"/>
            <w:noWrap/>
          </w:tcPr>
          <w:p>
            <w:pPr/>
            <w:r>
              <w:rPr/>
              <w:t xml:space="preserve">8 = 3,392 Ha</w:t>
            </w:r>
          </w:p>
        </w:tc>
        <w:tc>
          <w:tcPr>
            <w:tcW w:w="4000" w:type="dxa"/>
            <w:gridSpan w:val="1"/>
            <w:noWrap/>
          </w:tcPr>
          <w:p>
            <w:pPr/>
            <w:r>
              <w:rPr>
                <w:i w:val="1"/>
                <w:iCs w:val="1"/>
              </w:rPr>
              <w:t xml:space="preserve">(not set or not applicable)</w:t>
            </w:r>
          </w:p>
        </w:tc>
        <w:tc>
          <w:tcPr>
            <w:tcW w:w="4000" w:type="dxa"/>
            <w:gridSpan w:val="1"/>
            <w:noWrap/>
          </w:tcPr>
          <w:p>
            <w:pPr/>
            <w:r>
              <w:rPr/>
              <w:t xml:space="preserve">664.73 Ha of agricultural land under climate-resilient practices:</w:t>
            </w:r>
          </w:p>
          <w:p>
            <w:pPr/>
            <w:r>
              <w:rPr/>
              <w:t xml:space="preserve"/>
            </w:r>
          </w:p>
          <w:p>
            <w:pPr/>
            <w:r>
              <w:rPr/>
              <w:t xml:space="preserve">i. 651.28.Ha(1,743 HH) under sprinkler irrigation system and mulching.</w:t>
            </w:r>
          </w:p>
          <w:p>
            <w:pPr/>
            <w:r>
              <w:rPr/>
              <w:t xml:space="preserve">ii. 5.46 Ha (17 Hh) planted with grass slip hedgerows.</w:t>
            </w:r>
          </w:p>
          <w:p>
            <w:pPr/>
            <w:r>
              <w:rPr/>
              <w:t xml:space="preserve">iii. 7.99 Ha (38 HH) of farmland on slope land terraced.</w:t>
            </w:r>
          </w:p>
          <w:p>
            <w:pPr/>
            <w:r>
              <w:rPr/>
              <w:t xml:space="preserve">Climate smart agricultural practices such as sprinkler irrigation, terracing, mulching and hedgerow plantation have been implemented at the project site as a strategy for adapting to climate change while promoting sustainable agriculture. Furthermore, training programs on Sustainable Land Management (SLM) technologies and plastic mulching were conducted in Sergithang and Patshaling Gewogs. 198 farmers participated, gaining knowledge in soil conservation, moisture retention, and efficient use of mulching plastics.</w:t>
            </w:r>
          </w:p>
          <w:p>
            <w:pPr/>
            <w:r>
              <w:rPr/>
              <w:t xml:space="preserve"/>
            </w:r>
          </w:p>
        </w:tc>
      </w:tr>
      <w:tr>
        <w:trPr/>
        <w:tc>
          <w:tcPr>
            <w:tcW w:w="4000" w:type="dxa"/>
            <w:gridSpan w:val="1"/>
            <w:noWrap/>
          </w:tcPr>
          <w:p>
            <w:pPr/>
            <w:r>
              <w:rPr>
                <w:b w:val="1"/>
                <w:bCs w:val="1"/>
              </w:rPr>
              <w:t xml:space="preserve">The progress of the objective/outcome can be described as:</w:t>
            </w:r>
          </w:p>
        </w:tc>
        <w:tc>
          <w:tcPr>
            <w:tcW w:w="12000" w:type="dxa"/>
            <w:gridSpan w:val="5"/>
            <w:noWrap/>
          </w:tcPr>
          <w:p>
            <w:pPr/>
            <w:r>
              <w:rPr>
                <w:b w:val="1"/>
                <w:bCs w:val="1"/>
              </w:rPr>
              <w:t xml:space="preserve">On track</w:t>
            </w:r>
          </w:p>
        </w:tc>
      </w:tr>
      <w:tr>
        <w:trPr/>
        <w:tc>
          <w:tcPr>
            <w:tcW w:w="4000" w:type="dxa"/>
            <w:gridSpan w:val="1"/>
            <w:noWrap/>
          </w:tcPr>
          <w:p>
            <w:pPr/>
            <w:r>
              <w:rPr>
                <w:b w:val="1"/>
                <w:bCs w:val="1"/>
              </w:rPr>
              <w:t xml:space="preserve">Evidence uploaded:</w:t>
            </w:r>
          </w:p>
        </w:tc>
        <w:tc>
          <w:tcPr>
            <w:tcW w:w="12000" w:type="dxa"/>
            <w:gridSpan w:val="5"/>
            <w:noWrap/>
          </w:tcPr>
          <w:p>
            <w:pPr/>
            <w:r>
              <w:rPr/>
              <w:t xml:space="preserve">YES</w:t>
            </w:r>
          </w:p>
        </w:tc>
      </w:tr>
      <w:tr>
        <w:trPr/>
        <w:tc>
          <w:tcPr>
            <w:tcW w:w="16000" w:type="dxa"/>
            <w:shd w:val="clear" w:fill="#D9D9D9"/>
            <w:gridSpan w:val="7"/>
            <w:noWrap/>
          </w:tcPr>
          <w:p>
            <w:pPr/>
            <w:r>
              <w:rPr>
                <w:b w:val="1"/>
                <w:bCs w:val="1"/>
              </w:rPr>
              <w:t xml:space="preserve">Outcome 3</w:t>
            </w:r>
          </w:p>
          <w:p>
            <w:pPr/>
            <w:r>
              <w:rPr>
                <w:b w:val="1"/>
                <w:bCs w:val="1"/>
              </w:rPr>
              <w:t xml:space="preserve">Efficient, adequate, sustainable supply, distribution, and utilisation of water</w:t>
            </w:r>
          </w:p>
          <w:p>
            <w:pPr/>
            <w:r>
              <w:rPr>
                <w:b w:val="1"/>
                <w:bCs w:val="1"/>
              </w:rPr>
              <w:t xml:space="preserve">Outcome 3</w:t>
            </w:r>
          </w:p>
          <w:p>
            <w:pPr/>
            <w:r>
              <w:rPr>
                <w:b w:val="1"/>
                <w:bCs w:val="1"/>
              </w:rPr>
              <w:t xml:space="preserve">Enhanced adaptive capacity of water infrastructure to climate-induced water shortages and quality deterioration through climate-proofing, private sector engagement, and technology deployment</w:t>
            </w:r>
          </w:p>
          <w:p>
            <w:pPr/>
            <w:r>
              <w:rPr>
                <w:b w:val="1"/>
                <w:bCs w:val="1"/>
              </w:rPr>
              <w:t xml:space="preserve">Outputs to achieve Outcome 3</w:t>
            </w:r>
          </w:p>
          <w:p>
            <w:pPr/>
            <w:r>
              <w:rPr>
                <w:b w:val="1"/>
                <w:bCs w:val="1"/>
              </w:rPr>
              <w:t xml:space="preserve">3.1 Climate proofing measures implemented in multi-purpose storage, conveyance, and distribution network of domestic and irrigation water</w:t>
            </w:r>
          </w:p>
          <w:p>
            <w:pPr/>
            <w:r>
              <w:rPr>
                <w:b w:val="1"/>
                <w:bCs w:val="1"/>
              </w:rPr>
              <w:t xml:space="preserve">3.2 Efficient drought-resilient water management technology tested and upscaled through private sector (youth-based start-up enterprises)</w:t>
            </w:r>
          </w:p>
          <w:p>
            <w:pPr/>
            <w:r>
              <w:rPr>
                <w:b w:val="1"/>
                <w:bCs w:val="1"/>
              </w:rPr>
              <w:t xml:space="preserve"/>
            </w:r>
          </w:p>
        </w:tc>
      </w:tr>
      <w:tr>
        <w:trPr/>
        <w:tc>
          <w:tcPr>
            <w:tcW w:w="4000" w:type="dxa"/>
            <w:gridSpan w:val="1"/>
            <w:noWrap/>
          </w:tcPr>
          <w:p>
            <w:pPr/>
            <w:r>
              <w:rPr>
                <w:b w:val="1"/>
                <w:bCs w:val="1"/>
              </w:rPr>
              <w:t xml:space="preserve">Description of Indicator</w:t>
            </w:r>
          </w:p>
        </w:tc>
        <w:tc>
          <w:tcPr>
            <w:tcW w:w="2000" w:type="dxa"/>
            <w:gridSpan w:val="1"/>
            <w:noWrap/>
          </w:tcPr>
          <w:p>
            <w:pPr/>
            <w:r>
              <w:rPr>
                <w:b w:val="1"/>
                <w:bCs w:val="1"/>
              </w:rPr>
              <w:t xml:space="preserve">Baseline Level</w:t>
            </w:r>
          </w:p>
        </w:tc>
        <w:tc>
          <w:tcPr>
            <w:tcW w:w="2000" w:type="dxa"/>
            <w:gridSpan w:val="1"/>
            <w:noWrap/>
          </w:tcPr>
          <w:p>
            <w:pPr/>
            <w:r>
              <w:rPr>
                <w:b w:val="1"/>
                <w:bCs w:val="1"/>
              </w:rPr>
              <w:t xml:space="preserve">Midterm target level</w:t>
            </w:r>
          </w:p>
        </w:tc>
        <w:tc>
          <w:tcPr>
            <w:tcW w:w="2000" w:type="dxa"/>
            <w:gridSpan w:val="1"/>
            <w:noWrap/>
          </w:tcPr>
          <w:p>
            <w:pPr/>
            <w:r>
              <w:rPr>
                <w:b w:val="1"/>
                <w:bCs w:val="1"/>
              </w:rPr>
              <w:t xml:space="preserve">End of project target level</w:t>
            </w:r>
          </w:p>
        </w:tc>
        <w:tc>
          <w:tcPr>
            <w:tcW w:w="4000" w:type="dxa"/>
            <w:gridSpan w:val="1"/>
            <w:noWrap/>
          </w:tcPr>
          <w:p>
            <w:pPr/>
            <w:r>
              <w:rPr>
                <w:b w:val="1"/>
                <w:bCs w:val="1"/>
              </w:rPr>
              <w:t xml:space="preserve">Level at Jun 30, 2024</w:t>
            </w:r>
          </w:p>
        </w:tc>
        <w:tc>
          <w:tcPr>
            <w:tcW w:w="4000" w:type="dxa"/>
            <w:gridSpan w:val="1"/>
            <w:noWrap/>
          </w:tcPr>
          <w:p>
            <w:pPr/>
            <w:r>
              <w:rPr>
                <w:b w:val="1"/>
                <w:bCs w:val="1"/>
              </w:rPr>
              <w:t xml:space="preserve">Cumulative progress since project start as of Jun 30, 2025</w:t>
            </w:r>
          </w:p>
        </w:tc>
      </w:tr>
      <w:tr>
        <w:trPr/>
        <w:tc>
          <w:tcPr>
            <w:tcW w:w="4000" w:type="dxa"/>
            <w:gridSpan w:val="1"/>
            <w:noWrap/>
          </w:tcPr>
          <w:p>
            <w:pPr/>
            <w:r>
              <w:rPr/>
              <w:t xml:space="preserve">Outcome3: Indicator 8: Number of persons with assured access to irrigation and domestic water through climate-proofing and enhancement of water infrastructure</w:t>
            </w:r>
          </w:p>
        </w:tc>
        <w:tc>
          <w:tcPr>
            <w:tcW w:w="2000" w:type="dxa"/>
            <w:gridSpan w:val="1"/>
            <w:noWrap/>
          </w:tcPr>
          <w:p>
            <w:pPr/>
            <w:r>
              <w:rPr/>
              <w:t xml:space="preserve">0</w:t>
            </w:r>
          </w:p>
        </w:tc>
        <w:tc>
          <w:tcPr>
            <w:tcW w:w="2000" w:type="dxa"/>
            <w:gridSpan w:val="1"/>
            <w:noWrap/>
          </w:tcPr>
          <w:p>
            <w:pPr/>
            <w:r>
              <w:rPr/>
              <w:t xml:space="preserve">5,817 (2,824 females)</w:t>
            </w:r>
          </w:p>
        </w:tc>
        <w:tc>
          <w:tcPr>
            <w:tcW w:w="2000" w:type="dxa"/>
            <w:gridSpan w:val="1"/>
            <w:noWrap/>
          </w:tcPr>
          <w:p>
            <w:pPr/>
            <w:r>
              <w:rPr/>
              <w:t xml:space="preserve">9: 19,391 (9,413 females)</w:t>
            </w:r>
          </w:p>
          <w:p>
            <w:pPr/>
            <w:r>
              <w:rPr/>
              <w:t xml:space="preserve"/>
            </w:r>
          </w:p>
          <w:p>
            <w:pPr/>
            <w:r>
              <w:rPr/>
              <w:t xml:space="preserve"/>
            </w:r>
          </w:p>
        </w:tc>
        <w:tc>
          <w:tcPr>
            <w:tcW w:w="4000" w:type="dxa"/>
            <w:gridSpan w:val="1"/>
            <w:noWrap/>
          </w:tcPr>
          <w:p>
            <w:pPr/>
            <w:r>
              <w:rPr>
                <w:i w:val="1"/>
                <w:iCs w:val="1"/>
              </w:rPr>
              <w:t xml:space="preserve">(not set or not applicable)</w:t>
            </w:r>
          </w:p>
        </w:tc>
        <w:tc>
          <w:tcPr>
            <w:tcW w:w="4000" w:type="dxa"/>
            <w:gridSpan w:val="1"/>
            <w:noWrap/>
          </w:tcPr>
          <w:p>
            <w:pPr/>
            <w:r>
              <w:rPr/>
              <w:t xml:space="preserve">While no achievement has been recorded under this indicator to date, activities are on track and progressing towards its realization as follows:</w:t>
            </w:r>
          </w:p>
          <w:p>
            <w:pPr/>
            <w:r>
              <w:rPr/>
              <w:t xml:space="preserve">Four site specific targeted assessments conducted and ESMPs developed and implemented across project sites to ensure compliance with social, gender and environment safeguard requirements during project implementation.  The work for the four  water supply schemes  in Tsirang ( 2), Gsas (1) and Punakha (1) has been awarded to the contractors and there is notable physical progress.</w:t>
            </w:r>
          </w:p>
          <w:p>
            <w:pPr/>
            <w:r>
              <w:rPr/>
              <w:t xml:space="preserve">Comprehensive training on these safeguards including Grievance Redress Mechanism (GRM) processes was provided to all relevant stakeholders, reinforcing risk mitigation and compliance efforts. In support of infrastructure development, engineers underwent specialized training to deepen their technical exposure and apply their expertise throughout the construction process. While the full benefits of the project are anticipated to be realized upon completion, current efforts are laying a strong foundation for long-term impact and stakeholder value.</w:t>
            </w:r>
          </w:p>
          <w:p>
            <w:pPr/>
            <w:r>
              <w:rPr/>
              <w:t xml:space="preserve"/>
            </w:r>
          </w:p>
        </w:tc>
      </w:tr>
      <w:tr>
        <w:trPr/>
        <w:tc>
          <w:tcPr>
            <w:tcW w:w="4000" w:type="dxa"/>
            <w:gridSpan w:val="1"/>
            <w:noWrap/>
          </w:tcPr>
          <w:p>
            <w:pPr/>
            <w:r>
              <w:rPr/>
              <w:t xml:space="preserve">Outcome3: Indicator 9: water infrastructure more resilient to climate variability and change</w:t>
            </w:r>
          </w:p>
          <w:p>
            <w:pPr/>
            <w:r>
              <w:rPr/>
              <w:t xml:space="preserve">9a: Km of domestic and irrigation water transmission and distribution lines climate proofed and automated with IoT and ICT based technologies</w:t>
            </w:r>
          </w:p>
          <w:p>
            <w:pPr/>
            <w:r>
              <w:rPr/>
              <w:t xml:space="preserve">Cum. of domestic and irrigation water storage established</w:t>
            </w:r>
          </w:p>
          <w:p>
            <w:pPr/>
            <w:r>
              <w:rPr/>
              <w:t xml:space="preserve">9b: Cumecs of domestic and irrigation water storage established</w:t>
            </w:r>
          </w:p>
          <w:p>
            <w:pPr/>
            <w:r>
              <w:rPr/>
              <w:t xml:space="preserve"/>
            </w:r>
          </w:p>
        </w:tc>
        <w:tc>
          <w:tcPr>
            <w:tcW w:w="2000" w:type="dxa"/>
            <w:gridSpan w:val="1"/>
            <w:noWrap/>
          </w:tcPr>
          <w:p>
            <w:pPr/>
            <w:r>
              <w:rPr/>
              <w:t xml:space="preserve">9 a: = 0</w:t>
            </w:r>
          </w:p>
          <w:p>
            <w:pPr/>
            <w:r>
              <w:rPr/>
              <w:t xml:space="preserve"/>
            </w:r>
          </w:p>
          <w:p>
            <w:pPr/>
            <w:r>
              <w:rPr/>
              <w:t xml:space="preserve">9b: = 0</w:t>
            </w:r>
          </w:p>
          <w:p>
            <w:pPr/>
            <w:r>
              <w:rPr/>
              <w:t xml:space="preserve"/>
            </w:r>
          </w:p>
        </w:tc>
        <w:tc>
          <w:tcPr>
            <w:tcW w:w="2000" w:type="dxa"/>
            <w:gridSpan w:val="1"/>
            <w:noWrap/>
          </w:tcPr>
          <w:p>
            <w:pPr/>
            <w:r>
              <w:rPr/>
              <w:t xml:space="preserve">9a: = 55.6 km</w:t>
            </w:r>
          </w:p>
          <w:p>
            <w:pPr/>
            <w:r>
              <w:rPr/>
              <w:t xml:space="preserve"/>
            </w:r>
          </w:p>
          <w:p>
            <w:pPr/>
            <w:r>
              <w:rPr/>
              <w:t xml:space="preserve">9b: = 949.25 Cum</w:t>
            </w:r>
          </w:p>
          <w:p>
            <w:pPr/>
            <w:r>
              <w:rPr/>
              <w:t xml:space="preserve"/>
            </w:r>
          </w:p>
        </w:tc>
        <w:tc>
          <w:tcPr>
            <w:tcW w:w="2000" w:type="dxa"/>
            <w:gridSpan w:val="1"/>
            <w:noWrap/>
          </w:tcPr>
          <w:p>
            <w:pPr/>
            <w:r>
              <w:rPr/>
              <w:t xml:space="preserve">9a: = 74.14 Km</w:t>
            </w:r>
          </w:p>
          <w:p>
            <w:pPr/>
            <w:r>
              <w:rPr/>
              <w:t xml:space="preserve"/>
            </w:r>
          </w:p>
          <w:p>
            <w:pPr/>
            <w:r>
              <w:rPr/>
              <w:t xml:space="preserve">9b:  = 1,266 Cum</w:t>
            </w:r>
          </w:p>
          <w:p>
            <w:pPr/>
            <w:r>
              <w:rPr/>
              <w:t xml:space="preserve"/>
            </w:r>
          </w:p>
        </w:tc>
        <w:tc>
          <w:tcPr>
            <w:tcW w:w="4000" w:type="dxa"/>
            <w:gridSpan w:val="1"/>
            <w:noWrap/>
          </w:tcPr>
          <w:p>
            <w:pPr/>
            <w:r>
              <w:rPr>
                <w:i w:val="1"/>
                <w:iCs w:val="1"/>
              </w:rPr>
              <w:t xml:space="preserve">(not set or not applicable)</w:t>
            </w:r>
          </w:p>
        </w:tc>
        <w:tc>
          <w:tcPr>
            <w:tcW w:w="4000" w:type="dxa"/>
            <w:gridSpan w:val="1"/>
            <w:noWrap/>
          </w:tcPr>
          <w:p>
            <w:pPr/>
            <w:r>
              <w:rPr/>
              <w:t xml:space="preserve">A. 34.7 KM/74.14 KM</w:t>
            </w:r>
          </w:p>
          <w:p>
            <w:pPr/>
            <w:r>
              <w:rPr/>
              <w:t xml:space="preserve">Through the project  34.7   KM of  water transmission lines have been climate proofed:</w:t>
            </w:r>
          </w:p>
          <w:p>
            <w:pPr/>
            <w:r>
              <w:rPr/>
              <w:t xml:space="preserve">Punakha District-  12  KM</w:t>
            </w:r>
          </w:p>
          <w:p>
            <w:pPr/>
            <w:r>
              <w:rPr/>
              <w:t xml:space="preserve">Gasa District  0.37 KM -KM</w:t>
            </w:r>
          </w:p>
          <w:p>
            <w:pPr/>
            <w:r>
              <w:rPr/>
              <w:t xml:space="preserve">Tsirang District-   22.33 KM</w:t>
            </w:r>
          </w:p>
          <w:p>
            <w:pPr/>
            <w:r>
              <w:rPr/>
              <w:t xml:space="preserve"/>
            </w:r>
          </w:p>
          <w:p>
            <w:pPr/>
            <w:r>
              <w:rPr/>
              <w:t xml:space="preserve">b. 1050 cum/1266 cum</w:t>
            </w:r>
          </w:p>
          <w:p>
            <w:pPr/>
            <w:r>
              <w:rPr/>
              <w:t xml:space="preserve">The project has also constructed  1050 cum  of water storage in following districts  :</w:t>
            </w:r>
          </w:p>
          <w:p>
            <w:pPr/>
            <w:r>
              <w:rPr/>
              <w:t xml:space="preserve">Punakha District- 550 cubic meter (cum)</w:t>
            </w:r>
          </w:p>
          <w:p>
            <w:pPr/>
            <w:r>
              <w:rPr/>
              <w:t xml:space="preserve">Tsirang District- 500 cum</w:t>
            </w:r>
          </w:p>
          <w:p>
            <w:pPr/>
            <w:r>
              <w:rPr/>
              <w:t xml:space="preserve"/>
            </w:r>
          </w:p>
          <w:p>
            <w:pPr/>
            <w:r>
              <w:rPr/>
              <w:t xml:space="preserve">Further to this, the Environmental and Social Management Plan (ESMP) has been developed to guide project implementation. Safeguards training including GRM processes has been provided to all relevant stakeholders to ensure compliance and risk mitigation during the project implementation phase. The contract was awarded through a transparent procurement process in line with established procedures. All the works have been awarded and the project physical and financial progress are on track, however, the benefits to the people cannot be determined at this point as the infrastructure is in the construction phase.</w:t>
            </w:r>
          </w:p>
          <w:p>
            <w:pPr/>
            <w:r>
              <w:rPr/>
              <w:t xml:space="preserve"/>
            </w:r>
          </w:p>
        </w:tc>
      </w:tr>
      <w:tr>
        <w:trPr/>
        <w:tc>
          <w:tcPr>
            <w:tcW w:w="4000" w:type="dxa"/>
            <w:gridSpan w:val="1"/>
            <w:noWrap/>
          </w:tcPr>
          <w:p>
            <w:pPr/>
            <w:r>
              <w:rPr>
                <w:b w:val="1"/>
                <w:bCs w:val="1"/>
              </w:rPr>
              <w:t xml:space="preserve">The progress of the objective/outcome can be described as:</w:t>
            </w:r>
          </w:p>
        </w:tc>
        <w:tc>
          <w:tcPr>
            <w:tcW w:w="12000" w:type="dxa"/>
            <w:gridSpan w:val="5"/>
            <w:noWrap/>
          </w:tcPr>
          <w:p>
            <w:pPr/>
            <w:r>
              <w:rPr>
                <w:b w:val="1"/>
                <w:bCs w:val="1"/>
              </w:rPr>
              <w:t xml:space="preserve">On track</w:t>
            </w:r>
          </w:p>
        </w:tc>
      </w:tr>
      <w:tr>
        <w:trPr/>
        <w:tc>
          <w:tcPr>
            <w:tcW w:w="4000" w:type="dxa"/>
            <w:gridSpan w:val="1"/>
            <w:noWrap/>
          </w:tcPr>
          <w:p>
            <w:pPr/>
            <w:r>
              <w:rPr>
                <w:b w:val="1"/>
                <w:bCs w:val="1"/>
              </w:rPr>
              <w:t xml:space="preserve">Evidence uploaded:</w:t>
            </w:r>
          </w:p>
        </w:tc>
        <w:tc>
          <w:tcPr>
            <w:tcW w:w="12000" w:type="dxa"/>
            <w:gridSpan w:val="5"/>
            <w:noWrap/>
          </w:tcPr>
          <w:p>
            <w:pPr/>
            <w:r>
              <w:rPr/>
              <w:t xml:space="preserve">YES</w:t>
            </w:r>
          </w:p>
        </w:tc>
      </w:tr>
      <w:tr>
        <w:trPr/>
        <w:tc>
          <w:tcPr>
            <w:tcW w:w="16000" w:type="dxa"/>
            <w:shd w:val="clear" w:fill="#D9D9D9"/>
            <w:gridSpan w:val="7"/>
            <w:noWrap/>
          </w:tcPr>
          <w:p>
            <w:pPr/>
            <w:r>
              <w:rPr>
                <w:b w:val="1"/>
                <w:bCs w:val="1"/>
              </w:rPr>
              <w:t xml:space="preserve">Outcome 4</w:t>
            </w:r>
          </w:p>
          <w:p>
            <w:pPr/>
            <w:r>
              <w:rPr>
                <w:b w:val="1"/>
                <w:bCs w:val="1"/>
              </w:rPr>
              <w:t xml:space="preserve">Knowledge management</w:t>
            </w:r>
          </w:p>
          <w:p>
            <w:pPr/>
            <w:r>
              <w:rPr>
                <w:b w:val="1"/>
                <w:bCs w:val="1"/>
              </w:rPr>
              <w:t xml:space="preserve">Outcome 4</w:t>
            </w:r>
          </w:p>
          <w:p>
            <w:pPr/>
            <w:r>
              <w:rPr>
                <w:b w:val="1"/>
                <w:bCs w:val="1"/>
              </w:rPr>
              <w:t xml:space="preserve">Strengthened awareness and knowledge sharing mechanism established</w:t>
            </w:r>
          </w:p>
          <w:p>
            <w:pPr/>
            <w:r>
              <w:rPr>
                <w:b w:val="1"/>
                <w:bCs w:val="1"/>
              </w:rPr>
              <w:t xml:space="preserve">Outputs to achieve Outcome 4</w:t>
            </w:r>
          </w:p>
          <w:p>
            <w:pPr/>
            <w:r>
              <w:rPr>
                <w:b w:val="1"/>
                <w:bCs w:val="1"/>
              </w:rPr>
              <w:t xml:space="preserve">4.1 Communication strategy developed and implemented on water conservation and sustainable management developed and implemented</w:t>
            </w:r>
          </w:p>
          <w:p>
            <w:pPr/>
            <w:r>
              <w:rPr>
                <w:b w:val="1"/>
                <w:bCs w:val="1"/>
              </w:rPr>
              <w:t xml:space="preserve">4.2 Publication of a State of the Basin Report (SOBR) for the Punatsangchu River Basin institutionalised</w:t>
            </w:r>
          </w:p>
          <w:p>
            <w:pPr/>
            <w:r>
              <w:rPr>
                <w:b w:val="1"/>
                <w:bCs w:val="1"/>
              </w:rPr>
              <w:t xml:space="preserve"/>
            </w:r>
          </w:p>
        </w:tc>
      </w:tr>
      <w:tr>
        <w:trPr/>
        <w:tc>
          <w:tcPr>
            <w:tcW w:w="4000" w:type="dxa"/>
            <w:gridSpan w:val="1"/>
            <w:noWrap/>
          </w:tcPr>
          <w:p>
            <w:pPr/>
            <w:r>
              <w:rPr>
                <w:b w:val="1"/>
                <w:bCs w:val="1"/>
              </w:rPr>
              <w:t xml:space="preserve">Description of Indicator</w:t>
            </w:r>
          </w:p>
        </w:tc>
        <w:tc>
          <w:tcPr>
            <w:tcW w:w="2000" w:type="dxa"/>
            <w:gridSpan w:val="1"/>
            <w:noWrap/>
          </w:tcPr>
          <w:p>
            <w:pPr/>
            <w:r>
              <w:rPr>
                <w:b w:val="1"/>
                <w:bCs w:val="1"/>
              </w:rPr>
              <w:t xml:space="preserve">Baseline Level</w:t>
            </w:r>
          </w:p>
        </w:tc>
        <w:tc>
          <w:tcPr>
            <w:tcW w:w="2000" w:type="dxa"/>
            <w:gridSpan w:val="1"/>
            <w:noWrap/>
          </w:tcPr>
          <w:p>
            <w:pPr/>
            <w:r>
              <w:rPr>
                <w:b w:val="1"/>
                <w:bCs w:val="1"/>
              </w:rPr>
              <w:t xml:space="preserve">Midterm target level</w:t>
            </w:r>
          </w:p>
        </w:tc>
        <w:tc>
          <w:tcPr>
            <w:tcW w:w="2000" w:type="dxa"/>
            <w:gridSpan w:val="1"/>
            <w:noWrap/>
          </w:tcPr>
          <w:p>
            <w:pPr/>
            <w:r>
              <w:rPr>
                <w:b w:val="1"/>
                <w:bCs w:val="1"/>
              </w:rPr>
              <w:t xml:space="preserve">End of project target level</w:t>
            </w:r>
          </w:p>
        </w:tc>
        <w:tc>
          <w:tcPr>
            <w:tcW w:w="4000" w:type="dxa"/>
            <w:gridSpan w:val="1"/>
            <w:noWrap/>
          </w:tcPr>
          <w:p>
            <w:pPr/>
            <w:r>
              <w:rPr>
                <w:b w:val="1"/>
                <w:bCs w:val="1"/>
              </w:rPr>
              <w:t xml:space="preserve">Level at Jun 30, 2024</w:t>
            </w:r>
          </w:p>
        </w:tc>
        <w:tc>
          <w:tcPr>
            <w:tcW w:w="4000" w:type="dxa"/>
            <w:gridSpan w:val="1"/>
            <w:noWrap/>
          </w:tcPr>
          <w:p>
            <w:pPr/>
            <w:r>
              <w:rPr>
                <w:b w:val="1"/>
                <w:bCs w:val="1"/>
              </w:rPr>
              <w:t xml:space="preserve">Cumulative progress since project start as of Jun 30, 2025</w:t>
            </w:r>
          </w:p>
        </w:tc>
      </w:tr>
      <w:tr>
        <w:trPr/>
        <w:tc>
          <w:tcPr>
            <w:tcW w:w="4000" w:type="dxa"/>
            <w:gridSpan w:val="1"/>
            <w:noWrap/>
          </w:tcPr>
          <w:p>
            <w:pPr/>
            <w:r>
              <w:rPr/>
              <w:t xml:space="preserve">Outcome4: Indicator 10: Number of knowledge products generated and disseminated</w:t>
            </w:r>
          </w:p>
        </w:tc>
        <w:tc>
          <w:tcPr>
            <w:tcW w:w="2000" w:type="dxa"/>
            <w:gridSpan w:val="1"/>
            <w:noWrap/>
          </w:tcPr>
          <w:p>
            <w:pPr/>
            <w:r>
              <w:rPr/>
              <w:t xml:space="preserve">0</w:t>
            </w:r>
          </w:p>
        </w:tc>
        <w:tc>
          <w:tcPr>
            <w:tcW w:w="2000" w:type="dxa"/>
            <w:gridSpan w:val="1"/>
            <w:noWrap/>
          </w:tcPr>
          <w:p>
            <w:pPr/>
            <w:r>
              <w:rPr/>
              <w:t xml:space="preserve">8</w:t>
            </w:r>
          </w:p>
        </w:tc>
        <w:tc>
          <w:tcPr>
            <w:tcW w:w="2000" w:type="dxa"/>
            <w:gridSpan w:val="1"/>
            <w:noWrap/>
          </w:tcPr>
          <w:p>
            <w:pPr/>
            <w:r>
              <w:rPr/>
              <w:t xml:space="preserve">16</w:t>
            </w:r>
          </w:p>
        </w:tc>
        <w:tc>
          <w:tcPr>
            <w:tcW w:w="4000" w:type="dxa"/>
            <w:gridSpan w:val="1"/>
            <w:noWrap/>
          </w:tcPr>
          <w:p>
            <w:pPr/>
            <w:r>
              <w:rPr>
                <w:i w:val="1"/>
                <w:iCs w:val="1"/>
              </w:rPr>
              <w:t xml:space="preserve">(not set or not applicable)</w:t>
            </w:r>
          </w:p>
        </w:tc>
        <w:tc>
          <w:tcPr>
            <w:tcW w:w="4000" w:type="dxa"/>
            <w:gridSpan w:val="1"/>
            <w:noWrap/>
          </w:tcPr>
          <w:p>
            <w:pPr/>
            <w:r>
              <w:rPr/>
              <w:t xml:space="preserve">Six numbers of knowledge product generated as follows:</w:t>
            </w:r>
          </w:p>
          <w:p>
            <w:pPr/>
            <w:r>
              <w:rPr/>
              <w:t xml:space="preserve">1) Water resource management curriculum</w:t>
            </w:r>
          </w:p>
          <w:p>
            <w:pPr/>
            <w:r>
              <w:rPr/>
              <w:t xml:space="preserve">Curriculum Enhancement: IWRM elevated to a core module in College of Science and Technology (CST)'s B.E. Water Resources Engineering programme following review and stakeholder consultation.</w:t>
            </w:r>
          </w:p>
          <w:p>
            <w:pPr/>
            <w:r>
              <w:rPr/>
              <w:t xml:space="preserve">The Department of Water assisted CST with procurement of books, equipment, and also training for CST and  College of Natural Resource (CNR)  through the project.</w:t>
            </w:r>
          </w:p>
          <w:p>
            <w:pPr/>
            <w:r>
              <w:rPr/>
              <w:t xml:space="preserve">The capacity building activities conducted as follows:</w:t>
            </w:r>
          </w:p>
          <w:p>
            <w:pPr/>
            <w:r>
              <w:rPr/>
              <w:t xml:space="preserve">a) 22-24 Feb 2025: CST faculty participated in the Paro Water Forum themed on Water Management &amp; Climate Change (JSW Law College).</w:t>
            </w:r>
          </w:p>
          <w:p>
            <w:pPr/>
            <w:r>
              <w:rPr/>
              <w:t xml:space="preserve">b) 3-5 Mar 2025: CST &amp; CNR faculty received in-country training on River Modelling and Hydrological Estimation.</w:t>
            </w:r>
          </w:p>
          <w:p>
            <w:pPr/>
            <w:r>
              <w:rPr/>
              <w:t xml:space="preserve">c) 17-28 Mar 2025: Hybrid ex-country training on Nature-based Solutions for Climate Resilience (Thailand).</w:t>
            </w:r>
          </w:p>
          <w:p>
            <w:pPr/>
            <w:r>
              <w:rPr/>
              <w:t xml:space="preserve">d) 3rd May 2025 : CST students toured the Gyalsung Jamtsholing project site (Samtse) for hands-on learning.</w:t>
            </w:r>
          </w:p>
          <w:p>
            <w:pPr/>
            <w:r>
              <w:rPr/>
              <w:t xml:space="preserve">e) 17-18, 2025: In-house training on hydrological estimation and river modelling using QGIS and HEC RAS for 2nd-year students of BE Water Resources Engineering.</w:t>
            </w:r>
          </w:p>
          <w:p>
            <w:pPr/>
            <w:r>
              <w:rPr/>
              <w:t xml:space="preserve">f) 18-20 Jun 2025: In-country training on Effective Irrigation Management in Bhutan.</w:t>
            </w:r>
          </w:p>
          <w:p>
            <w:pPr/>
            <w:r>
              <w:rPr/>
              <w:t xml:space="preserve">2) Four participatory water resources assessments in the three districts (Gasa, Tsirang and Punakha).</w:t>
            </w:r>
          </w:p>
          <w:p>
            <w:pPr/>
            <w:r>
              <w:rPr/>
              <w:t xml:space="preserve">Four participatory water resource assessment for the 4 watersheds, viz., the Shingtalum watershed in Gasa, the Okalum watershed in Punakha, the Laraychu watershed and the Kuchikhola watershed in Tsirang  has been completed to evaluate its health  using the Watershed Assessment and Classification Guideline 2016.</w:t>
            </w:r>
          </w:p>
          <w:p>
            <w:pPr/>
            <w:r>
              <w:rPr/>
              <w:t xml:space="preserve">3) Policy feedback for institution of local utility services providers generated</w:t>
            </w:r>
          </w:p>
          <w:p>
            <w:pPr/>
            <w:r>
              <w:rPr/>
              <w:t xml:space="preserve">An assessment and PPP Business case study was carried out to study the introduction of tariffs for domestic and irrigation water in Gasa and Lobsesa towns. The following was recommended as per the assessment:</w:t>
            </w:r>
          </w:p>
          <w:p>
            <w:pPr/>
            <w:r>
              <w:rPr/>
              <w:t xml:space="preserve">Gasa: High tariffs and low private sector profitability suggest District administration-led service is more viable.</w:t>
            </w:r>
          </w:p>
          <w:p>
            <w:pPr/>
            <w:r>
              <w:rPr/>
              <w:t xml:space="preserve">Lobeysa: Service provision may proceed via District administration or PPP models.</w:t>
            </w:r>
          </w:p>
          <w:p>
            <w:pPr/>
            <w:r>
              <w:rPr/>
              <w:t xml:space="preserve">However the project has initiated the  development of other knowledge products such as the State of the Basin Report for  Punatshangchu where  inception workshops have been already conducted.  The baseline  report  is also ongoing  and will be completed this year.</w:t>
            </w:r>
          </w:p>
          <w:p>
            <w:pPr/>
            <w:r>
              <w:rPr/>
              <w:t xml:space="preserve"/>
            </w:r>
          </w:p>
        </w:tc>
      </w:tr>
      <w:tr>
        <w:trPr/>
        <w:tc>
          <w:tcPr>
            <w:tcW w:w="4000" w:type="dxa"/>
            <w:gridSpan w:val="1"/>
            <w:noWrap/>
          </w:tcPr>
          <w:p>
            <w:pPr/>
            <w:r>
              <w:rPr>
                <w:b w:val="1"/>
                <w:bCs w:val="1"/>
              </w:rPr>
              <w:t xml:space="preserve">The progress of the objective/outcome can be described as:</w:t>
            </w:r>
          </w:p>
        </w:tc>
        <w:tc>
          <w:tcPr>
            <w:tcW w:w="12000" w:type="dxa"/>
            <w:gridSpan w:val="5"/>
            <w:noWrap/>
          </w:tcPr>
          <w:p>
            <w:pPr/>
            <w:r>
              <w:rPr>
                <w:b w:val="1"/>
                <w:bCs w:val="1"/>
              </w:rPr>
              <w:t xml:space="preserve">On track</w:t>
            </w:r>
          </w:p>
        </w:tc>
      </w:tr>
      <w:tr>
        <w:trPr/>
        <w:tc>
          <w:tcPr>
            <w:tcW w:w="4000" w:type="dxa"/>
            <w:gridSpan w:val="1"/>
            <w:noWrap/>
          </w:tcPr>
          <w:p>
            <w:pPr/>
            <w:r>
              <w:rPr>
                <w:b w:val="1"/>
                <w:bCs w:val="1"/>
              </w:rPr>
              <w:t xml:space="preserve">Evidence uploaded:</w:t>
            </w:r>
          </w:p>
        </w:tc>
        <w:tc>
          <w:tcPr>
            <w:tcW w:w="12000" w:type="dxa"/>
            <w:gridSpan w:val="5"/>
            <w:noWrap/>
          </w:tcPr>
          <w:p>
            <w:pPr/>
            <w:r>
              <w:rPr/>
              <w:t xml:space="preserve">YES</w:t>
            </w:r>
          </w:p>
        </w:tc>
      </w:tr>
    </w:tbl>
    <w:p>
      <w:pPr>
        <w:sectPr>
          <w:pgSz w:orient="landscape" w:w="16837.79527559055" w:h="11905.511811023622"/>
          <w:pgMar w:top="500" w:right="500" w:bottom="500" w:left="500" w:header="720" w:footer="720" w:gutter="0"/>
          <w:cols w:num="1" w:space="720"/>
        </w:sectPr>
      </w:pPr>
    </w:p>
    <w:p>
      <w:pPr>
        <w:pStyle w:val="Heading1"/>
      </w:pPr>
      <w:bookmarkStart w:id="4" w:name="_Toc4"/>
      <w:r>
        <w:t>Finance/Co-Finance</w:t>
      </w:r>
      <w:bookmarkEnd w:id="4"/>
    </w:p>
    <w:tbl>
      <w:tblGrid>
        <w:gridCol w:w="5000" w:type="dxa"/>
        <w:gridCol w:w="5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5000" w:type="dxa"/>
            <w:vAlign w:val="center"/>
            <w:noWrap/>
          </w:tcPr>
          <w:p>
            <w:pPr/>
            <w:r>
              <w:rPr/>
              <w:t xml:space="preserve">Cumulative disbursement as of Jun 30, 2025:</w:t>
            </w:r>
          </w:p>
          <w:p>
            <w:pPr/>
            <w:r>
              <w:rPr>
                <w:i w:val="1"/>
                <w:iCs w:val="1"/>
              </w:rPr>
              <w:t xml:space="preserve">
*Disbursement for the FY 2025 period is an estimate as books for UNDP Q2 2025 are not yet closed.</w:t>
            </w:r>
          </w:p>
        </w:tc>
        <w:tc>
          <w:tcPr>
            <w:tcW w:w="5000" w:type="dxa"/>
            <w:vAlign w:val="center"/>
            <w:gridSpan w:val="1"/>
            <w:noWrap/>
          </w:tcPr>
          <w:p>
            <w:pPr>
              <w:jc w:val="right"/>
            </w:pPr>
            <w:r>
              <w:rPr/>
              <w:t xml:space="preserve">5,392,135</w:t>
            </w:r>
          </w:p>
        </w:tc>
      </w:tr>
    </w:tbl>
    <w:p>
      <w:pPr>
        <w:pStyle w:val="Heading2"/>
      </w:pPr>
      <w:bookmarkStart w:id="5" w:name="_Toc5"/>
      <w:r>
        <w:t>Key Financing Amounts</w:t>
      </w:r>
      <w:bookmarkEnd w:id="5"/>
    </w:p>
    <w:tbl>
      <w:tblGrid>
        <w:gridCol w:w="5000" w:type="dxa"/>
        <w:gridCol w:w="5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5000" w:type="dxa"/>
            <w:gridSpan w:val="1"/>
            <w:noWrap/>
          </w:tcPr>
          <w:p>
            <w:pPr/>
            <w:r>
              <w:rPr/>
              <w:t xml:space="preserve">PPG Amount</w:t>
            </w:r>
          </w:p>
        </w:tc>
        <w:tc>
          <w:tcPr>
            <w:tcW w:w="5000" w:type="dxa"/>
            <w:vAlign w:val="center"/>
            <w:gridSpan w:val="1"/>
            <w:noWrap/>
          </w:tcPr>
          <w:p>
            <w:pPr>
              <w:jc w:val="right"/>
            </w:pPr>
            <w:r>
              <w:rPr/>
              <w:t xml:space="preserve">200,000</w:t>
            </w:r>
          </w:p>
        </w:tc>
      </w:tr>
      <w:tr>
        <w:trPr/>
        <w:tc>
          <w:tcPr>
            <w:tcW w:w="5000" w:type="dxa"/>
            <w:gridSpan w:val="1"/>
            <w:noWrap/>
          </w:tcPr>
          <w:p>
            <w:pPr/>
            <w:r>
              <w:rPr/>
              <w:t xml:space="preserve">GEF Grant Amount</w:t>
            </w:r>
          </w:p>
        </w:tc>
        <w:tc>
          <w:tcPr>
            <w:tcW w:w="5000" w:type="dxa"/>
            <w:vAlign w:val="center"/>
            <w:gridSpan w:val="1"/>
            <w:noWrap/>
          </w:tcPr>
          <w:p>
            <w:pPr>
              <w:jc w:val="right"/>
            </w:pPr>
            <w:r>
              <w:rPr/>
              <w:t xml:space="preserve">8,932,420</w:t>
            </w:r>
          </w:p>
        </w:tc>
      </w:tr>
      <w:tr>
        <w:trPr/>
        <w:tc>
          <w:tcPr>
            <w:tcW w:w="5000" w:type="dxa"/>
            <w:gridSpan w:val="1"/>
            <w:noWrap/>
          </w:tcPr>
          <w:p>
            <w:pPr/>
            <w:r>
              <w:rPr/>
              <w:t xml:space="preserve">Co-financing</w:t>
            </w:r>
          </w:p>
        </w:tc>
        <w:tc>
          <w:tcPr>
            <w:tcW w:w="5000" w:type="dxa"/>
            <w:vAlign w:val="center"/>
            <w:gridSpan w:val="1"/>
            <w:noWrap/>
          </w:tcPr>
          <w:p>
            <w:pPr>
              <w:jc w:val="right"/>
            </w:pPr>
            <w:r>
              <w:rPr/>
              <w:t xml:space="preserve">25,132,000</w:t>
            </w:r>
          </w:p>
        </w:tc>
      </w:tr>
    </w:tbl>
    <w:p>
      <w:pPr>
        <w:sectPr>
          <w:pgSz w:orient="portrait" w:w="11905.511811023622" w:h="16837.79527559055"/>
          <w:pgMar w:top="1440" w:right="1440" w:bottom="1440" w:left="1440" w:header="720" w:footer="720" w:gutter="0"/>
          <w:cols w:num="1" w:space="720"/>
        </w:sectPr>
      </w:pPr>
    </w:p>
    <w:p>
      <w:pPr>
        <w:pStyle w:val="Heading1"/>
      </w:pPr>
      <w:bookmarkStart w:id="6" w:name="_Toc6"/>
      <w:r>
        <w:t>Implementation Progress</w:t>
      </w:r>
      <w:bookmarkEnd w:id="6"/>
    </w:p>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Project Manager: Please provide comments on delays with outputs/activities during the period 1 July 2024 through 30 June 2025.  If there were no delays, please indicate 'not applicable'.</w:t>
            </w:r>
          </w:p>
        </w:tc>
      </w:tr>
      <w:tr>
        <w:trPr/>
        <w:tc>
          <w:tcPr>
            <w:tcW w:w="10000" w:type="dxa"/>
            <w:gridSpan w:val="1"/>
            <w:noWrap/>
          </w:tcPr>
          <w:p>
            <w:pPr/>
            <w:r>
              <w:rPr/>
              <w:t xml:space="preserve">Not applicable</w:t>
            </w:r>
          </w:p>
          <w:p>
            <w:pPr/>
            <w:r>
              <w:rPr/>
              <w:t xml:space="preserve"/>
            </w: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CO Programme Officer: Please include specific measures to manage the project's implementation performance</w:t>
            </w:r>
          </w:p>
          <w:p>
            <w:pPr/>
            <w:r>
              <w:rPr>
                <w:b w:val="1"/>
                <w:bCs w:val="1"/>
              </w:rPr>
              <w:t xml:space="preserve"/>
            </w:r>
          </w:p>
          <w:p>
            <w:pPr/>
            <w:r>
              <w:rPr>
                <w:b w:val="1"/>
                <w:bCs w:val="1"/>
              </w:rPr>
              <w:t xml:space="preserve"/>
            </w:r>
          </w:p>
        </w:tc>
      </w:tr>
      <w:tr>
        <w:trPr/>
        <w:tc>
          <w:tcPr>
            <w:tcW w:w="10000" w:type="dxa"/>
            <w:gridSpan w:val="1"/>
            <w:noWrap/>
          </w:tcPr>
          <w:p>
            <w:pPr/>
            <w:r>
              <w:rPr/>
              <w:t xml:space="preserve">This is the first PIR for ACREWAS  project and there is no IP rating for past year.</w:t>
            </w: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BPPS RTA: Please include specific measures to manage the project's implementation performance.</w:t>
            </w:r>
          </w:p>
        </w:tc>
      </w:tr>
      <w:tr>
        <w:trPr/>
        <w:tc>
          <w:tcPr>
            <w:tcW w:w="10000" w:type="dxa"/>
            <w:gridSpan w:val="1"/>
            <w:noWrap/>
          </w:tcPr>
          <w:p>
            <w:pPr/>
            <w:r>
              <w:rPr/>
              <w:t xml:space="preserve">The RTA is pleased with the implementation progress and encourages the PMU to maintain this momentum.</w:t>
            </w:r>
          </w:p>
        </w:tc>
      </w:tr>
    </w:tbl>
    <w:p>
      <w:pPr>
        <w:sectPr>
          <w:pgSz w:orient="portrait" w:w="11905.511811023622" w:h="16837.79527559055"/>
          <w:pgMar w:top="1440" w:right="1440" w:bottom="1440" w:left="1440" w:header="720" w:footer="720" w:gutter="0"/>
          <w:cols w:num="1" w:space="720"/>
        </w:sectPr>
      </w:pPr>
    </w:p>
    <w:p>
      <w:pPr>
        <w:pStyle w:val="Heading1"/>
      </w:pPr>
      <w:bookmarkStart w:id="7" w:name="_Toc7"/>
      <w:r>
        <w:t>Project Governance</w:t>
      </w:r>
      <w:bookmarkEnd w:id="7"/>
    </w:p>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1) Please enter the dates of Project Board meetings during the reporting period (1 July 2024 to 30 June 2025)</w:t>
            </w:r>
          </w:p>
        </w:tc>
      </w:tr>
      <w:tr>
        <w:trPr/>
        <w:tc>
          <w:tcPr>
            <w:tcW w:w="10000" w:type="dxa"/>
            <w:gridSpan w:val="1"/>
            <w:noWrap/>
          </w:tcPr>
          <w:p>
            <w:pPr/>
            <w:r>
              <w:rPr>
                <w:i w:val="1"/>
                <w:iCs w:val="1"/>
              </w:rPr>
              <w:t xml:space="preserve">(not set or not applicable)</w:t>
            </w:r>
          </w:p>
        </w:tc>
      </w:tr>
      <w:tr>
        <w:trPr/>
        <w:tc>
          <w:tcPr>
            <w:tcW w:w="10000" w:type="dxa"/>
            <w:gridSpan w:val="1"/>
            <w:noWrap/>
          </w:tcPr>
          <w:p>
            <w:pPr/>
            <w:r>
              <w:rPr/>
              <w:t xml:space="preserve">2024-02-28</w:t>
            </w:r>
          </w:p>
        </w:tc>
      </w:tr>
      <w:tr>
        <w:trPr/>
        <w:tc>
          <w:tcPr>
            <w:tcW w:w="10000" w:type="dxa"/>
            <w:gridSpan w:val="1"/>
            <w:noWrap/>
          </w:tcPr>
          <w:p>
            <w:pPr/>
            <w:r>
              <w:rPr/>
              <w:t xml:space="preserve">2024-11-28</w:t>
            </w:r>
          </w:p>
        </w:tc>
      </w:tr>
    </w:tbl>
    <w:p>
      <w:pPr>
        <w:sectPr>
          <w:pgSz w:orient="portrait" w:w="11905.511811023622" w:h="16837.79527559055"/>
          <w:pgMar w:top="1440" w:right="1440" w:bottom="1440" w:left="1440" w:header="720" w:footer="720" w:gutter="0"/>
          <w:cols w:num="1" w:space="720"/>
        </w:sectPr>
      </w:pPr>
    </w:p>
    <w:p>
      <w:pPr>
        <w:pStyle w:val="Heading1"/>
      </w:pPr>
      <w:bookmarkStart w:id="8" w:name="_Toc8"/>
      <w:r>
        <w:t>Ratings and Overall Assessments</w:t>
      </w:r>
      <w:bookmarkEnd w:id="8"/>
    </w:p>
    <w:tbl>
      <w:tblGrid>
        <w:gridCol w:w="5000" w:type="dxa"/>
        <w:gridCol w:w="5000" w:type="dxa"/>
        <w:gridCol w:w="5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5000" w:type="dxa"/>
            <w:gridSpan w:val="1"/>
            <w:noWrap/>
          </w:tcPr>
          <w:p>
            <w:pPr/>
            <w:r>
              <w:rPr>
                <w:b w:val="1"/>
                <w:bCs w:val="1"/>
              </w:rPr>
              <w:t xml:space="preserve">Role</w:t>
            </w:r>
          </w:p>
        </w:tc>
        <w:tc>
          <w:tcPr>
            <w:tcW w:w="5000" w:type="dxa"/>
            <w:gridSpan w:val="1"/>
            <w:noWrap/>
          </w:tcPr>
          <w:p>
            <w:pPr/>
            <w:r>
              <w:rPr>
                <w:b w:val="1"/>
                <w:bCs w:val="1"/>
              </w:rPr>
              <w:t xml:space="preserve">2025 Development Objective Progress Rating</w:t>
            </w:r>
          </w:p>
        </w:tc>
        <w:tc>
          <w:tcPr>
            <w:tcW w:w="5000" w:type="dxa"/>
            <w:gridSpan w:val="1"/>
            <w:noWrap/>
          </w:tcPr>
          <w:p>
            <w:pPr/>
            <w:r>
              <w:rPr>
                <w:b w:val="1"/>
                <w:bCs w:val="1"/>
              </w:rPr>
              <w:t xml:space="preserve">2025 Implementation Progress Rating</w:t>
            </w:r>
          </w:p>
        </w:tc>
      </w:tr>
      <w:tr>
        <w:trPr/>
        <w:tc>
          <w:tcPr>
            <w:tcW w:w="5000" w:type="dxa"/>
            <w:gridSpan w:val="1"/>
            <w:noWrap/>
          </w:tcPr>
          <w:p>
            <w:pPr/>
            <w:r>
              <w:rPr>
                <w:b w:val="1"/>
                <w:bCs w:val="1"/>
              </w:rPr>
              <w:t xml:space="preserve">UNDP BPPS Technical Advisor</w:t>
            </w:r>
          </w:p>
        </w:tc>
        <w:tc>
          <w:tcPr>
            <w:tcW w:w="5000" w:type="dxa"/>
            <w:gridSpan w:val="1"/>
            <w:noWrap/>
          </w:tcPr>
          <w:p>
            <w:pPr/>
            <w:r>
              <w:rPr/>
              <w:t xml:space="preserve">Satisfactory</w:t>
            </w:r>
          </w:p>
        </w:tc>
        <w:tc>
          <w:tcPr>
            <w:tcW w:w="5000" w:type="dxa"/>
            <w:gridSpan w:val="1"/>
            <w:noWrap/>
          </w:tcPr>
          <w:p>
            <w:pPr/>
            <w:r>
              <w:rPr/>
              <w:t xml:space="preserve">Highly Satisfactory</w:t>
            </w:r>
          </w:p>
        </w:tc>
      </w:tr>
    </w:tbl>
    <w:p>
      <w:pPr/>
      <w:r>
        <w:rPr/>
        <w:t xml:space="preserve"/>
      </w:r>
    </w:p>
    <w:tbl>
      <w:tblGrid>
        <w:gridCol w:w="5000" w:type="dxa"/>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5000" w:type="dxa"/>
            <w:gridSpan w:val="1"/>
            <w:noWrap/>
          </w:tcPr>
          <w:p>
            <w:pPr/>
            <w:r>
              <w:rPr>
                <w:b w:val="1"/>
                <w:bCs w:val="1"/>
              </w:rPr>
              <w:t xml:space="preserve">Role</w:t>
            </w:r>
          </w:p>
        </w:tc>
        <w:tc>
          <w:tcPr>
            <w:tcW w:w="10000" w:type="dxa"/>
            <w:gridSpan w:val="1"/>
            <w:noWrap/>
          </w:tcPr>
          <w:p>
            <w:pPr/>
            <w:r>
              <w:rPr>
                <w:b w:val="1"/>
                <w:bCs w:val="1"/>
              </w:rPr>
              <w:t xml:space="preserve">2025 Overall Assessment</w:t>
            </w:r>
          </w:p>
        </w:tc>
      </w:tr>
      <w:tr>
        <w:trPr/>
        <w:tc>
          <w:tcPr>
            <w:tcW w:w="5000" w:type="dxa"/>
            <w:gridSpan w:val="1"/>
            <w:noWrap/>
          </w:tcPr>
          <w:p>
            <w:pPr/>
            <w:r>
              <w:rPr>
                <w:b w:val="1"/>
                <w:bCs w:val="1"/>
              </w:rPr>
              <w:t xml:space="preserve">UNDP BPPS Technical Advisor</w:t>
            </w:r>
          </w:p>
        </w:tc>
        <w:tc>
          <w:tcPr>
            <w:tcW w:w="10000" w:type="dxa"/>
            <w:gridSpan w:val="1"/>
            <w:noWrap/>
          </w:tcPr>
          <w:p>
            <w:pPr/>
            <w:r>
              <w:rPr/>
              <w:t xml:space="preserve">INTRODUCTION</w:t>
            </w:r>
          </w:p>
          <w:p>
            <w:pPr/>
            <w:r>
              <w:rPr/>
              <w:t xml:space="preserve">The project “Advancing Climate Resilience of Water Sector in Bhutan (ACREWAS)” aims to enhance resilience and adaptation through integrated water resource management to secure freshwater system for economic well-being of the people of Bhutan.</w:t>
            </w:r>
          </w:p>
          <w:p>
            <w:pPr/>
            <w:r>
              <w:rPr/>
              <w:t xml:space="preserve"/>
            </w:r>
          </w:p>
          <w:p>
            <w:pPr/>
            <w:r>
              <w:rPr/>
              <w:t xml:space="preserve">This full-sized project, with a grant amount of USD 8,932,420 from the Least Developed Countries Fund, is implemented through the Direct Implementation Modality by the Ministry of Infrastructure and Transport of Bhutan (MoIT).</w:t>
            </w:r>
          </w:p>
          <w:p>
            <w:pPr/>
            <w:r>
              <w:rPr/>
              <w:t xml:space="preserve"/>
            </w:r>
          </w:p>
          <w:p>
            <w:pPr/>
            <w:r>
              <w:rPr/>
              <w:t xml:space="preserve">This project is structured around four key components: (1) Water governance and institutions, (2) Nature-based solutions for sustainable and climate-resilient watersheds, and livelihood enhancement, (3) Efficient, adequate, sustainable supply, distribution, and utilization of water, and (4) Knowledge management. This project is rated as moderate risk.</w:t>
            </w:r>
          </w:p>
          <w:p>
            <w:pPr/>
            <w:r>
              <w:rPr/>
              <w:t xml:space="preserve"/>
            </w:r>
          </w:p>
          <w:p>
            <w:pPr/>
            <w:r>
              <w:rPr/>
              <w:t xml:space="preserve">The project started in September 2023, with an inception held in the same month. The Mid-term review is expected in March 2026 and the project expected to be closed in June 2029.  This is the 1st PIR for the project.</w:t>
            </w:r>
          </w:p>
          <w:p>
            <w:pPr/>
            <w:r>
              <w:rPr/>
              <w:t xml:space="preserve"/>
            </w:r>
          </w:p>
          <w:p>
            <w:pPr/>
            <w:r>
              <w:rPr/>
              <w:t xml:space="preserve">The RTA would like to commend the GEF OFP contribution to this PIR by providing insightful perspectives and evaluation.</w:t>
            </w:r>
          </w:p>
          <w:p>
            <w:pPr/>
            <w:r>
              <w:rPr/>
              <w:t xml:space="preserve"/>
            </w:r>
          </w:p>
          <w:p>
            <w:pPr/>
            <w:r>
              <w:rPr/>
              <w:t xml:space="preserve">DEVELOPMENT OBJECTIVE PROGRESS</w:t>
            </w:r>
          </w:p>
          <w:p>
            <w:pPr/>
            <w:r>
              <w:rPr/>
              <w:t xml:space="preserve"/>
            </w:r>
          </w:p>
          <w:p>
            <w:pPr/>
            <w:r>
              <w:rPr/>
              <w:t xml:space="preserve">My rating for this project is Satisfactory (S) for the Development objective Progress (DO) and Highly Satisfactory (HS) for the Implementation Progress (IP). The project can be presented as ‘good practice’. This rating is based on the following observations:</w:t>
            </w:r>
          </w:p>
          <w:p>
            <w:pPr/>
            <w:r>
              <w:rPr/>
              <w:t xml:space="preserve"/>
            </w:r>
          </w:p>
          <w:p>
            <w:pPr/>
            <w:r>
              <w:rPr/>
              <w:t xml:space="preserve">OBJECTIVE INDICATORS</w:t>
            </w:r>
          </w:p>
          <w:p>
            <w:pPr/>
            <w:r>
              <w:rPr/>
              <w:t xml:space="preserve">The objective, to enhance resilience for sustainable economic well-being of the people of Bhutan through climate adaptation of the water sector, is tracked by 2 indicators.</w:t>
            </w:r>
          </w:p>
          <w:p>
            <w:pPr/>
            <w:r>
              <w:rPr/>
              <w:t xml:space="preserve"/>
            </w:r>
          </w:p>
          <w:p>
            <w:pPr/>
            <w:r>
              <w:rPr/>
              <w:t xml:space="preserve">The PMU reported that, under Indicator 1, tracking the number of direct beneficiaries, 10,894 people (4,951 female) have already directly benefited from GEF-financed investments (Midterm target: 11,200; End of Project target: 37,334). This was achieved through distribution of Agricultural Materials and Equipment as well as capacity building and consultations on environmental and social safeguards, climate-resilient water infrastructure, nursery management, sustainable land practices, and waste management. Indicator 2 for the development objective, relates to the area of land  and ecosystem under restoration. So far, the project has reported a total of 4,426 ha under climate resilient management (Midterm target: 16,746 ha) distributed as follows: 664.73 ha of land under SMART Agriculture Practices and 3,761.284 ha of forest under sustainable forest management through approval of both and Community Forest Management Plans. This progress was properly evidenced with reports, meeting minutes, and management plans when relevant. The project is on track to reach its EoP taget indicators.</w:t>
            </w:r>
          </w:p>
          <w:p>
            <w:pPr/>
            <w:r>
              <w:rPr/>
              <w:t xml:space="preserve"/>
            </w:r>
          </w:p>
          <w:p>
            <w:pPr/>
            <w:r>
              <w:rPr/>
              <w:t xml:space="preserve">OUTCOME LEVEL INDICATORS</w:t>
            </w:r>
          </w:p>
          <w:p>
            <w:pPr/>
            <w:r>
              <w:rPr/>
              <w:t xml:space="preserve">OUTCOME 1.1 “Strengthened water governance, institutions and financing mechanism in support of climate-resilient water management”, is monitored through 2 indicators. Indicator 3, tracks the Number of local level institutions established for adaptative management of water resources with an End of Project (EoP) target of 18 local level institutions established for adaptative management of water resources. No local level institutions have been established so far. However, a multidisciplinary Technical Working Group (TWG) was formed at both district and central levels. In addition, the “River Basin Section” that will function as the secretariat to the establishment of the River Basin Committees got the approval for all 5 major rivers. Finally, properly evidenced, awareness raising activities have been conducted with the participation of 16 water user associations. Indicator 4 relates to the number of district and basin level climate-risk informed policies and strategies developed and endorsed (EoP target: 13 policies and strategies). Under this target, the project has already developed a total of 6 policy tools consisting in  national water quality standards, Water tariff system, Local Forest Management plan, and Community Forest Management plan drafts of these have been uploaded as evidence. This first outcome is on track to achieve its targets.</w:t>
            </w:r>
          </w:p>
          <w:p>
            <w:pPr/>
            <w:r>
              <w:rPr/>
              <w:t xml:space="preserve"/>
            </w:r>
          </w:p>
          <w:p>
            <w:pPr/>
            <w:r>
              <w:rPr/>
              <w:t xml:space="preserve">OUTCOME 2 “Vulnerable natural water catchments in the target river basin (Punatsangchu River Basin) restored, sustainably managed, protected and their ecosystem conditions improved” is tracked through three indicators. Indicator 5 relates to the area of watersheds restored and protected, with an EoP target of 38,518 ha. The RTA is pleased to see that, only one year into implementation, the project has already reported 3,761 ha through sustainable forest management in the Okalum watershed, Rangzinkhuenphen, and Tashithongmen, as well as SMART (Spatial monitoring and reporting tool) monitoring in Okalum (Punakha District), Kuchi and Chedachu (Tsirang District), and Shingtalum (Gasa District). Indicator 6 monitors the number of watershed and local-level climate-risk informed policies and strategies with an EoP target of 6. For this reporting period, the project has reported the development and approval of 3 Forest Management Plans with others under consultation. Indicator 7 tracks agricultural land under climate-resilient practices and the project has supported 664.73 ha under such practices against an EoP target of 3,392Ha. This progress was achieved through support to areas with sprinkler irrigation and mulching, grass slip hedgerows, and terraced slope farmland.</w:t>
            </w:r>
          </w:p>
          <w:p>
            <w:pPr/>
            <w:r>
              <w:rPr/>
              <w:t xml:space="preserve"/>
            </w:r>
          </w:p>
          <w:p>
            <w:pPr/>
            <w:r>
              <w:rPr/>
              <w:t xml:space="preserve">OUTCOME 3 on “Enhanced adaptive capacity of water infrastructure to climate-induced water shortages and quality deterioration through climate-proofing, private sector engagement, and technology deployment is tracked through indicator 8 on number of persons with assured access to irrigation and domestic water through climate-proofing and enhancement of water infrastructure and indicator 9 on infrastructure resilience to climate change. Under Indicator 8, while no access to water has already been assured, progress has been made through 4 site specific targeted assessments and the development and implementation of ESMPs. In addition, contractors have been hired to perform the work for the four water supply schemes. Progress has also been reported under Indicator 9 with 34.7 Km of water transmission lines climate proofed (EoP target: 74.14Km) and 1050 Cum (m3) of water storage already constructed in 3 districts (EoP target: 1,266 Cum). The RTA considers that this Outcome on track to achieve its targets.</w:t>
            </w:r>
          </w:p>
          <w:p>
            <w:pPr/>
            <w:r>
              <w:rPr/>
              <w:t xml:space="preserve"/>
            </w:r>
          </w:p>
          <w:p>
            <w:pPr/>
            <w:r>
              <w:rPr/>
              <w:t xml:space="preserve">OUTCOME 4 of the project aims to strengthen awareness and knowledge sharing mechanism established. Progress is measured through a single indicator (Indicator 10) tracking the number of knowledge products generated, with MTR and EoP targets of 8 and 16 knowledge products disseminated, respectively. So far, the project has already generated a total of 6 knowledge products. These include: a Water resource management curriculum for the College of Science and Technology Engineering programme; participatory water resources assessments, and a Public-Private Partnershiop Business case study on the introduction of tariffs for domestic and irrigation water. Other knowledge products are being developed and the Outcome is on track to achieve its targets.</w:t>
            </w:r>
          </w:p>
          <w:p>
            <w:pPr/>
            <w:r>
              <w:rPr/>
              <w:t xml:space="preserve"/>
            </w:r>
          </w:p>
          <w:p>
            <w:pPr/>
            <w:r>
              <w:rPr/>
              <w:t xml:space="preserve">EVIDENCE</w:t>
            </w:r>
          </w:p>
          <w:p>
            <w:pPr/>
            <w:r>
              <w:rPr/>
              <w:t xml:space="preserve">The RTA has reviewed the documentation provided by the project team and commends its comprehensiveness. The Programme Officer has proactively consulted the RTA on the best way to presenting evidence, which made the resulting evidence provided easy to navigate. Elements like illustrative photos from field interventions, meeting attendance sheets, and summary tables were useful in facilitating the verification of the progress reported.</w:t>
            </w:r>
          </w:p>
          <w:p>
            <w:pPr/>
            <w:r>
              <w:rPr/>
              <w:t xml:space="preserve"/>
            </w:r>
          </w:p>
          <w:p>
            <w:pPr/>
            <w:r>
              <w:rPr/>
              <w:t xml:space="preserve">GOVERNANCE</w:t>
            </w:r>
          </w:p>
          <w:p>
            <w:pPr/>
            <w:r>
              <w:rPr/>
              <w:t xml:space="preserve">The governance of this project is appropriate and no major obstacles were reported regarding governance arrangements during implementation. The Project Board has convened three times since project inception to review progress and provide strategic guidance. For this first PIR, clearly documented minutes from all previous board meetings were submitted. The board minutes document the Board’s approval of minor changes discussed with the RTA, including the reallocation of savings made from the ESMP activity to provide additional field equipment for the government team.</w:t>
            </w:r>
          </w:p>
          <w:p>
            <w:pPr/>
            <w:r>
              <w:rPr/>
              <w:t xml:space="preserve"/>
            </w:r>
          </w:p>
          <w:p>
            <w:pPr/>
            <w:r>
              <w:rPr/>
              <w:t xml:space="preserve">RISK MANAGEMENT</w:t>
            </w:r>
          </w:p>
          <w:p>
            <w:pPr/>
            <w:r>
              <w:rPr/>
              <w:t xml:space="preserve">Most of risks of this project as reported in the risk log fall under the Social and Environmental category and a few under operational and organizational categories. At CEO endorsement, the Social and Environment Screening categorized this project as moderate risk. The RTA and the Social and Environmental Standards Technical Advisor held a dedicated call with the project oversight team to review project risks and assess the implementation of treatments documented in the risk log. All identified risks are being actively monitored and treatments implemented in a timely manner. The SES Advisor confirmed that the safeguards framework established during the PPG remains robust and provided recommendations in the relevant SES section to further strengthen safeguards implementation.</w:t>
            </w:r>
          </w:p>
          <w:p>
            <w:pPr/>
            <w:r>
              <w:rPr/>
              <w:t xml:space="preserve"/>
            </w:r>
          </w:p>
          <w:p>
            <w:pPr/>
            <w:r>
              <w:rPr/>
              <w:t xml:space="preserve">It is important to note that during the reporting period, construction activities temporarily damaged a local farm road, disrupting access. The contractor responded promptly by repairing the road and coordinating with local stakeholders to restore access and minimize disruption.</w:t>
            </w:r>
          </w:p>
          <w:p>
            <w:pPr/>
            <w:r>
              <w:rPr/>
              <w:t xml:space="preserve"/>
            </w:r>
          </w:p>
          <w:p>
            <w:pPr/>
            <w:r>
              <w:rPr/>
              <w:t xml:space="preserve"/>
            </w:r>
          </w:p>
          <w:p>
            <w:pPr/>
            <w:r>
              <w:rPr/>
              <w:t xml:space="preserve">GENDER</w:t>
            </w:r>
          </w:p>
          <w:p>
            <w:pPr/>
            <w:r>
              <w:rPr/>
              <w:t xml:space="preserve">The project made efforts to mainstream gender aspects during the implementation period. Gender analysis and a Gender Action Plan were developed, and project reporting templates include indicators on gender equity to track women’s participation and benefit-sharing. In addition, gender considerations were embedded into the GRM and the, ESMPs. Practical gender needs were addressed through targeted actions such as support to female-headed households, inclusion of nuns as beneficiaries, and gender-sensitive worker accommodations. Female leadership within the project team, as well as a female trainer for community sessions on gender, GRM, and safeguards, has enhanced gender visibility and acceptance as leaders.</w:t>
            </w:r>
          </w:p>
          <w:p>
            <w:pPr/>
            <w:r>
              <w:rPr/>
              <w:t xml:space="preserve"/>
            </w:r>
          </w:p>
          <w:p>
            <w:pPr/>
            <w:r>
              <w:rPr/>
              <w:t xml:space="preserve">IMPLEMENTATION PROGRESS</w:t>
            </w:r>
          </w:p>
          <w:p>
            <w:pPr/>
            <w:r>
              <w:rPr/>
              <w:t xml:space="preserve">My rating for Implementation Progress (IP) during this reporting period is Highly Satisfactory (HS). This assessment is based on the following:</w:t>
            </w:r>
          </w:p>
          <w:p>
            <w:pPr/>
            <w:r>
              <w:rPr/>
              <w:t xml:space="preserve"/>
            </w:r>
          </w:p>
          <w:p>
            <w:pPr/>
            <w:r>
              <w:rPr/>
              <w:t xml:space="preserve">The cumulative delivery as of 30 June 2025 was USD 5,392,135 out of a total budget of USD 8,932,420 representing a 60.37% overall financial delivery. This was achieved through the delivery of USD 4,046,637 during the past year. On co-financing, the project has reported a total of USD 13,676,100 representing 54.6% out of the USD 25,032,000 committed during PPG. This This brings the total confirmed cofinancing to 53% of the total commitments. These resources have been used to support complementary infrastructure investments, policy development processes, and capacity-building initiatives.</w:t>
            </w:r>
          </w:p>
          <w:p>
            <w:pPr/>
            <w:r>
              <w:rPr/>
              <w:t xml:space="preserve"/>
            </w:r>
          </w:p>
          <w:p>
            <w:pPr/>
            <w:r>
              <w:rPr/>
              <w:t xml:space="preserve">This is a commendable progress, which was clearly reflected in progress against the indicators across all components and activities, with one midterm target relating to direct beneficiaries almost achieved.</w:t>
            </w:r>
          </w:p>
          <w:p>
            <w:pPr/>
            <w:r>
              <w:rPr/>
              <w:t xml:space="preserve"/>
            </w:r>
          </w:p>
          <w:p>
            <w:pPr/>
            <w:r>
              <w:rPr/>
              <w:t xml:space="preserve">Recommendations and challenges are provided in the relevant section.</w:t>
            </w:r>
          </w:p>
          <w:p>
            <w:pPr/>
            <w:r>
              <w:rPr/>
              <w:t xml:space="preserve">----</w:t>
            </w:r>
          </w:p>
          <w:p>
            <w:pPr/>
            <w:r>
              <w:rPr/>
              <w:t xml:space="preserve">CHALLENGES</w:t>
            </w:r>
          </w:p>
          <w:p>
            <w:pPr/>
            <w:r>
              <w:rPr/>
              <w:t xml:space="preserve">The project team reported minor challenges related to stakeholder engagement and safeguards implementation. First, it has been reported that the technical language in project documents created communication barriers for non-specialist stakeholders. In addition, some communities had limited understanding of the GRM. While proactive engagement by the government partner helped to timely identify and mitigate these risks, the mitigation measures proposed in the ESMFs, like additional capacity-building workshops focusing on risk assessment and mitigation planning, will help strengthen capacity and enhance safeguards implementation to address these challenges.</w:t>
            </w:r>
          </w:p>
          <w:p>
            <w:pPr/>
            <w:r>
              <w:rPr/>
              <w:t xml:space="preserve"/>
            </w:r>
          </w:p>
          <w:p>
            <w:pPr/>
            <w:r>
              <w:rPr/>
              <w:t xml:space="preserve">RECOMMENDATIONS</w:t>
            </w:r>
          </w:p>
          <w:p>
            <w:pPr/>
            <w:r>
              <w:rPr/>
              <w:t xml:space="preserve">Building on a strong start and commendable progress, the RTA recommends the following actions to maintain the momentum:</w:t>
            </w:r>
          </w:p>
          <w:p>
            <w:pPr/>
            <w:r>
              <w:rPr/>
              <w:t xml:space="preserve"/>
            </w:r>
          </w:p>
          <w:p>
            <w:pPr/>
            <w:r>
              <w:rPr/>
              <w:t xml:space="preserve">-	Begin preparations for the Mid-Term Review (MTR), scheduled for March 2026, in close consultation with the RTA.</w:t>
            </w:r>
          </w:p>
          <w:p>
            <w:pPr/>
            <w:r>
              <w:rPr/>
              <w:t xml:space="preserve">-	As detailed by the SES TA in the relevant section, strengthen safeguards implementation through targeted capacity-building, operationalization of the GRM, inclusive stakeholder engagement, quality assurance of ESMPs, and monitoring of economic displacement risks.</w:t>
            </w:r>
          </w:p>
          <w:p>
            <w:pPr/>
            <w:r>
              <w:rPr/>
              <w:t xml:space="preserve">-	Promote an even stronger participation of women in capacity-building activities and consultations wherever possible.</w:t>
            </w:r>
          </w:p>
          <w:p>
            <w:pPr/>
            <w:r>
              <w:rPr/>
              <w:t xml:space="preserve"/>
            </w:r>
          </w:p>
        </w:tc>
      </w:tr>
      <w:tr>
        <w:trPr/>
        <w:tc>
          <w:tcPr>
            <w:tcW w:w="5000" w:type="dxa"/>
            <w:gridSpan w:val="1"/>
            <w:noWrap/>
          </w:tcPr>
          <w:p>
            <w:pPr/>
            <w:r>
              <w:rPr>
                <w:b w:val="1"/>
                <w:bCs w:val="1"/>
              </w:rPr>
              <w:t xml:space="preserve">UNDP Country Office Programme Officer</w:t>
            </w:r>
          </w:p>
        </w:tc>
        <w:tc>
          <w:tcPr>
            <w:tcW w:w="10000" w:type="dxa"/>
            <w:gridSpan w:val="1"/>
            <w:noWrap/>
          </w:tcPr>
          <w:p>
            <w:pPr/>
            <w:r>
              <w:rPr/>
              <w:t xml:space="preserve">The ACREWAS project is demonstrating solid progress in its first PIR cycle, with implementation performance and financial delivery largely on track. Cumulative grant delivery (60.37% of approved, 64.51% of expected) reflects effective resource utilization, while co-financing contributions from the Government and UNDP have been critical in expanding the scale and quality of interventions. The project is delivering concrete results in water governance, watershed restoration, climate-smart agriculture, and community resilience, directly benefiting thousands of households and advancing multiple SDGs.</w:t>
            </w:r>
          </w:p>
          <w:p>
            <w:pPr/>
            <w:r>
              <w:rPr/>
              <w:t xml:space="preserve">From an oversight perspective, the UNDP Country Office has provided continuous support through participation in Project Board meetings, regular engagement with the PMU, and monitoring of progress against work plans and safeguards requirements. This has ensured alignment with national priorities, early identification of risks, and provision of timely technical and strategic guidance. Oversight has also included close follow-up on safeguards, where operationalization of ESMPs, grievance mechanisms, and inclusive participation remains a priority. The CO is also actively guiding knowledge management efforts to ensure lessons learned are documented, disseminated, and integrated into national adaptation planning and regional cooperation platforms.</w:t>
            </w:r>
          </w:p>
          <w:p>
            <w:pPr/>
            <w:r>
              <w:rPr/>
              <w:t xml:space="preserve">Overall, the project is assessed as being on course to meet its development objectives. Continued oversight will focus on: accelerating safeguards operationalization, ensuring equitable participation of women and vulnerable groups in governance structures, strengthening public private partnerships for sustainable water service delivery, and embedding project lessons into broader national policy frameworks.</w:t>
            </w:r>
          </w:p>
          <w:p>
            <w:pPr/>
            <w:r>
              <w:rPr/>
              <w:t xml:space="preserve">----</w:t>
            </w:r>
          </w:p>
          <w:p>
            <w:pPr/>
            <w:r>
              <w:rPr/>
              <w:t xml:space="preserve"/>
            </w:r>
          </w:p>
        </w:tc>
      </w:tr>
      <w:tr>
        <w:trPr/>
        <w:tc>
          <w:tcPr>
            <w:tcW w:w="5000" w:type="dxa"/>
            <w:gridSpan w:val="1"/>
            <w:noWrap/>
          </w:tcPr>
          <w:p>
            <w:pPr/>
            <w:r>
              <w:rPr>
                <w:b w:val="1"/>
                <w:bCs w:val="1"/>
              </w:rPr>
              <w:t xml:space="preserve">Project Manager/Coordinator</w:t>
            </w:r>
          </w:p>
        </w:tc>
        <w:tc>
          <w:tcPr>
            <w:tcW w:w="10000" w:type="dxa"/>
            <w:gridSpan w:val="1"/>
            <w:noWrap/>
          </w:tcPr>
          <w:p>
            <w:pPr/>
            <w:r>
              <w:rPr/>
              <w:t xml:space="preserve">The Project Management Unit under the Water and Sanitation Division, Department of Infrastructure Department, MoIT rates the progress as Highly Satisfactory as the project’s key activities are well on track.</w:t>
            </w:r>
          </w:p>
          <w:p>
            <w:pPr/>
            <w:r>
              <w:rPr/>
              <w:t xml:space="preserve"/>
            </w:r>
          </w:p>
          <w:p>
            <w:pPr/>
            <w:r>
              <w:rPr/>
              <w:t xml:space="preserve">Under Outcome 1, significant progress has been made toward building institutional frameworks that support adaptive and participatory water resource management at the local level. Key milestones during the reporting period include initiating the formulation process of Punatshangchu River Basin Management through Inception Workshop held from April 28–30, 2025. Subsequently, RBC will be established to oversee water-related activities within the Punatsangchhu basin and ensure periodic updates to the RBMP. Additionally, an approval by Royal Civil Service Commission to establish a dedicated River Basin Section under the Department of Water marks a major institutional advancement. Furthermore, sensitization workshops were conducted in Tsirang, Punakha, and Gasa Districts to introduce and promote the “Guideline for the formation and registration of Water User Associations (WUAs) in Bhutan” to enhance local understanding of WUA roles, formation processes, and governance structures.</w:t>
            </w:r>
          </w:p>
          <w:p>
            <w:pPr/>
            <w:r>
              <w:rPr/>
              <w:t xml:space="preserve">During this reporting period, one Local Forest Management Plan for Okalum watershed in Punakha District and two Community Forest Management Plans (CFMP) for Rangzinkhuenphen and Tashithongmen under Gasa District have been finalized and approved bringing an area of 3,761.284 ha under sustainable forest management. Additionally, the following key policy instruments were successfully developed to strengthen Bhutan’s water sector namely:  Guiding Tool for the development of National Integrated Water Master Plan, Bhutan Drinking Water Quality Standards 2025 and Water Tariff Guideline 2025.</w:t>
            </w:r>
          </w:p>
          <w:p>
            <w:pPr/>
            <w:r>
              <w:rPr/>
              <w:t xml:space="preserve"/>
            </w:r>
          </w:p>
          <w:p>
            <w:pPr/>
            <w:r>
              <w:rPr/>
              <w:t xml:space="preserve">Under Outcome 2, SMART (Spatial Monitoring and Reporting Tool) patrolling has been enhanced for surveillance and reporting capabilities under the project, contributing to more effective forest protection in the four watersheds of Okalum (Punakha District), Shingtalum (Gasa District), Chedachu and Kuchi (Tsirang District). The approved Local Forest Management Plan (Okalum watershed) and Community Forest Management Plans (Rangzinkhuenphen and Tashithongmen) have brought 3,761.284 ha under sustainable forest management. Furthermore, informative signage and solid waste management awareness campaigns were implemented to promote environmental consciousness and encourage active community participation. Plantation and nursery training programs were also conducted to equip local communities with the skills and knowledge needed for sustainable forest management and restoration.</w:t>
            </w:r>
          </w:p>
          <w:p>
            <w:pPr/>
            <w:r>
              <w:rPr/>
              <w:t xml:space="preserve">During the reporting period, a total of 664.73 ha of land has been brought under climate-smart agricultural practices viz; sprinkler irrigation system, slope land terracing, hedge row plantations and mulching practices in Tsirang District. Additionally, training programs on Sustainable Land Management (SLM) and plastic mulching were conducted in Sergithang and Patshaling Gewogs, benefiting 198 farmers with practical knowledge in soil conservation and moisture retention.</w:t>
            </w:r>
          </w:p>
          <w:p>
            <w:pPr/>
            <w:r>
              <w:rPr/>
              <w:t xml:space="preserve"/>
            </w:r>
          </w:p>
          <w:p>
            <w:pPr/>
            <w:r>
              <w:rPr/>
              <w:t xml:space="preserve">Under outcome-3, four site-specific assessments were conducted, and corresponding Environmental and Social Management Plans (ESMPs) were developed and implemented to ensure compliance with social, gender, and environmental safeguards. Contracts for four water supply schemes Tsirang (2), Gasa (1), and Punakha (1) have been awarded to the contractor and are ongoing with notable physical progress. Comprehensive safeguard training, including Grievance Redress Mechanism (GRM) processes, was delivered to stakeholders. Engineers also received specialized training to enhance technical capacity during construction.</w:t>
            </w:r>
          </w:p>
          <w:p>
            <w:pPr/>
            <w:r>
              <w:rPr/>
              <w:t xml:space="preserve"/>
            </w:r>
          </w:p>
          <w:p>
            <w:pPr/>
            <w:r>
              <w:rPr/>
              <w:t xml:space="preserve">Under Outcome-4, the project is on track in terms of effective sharing of knowledge, lessons learned and project results. The project significantly contributed to academic strengthening by elevating Integrated Water Resources Management (IWRM) to a core module in CST’s B.E. Water Resources Engineering program, following stakeholder consultations. Further, support also included procurement of books, equipment, and targeted training for faculty and students from College of Science and Technology (CST) and College of Natural Resources (CNR).</w:t>
            </w:r>
          </w:p>
          <w:p>
            <w:pPr/>
            <w:r>
              <w:rPr/>
              <w:t xml:space="preserve">Four participatory water resource assessment for the 4 watersheds, viz., the Shingtalum watershed in Gasa, the Okalum watershed in Punakha, the Laraychu watershed and the Kuchikhola watershed in Tsirang has been completed to evaluate its health using the Watershed Assessment and Classification Guideline 2016. Furthermore, an assessment and PPP Business case study was carried out to study the introduction of tariffs for domestic and irrigation water in Gasa and Lobsesa towns.</w:t>
            </w:r>
          </w:p>
          <w:p>
            <w:pPr/>
            <w:r>
              <w:rPr/>
              <w:t xml:space="preserve">A comprehensive Communication Plan was developed in collaboration with stakeholders to enhance institutional learning and support effective Knowledge Management (KM). Since its rollout, the project has actively utilized Quarterly Planning and Review Meetings and Project Steering Committee Meetings to share insights, lessons, and results. Success stories are also being regularly published on the websites and social media platforms of implementing partners and UNDP Bhutan.</w:t>
            </w:r>
          </w:p>
          <w:p>
            <w:pPr/>
            <w:r>
              <w:rPr/>
              <w:t xml:space="preserve"/>
            </w:r>
          </w:p>
          <w:p>
            <w:pPr/>
            <w:r>
              <w:rPr/>
              <w:t xml:space="preserve">Despite early challenges including restrictions on consultation meetings and public gatherings due to elections, limited awareness on Environmental and Social Management Plans (ESMP), gender considerations, and UNDP-GEF requirements, as well as changes in focal persons at both district and Responsible Party levels, the project has maintained steady momentum. Additional site-level challenges include adverse weather conditions and delays caused by the need to re-tender one infrastructure works. These issues have been addressed, and the affected contract has now been awarded, with construction underway. Overall, the activities at the site are progressing well.</w:t>
            </w:r>
          </w:p>
          <w:p>
            <w:pPr/>
            <w:r>
              <w:rPr/>
              <w:t xml:space="preserve"/>
            </w:r>
          </w:p>
          <w:p>
            <w:pPr/>
            <w:r>
              <w:rPr/>
              <w:t xml:space="preserve">----</w:t>
            </w:r>
          </w:p>
          <w:p>
            <w:pPr/>
            <w:r>
              <w:rPr/>
              <w:t xml:space="preserve"/>
            </w:r>
          </w:p>
        </w:tc>
      </w:tr>
      <w:tr>
        <w:trPr/>
        <w:tc>
          <w:tcPr>
            <w:tcW w:w="5000" w:type="dxa"/>
            <w:gridSpan w:val="1"/>
            <w:noWrap/>
          </w:tcPr>
          <w:p>
            <w:pPr/>
            <w:r>
              <w:rPr>
                <w:b w:val="1"/>
                <w:bCs w:val="1"/>
              </w:rPr>
              <w:t xml:space="preserve">GEF Operational Focal point</w:t>
            </w:r>
          </w:p>
        </w:tc>
        <w:tc>
          <w:tcPr>
            <w:tcW w:w="10000" w:type="dxa"/>
            <w:gridSpan w:val="1"/>
            <w:noWrap/>
          </w:tcPr>
          <w:p>
            <w:pPr/>
            <w:r>
              <w:rPr/>
              <w:t xml:space="preserve">The project is one of the fastest-moving initiatives within the government, driven by a highly competent Project Management Unit (PMU), strong and consistent leadership from the Ministry of Infrastructure and Transport (MOIT), and continuous support from UNDP. The GEF OFP and other relevant stakeholders are kept regularly informed of project progress through multiple channels, including formal reports, updates from the PMU, and contributions from responsible officials in local governments, often supplemented with photographs and videos to illustrate achievements on the ground.</w:t>
            </w:r>
          </w:p>
          <w:p>
            <w:pPr/>
            <w:r>
              <w:rPr/>
              <w:t xml:space="preserve"/>
            </w:r>
          </w:p>
          <w:p>
            <w:pPr/>
            <w:r>
              <w:rPr/>
              <w:t xml:space="preserve">Coordination among stakeholders has been exemplary, facilitated by the proactive engagement and leadership of the project team. Reporting is clear, timely, and comprehensive, allowing all parties to monitor progress effectively. Fund disbursements from UNDP have proceeded smoothly without any issues, ensuring uninterrupted implementation of project activities.</w:t>
            </w:r>
          </w:p>
          <w:p>
            <w:pPr/>
            <w:r>
              <w:rPr/>
              <w:t xml:space="preserve"/>
            </w:r>
          </w:p>
          <w:p>
            <w:pPr/>
            <w:r>
              <w:rPr/>
              <w:t xml:space="preserve">Overall, the project demonstrates a high level of efficiency, responsiveness, and stakeholder engagement, and is rated as Highly Satisfactory in terms of its implementation and progress towards intended outcomes.</w:t>
            </w:r>
          </w:p>
          <w:p>
            <w:pPr/>
            <w:r>
              <w:rPr/>
              <w:t xml:space="preserve">----</w:t>
            </w:r>
          </w:p>
          <w:p>
            <w:pPr/>
            <w:r>
              <w:rPr/>
              <w:t xml:space="preserve"/>
            </w:r>
          </w:p>
        </w:tc>
      </w:tr>
      <w:tr>
        <w:trPr/>
        <w:tc>
          <w:tcPr>
            <w:tcW w:w="5000" w:type="dxa"/>
            <w:gridSpan w:val="1"/>
            <w:noWrap/>
          </w:tcPr>
          <w:p>
            <w:pPr/>
            <w:r>
              <w:rPr>
                <w:b w:val="1"/>
                <w:bCs w:val="1"/>
              </w:rPr>
              <w:t xml:space="preserve">Project Implementing Partner</w:t>
            </w:r>
          </w:p>
        </w:tc>
        <w:tc>
          <w:tcPr>
            <w:tcW w:w="10000" w:type="dxa"/>
            <w:gridSpan w:val="1"/>
            <w:noWrap/>
          </w:tcPr>
          <w:p>
            <w:pPr/>
            <w:r>
              <w:rPr/>
              <w:t xml:space="preserve"/>
            </w:r>
          </w:p>
          <w:p>
            <w:pPr/>
            <w:r>
              <w:rPr/>
              <w:t xml:space="preserve">----</w:t>
            </w:r>
          </w:p>
          <w:p>
            <w:pPr/>
            <w:r>
              <w:rPr/>
              <w:t xml:space="preserve"/>
            </w:r>
          </w:p>
        </w:tc>
      </w:tr>
      <w:tr>
        <w:trPr/>
        <w:tc>
          <w:tcPr>
            <w:tcW w:w="5000" w:type="dxa"/>
            <w:gridSpan w:val="1"/>
            <w:noWrap/>
          </w:tcPr>
          <w:p>
            <w:pPr/>
            <w:r>
              <w:rPr>
                <w:b w:val="1"/>
                <w:bCs w:val="1"/>
              </w:rPr>
              <w:t xml:space="preserve">Other Partners</w:t>
            </w:r>
          </w:p>
        </w:tc>
        <w:tc>
          <w:tcPr>
            <w:tcW w:w="10000" w:type="dxa"/>
            <w:gridSpan w:val="1"/>
            <w:noWrap/>
          </w:tcPr>
          <w:p>
            <w:pPr/>
            <w:r>
              <w:rPr/>
              <w:t xml:space="preserve"/>
            </w:r>
          </w:p>
          <w:p>
            <w:pPr/>
            <w:r>
              <w:rPr/>
              <w:t xml:space="preserve">----</w:t>
            </w:r>
          </w:p>
          <w:p>
            <w:pPr/>
            <w:r>
              <w:rPr/>
              <w:t xml:space="preserve"/>
            </w:r>
          </w:p>
        </w:tc>
      </w:tr>
    </w:tbl>
    <w:p>
      <w:pPr>
        <w:sectPr>
          <w:pgSz w:orient="portrait" w:w="11905.511811023622" w:h="16837.79527559055"/>
          <w:pgMar w:top="500" w:right="500" w:bottom="500" w:left="500" w:header="720" w:footer="720" w:gutter="0"/>
          <w:cols w:num="1" w:space="720"/>
        </w:sectPr>
      </w:pPr>
    </w:p>
    <w:p>
      <w:pPr>
        <w:pStyle w:val="Heading1"/>
      </w:pPr>
      <w:bookmarkStart w:id="9" w:name="_Toc9"/>
      <w:r>
        <w:t>Minor Amendments</w:t>
      </w:r>
      <w:bookmarkEnd w:id="9"/>
    </w:p>
    <w:p>
      <w:pPr>
        <w:spacing w:before="0" w:after="0"/>
      </w:pPr>
      <w:r>
        <w:rPr/>
        <w:t xml:space="preserve"/>
      </w:r>
    </w:p>
    <w:p>
      <w:pPr/>
      <w:r>
        <w:rPr/>
        <w:t xml:space="preserve">Minor amendments are changes to the project design or implementation that do not have significant impact on the project objectives or scope, or an increase of the GEF project financing up to 5% as described in Annex 9 of the </w:t>
      </w:r>
      <w:hyperlink r:id="rId9" w:history="1">
        <w:r>
          <w:rPr/>
          <w:t xml:space="preserve">GEF Project and Program Cycle Policy Guidelines</w:t>
        </w:r>
      </w:hyperlink>
      <w:r>
        <w:rPr/>
        <w:t xml:space="preserve">.</w:t>
      </w:r>
    </w:p>
    <w:p>
      <w:pPr/>
      <w:r>
        <w:rPr>
          <w:b w:val="1"/>
          <w:bCs w:val="1"/>
        </w:rPr>
        <w:t xml:space="preserve">CO Programme Officer:</w:t>
      </w:r>
      <w:r>
        <w:rPr/>
        <w:t xml:space="preserve"> Please mark each category for which a minor amendment occurred during this reporting period (1 July 2024- 30 June 2025). </w:t>
      </w:r>
    </w:p>
    <w:p>
      <w:pPr/>
      <w:r>
        <w:rPr/>
        <w:t xml:space="preserve">For each category that is marked, please provide a brief description of the change that occurred in the associated text box. You may attach supporting documentation, as appropriate.</w:t>
      </w:r>
    </w:p>
    <w:p>
      <w:pPr/>
      <w:r>
        <w:rPr/>
        <w:t xml:space="preserve">The purpose of this section is to capture adaptive management and measure project proactiveness, an indicator outlined in paragraph 70 of the GEF-8 Policy Directions available </w:t>
      </w:r>
      <w:hyperlink r:id="rId10" w:history="1">
        <w:r>
          <w:rPr/>
          <w:t xml:space="preserve">here.</w:t>
        </w:r>
      </w:hyperlink>
    </w:p>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A) Results Framework</w:t>
            </w:r>
          </w:p>
        </w:tc>
      </w:tr>
      <w:tr>
        <w:trPr/>
        <w:tc>
          <w:tcPr>
            <w:tcW w:w="10000" w:type="dxa"/>
            <w:gridSpan w:val="1"/>
            <w:noWrap/>
          </w:tcPr>
          <w:p>
            <w:pPr/>
            <w:r>
              <w:rPr/>
              <w:t xml:space="preserve">No</w:t>
            </w:r>
          </w:p>
        </w:tc>
      </w:tr>
      <w:tr>
        <w:trPr/>
        <w:tc>
          <w:tcPr>
            <w:tcW w:w="10000" w:type="dxa"/>
            <w:shd w:val="clear" w:fill="#D9D9D9"/>
            <w:noWrap/>
          </w:tcPr>
          <w:p>
            <w:pPr/>
            <w:r>
              <w:rPr>
                <w:b w:val="1"/>
                <w:bCs w:val="1"/>
              </w:rPr>
              <w:t xml:space="preserve">Provide a description of the change(s) to the 'Results framework'</w:t>
            </w:r>
          </w:p>
        </w:tc>
      </w:tr>
      <w:tr>
        <w:trPr/>
        <w:tc>
          <w:tcPr>
            <w:tcW w:w="10000" w:type="dxa"/>
            <w:gridSpan w:val="1"/>
            <w:noWrap/>
          </w:tcPr>
          <w:p>
            <w:pPr/>
            <w:r>
              <w:rPr>
                <w:i w:val="1"/>
                <w:iCs w:val="1"/>
              </w:rPr>
              <w:t xml:space="preserve">(not set or not applicable)</w:t>
            </w: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B) Components and cost</w:t>
            </w:r>
          </w:p>
        </w:tc>
      </w:tr>
      <w:tr>
        <w:trPr/>
        <w:tc>
          <w:tcPr>
            <w:tcW w:w="10000" w:type="dxa"/>
            <w:gridSpan w:val="1"/>
            <w:noWrap/>
          </w:tcPr>
          <w:p>
            <w:pPr/>
            <w:r>
              <w:rPr/>
              <w:t xml:space="preserve">No</w:t>
            </w:r>
          </w:p>
        </w:tc>
      </w:tr>
      <w:tr>
        <w:trPr/>
        <w:tc>
          <w:tcPr>
            <w:tcW w:w="10000" w:type="dxa"/>
            <w:shd w:val="clear" w:fill="#D9D9D9"/>
            <w:noWrap/>
          </w:tcPr>
          <w:p>
            <w:pPr/>
            <w:r>
              <w:rPr>
                <w:b w:val="1"/>
                <w:bCs w:val="1"/>
              </w:rPr>
              <w:t xml:space="preserve">Provide a description of the change(s) to 'Components and cost'</w:t>
            </w:r>
          </w:p>
        </w:tc>
      </w:tr>
      <w:tr>
        <w:trPr/>
        <w:tc>
          <w:tcPr>
            <w:tcW w:w="10000" w:type="dxa"/>
            <w:gridSpan w:val="1"/>
            <w:noWrap/>
          </w:tcPr>
          <w:p>
            <w:pPr/>
            <w:r>
              <w:rPr>
                <w:i w:val="1"/>
                <w:iCs w:val="1"/>
              </w:rPr>
              <w:t xml:space="preserve">(not set or not applicable)</w:t>
            </w: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C) Institutional and implementation arrangements</w:t>
            </w:r>
          </w:p>
        </w:tc>
      </w:tr>
      <w:tr>
        <w:trPr/>
        <w:tc>
          <w:tcPr>
            <w:tcW w:w="10000" w:type="dxa"/>
            <w:gridSpan w:val="1"/>
            <w:noWrap/>
          </w:tcPr>
          <w:p>
            <w:pPr/>
            <w:r>
              <w:rPr/>
              <w:t xml:space="preserve">No</w:t>
            </w:r>
          </w:p>
        </w:tc>
      </w:tr>
      <w:tr>
        <w:trPr/>
        <w:tc>
          <w:tcPr>
            <w:tcW w:w="10000" w:type="dxa"/>
            <w:shd w:val="clear" w:fill="#D9D9D9"/>
            <w:noWrap/>
          </w:tcPr>
          <w:p>
            <w:pPr/>
            <w:r>
              <w:rPr>
                <w:b w:val="1"/>
                <w:bCs w:val="1"/>
              </w:rPr>
              <w:t xml:space="preserve">Provide a description of the change(s) to 'Institutional and implementation arrangements'</w:t>
            </w:r>
          </w:p>
        </w:tc>
      </w:tr>
      <w:tr>
        <w:trPr/>
        <w:tc>
          <w:tcPr>
            <w:tcW w:w="10000" w:type="dxa"/>
            <w:gridSpan w:val="1"/>
            <w:noWrap/>
          </w:tcPr>
          <w:p>
            <w:pPr/>
            <w:r>
              <w:rPr>
                <w:i w:val="1"/>
                <w:iCs w:val="1"/>
              </w:rPr>
              <w:t xml:space="preserve">(not set or not applicable)</w:t>
            </w: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D) Financial management</w:t>
            </w:r>
          </w:p>
        </w:tc>
      </w:tr>
      <w:tr>
        <w:trPr/>
        <w:tc>
          <w:tcPr>
            <w:tcW w:w="10000" w:type="dxa"/>
            <w:gridSpan w:val="1"/>
            <w:noWrap/>
          </w:tcPr>
          <w:p>
            <w:pPr/>
            <w:r>
              <w:rPr/>
              <w:t xml:space="preserve">No</w:t>
            </w:r>
          </w:p>
        </w:tc>
      </w:tr>
      <w:tr>
        <w:trPr/>
        <w:tc>
          <w:tcPr>
            <w:tcW w:w="10000" w:type="dxa"/>
            <w:shd w:val="clear" w:fill="#D9D9D9"/>
            <w:noWrap/>
          </w:tcPr>
          <w:p>
            <w:pPr/>
            <w:r>
              <w:rPr>
                <w:b w:val="1"/>
                <w:bCs w:val="1"/>
              </w:rPr>
              <w:t xml:space="preserve">Provide a description of the change(s) to 'Financial Management'</w:t>
            </w:r>
          </w:p>
        </w:tc>
      </w:tr>
      <w:tr>
        <w:trPr/>
        <w:tc>
          <w:tcPr>
            <w:tcW w:w="10000" w:type="dxa"/>
            <w:gridSpan w:val="1"/>
            <w:noWrap/>
          </w:tcPr>
          <w:p>
            <w:pPr/>
            <w:r>
              <w:rPr>
                <w:i w:val="1"/>
                <w:iCs w:val="1"/>
              </w:rPr>
              <w:t xml:space="preserve">(not set or not applicable)</w:t>
            </w: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E) Implementation schedule</w:t>
            </w:r>
          </w:p>
        </w:tc>
      </w:tr>
      <w:tr>
        <w:trPr/>
        <w:tc>
          <w:tcPr>
            <w:tcW w:w="10000" w:type="dxa"/>
            <w:gridSpan w:val="1"/>
            <w:noWrap/>
          </w:tcPr>
          <w:p>
            <w:pPr/>
            <w:r>
              <w:rPr/>
              <w:t xml:space="preserve">No</w:t>
            </w:r>
          </w:p>
        </w:tc>
      </w:tr>
      <w:tr>
        <w:trPr/>
        <w:tc>
          <w:tcPr>
            <w:tcW w:w="10000" w:type="dxa"/>
            <w:shd w:val="clear" w:fill="#D9D9D9"/>
            <w:noWrap/>
          </w:tcPr>
          <w:p>
            <w:pPr/>
            <w:r>
              <w:rPr>
                <w:b w:val="1"/>
                <w:bCs w:val="1"/>
              </w:rPr>
              <w:t xml:space="preserve">Provide a description of the change(s) to 'Implementation schedule'</w:t>
            </w:r>
          </w:p>
        </w:tc>
      </w:tr>
      <w:tr>
        <w:trPr/>
        <w:tc>
          <w:tcPr>
            <w:tcW w:w="10000" w:type="dxa"/>
            <w:gridSpan w:val="1"/>
            <w:noWrap/>
          </w:tcPr>
          <w:p>
            <w:pPr/>
            <w:r>
              <w:rPr>
                <w:i w:val="1"/>
                <w:iCs w:val="1"/>
              </w:rPr>
              <w:t xml:space="preserve">(not set or not applicable)</w:t>
            </w: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F) Executing Entity</w:t>
            </w:r>
          </w:p>
        </w:tc>
      </w:tr>
      <w:tr>
        <w:trPr/>
        <w:tc>
          <w:tcPr>
            <w:tcW w:w="10000" w:type="dxa"/>
            <w:gridSpan w:val="1"/>
            <w:noWrap/>
          </w:tcPr>
          <w:p>
            <w:pPr/>
            <w:r>
              <w:rPr/>
              <w:t xml:space="preserve">No</w:t>
            </w:r>
          </w:p>
        </w:tc>
      </w:tr>
      <w:tr>
        <w:trPr/>
        <w:tc>
          <w:tcPr>
            <w:tcW w:w="10000" w:type="dxa"/>
            <w:shd w:val="clear" w:fill="#D9D9D9"/>
            <w:noWrap/>
          </w:tcPr>
          <w:p>
            <w:pPr/>
            <w:r>
              <w:rPr>
                <w:b w:val="1"/>
                <w:bCs w:val="1"/>
              </w:rPr>
              <w:t xml:space="preserve">Provide a description of the change(s) to 'Executing Entity'</w:t>
            </w:r>
          </w:p>
        </w:tc>
      </w:tr>
      <w:tr>
        <w:trPr/>
        <w:tc>
          <w:tcPr>
            <w:tcW w:w="10000" w:type="dxa"/>
            <w:gridSpan w:val="1"/>
            <w:noWrap/>
          </w:tcPr>
          <w:p>
            <w:pPr/>
            <w:r>
              <w:rPr>
                <w:i w:val="1"/>
                <w:iCs w:val="1"/>
              </w:rPr>
              <w:t xml:space="preserve">(not set or not applicable)</w:t>
            </w: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G) Executing Entity Category</w:t>
            </w:r>
          </w:p>
        </w:tc>
      </w:tr>
      <w:tr>
        <w:trPr/>
        <w:tc>
          <w:tcPr>
            <w:tcW w:w="10000" w:type="dxa"/>
            <w:gridSpan w:val="1"/>
            <w:noWrap/>
          </w:tcPr>
          <w:p>
            <w:pPr/>
            <w:r>
              <w:rPr/>
              <w:t xml:space="preserve">No</w:t>
            </w:r>
          </w:p>
        </w:tc>
      </w:tr>
      <w:tr>
        <w:trPr/>
        <w:tc>
          <w:tcPr>
            <w:tcW w:w="10000" w:type="dxa"/>
            <w:shd w:val="clear" w:fill="#D9D9D9"/>
            <w:noWrap/>
          </w:tcPr>
          <w:p>
            <w:pPr/>
            <w:r>
              <w:rPr>
                <w:b w:val="1"/>
                <w:bCs w:val="1"/>
              </w:rPr>
              <w:t xml:space="preserve">Provide a description of the change(s) to 'Executing Entity Category'</w:t>
            </w:r>
          </w:p>
        </w:tc>
      </w:tr>
      <w:tr>
        <w:trPr/>
        <w:tc>
          <w:tcPr>
            <w:tcW w:w="10000" w:type="dxa"/>
            <w:gridSpan w:val="1"/>
            <w:noWrap/>
          </w:tcPr>
          <w:p>
            <w:pPr/>
            <w:r>
              <w:rPr>
                <w:i w:val="1"/>
                <w:iCs w:val="1"/>
              </w:rPr>
              <w:t xml:space="preserve">(not set or not applicable)</w:t>
            </w: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H) Minor project objective change</w:t>
            </w:r>
          </w:p>
        </w:tc>
      </w:tr>
      <w:tr>
        <w:trPr/>
        <w:tc>
          <w:tcPr>
            <w:tcW w:w="10000" w:type="dxa"/>
            <w:gridSpan w:val="1"/>
            <w:noWrap/>
          </w:tcPr>
          <w:p>
            <w:pPr/>
            <w:r>
              <w:rPr/>
              <w:t xml:space="preserve">No</w:t>
            </w:r>
          </w:p>
        </w:tc>
      </w:tr>
      <w:tr>
        <w:trPr/>
        <w:tc>
          <w:tcPr>
            <w:tcW w:w="10000" w:type="dxa"/>
            <w:shd w:val="clear" w:fill="#D9D9D9"/>
            <w:noWrap/>
          </w:tcPr>
          <w:p>
            <w:pPr/>
            <w:r>
              <w:rPr>
                <w:b w:val="1"/>
                <w:bCs w:val="1"/>
              </w:rPr>
              <w:t xml:space="preserve">Provide a description of the change(s) to 'minor project objective change'</w:t>
            </w:r>
          </w:p>
        </w:tc>
      </w:tr>
      <w:tr>
        <w:trPr/>
        <w:tc>
          <w:tcPr>
            <w:tcW w:w="10000" w:type="dxa"/>
            <w:gridSpan w:val="1"/>
            <w:noWrap/>
          </w:tcPr>
          <w:p>
            <w:pPr/>
            <w:r>
              <w:rPr>
                <w:i w:val="1"/>
                <w:iCs w:val="1"/>
              </w:rPr>
              <w:t xml:space="preserve">(not set or not applicable)</w:t>
            </w: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I) Safeguards</w:t>
            </w:r>
          </w:p>
        </w:tc>
      </w:tr>
      <w:tr>
        <w:trPr/>
        <w:tc>
          <w:tcPr>
            <w:tcW w:w="10000" w:type="dxa"/>
            <w:gridSpan w:val="1"/>
            <w:noWrap/>
          </w:tcPr>
          <w:p>
            <w:pPr/>
            <w:r>
              <w:rPr/>
              <w:t xml:space="preserve">No</w:t>
            </w:r>
          </w:p>
        </w:tc>
      </w:tr>
      <w:tr>
        <w:trPr/>
        <w:tc>
          <w:tcPr>
            <w:tcW w:w="10000" w:type="dxa"/>
            <w:shd w:val="clear" w:fill="#D9D9D9"/>
            <w:noWrap/>
          </w:tcPr>
          <w:p>
            <w:pPr/>
            <w:r>
              <w:rPr>
                <w:b w:val="1"/>
                <w:bCs w:val="1"/>
              </w:rPr>
              <w:t xml:space="preserve">Provide a description of the change(s) to 'Safeguards'</w:t>
            </w:r>
          </w:p>
        </w:tc>
      </w:tr>
      <w:tr>
        <w:trPr/>
        <w:tc>
          <w:tcPr>
            <w:tcW w:w="10000" w:type="dxa"/>
            <w:gridSpan w:val="1"/>
            <w:noWrap/>
          </w:tcPr>
          <w:p>
            <w:pPr/>
            <w:r>
              <w:rPr>
                <w:i w:val="1"/>
                <w:iCs w:val="1"/>
              </w:rPr>
              <w:t xml:space="preserve">(not set or not applicable)</w:t>
            </w: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J) Risk Analysis</w:t>
            </w:r>
          </w:p>
        </w:tc>
      </w:tr>
      <w:tr>
        <w:trPr/>
        <w:tc>
          <w:tcPr>
            <w:tcW w:w="10000" w:type="dxa"/>
            <w:gridSpan w:val="1"/>
            <w:noWrap/>
          </w:tcPr>
          <w:p>
            <w:pPr/>
            <w:r>
              <w:rPr/>
              <w:t xml:space="preserve">No</w:t>
            </w:r>
          </w:p>
        </w:tc>
      </w:tr>
      <w:tr>
        <w:trPr/>
        <w:tc>
          <w:tcPr>
            <w:tcW w:w="10000" w:type="dxa"/>
            <w:shd w:val="clear" w:fill="#D9D9D9"/>
            <w:noWrap/>
          </w:tcPr>
          <w:p>
            <w:pPr/>
            <w:r>
              <w:rPr>
                <w:b w:val="1"/>
                <w:bCs w:val="1"/>
              </w:rPr>
              <w:t xml:space="preserve">Provide a description of the change(s) to 'Risk Analysis'</w:t>
            </w:r>
          </w:p>
        </w:tc>
      </w:tr>
      <w:tr>
        <w:trPr/>
        <w:tc>
          <w:tcPr>
            <w:tcW w:w="10000" w:type="dxa"/>
            <w:gridSpan w:val="1"/>
            <w:noWrap/>
          </w:tcPr>
          <w:p>
            <w:pPr/>
            <w:r>
              <w:rPr>
                <w:i w:val="1"/>
                <w:iCs w:val="1"/>
              </w:rPr>
              <w:t xml:space="preserve">(not set or not applicable)</w:t>
            </w: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K) Increase of GEF project financing up to 5%</w:t>
            </w:r>
          </w:p>
        </w:tc>
      </w:tr>
      <w:tr>
        <w:trPr/>
        <w:tc>
          <w:tcPr>
            <w:tcW w:w="10000" w:type="dxa"/>
            <w:gridSpan w:val="1"/>
            <w:noWrap/>
          </w:tcPr>
          <w:p>
            <w:pPr/>
            <w:r>
              <w:rPr/>
              <w:t xml:space="preserve">No</w:t>
            </w:r>
          </w:p>
        </w:tc>
      </w:tr>
      <w:tr>
        <w:trPr/>
        <w:tc>
          <w:tcPr>
            <w:tcW w:w="10000" w:type="dxa"/>
            <w:shd w:val="clear" w:fill="#D9D9D9"/>
            <w:noWrap/>
          </w:tcPr>
          <w:p>
            <w:pPr/>
            <w:r>
              <w:rPr>
                <w:b w:val="1"/>
                <w:bCs w:val="1"/>
              </w:rPr>
              <w:t xml:space="preserve">Provide a description of the change to GEF project financing up to 5%</w:t>
            </w:r>
          </w:p>
        </w:tc>
      </w:tr>
      <w:tr>
        <w:trPr/>
        <w:tc>
          <w:tcPr>
            <w:tcW w:w="10000" w:type="dxa"/>
            <w:gridSpan w:val="1"/>
            <w:noWrap/>
          </w:tcPr>
          <w:p>
            <w:pPr/>
            <w:r>
              <w:rPr>
                <w:i w:val="1"/>
                <w:iCs w:val="1"/>
              </w:rPr>
              <w:t xml:space="preserve">(not set or not applicable)</w:t>
            </w: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L) Co-financing</w:t>
            </w:r>
          </w:p>
        </w:tc>
      </w:tr>
      <w:tr>
        <w:trPr/>
        <w:tc>
          <w:tcPr>
            <w:tcW w:w="10000" w:type="dxa"/>
            <w:gridSpan w:val="1"/>
            <w:noWrap/>
          </w:tcPr>
          <w:p>
            <w:pPr/>
            <w:r>
              <w:rPr/>
              <w:t xml:space="preserve">No</w:t>
            </w:r>
          </w:p>
        </w:tc>
      </w:tr>
      <w:tr>
        <w:trPr/>
        <w:tc>
          <w:tcPr>
            <w:tcW w:w="10000" w:type="dxa"/>
            <w:shd w:val="clear" w:fill="#D9D9D9"/>
            <w:noWrap/>
          </w:tcPr>
          <w:p>
            <w:pPr/>
            <w:r>
              <w:rPr>
                <w:b w:val="1"/>
                <w:bCs w:val="1"/>
              </w:rPr>
              <w:t xml:space="preserve">Provide a description of the change(s) to 'Co-financing'</w:t>
            </w:r>
          </w:p>
        </w:tc>
      </w:tr>
      <w:tr>
        <w:trPr/>
        <w:tc>
          <w:tcPr>
            <w:tcW w:w="10000" w:type="dxa"/>
            <w:gridSpan w:val="1"/>
            <w:noWrap/>
          </w:tcPr>
          <w:p>
            <w:pPr/>
            <w:r>
              <w:rPr>
                <w:i w:val="1"/>
                <w:iCs w:val="1"/>
              </w:rPr>
              <w:t xml:space="preserve">(not set or not applicable)</w:t>
            </w: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M) Location of project activity</w:t>
            </w:r>
          </w:p>
        </w:tc>
      </w:tr>
      <w:tr>
        <w:trPr/>
        <w:tc>
          <w:tcPr>
            <w:tcW w:w="10000" w:type="dxa"/>
            <w:gridSpan w:val="1"/>
            <w:noWrap/>
          </w:tcPr>
          <w:p>
            <w:pPr/>
            <w:r>
              <w:rPr/>
              <w:t xml:space="preserve">No</w:t>
            </w:r>
          </w:p>
        </w:tc>
      </w:tr>
      <w:tr>
        <w:trPr/>
        <w:tc>
          <w:tcPr>
            <w:tcW w:w="10000" w:type="dxa"/>
            <w:shd w:val="clear" w:fill="#D9D9D9"/>
            <w:noWrap/>
          </w:tcPr>
          <w:p>
            <w:pPr/>
            <w:r>
              <w:rPr>
                <w:b w:val="1"/>
                <w:bCs w:val="1"/>
              </w:rPr>
              <w:t xml:space="preserve">Provide a description of the change(s) to project location activity</w:t>
            </w:r>
          </w:p>
        </w:tc>
      </w:tr>
      <w:tr>
        <w:trPr/>
        <w:tc>
          <w:tcPr>
            <w:tcW w:w="10000" w:type="dxa"/>
            <w:gridSpan w:val="1"/>
            <w:noWrap/>
          </w:tcPr>
          <w:p>
            <w:pPr/>
            <w:r>
              <w:rPr>
                <w:i w:val="1"/>
                <w:iCs w:val="1"/>
              </w:rPr>
              <w:t xml:space="preserve">(not set or not applicable)</w:t>
            </w: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Please provide a description of other types of minor amendments that do not fall under any of the above categories. For example, minor changes to the project's Gender Action Plan and/or gender activities can be captured here.</w:t>
            </w:r>
          </w:p>
        </w:tc>
      </w:tr>
      <w:tr>
        <w:trPr/>
        <w:tc>
          <w:tcPr>
            <w:tcW w:w="10000" w:type="dxa"/>
            <w:gridSpan w:val="1"/>
            <w:noWrap/>
          </w:tcPr>
          <w:p>
            <w:pPr/>
            <w:r>
              <w:rPr>
                <w:i w:val="1"/>
                <w:iCs w:val="1"/>
              </w:rPr>
              <w:t xml:space="preserve">(not set or not applicable)</w:t>
            </w:r>
          </w:p>
        </w:tc>
      </w:tr>
    </w:tbl>
    <w:p>
      <w:pPr>
        <w:sectPr>
          <w:pgSz w:orient="portrait" w:w="11905.511811023622" w:h="16837.79527559055"/>
          <w:pgMar w:top="1440" w:right="1440" w:bottom="1440" w:left="1440" w:header="720" w:footer="720" w:gutter="0"/>
          <w:cols w:num="1" w:space="720"/>
        </w:sectPr>
      </w:pPr>
    </w:p>
    <w:p>
      <w:pPr>
        <w:pStyle w:val="Heading1"/>
      </w:pPr>
      <w:bookmarkStart w:id="10" w:name="_Toc10"/>
      <w:r>
        <w:t>Gender</w:t>
      </w:r>
      <w:bookmarkEnd w:id="10"/>
    </w:p>
    <w:p>
      <w:pPr>
        <w:pStyle w:val="Heading2"/>
      </w:pPr>
      <w:bookmarkStart w:id="11" w:name="_Toc11"/>
      <w:r>
        <w:t>Progress in Advancing Gender Equality and Women's Empowerment</w:t>
      </w:r>
      <w:bookmarkEnd w:id="11"/>
    </w:p>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1) Please review the project's Gender Analysis and Action Plan.  If the document is not attached or an updated Gender Analysis and/or Gender Action Plan is available please upload the document below or send to the Regional Programme Associate to upload in PIMS+. Please note that all projects approved since 1 July 2014 are required to carry out a gender analysis and all projects approved since 1 July 2018 are required to have a gender analysis and action plan.</w:t>
            </w:r>
          </w:p>
        </w:tc>
      </w:tr>
      <w:tr>
        <w:trPr/>
        <w:tc>
          <w:tcPr>
            <w:tcW w:w="10000" w:type="dxa"/>
            <w:noWrap/>
          </w:tcPr>
          <w:p>
            <w:pPr>
              <w:spacing w:before="0" w:after="0"/>
            </w:pPr>
            <w:r>
              <w:rPr/>
              <w:t xml:space="preserve">Ge.1 GRM _ SES Training _Tsirang_.pdf</w:t>
            </w:r>
          </w:p>
          <w:p>
            <w:pPr>
              <w:spacing w:before="0" w:after="0"/>
            </w:pPr>
            <w:r>
              <w:rPr/>
              <w:t xml:space="preserve">Ge.10 SMART Agriculture.pdf</w:t>
            </w:r>
          </w:p>
          <w:p>
            <w:pPr>
              <w:spacing w:before="0" w:after="0"/>
            </w:pPr>
            <w:r>
              <w:rPr/>
              <w:t xml:space="preserve">Ge.2 GRM _SES Training _Gasa and PMU_.pdf</w:t>
            </w:r>
          </w:p>
          <w:p>
            <w:pPr>
              <w:spacing w:before="0" w:after="0"/>
            </w:pPr>
            <w:r>
              <w:rPr/>
              <w:t xml:space="preserve">Ge.3 GRM _SES Training _Punakha_.pdf</w:t>
            </w:r>
          </w:p>
          <w:p>
            <w:pPr>
              <w:spacing w:before="0" w:after="0"/>
            </w:pPr>
            <w:r>
              <w:rPr/>
              <w:t xml:space="preserve">Ge.4 GRM-SESP-ESMP Training.pdf</w:t>
            </w:r>
          </w:p>
          <w:p>
            <w:pPr>
              <w:spacing w:before="0" w:after="0"/>
            </w:pPr>
            <w:r>
              <w:rPr/>
              <w:t xml:space="preserve">Ge.5 Hands-0n Design Workshop for Urban and Rural Water Supply System.pdf</w:t>
            </w:r>
          </w:p>
          <w:p>
            <w:pPr>
              <w:spacing w:before="0" w:after="0"/>
            </w:pPr>
            <w:r>
              <w:rPr/>
              <w:t xml:space="preserve">Ge.6 Nursery development _ Gasa_.pdf</w:t>
            </w:r>
          </w:p>
          <w:p>
            <w:pPr>
              <w:spacing w:before="0" w:after="0"/>
            </w:pPr>
            <w:r>
              <w:rPr/>
              <w:t xml:space="preserve">Ge.7 Planning, Design and Implementation of Climate Resilient Drinking Water  Infrastructure..pdf</w:t>
            </w:r>
          </w:p>
          <w:p>
            <w:pPr>
              <w:spacing w:before="0" w:after="0"/>
            </w:pPr>
            <w:r>
              <w:rPr/>
              <w:t xml:space="preserve">Ge.8 Study visit on climate change impacts on WSS and its adaptive measures_innovation technology.pdf</w:t>
            </w:r>
          </w:p>
          <w:p>
            <w:pPr>
              <w:spacing w:before="0" w:after="0"/>
            </w:pPr>
            <w:r>
              <w:rPr/>
              <w:t xml:space="preserve">Ge.9 Water Supply Design software_ EPANET, GIS and SCADA.pdf</w:t>
            </w:r>
          </w:p>
          <w:p>
            <w:pP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gridSpan w:val="1"/>
            <w:noWrap/>
          </w:tcPr>
          <w:p>
            <w:pPr/>
            <w:r>
              <w:rPr>
                <w:b w:val="1"/>
                <w:bCs w:val="1"/>
              </w:rPr>
              <w:t xml:space="preserve">Quantum Gender Marker Rating</w:t>
            </w:r>
          </w:p>
        </w:tc>
      </w:tr>
      <w:tr>
        <w:trPr/>
        <w:tc>
          <w:tcPr>
            <w:tcW w:w="10000" w:type="dxa"/>
            <w:noWrap/>
          </w:tcPr>
          <w:p>
            <w:pPr/>
            <w:r>
              <w:rPr>
                <w:b w:val="1"/>
                <w:bCs w:val="1"/>
              </w:rPr>
              <w:t xml:space="preserve">GEN2: </w:t>
            </w:r>
            <w:r>
              <w:rPr/>
              <w:t xml:space="preserve">Gender equality as significant objective</w:t>
            </w: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2) Please indicate in which results areas the project is contributing to gender equality (you may select more than one results area, or select not applicable):</w:t>
            </w:r>
          </w:p>
        </w:tc>
      </w:tr>
      <w:tr>
        <w:trPr/>
        <w:tc>
          <w:tcPr>
            <w:tcW w:w="10000" w:type="dxa"/>
            <w:gridSpan w:val="1"/>
            <w:noWrap/>
          </w:tcPr>
          <w:p>
            <w:pPr/>
            <w:r>
              <w:rPr/>
              <w:t xml:space="preserve">Contributing to closing gender gaps in access to and control over resources: No</w:t>
            </w:r>
          </w:p>
        </w:tc>
      </w:tr>
      <w:tr>
        <w:trPr/>
        <w:tc>
          <w:tcPr>
            <w:tcW w:w="10000" w:type="dxa"/>
            <w:gridSpan w:val="1"/>
            <w:noWrap/>
          </w:tcPr>
          <w:p>
            <w:pPr/>
            <w:r>
              <w:rPr/>
              <w:t xml:space="preserve">Improving the participation and decision-making of women in natural resource governance: Yes</w:t>
            </w:r>
          </w:p>
        </w:tc>
      </w:tr>
      <w:tr>
        <w:trPr/>
        <w:tc>
          <w:tcPr>
            <w:tcW w:w="10000" w:type="dxa"/>
            <w:gridSpan w:val="1"/>
            <w:noWrap/>
          </w:tcPr>
          <w:p>
            <w:pPr/>
            <w:r>
              <w:rPr/>
              <w:t xml:space="preserve">Targeting socio-economic benefits and services for women: No</w:t>
            </w:r>
          </w:p>
        </w:tc>
      </w:tr>
      <w:tr>
        <w:trPr/>
        <w:tc>
          <w:tcPr>
            <w:tcW w:w="10000" w:type="dxa"/>
            <w:gridSpan w:val="1"/>
            <w:noWrap/>
          </w:tcPr>
          <w:p>
            <w:pPr/>
            <w:r>
              <w:rPr/>
              <w:t xml:space="preserve">Not applicable: No</w:t>
            </w: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3) Please specify results achieved this reporting period that focus on increasing gender equality and the empowerment of women.</w:t>
            </w:r>
          </w:p>
          <w:p>
            <w:pPr/>
            <w:r>
              <w:rPr>
                <w:b w:val="1"/>
                <w:bCs w:val="1"/>
              </w:rPr>
              <w:t xml:space="preserve"/>
            </w:r>
          </w:p>
          <w:p>
            <w:pPr/>
            <w:r>
              <w:rPr>
                <w:b w:val="1"/>
                <w:bCs w:val="1"/>
              </w:rPr>
              <w:t xml:space="preserve">Please explain how the results reported addressed the different needs of men or women, changed norms, values, and power structures, and/or contributed to transforming or challenging gender inequalities and discrimination.</w:t>
            </w:r>
          </w:p>
        </w:tc>
      </w:tr>
      <w:tr>
        <w:trPr/>
        <w:tc>
          <w:tcPr>
            <w:tcW w:w="10000" w:type="dxa"/>
            <w:gridSpan w:val="1"/>
            <w:noWrap/>
          </w:tcPr>
          <w:p>
            <w:pPr/>
            <w:r>
              <w:rPr/>
              <w:t xml:space="preserve">Project reporting templates now include sex-disaggregated data and indicators on gender equity, embedding accountability for outcomes across teams.  In  addition, it is integrated into monitoring frameworks to track progress on women’s participation and access to benefit sharing.</w:t>
            </w:r>
          </w:p>
          <w:p>
            <w:pPr/>
            <w:r>
              <w:rPr/>
              <w:t xml:space="preserve">Women’s participation is actively encouraged in consultation meetings, training, and other project activities to support gender mainstreaming throughout implementation. This approach ensures that women's voices are heard, their needs are addressed, and they are meaningfully included in decision-making processes.</w:t>
            </w:r>
          </w:p>
          <w:p>
            <w:pPr/>
            <w:r>
              <w:rPr/>
              <w:t xml:space="preserve">A female trainer was recruited during this reporting period to lead community training sessions on gender, GRM, social and environmental safeguards. Her presence served as a positive role model, gaining respect from the community and encouraging greater female participation. This helped to challenge traditional gender norms, promote women's leadership, and support broader gender equality and empowerment goals within the project area.</w:t>
            </w:r>
          </w:p>
          <w:p>
            <w:pPr/>
            <w:r>
              <w:rPr/>
              <w:t xml:space="preserve">The Project Manager and her UNDP counterpart are both female, which has significantly contributed to gender acceptance and visibility of women in leadership roles. Their positions have reinforced positive perceptions of women's capabilities, supported gender mainstreaming efforts, and encouraged broader community acceptance of gender equality within the project context. Further,  a Gender Focal Point has been identified within the PMU for  ensuring gender is integrated in the activities.</w:t>
            </w:r>
          </w:p>
          <w:p>
            <w:pPr/>
            <w:r>
              <w:rPr/>
              <w:t xml:space="preserve">Through these measures, the project addressed both practical gender needs (such as access to water, time-saving technologies, and training) and strategic interests (such as leadership, voice, and agency). The results contributed to challenging discriminatory norms, expanding women’s decision-making power, and fostering a more equitable distribution of roles and resources—advancing the project’s overarching commitment to gender equality.</w:t>
            </w:r>
          </w:p>
          <w:p>
            <w:pPr/>
            <w:r>
              <w:rPr/>
              <w:t xml:space="preserve"/>
            </w: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4) Please describe how work to advance gender equality and women's empowerment enhanced the project's environmental and/or resilience outcomes.</w:t>
            </w:r>
          </w:p>
        </w:tc>
      </w:tr>
      <w:tr>
        <w:trPr/>
        <w:tc>
          <w:tcPr>
            <w:tcW w:w="10000" w:type="dxa"/>
            <w:gridSpan w:val="1"/>
            <w:noWrap/>
          </w:tcPr>
          <w:p>
            <w:pPr/>
            <w:r>
              <w:rPr/>
              <w:t xml:space="preserve">By ensuring women’s active participation in watershed management, biodiversity protection, and climate-resilient planning, the project has benefited from diverse local knowledge and sustainable practices traditionally managed by women, such as water conservation and natural resource stewardship. The following are some of the examples on how gender is being mainstreamed from project planning phase:</w:t>
            </w:r>
          </w:p>
          <w:p>
            <w:pPr/>
            <w:r>
              <w:rPr/>
              <w:t xml:space="preserve"/>
            </w:r>
          </w:p>
          <w:p>
            <w:pPr/>
            <w:r>
              <w:rPr/>
              <w:t xml:space="preserve">-	Under the project, Gender analysis has been carried out and a Gender Action Plan prepared for the project which ensures that women’s needs in the project have been identified.</w:t>
            </w:r>
          </w:p>
          <w:p>
            <w:pPr/>
            <w:r>
              <w:rPr/>
              <w:t xml:space="preserve">-	The presence of the  female representation in the  GRM committee  is to be ensured to promote easy access and confidentiality in GBV cases  as per the Terms of Reference. Furthermore, there is  integration of GAP with GRM at the Districts  indicating an inclusive approach to addressing grievances by gender focal being part of the GRM committee.</w:t>
            </w:r>
          </w:p>
          <w:p>
            <w:pPr/>
            <w:r>
              <w:rPr/>
              <w:t xml:space="preserve">-	 Distribution of the agricultural materials to female headed households.</w:t>
            </w:r>
          </w:p>
          <w:p>
            <w:pPr/>
            <w:r>
              <w:rPr/>
              <w:t xml:space="preserve">-	Targeted focus group discussions during ESMP consultations ensured gender and vulnerable group inclusion, resulting in 75 nuns under Dorangthang Nunnery being included as beneficiaries from Lobesa Water Supply Scheme, Punakha District.</w:t>
            </w:r>
          </w:p>
          <w:p>
            <w:pPr/>
            <w:r>
              <w:rPr/>
              <w:t xml:space="preserve">-	Gender-disaggregated data was maintained to ensure inclusive representation during  consultations, meetings, training, workshops etc.</w:t>
            </w:r>
          </w:p>
          <w:p>
            <w:pPr/>
            <w:r>
              <w:rPr/>
              <w:t xml:space="preserve">-	As per the ESMPs developed, the contractor is required to ensure gender friendly worker accommodation, prohibits sexual harassment, discrimination and ensure gender equality in terms of equal pay for equal work.</w:t>
            </w:r>
          </w:p>
          <w:p>
            <w:pPr/>
            <w:r>
              <w:rPr/>
              <w:t xml:space="preserve">-	Training conducted on gender and GRM process for communities and community leaders on the importance of Gender equality and the benefits of women's participation and seek their support to promote gender inclusion.</w:t>
            </w:r>
          </w:p>
          <w:p>
            <w:pPr/>
            <w:r>
              <w:rPr/>
              <w:t xml:space="preserve"/>
            </w:r>
          </w:p>
        </w:tc>
      </w:tr>
    </w:tbl>
    <w:p>
      <w:pPr>
        <w:sectPr>
          <w:pgSz w:orient="portrait" w:w="11905.511811023622" w:h="16837.79527559055"/>
          <w:pgMar w:top="1440" w:right="1440" w:bottom="1440" w:left="1440" w:header="720" w:footer="720" w:gutter="0"/>
          <w:cols w:num="1" w:space="720"/>
        </w:sectPr>
      </w:pPr>
    </w:p>
    <w:p>
      <w:pPr>
        <w:pStyle w:val="Heading1"/>
      </w:pPr>
      <w:bookmarkStart w:id="12" w:name="_Toc12"/>
      <w:r>
        <w:t>Risk Management</w:t>
      </w:r>
      <w:bookmarkEnd w:id="12"/>
    </w:p>
    <w:p>
      <w:pPr>
        <w:pStyle w:val="Heading2"/>
      </w:pPr>
      <w:bookmarkStart w:id="13" w:name="_Toc13"/>
      <w:r>
        <w:t>A) Overall Risk Management</w:t>
      </w:r>
      <w:bookmarkEnd w:id="13"/>
    </w:p>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BPPS RTA: Please discuss the risks flagged in the Quantum project Risk Register and the VF Risk Dashboard in PIMS+ with the CO and then provide an assessment of project risk management undertaken during the  reporting period. Document actions, agreed with the CO, to address all project risks in the coming year.</w:t>
            </w:r>
          </w:p>
          <w:p>
            <w:pPr/>
            <w:r>
              <w:rPr>
                <w:b w:val="1"/>
                <w:bCs w:val="1"/>
              </w:rPr>
              <w:t xml:space="preserve"/>
            </w:r>
          </w:p>
        </w:tc>
      </w:tr>
      <w:tr>
        <w:trPr/>
        <w:tc>
          <w:tcPr>
            <w:tcW w:w="10000" w:type="dxa"/>
            <w:gridSpan w:val="1"/>
            <w:noWrap/>
          </w:tcPr>
          <w:p>
            <w:pPr/>
            <w:r>
              <w:rPr/>
              <w:t xml:space="preserve">The RTA and SES TA had a call with the CO and are pleased to confirm that risks are being actively monitored, and mitigation measures are implemented as needed.</w:t>
            </w:r>
          </w:p>
          <w:p>
            <w:pPr/>
            <w:r>
              <w:rPr/>
              <w:t xml:space="preserve"/>
            </w:r>
          </w:p>
          <w:p>
            <w:pPr/>
            <w:r>
              <w:rPr/>
              <w:t xml:space="preserve">The SES Advisor provided further recommendations to strengthen implementation under the risk section of the PIR. The project team is encouraged to ensure timely implementation of those SES recommendations.</w:t>
            </w:r>
          </w:p>
        </w:tc>
      </w:tr>
    </w:tbl>
    <w:p>
      <w:pPr>
        <w:pStyle w:val="Heading2"/>
      </w:pPr>
      <w:bookmarkStart w:id="14" w:name="_Toc14"/>
      <w:r>
        <w:t>B) SES Implementation</w:t>
      </w:r>
      <w:bookmarkEnd w:id="14"/>
    </w:p>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2b) Provide an update on progress, challenges and outcomes related to stakeholder engagement based on the description in the Stakeholder Engagement Plan or equivalent documentation submitted at CEO Endorsement/Approval.</w:t>
            </w:r>
          </w:p>
        </w:tc>
      </w:tr>
      <w:tr>
        <w:trPr/>
        <w:tc>
          <w:tcPr>
            <w:tcW w:w="10000" w:type="dxa"/>
            <w:gridSpan w:val="1"/>
            <w:noWrap/>
          </w:tcPr>
          <w:p>
            <w:pPr/>
            <w:r>
              <w:rPr/>
              <w:t xml:space="preserve">Extensive and in-depth consultations have been held with stakeholders at both the project formulation and implementation phase as follows:</w:t>
            </w:r>
          </w:p>
          <w:p>
            <w:pPr/>
            <w:r>
              <w:rPr/>
              <w:t xml:space="preserve"/>
            </w:r>
          </w:p>
          <w:p>
            <w:pPr/>
            <w:r>
              <w:rPr/>
              <w:t xml:space="preserve">The inception meeting was conducted on 18-19 September, 2023 to engage stakeholders, share project information, clarify roles, and gather initial feedback between the project team and stakeholders.</w:t>
            </w:r>
          </w:p>
          <w:p>
            <w:pPr/>
            <w:r>
              <w:rPr/>
              <w:t xml:space="preserve">During the development of the ESMPs for the four project sites in Gasa, Tsirang, and Punakha Districts, consultation meetings were held with stakeholders, including women and vulnerable groups. As a result, more beneficiaries who were previously overlooked during the project planning phase were included.</w:t>
            </w:r>
          </w:p>
          <w:p>
            <w:pPr/>
            <w:r>
              <w:rPr/>
              <w:t xml:space="preserve">Communities, including women and vulnerable groups, were trained on the GRM process and safeguards (Social and Environment) to empower their participation and ensure their voices are heard in project decision-making.</w:t>
            </w:r>
          </w:p>
          <w:p>
            <w:pPr/>
            <w:r>
              <w:rPr/>
              <w:t xml:space="preserve">The local government conducted consultation meetings with communities and relevant agencies to disseminate project information, gather stakeholder feedback, and secure social, environment and forestry clearances prior to the commencement of on-site activities.</w:t>
            </w:r>
          </w:p>
          <w:p>
            <w:pPr/>
            <w:r>
              <w:rPr/>
              <w:t xml:space="preserve">The work at the four sites has been awarded to contractors, and the procuring agency (Tsirang, Punakha and Gasa Districts) maintains regular communication with them to promptly address and resolve any issues during implementation, helping to expedite project progress. Additionally, contractors engage regularly with local communities to ensure the work does not adversely affect them.</w:t>
            </w:r>
          </w:p>
          <w:p>
            <w:pPr/>
            <w:r>
              <w:rPr/>
              <w:t xml:space="preserve">Site monitoring visits have been conducted on a need basis by the project team and local authorities to ensure that activities at the site comply with the project's safeguard requirements, as part of the Stakeholder Engagement Plan.</w:t>
            </w:r>
          </w:p>
          <w:p>
            <w:pPr/>
            <w:r>
              <w:rPr/>
              <w:t xml:space="preserve">Project Steering Committee(PSC), comprising members from the Ministry of Infrastructure and Transport, Ministry of Finance, UNDP and Local Governments of Punakha, Tsirang and Gasa Districts, was established to oversee the project's overall direction, ensure accountability, and support inclusive stakeholder participation. To date, three Project Steering Committee (PSC) meetings have been conducted to guide and monitor project implementation.</w:t>
            </w:r>
          </w:p>
          <w:p>
            <w:pPr/>
            <w:r>
              <w:rPr/>
              <w:t xml:space="preserve">Five quarterly meetings are held to share information, lessons learned, and best practices among project teams and stakeholders. These sessions provide a platform for open communication and collaboration, enabling stakeholders to exchange ideas and contribute to improving project implementation. This engagement helps replicate successful solutions across all project sites and ensures inclusive participation throughout the project.</w:t>
            </w:r>
          </w:p>
          <w:p>
            <w:pPr/>
            <w:r>
              <w:rPr/>
              <w:t xml:space="preserve">All key stakeholders were identified and categorized according to their influence, interest, and impact levels, as outlined in  the plan. This mapping has informed the communication and engagement strategies. Regular stakeholder meetings, workshops, and consultation sessions have been conducted. Stakeholder input has been actively incorporated into project planning and implementation. For example, concerns raised during early consultations led to adjustments in the  planning, designing and implementation phase. ( Evidence - Training-meeting-workshop/SE.1-SE.14)</w:t>
            </w:r>
          </w:p>
          <w:p>
            <w:pPr/>
            <w:r>
              <w:rPr/>
              <w:t xml:space="preserve">The project has minor challenges  such as usage of technical language in project documents, making it difficult for non-specialist stakeholders to fully understand project implications.</w:t>
            </w:r>
          </w:p>
          <w:p>
            <w:pPr/>
            <w:r>
              <w:rPr/>
              <w:t xml:space="preserve">However, early identification of potential issues through engagement helped mitigate risks. Consistent and transparent communication has strengthened relationships with stakeholders, especially local communities and responsible parties. Stakeholder feedback resulted in a more inclusive and practical implementation strategy. Proactive engagement contributed to higher levels of stakeholder support during critical phases of the project.</w:t>
            </w:r>
          </w:p>
          <w:p>
            <w:pPr/>
            <w:r>
              <w:rPr/>
              <w:t xml:space="preserve"/>
            </w:r>
          </w:p>
          <w:p>
            <w:pPr/>
            <w:r>
              <w:rPr/>
              <w:t xml:space="preserve"/>
            </w:r>
          </w:p>
        </w:tc>
      </w:tr>
    </w:tbl>
    <w:p>
      <w:pPr>
        <w:sectPr>
          <w:pgSz w:orient="portrait" w:w="11905.511811023622" w:h="16837.79527559055"/>
          <w:pgMar w:top="1440" w:right="1440" w:bottom="1440" w:left="1440" w:header="720" w:footer="720" w:gutter="0"/>
          <w:cols w:num="1" w:space="720"/>
        </w:sectPr>
      </w:pPr>
    </w:p>
    <w:p>
      <w:pPr>
        <w:pStyle w:val="Heading1"/>
      </w:pPr>
      <w:bookmarkStart w:id="15" w:name="_Toc15"/>
      <w:r>
        <w:t>Knowledge Management &amp; Communications</w:t>
      </w:r>
      <w:bookmarkEnd w:id="15"/>
    </w:p>
    <w:p>
      <w:pPr>
        <w:spacing w:before="0" w:after="0"/>
      </w:pPr>
      <w:r>
        <w:rPr/>
        <w:t xml:space="preserve"/>
      </w:r>
    </w:p>
    <w:p>
      <w:pPr/>
      <w:r>
        <w:rPr/>
        <w:t xml:space="preserve"> </w:t>
      </w:r>
    </w:p>
    <w:p>
      <w:pPr/>
      <w:r>
        <w:rPr/>
        <w:t xml:space="preserve">The </w:t>
      </w:r>
      <w:r>
        <w:rPr>
          <w:b w:val="1"/>
          <w:bCs w:val="1"/>
        </w:rPr>
        <w:t xml:space="preserve">Project Manager</w:t>
      </w:r>
      <w:r>
        <w:rPr/>
        <w:t xml:space="preserve"> must complete the three questions below.</w:t>
      </w:r>
    </w:p>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1) Please provide progress on the implementation of the project's Knowledge Management approach approved at CEO Endorsement/Approval.  If there is no KM approach/strategy, please comment on how the project is capturing and disseminating best practices and lessons learned.</w:t>
            </w:r>
          </w:p>
          <w:p>
            <w:pPr/>
            <w:r>
              <w:rPr>
                <w:b w:val="1"/>
                <w:bCs w:val="1"/>
              </w:rPr>
              <w:t xml:space="preserve"/>
            </w:r>
          </w:p>
        </w:tc>
      </w:tr>
      <w:tr>
        <w:trPr/>
        <w:tc>
          <w:tcPr>
            <w:tcW w:w="10000" w:type="dxa"/>
            <w:gridSpan w:val="1"/>
            <w:noWrap/>
          </w:tcPr>
          <w:p>
            <w:pPr/>
            <w:r>
              <w:rPr/>
              <w:t xml:space="preserve">The project emphasizes on the documentation of lesson learnt and knowledge management for informed decision-making in projects and organizational learning. The project impacts have been shared through various social media platforms. The ACREWAS project (Advancing Climate Resilience of the Water Sector in Bhutan) integrates knowledge management to enhance climate adaptation strategies, improve water governance, and ensure sustainable resource utilization.</w:t>
            </w:r>
          </w:p>
          <w:p>
            <w:pPr/>
            <w:r>
              <w:rPr/>
              <w:t xml:space="preserve"/>
            </w:r>
          </w:p>
          <w:p>
            <w:pPr/>
            <w:r>
              <w:rPr/>
              <w:t xml:space="preserve">Five quarterly meetings are conducted for information dissemination and knowledge sharing. The lessons learnt including best practices are shared during the meeting as a powerful way to enhance knowledge management and ensure continuous improvement across project sites. This encourages teams from different project sites to share innovations and solutions for replications in other project sites.</w:t>
            </w:r>
          </w:p>
          <w:p>
            <w:pPr/>
            <w:r>
              <w:rPr/>
              <w:t xml:space="preserve"/>
            </w:r>
          </w:p>
          <w:p>
            <w:pPr/>
            <w:r>
              <w:rPr/>
              <w:t xml:space="preserve">Sharing lessons learned and best practices from the ACREWAS project implementation with SAARC member states during climate change and disaster training helped strengthen regional collaboration and preparedness.</w:t>
            </w:r>
          </w:p>
          <w:p>
            <w:pPr/>
            <w:r>
              <w:rPr/>
              <w:t xml:space="preserve"/>
            </w:r>
          </w:p>
          <w:p>
            <w:pPr/>
            <w:r>
              <w:rPr/>
              <w:t xml:space="preserve">Communication Plan developed in consultation with responsible parties for Knowledge Management (KM) sharing to ensure effective dissemination of lessons learned, best practices, and project insights.</w:t>
            </w:r>
          </w:p>
          <w:p>
            <w:pPr/>
            <w:r>
              <w:rPr/>
              <w:t xml:space="preserve"/>
            </w:r>
          </w:p>
          <w:p>
            <w:pPr/>
            <w:r>
              <w:rPr/>
              <w:t xml:space="preserve">A Study visit conducted on “Climate change impacts on Water Supply Systems and its adaptive measure/innovative technologies” to provide stakeholders with hands-on learning experiences and exposure to alternative and innovative approaches in the Operation and Maintenance (O&amp;M) of drinking water and irrigation infrastructure.</w:t>
            </w:r>
          </w:p>
          <w:p>
            <w:pPr/>
            <w:r>
              <w:rPr/>
              <w:t xml:space="preserve"/>
            </w:r>
          </w:p>
          <w:p>
            <w:pPr/>
            <w:r>
              <w:rPr/>
              <w:t xml:space="preserve">Engineers and technicians trained in “Planning, designing, and implementing climate-resilient water infrastructure” to enhance their technical capacity and ensure sustainable water management solutions. This has enabled the stakeholders to integrate or replicate best practices and adopt proven solutions to local project sites from other countries, thereby strengthening knowledge management and long-term resilience.</w:t>
            </w:r>
          </w:p>
          <w:p>
            <w:pPr/>
            <w:r>
              <w:rPr/>
              <w:t xml:space="preserve"/>
            </w:r>
          </w:p>
          <w:p>
            <w:pPr/>
            <w:r>
              <w:rPr/>
              <w:t xml:space="preserve">A training session was conducted for communities and relevant stakeholders to ensure compliance with project requirements and promote sustainable, inclusive development. The training focused on key safeguard measures and Grievance Redress Mechanism (GRM) processes to enhance awareness and capacity.</w:t>
            </w:r>
          </w:p>
          <w:p>
            <w:pPr/>
            <w:r>
              <w:rPr/>
              <w:t xml:space="preserve"/>
            </w:r>
          </w:p>
          <w:p>
            <w:pPr/>
            <w:r>
              <w:rPr/>
              <w:t xml:space="preserve">A local consulting firm has been recruited to prepare and update the Environmental, Social, and Management Plans (ESMPs), Stakeholder Engagement Plans, Gender Action Plans, and conduct stakeholder training. This initiative is a crucial component of knowledge management, ensuring that water supply schemes under the ACREWAS Project align with sustainability, inclusivity, and regulatory compliance while addressing emerging challenges.</w:t>
            </w:r>
          </w:p>
          <w:p>
            <w:pPr/>
            <w:r>
              <w:rPr/>
              <w:t xml:space="preserve"/>
            </w:r>
          </w:p>
          <w:p>
            <w:pPr/>
            <w:r>
              <w:rPr/>
              <w:t xml:space="preserve">The capacity of university lecturers (College of Science and Technology) developed to enhance institutional learning, improve teaching quality, and foster research innovation. Enhancing capacity at these institutions ensures graduates are equipped with the knowledge and skills to contribute to sustainable water resource management in Bhutan.</w:t>
            </w:r>
          </w:p>
          <w:p>
            <w:pPr/>
            <w:r>
              <w:rPr/>
              <w:t xml:space="preserve"/>
            </w:r>
          </w:p>
          <w:p>
            <w:pPr/>
            <w:r>
              <w:rPr/>
              <w:t xml:space="preserve">As part of knowledge management, water quality testing equipment procured and officials trained to strengthen diagnosis, analytical capacity, and water quality testing at Primary Health Care Centers (PHCs) in 3 Districts. This is to enhance public health resilience, disease prevention, and sustainable water management and also to ensure that healthcare facilities are equipped with the necessary expertise, tools, and strategies to address water-related health challenges effectively.</w:t>
            </w:r>
          </w:p>
          <w:p>
            <w:pPr/>
            <w:r>
              <w:rPr/>
              <w:t xml:space="preserve"/>
            </w:r>
          </w:p>
          <w:p>
            <w:pPr/>
            <w:r>
              <w:rPr/>
              <w:t xml:space="preserve">The project conducted a solid waste awareness program and initiated a community cleaning campaign to raise local understanding of environmental impacts. Active involvement of women in these efforts promoted inclusive leadership, improved local environmental conditions, and strengthened community resilience through sustainable waste management practices.</w:t>
            </w:r>
          </w:p>
          <w:p>
            <w:pPr/>
            <w:r>
              <w:rPr/>
              <w:t xml:space="preserve"/>
            </w:r>
          </w:p>
          <w:p>
            <w:pPr/>
            <w:r>
              <w:rPr/>
              <w:t xml:space="preserve">Community members including women received training on nursery development, plantation, and maintenance as part of a knowledge management effort to enhance environmental resilience. This capacity-building initiative strengthened local skills and promoted community ownership of sustainable land restoration practices.</w:t>
            </w:r>
          </w:p>
          <w:p>
            <w:pPr/>
            <w:r>
              <w:rPr/>
              <w:t xml:space="preserve"/>
            </w:r>
          </w:p>
          <w:p>
            <w:pPr/>
            <w:r>
              <w:rPr/>
              <w:t xml:space="preserve">The project provided training to the community on climate-smart agricultural practices including mulching, sprinkler irrigation, terracing, and hedgerow plantation as part of knowledge management efforts to enhance resilience and sustainable farming.</w:t>
            </w:r>
          </w:p>
          <w:p>
            <w:pPr/>
            <w:r>
              <w:rPr/>
              <w:t xml:space="preserve"/>
            </w:r>
          </w:p>
          <w:p>
            <w:pPr/>
            <w:r>
              <w:rPr/>
              <w:t xml:space="preserve">The project is committed to enhancing knowledge sharing and learning across its programs and to strengthen its communication and knowledge management efforts, and thus, the recruitment of communication expert is ongoing to support the development and dissemination of knowledge products.</w:t>
            </w:r>
          </w:p>
          <w:p>
            <w:pPr/>
            <w:r>
              <w:rPr/>
              <w:t xml:space="preserve"/>
            </w: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2) Please provide URLs specific to this project in the relevant field below.  Please categorize the URLs appropriately (for example: project websites, social media sites, media coverage, etc.)</w:t>
            </w:r>
          </w:p>
        </w:tc>
      </w:tr>
      <w:tr>
        <w:trPr/>
        <w:tc>
          <w:tcPr>
            <w:tcW w:w="10000" w:type="dxa"/>
            <w:gridSpan w:val="1"/>
            <w:noWrap/>
          </w:tcPr>
          <w:p>
            <w:pPr/>
            <w:r>
              <w:rPr/>
              <w:t xml:space="preserve">Social Media sites</w:t>
            </w:r>
          </w:p>
          <w:p>
            <w:pPr/>
            <w:r>
              <w:rPr/>
              <w:t xml:space="preserve"/>
            </w:r>
          </w:p>
          <w:p>
            <w:pPr/>
            <w:r>
              <w:rPr/>
              <w:t xml:space="preserve">https://www.facebook.com/share/p/19Zgfws2fq/</w:t>
            </w:r>
          </w:p>
          <w:p>
            <w:pPr/>
            <w:r>
              <w:rPr/>
              <w:t xml:space="preserve">https://www.facebook.com/share/p/19KGd94LTK/</w:t>
            </w:r>
          </w:p>
          <w:p>
            <w:pPr/>
            <w:r>
              <w:rPr/>
              <w:t xml:space="preserve">https://www.facebook.com/share/p/19g6K3xc4a/</w:t>
            </w:r>
          </w:p>
          <w:p>
            <w:pPr/>
            <w:r>
              <w:rPr/>
              <w:t xml:space="preserve">https://www.facebook.com/share/p/1FYX6wf6ZM/</w:t>
            </w:r>
          </w:p>
          <w:p>
            <w:pPr/>
            <w:r>
              <w:rPr/>
              <w:t xml:space="preserve">https://www.facebook.com/share/p/1Et7mtnyep/</w:t>
            </w:r>
          </w:p>
          <w:p>
            <w:pPr/>
            <w:r>
              <w:rPr/>
              <w:t xml:space="preserve">https://www.facebook.com/share/p/16MZjCYzcP/</w:t>
            </w:r>
          </w:p>
          <w:p>
            <w:pPr/>
            <w:r>
              <w:rPr/>
              <w:t xml:space="preserve">https://saarc-sdmc.org/virtual-workshop-enhancing-sustainability-resilience-water-infrastructure-disaster-risk-reduction</w:t>
            </w:r>
          </w:p>
          <w:p>
            <w:pPr/>
            <w:r>
              <w:rPr/>
              <w:t xml:space="preserve">https://www.facebook.com/share/p/1ADv9szM4U/</w:t>
            </w:r>
          </w:p>
          <w:p>
            <w:pPr/>
            <w:r>
              <w:rPr/>
              <w:t xml:space="preserve">https://www.facebook.com/share/p/16rcGiSSpZ/</w:t>
            </w:r>
          </w:p>
          <w:p>
            <w:pPr/>
            <w:r>
              <w:rPr/>
              <w:t xml:space="preserve">https://www.facebook.com/share/p/16tjqC7q2b/</w:t>
            </w:r>
          </w:p>
          <w:p>
            <w:pPr/>
            <w:r>
              <w:rPr/>
              <w:t xml:space="preserve">https://www.facebook.com/share/p/1EowW6ZaMo/</w:t>
            </w:r>
          </w:p>
          <w:p>
            <w:pPr/>
            <w:r>
              <w:rPr/>
              <w:t xml:space="preserve">https://www.facebook.com/share/p/16p4Yx8t8K/</w:t>
            </w:r>
          </w:p>
          <w:p>
            <w:pPr/>
            <w:r>
              <w:rPr/>
              <w:t xml:space="preserve">https://www.facebook.com/share/p/1C4thfvwAo/</w:t>
            </w:r>
          </w:p>
          <w:p>
            <w:pPr/>
            <w:r>
              <w:rPr/>
              <w:t xml:space="preserve"/>
            </w:r>
          </w:p>
          <w:p>
            <w:pPr/>
            <w:r>
              <w:rPr/>
              <w:t xml:space="preserve">UNDP</w:t>
            </w:r>
          </w:p>
          <w:p>
            <w:pPr/>
            <w:r>
              <w:rPr/>
              <w:t xml:space="preserve">https://www.facebook.com/share/p/1DEbeZHwdP/</w:t>
            </w:r>
          </w:p>
          <w:p>
            <w:pPr/>
            <w:r>
              <w:rPr/>
              <w:t xml:space="preserve"/>
            </w:r>
          </w:p>
        </w:tc>
      </w:tr>
    </w:tbl>
    <w:tbl>
      <w:tblGrid>
        <w:gridCol w:w="10000" w:type="dxa"/>
      </w:tblGrid>
      <w:tblPr>
        <w:tblW w:w="0" w:type="auto"/>
        <w:tblLayout w:type="autofit"/>
        <w:tblCellMar>
          <w:top w:w="20" w:type="dxa"/>
          <w:left w:w="20" w:type="dxa"/>
          <w:right w:w="20" w:type="dxa"/>
          <w:bottom w:w="20" w:type="dxa"/>
        </w:tblCellMar>
        <w:tblBorders>
          <w:top w:val="single" w:sz="5" w:color="000000"/>
          <w:left w:val="single" w:sz="5" w:color="000000"/>
          <w:right w:val="single" w:sz="5" w:color="000000"/>
          <w:bottom w:val="single" w:sz="5" w:color="000000"/>
          <w:insideH w:val="single" w:sz="5" w:color="000000"/>
          <w:insideV w:val="single" w:sz="5" w:color="000000"/>
        </w:tblBorders>
      </w:tblPr>
      <w:tr>
        <w:trPr/>
        <w:tc>
          <w:tcPr>
            <w:tcW w:w="10000" w:type="dxa"/>
            <w:shd w:val="clear" w:fill="#D9D9D9"/>
            <w:noWrap/>
          </w:tcPr>
          <w:p>
            <w:pPr/>
            <w:r>
              <w:rPr>
                <w:b w:val="1"/>
                <w:bCs w:val="1"/>
              </w:rPr>
              <w:t xml:space="preserve">3) In the PIR platform, please upload any supporting files, including the project's Communications Strategy, photos, videos, stories and other communication/knowledge materials.</w:t>
            </w:r>
          </w:p>
        </w:tc>
      </w:tr>
      <w:tr>
        <w:trPr/>
        <w:tc>
          <w:tcPr>
            <w:tcW w:w="10000" w:type="dxa"/>
            <w:noWrap/>
          </w:tcPr>
          <w:p>
            <w:pPr>
              <w:spacing w:before="0" w:after="0"/>
            </w:pPr>
            <w:r>
              <w:rPr/>
              <w:t xml:space="preserve">Bhutan Schedule of Rate-2023.pdf</w:t>
            </w:r>
          </w:p>
          <w:p>
            <w:pPr>
              <w:spacing w:before="0" w:after="0"/>
            </w:pPr>
            <w:r>
              <w:rPr/>
              <w:t xml:space="preserve">KN.1 Report on WUA_Tsirang.pdf</w:t>
            </w:r>
          </w:p>
          <w:p>
            <w:pPr>
              <w:spacing w:before="0" w:after="0"/>
            </w:pPr>
            <w:r>
              <w:rPr/>
              <w:t xml:space="preserve">KN.10 Design and Construction of CR Water Supply Schemees.pdf</w:t>
            </w:r>
          </w:p>
          <w:p>
            <w:pPr>
              <w:spacing w:before="0" w:after="0"/>
            </w:pPr>
            <w:r>
              <w:rPr/>
              <w:t xml:space="preserve">KN.11 GRM _ SES Training _Tsirang_.pdf</w:t>
            </w:r>
          </w:p>
          <w:p>
            <w:pPr>
              <w:spacing w:before="0" w:after="0"/>
            </w:pPr>
            <w:r>
              <w:rPr/>
              <w:t xml:space="preserve">KN.12 GRM _SES Training _Gasa and PMU_.pdf</w:t>
            </w:r>
          </w:p>
          <w:p>
            <w:pPr>
              <w:spacing w:before="0" w:after="0"/>
            </w:pPr>
            <w:r>
              <w:rPr/>
              <w:t xml:space="preserve">KN.13 GRM _SES Training _Punakha_.pdf</w:t>
            </w:r>
          </w:p>
          <w:p>
            <w:pPr>
              <w:spacing w:before="0" w:after="0"/>
            </w:pPr>
            <w:r>
              <w:rPr/>
              <w:t xml:space="preserve">KN.14 GRM-SESP-ESMP Training.pdf</w:t>
            </w:r>
          </w:p>
          <w:p>
            <w:pPr>
              <w:spacing w:before="0" w:after="0"/>
            </w:pPr>
            <w:r>
              <w:rPr/>
              <w:t xml:space="preserve">KN.15 Hands-0n Design Workshop for Urban and Rural Water Supply System.pdf</w:t>
            </w:r>
          </w:p>
          <w:p>
            <w:pPr>
              <w:spacing w:before="0" w:after="0"/>
            </w:pPr>
            <w:r>
              <w:rPr/>
              <w:t xml:space="preserve">KN.16 Quarterly progress _UNDP_-1.PDF</w:t>
            </w:r>
          </w:p>
          <w:p>
            <w:pPr>
              <w:spacing w:before="0" w:after="0"/>
            </w:pPr>
            <w:r>
              <w:rPr/>
              <w:t xml:space="preserve">KN.17 Quarterly Progress_UNDP_-2nd.PDF</w:t>
            </w:r>
          </w:p>
          <w:p>
            <w:pPr>
              <w:spacing w:before="0" w:after="0"/>
            </w:pPr>
            <w:r>
              <w:rPr/>
              <w:t xml:space="preserve">KN.18 Progress Report_UNDP_-3.pdf</w:t>
            </w:r>
          </w:p>
          <w:p>
            <w:pPr>
              <w:spacing w:before="0" w:after="0"/>
            </w:pPr>
            <w:r>
              <w:rPr/>
              <w:t xml:space="preserve">KN.19 Quarterly Progress_UNDP_-4th.pdf</w:t>
            </w:r>
          </w:p>
          <w:p>
            <w:pPr>
              <w:spacing w:before="0" w:after="0"/>
            </w:pPr>
            <w:r>
              <w:rPr/>
              <w:t xml:space="preserve">KN.2 Report on WUA_Gasa.pdf</w:t>
            </w:r>
          </w:p>
          <w:p>
            <w:pPr>
              <w:spacing w:before="0" w:after="0"/>
            </w:pPr>
            <w:r>
              <w:rPr/>
              <w:t xml:space="preserve">KN.20 SAARC ppt.pdf</w:t>
            </w:r>
          </w:p>
          <w:p>
            <w:pPr>
              <w:spacing w:before="0" w:after="0"/>
            </w:pPr>
            <w:r>
              <w:rPr/>
              <w:t xml:space="preserve">KN.21 Mass Cleaning Campaign _Punakha_.pdf</w:t>
            </w:r>
          </w:p>
          <w:p>
            <w:pPr>
              <w:spacing w:before="0" w:after="0"/>
            </w:pPr>
            <w:r>
              <w:rPr/>
              <w:t xml:space="preserve">KN.22 River Cleaning _ Punakha_.pdf</w:t>
            </w:r>
          </w:p>
          <w:p>
            <w:pPr>
              <w:spacing w:before="0" w:after="0"/>
            </w:pPr>
            <w:r>
              <w:rPr/>
              <w:t xml:space="preserve">KN.23 Waste advocacy _ Tsirang_.pdf</w:t>
            </w:r>
          </w:p>
          <w:p>
            <w:pPr>
              <w:spacing w:before="0" w:after="0"/>
            </w:pPr>
            <w:r>
              <w:rPr/>
              <w:t xml:space="preserve">KN.24  Waste advocacy _ Gasa_.pdf</w:t>
            </w:r>
          </w:p>
          <w:p>
            <w:pPr>
              <w:spacing w:before="0" w:after="0"/>
            </w:pPr>
            <w:r>
              <w:rPr/>
              <w:t xml:space="preserve">KN.25 Signages_Singtalum.pdf</w:t>
            </w:r>
          </w:p>
          <w:p>
            <w:pPr>
              <w:spacing w:before="0" w:after="0"/>
            </w:pPr>
            <w:r>
              <w:rPr/>
              <w:t xml:space="preserve">KN.26 Signage_Okalum.pdf</w:t>
            </w:r>
          </w:p>
          <w:p>
            <w:pPr>
              <w:spacing w:before="0" w:after="0"/>
            </w:pPr>
            <w:r>
              <w:rPr/>
              <w:t xml:space="preserve">KN.27 Plantation_ Nursery Training _Tsirang_.pdf</w:t>
            </w:r>
          </w:p>
          <w:p>
            <w:pPr>
              <w:spacing w:before="0" w:after="0"/>
            </w:pPr>
            <w:r>
              <w:rPr/>
              <w:t xml:space="preserve">KN.28 Plantation_Nursery Training _ Punakha_.pdf</w:t>
            </w:r>
          </w:p>
          <w:p>
            <w:pPr>
              <w:spacing w:before="0" w:after="0"/>
            </w:pPr>
            <w:r>
              <w:rPr/>
              <w:t xml:space="preserve">KN.29 Community Forest Plantation_Maintenance _Punakha_.pdf</w:t>
            </w:r>
          </w:p>
          <w:p>
            <w:pPr>
              <w:spacing w:before="0" w:after="0"/>
            </w:pPr>
            <w:r>
              <w:rPr/>
              <w:t xml:space="preserve">KN.3 Report on WUA_Punakha.pdf</w:t>
            </w:r>
          </w:p>
          <w:p>
            <w:pPr>
              <w:spacing w:before="0" w:after="0"/>
            </w:pPr>
            <w:r>
              <w:rPr/>
              <w:t xml:space="preserve">KN.30 CFMG_awareness_training_report _Gasa_.pdf</w:t>
            </w:r>
          </w:p>
          <w:p>
            <w:pPr>
              <w:spacing w:before="0" w:after="0"/>
            </w:pPr>
            <w:r>
              <w:rPr/>
              <w:t xml:space="preserve">KN.31 Nursery development _ Gasa_.pdf</w:t>
            </w:r>
          </w:p>
          <w:p>
            <w:pPr>
              <w:spacing w:before="0" w:after="0"/>
            </w:pPr>
            <w:r>
              <w:rPr/>
              <w:t xml:space="preserve">KN.32 SMART Agriculture.pdf</w:t>
            </w:r>
          </w:p>
          <w:p>
            <w:pPr>
              <w:spacing w:before="0" w:after="0"/>
            </w:pPr>
            <w:r>
              <w:rPr/>
              <w:t xml:space="preserve">KN.33 Comms Planning Workshop.pdf</w:t>
            </w:r>
          </w:p>
          <w:p>
            <w:pPr>
              <w:spacing w:before="0" w:after="0"/>
            </w:pPr>
            <w:r>
              <w:rPr/>
              <w:t xml:space="preserve">KN.4 CFMG_awareness_training_report _Gasa_.pdf</w:t>
            </w:r>
          </w:p>
          <w:p>
            <w:pPr>
              <w:spacing w:before="0" w:after="0"/>
            </w:pPr>
            <w:r>
              <w:rPr/>
              <w:t xml:space="preserve">KN.5 Nursery development _ Gasa_.pdf</w:t>
            </w:r>
          </w:p>
          <w:p>
            <w:pPr>
              <w:spacing w:before="0" w:after="0"/>
            </w:pPr>
            <w:r>
              <w:rPr/>
              <w:t xml:space="preserve">KN.6 Planning, Design and Implementation of Climate Resilient Drinking Water  Infrastructure..pdf</w:t>
            </w:r>
          </w:p>
          <w:p>
            <w:pPr>
              <w:spacing w:before="0" w:after="0"/>
            </w:pPr>
            <w:r>
              <w:rPr/>
              <w:t xml:space="preserve">KN.7 Study visit on climate change impacts on WSS and its adaptive measures_innovation technology.pdf</w:t>
            </w:r>
          </w:p>
          <w:p>
            <w:pPr>
              <w:spacing w:before="0" w:after="0"/>
            </w:pPr>
            <w:r>
              <w:rPr/>
              <w:t xml:space="preserve">KN.8 Project Management including Monitoring _Evaluation.pdf</w:t>
            </w:r>
          </w:p>
          <w:p>
            <w:pPr>
              <w:spacing w:before="0" w:after="0"/>
            </w:pPr>
            <w:r>
              <w:rPr/>
              <w:t xml:space="preserve">KN.9 Water Supply Design software_ EPANET, GIS and SCADA.pdf</w:t>
            </w:r>
          </w:p>
          <w:p>
            <w:pPr/>
          </w:p>
        </w:tc>
      </w:tr>
    </w:tbl>
    <w:p>
      <w:pPr>
        <w:sectPr>
          <w:pgSz w:orient="portrait" w:w="11905.511811023622" w:h="16837.79527559055"/>
          <w:pgMar w:top="1440" w:right="1440" w:bottom="1440" w:left="1440" w:header="720" w:footer="720" w:gutter="0"/>
          <w:cols w:num="1" w:space="720"/>
        </w:sectPr>
      </w:pPr>
    </w:p>
    <w:p>
      <w:pPr>
        <w:pStyle w:val="Heading1"/>
      </w:pPr>
      <w:bookmarkStart w:id="16" w:name="_Toc16"/>
      <w:r>
        <w:t>Annex - Ratings Definitions</w:t>
      </w:r>
      <w:bookmarkEnd w:id="16"/>
    </w:p>
    <w:p>
      <w:pPr/>
      <w:r>
        <w:rPr>
          <w:b w:val="1"/>
          <w:bCs w:val="1"/>
        </w:rPr>
        <w:t xml:space="preserve">Development Objective Progress Ratings Definitions</w:t>
      </w:r>
    </w:p>
    <w:p>
      <w:pPr/>
      <w:r>
        <w:rPr/>
        <w:t xml:space="preserve">(HS) Highly Satisfactory: Project is on track to exceed its end-of-project targets by project closure. The project can be presented as 'outstanding practice'.</w:t>
      </w:r>
    </w:p>
    <w:p>
      <w:pPr/>
      <w:r>
        <w:rPr/>
        <w:t xml:space="preserve">(S) Satisfactory: Project is on track to achieve its end-of-project targets by project closure and any minor challenges are being addressed through an adaptive management plan. The project can be presented as 'good practice'.</w:t>
      </w:r>
    </w:p>
    <w:p>
      <w:pPr/>
      <w:r>
        <w:rPr/>
        <w:t xml:space="preserve">(MS) Moderately Satisfactory: Project is on track to achieve its end-of-project targets by project closure and minor challenges can be addressed if an adaptive management plan is promptly put in place.</w:t>
      </w:r>
    </w:p>
    <w:p>
      <w:pPr/>
      <w:r>
        <w:rPr/>
        <w:t xml:space="preserve">(MU) Moderately Unsatisfactory: Project is off track and is expected to only partially achieve its end-of-project targets by project closure. Project results might still be achieved by project closure if adaptive management is undertaken immediately.</w:t>
      </w:r>
    </w:p>
    <w:p>
      <w:pPr/>
      <w:r>
        <w:rPr/>
        <w:t xml:space="preserve">(U) Unsatisfactory: Project is off track and is expected to only partially achieve its end-of-project targets by project closure. Project results might be partially achieved by project closure if major adaptive management is undertaken immediately.</w:t>
      </w:r>
    </w:p>
    <w:p>
      <w:pPr/>
      <w:r>
        <w:rPr/>
        <w:t xml:space="preserve">(HU) Highly Unsatisfactory: Project is off track and is not expected to achieve its end-of-project targets by project closure and adaptive management is not expected to materialize.</w:t>
      </w:r>
    </w:p>
    <w:p/>
    <w:p>
      <w:pPr/>
      <w:r>
        <w:rPr>
          <w:b w:val="1"/>
          <w:bCs w:val="1"/>
        </w:rPr>
        <w:t xml:space="preserve">Implementation Progress Ratings Definitions</w:t>
      </w:r>
    </w:p>
    <w:p>
      <w:pPr/>
      <w:r>
        <w:rPr/>
        <w:t xml:space="preserve">(HS) Highly Satisfactory: Implementation is exceeding expectations. Implementation of all outputs/activities is fully on track, proceeding as planned, The implementation of the project can be presented as 'outstanding practice'.</w:t>
      </w:r>
    </w:p>
    <w:p>
      <w:pPr/>
      <w:r>
        <w:rPr/>
        <w:t xml:space="preserve">(S) Satisfactory: Implementation is proceeding as planned with minor challenges that are being addressed. Implementation of all outputs/activities is on track with minor deviations The implementation of the project can be presented as 'good practice'. </w:t>
      </w:r>
    </w:p>
    <w:p>
      <w:pPr/>
      <w:r>
        <w:rPr/>
        <w:t xml:space="preserve">(MS) Moderately Satisfactory: Implementation is proceeding as planned with minor challenges that have not yet been addressed. Implementation of most outputs/activities is on track with minor deviations.</w:t>
      </w:r>
    </w:p>
    <w:p>
      <w:pPr/>
      <w:r>
        <w:rPr/>
        <w:t xml:space="preserve">(MU) Moderately Unsatisfactory: Implementation is not proceeding as planned and faces implementation challenges. Implementation of many outputs/activities is off track Implementation progress could be improved if adaptive management is undertaken immediately.</w:t>
      </w:r>
    </w:p>
    <w:p>
      <w:pPr/>
      <w:r>
        <w:rPr/>
        <w:t xml:space="preserve">(U) Unsatisfactory: Implementation is not proceeding as planned and faces major implementation challenges. Implementation of most outputs/activities is off track.</w:t>
      </w:r>
    </w:p>
    <w:p>
      <w:pPr/>
      <w:r>
        <w:rPr/>
        <w:t xml:space="preserve">(HU) Highly Unsatisfactory: Implementation is seriously under-performing. Implementation of all outputs/activities is severely off track.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end"/>
    </w:pPr>
    <w:r>
      <w:t xml:space="preserve">Page </w:t>
    </w:r>
    <w:r>
      <w:fldChar w:fldCharType="begin"/>
    </w:r>
    <w:r>
      <w:instrText xml:space="preserve">PAGE</w:instrText>
    </w:r>
    <w:r>
      <w:fldChar w:fldCharType="separate"/>
    </w:r>
    <w:r>
      <w:fldChar w:fldCharType="end"/>
    </w:r>
    <w:r>
      <w:t xml:space="preserve"> of </w:t>
    </w:r>
    <w:r>
      <w:fldChar w:fldCharType="begin"/>
    </w:r>
    <w: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end"/>
    </w:pPr>
    <w:r>
      <w:t xml:space="preserve">2025 Project Implementation Report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BC9D71"/>
    <w:multiLevelType w:val="multilevel"/>
    <w:lvl w:ilvl="0">
      <w:start w:val="1"/>
      <w:numFmt w:val="upperLetter"/>
      <w:pStyle w:val="Heading1"/>
      <w:suff w:val="tab"/>
      <w:lvlText w:val="%1."/>
      <w:pPr>
        <w:tabs>
          <w:tab w:val="num"/>
        </w:tabs>
        <w:ind/>
      </w:pPr>
      <w:rPr>
        <w:rFonts/>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numPr>
        <w:numId w:val="1"/>
        <w:ilvl w:val="0"/>
      </w:numPr>
      <w:outlineLvl w:val="0"/>
    </w:pPr>
    <w:rPr>
      <w:sz w:val="28"/>
      <w:szCs w:val="28"/>
      <w:b w:val="1"/>
      <w:bCs w:val="1"/>
    </w:rPr>
  </w:style>
  <w:style w:type="paragraph" w:styleId="Heading2">
    <w:link w:val="Heading2Char"/>
    <w:name w:val="heading 2"/>
    <w:basedOn w:val="Normal"/>
    <w:pPr>
      <w:spacing w:before="40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section_image2.jpg"/><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section_image1.gif"/><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styles" Target="styles.xml"/><Relationship Id="rId6" Type="http://schemas.openxmlformats.org/officeDocument/2006/relationships/fontTable" Target="fontTable.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yperlink" Target="https://www.thegef.org/sites/default/files/documents/2022-04/GEF_R.08_31_GEF-8_Policy_Directions.pdf" TargetMode="External"/><Relationship Id="rId4" Type="http://schemas.openxmlformats.org/officeDocument/2006/relationships/theme" Target="theme/theme1.xml"/><Relationship Id="rId9" Type="http://schemas.openxmlformats.org/officeDocument/2006/relationships/hyperlink" Target="https://www.thegef.org/council-meeting-documents/guidelines-project-and-program-cycle-policy-2020-update"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5F732436BD414ABE4F9007290F88BC" ma:contentTypeVersion="32" ma:contentTypeDescription="Create a new document." ma:contentTypeScope="" ma:versionID="a6d865094e57ec48cfedb35760c1bc87">
  <xsd:schema xmlns:xsd="http://www.w3.org/2001/XMLSchema" xmlns:xs="http://www.w3.org/2001/XMLSchema" xmlns:p="http://schemas.microsoft.com/office/2006/metadata/properties" xmlns:ns2="d9cf0e28-81d2-4dc7-8b10-820d80ed680d" xmlns:ns3="e91d5986-7c29-4ed1-8a54-b8fb378ed474" targetNamespace="http://schemas.microsoft.com/office/2006/metadata/properties" ma:root="true" ma:fieldsID="95261cc85eb294afc7de67a9e49e06ba" ns2:_="" ns3:_="">
    <xsd:import namespace="d9cf0e28-81d2-4dc7-8b10-820d80ed680d"/>
    <xsd:import namespace="e91d5986-7c29-4ed1-8a54-b8fb378ed474"/>
    <xsd:element name="properties">
      <xsd:complexType>
        <xsd:sequence>
          <xsd:element name="documentManagement">
            <xsd:complexType>
              <xsd:all>
                <xsd:element ref="ns2:DocumentCategory" minOccurs="0"/>
                <xsd:element ref="ns2:DocumentType" minOccurs="0"/>
                <xsd:element ref="ns2:FileClassificationMode" minOccurs="0"/>
                <xsd:element ref="ns2:FileNameDescription" minOccurs="0"/>
                <xsd:element ref="ns2:ProjectNumber" minOccurs="0"/>
                <xsd:element ref="ns2:OperatingUnit" minOccurs="0"/>
                <xsd:element ref="ns2:Language" minOccurs="0"/>
                <xsd:element ref="ns2:FunctionalArea" minOccurs="0"/>
                <xsd:element ref="ns2:OutputNumber" minOccurs="0"/>
                <xsd:element ref="ns2:DocumentStatus" minOccurs="0"/>
                <xsd:element ref="ns2:DocCoverageStartDate" minOccurs="0"/>
                <xsd:element ref="ns2:DocCoverageEndDate" minOccurs="0"/>
                <xsd:element ref="ns2:FocusArea" minOccurs="0"/>
                <xsd:element ref="ns2:AuthorName" minOccurs="0"/>
                <xsd:element ref="ns2:OfficeCountry" minOccurs="0"/>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ServiceLocation" minOccurs="0"/>
                <xsd:element ref="ns2:MediaServiceSearchProperties" minOccurs="0"/>
                <xsd:element ref="ns2:EventDate" minOccurs="0"/>
                <xsd:element ref="ns2:ProjectDocumentTyp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f0e28-81d2-4dc7-8b10-820d80ed680d" elementFormDefault="qualified">
    <xsd:import namespace="http://schemas.microsoft.com/office/2006/documentManagement/types"/>
    <xsd:import namespace="http://schemas.microsoft.com/office/infopath/2007/PartnerControls"/>
    <xsd:element name="DocumentCategory" ma:index="8" nillable="true" ma:displayName="DocumentCategory" ma:format="Dropdown" ma:indexed="true" ma:internalName="DocumentCategory">
      <xsd:simpleType>
        <xsd:restriction base="dms:Text">
          <xsd:maxLength value="255"/>
        </xsd:restriction>
      </xsd:simpleType>
    </xsd:element>
    <xsd:element name="DocumentType" ma:index="9" nillable="true" ma:displayName="DocumentType" ma:format="Dropdown" ma:indexed="true" ma:internalName="DocumentType">
      <xsd:simpleType>
        <xsd:restriction base="dms:Text">
          <xsd:maxLength value="255"/>
        </xsd:restriction>
      </xsd:simpleType>
    </xsd:element>
    <xsd:element name="FileClassificationMode" ma:index="10" nillable="true" ma:displayName="FileClassificationMode" ma:format="Dropdown" ma:indexed="true" ma:internalName="FileClassificationMode">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ProjectNumber" ma:index="12" nillable="true" ma:displayName="ProjectNumber" ma:format="Dropdown" ma:indexed="true" ma:internalName="ProjectNumber">
      <xsd:simpleType>
        <xsd:restriction base="dms:Text">
          <xsd:maxLength value="255"/>
        </xsd:restriction>
      </xsd:simpleType>
    </xsd:element>
    <xsd:element name="OperatingUnit" ma:index="13" nillable="true" ma:displayName="OperatingUnit" ma:format="Dropdown" ma:indexed="true" ma:internalName="OperatingUnit">
      <xsd:simpleType>
        <xsd:restriction base="dms:Text">
          <xsd:maxLength value="255"/>
        </xsd:restriction>
      </xsd:simpleType>
    </xsd:element>
    <xsd:element name="Language" ma:index="14" nillable="true" ma:displayName="Language" ma:format="Dropdown" ma:internalName="Language">
      <xsd:simpleType>
        <xsd:restriction base="dms:Text">
          <xsd:maxLength value="255"/>
        </xsd:restriction>
      </xsd:simpleType>
    </xsd:element>
    <xsd:element name="FunctionalArea" ma:index="15" nillable="true" ma:displayName="FunctionalArea" ma:format="Dropdown" ma:internalName="FunctionalArea">
      <xsd:simpleType>
        <xsd:restriction base="dms:Text">
          <xsd:maxLength value="255"/>
        </xsd:restriction>
      </xsd:simpleType>
    </xsd:element>
    <xsd:element name="OutputNumber" ma:index="16" nillable="true" ma:displayName="OutputNumber" ma:format="Dropdown" ma:indexed="true" ma:internalName="OutputNumber">
      <xsd:simpleType>
        <xsd:restriction base="dms:Text">
          <xsd:maxLength value="255"/>
        </xsd:restriction>
      </xsd:simpleType>
    </xsd:element>
    <xsd:element name="DocumentStatus" ma:index="17" nillable="true" ma:displayName="DocumentStatus" ma:format="Dropdown" ma:internalName="DocumentStatus">
      <xsd:simpleType>
        <xsd:restriction base="dms:Text">
          <xsd:maxLength value="255"/>
        </xsd:restriction>
      </xsd:simpleType>
    </xsd:element>
    <xsd:element name="DocCoverageStartDate" ma:index="18" nillable="true" ma:displayName="DocCoverageStartDate" ma:default="[today]" ma:format="DateOnly" ma:indexed="true" ma:internalName="DocCoverageStartDate">
      <xsd:simpleType>
        <xsd:restriction base="dms:DateTime"/>
      </xsd:simpleType>
    </xsd:element>
    <xsd:element name="DocCoverageEndDate" ma:index="19" nillable="true" ma:displayName="DocCoverageEndDate" ma:format="DateOnly" ma:internalName="DocCoverageEndDate">
      <xsd:simpleType>
        <xsd:restriction base="dms:DateTime"/>
      </xsd:simpleType>
    </xsd:element>
    <xsd:element name="FocusArea" ma:index="20" nillable="true" ma:displayName="FocusArea" ma:format="Dropdown" ma:indexed="true" ma:internalName="FocusArea">
      <xsd:simpleType>
        <xsd:restriction base="dms:Text">
          <xsd:maxLength value="255"/>
        </xsd:restriction>
      </xsd:simpleType>
    </xsd:element>
    <xsd:element name="AuthorName" ma:index="21" nillable="true" ma:displayName="AuthorName" ma:format="Dropdown" ma:indexed="true" ma:internalName="AuthorName">
      <xsd:simpleType>
        <xsd:restriction base="dms:Text">
          <xsd:maxLength value="255"/>
        </xsd:restriction>
      </xsd:simpleType>
    </xsd:element>
    <xsd:element name="OfficeCountry" ma:index="22" nillable="true" ma:displayName="OfficeCountry" ma:format="Dropdown" ma:indexed="true" ma:internalName="OfficeCountry">
      <xsd:simpleType>
        <xsd:restriction base="dms:Text">
          <xsd:maxLength value="255"/>
        </xsd:restriction>
      </xsd:simpleType>
    </xsd:element>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DateTaken" ma:index="32" nillable="true" ma:displayName="MediaServiceDateTaken" ma:hidden="true" ma:indexed="true" ma:internalName="MediaServiceDateTaken" ma:readOnly="true">
      <xsd:simpleType>
        <xsd:restriction base="dms:Text"/>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Location" ma:index="34" nillable="true" ma:displayName="Location" ma:indexed="true" ma:internalName="MediaServiceLocation"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EventDate" ma:index="36" nillable="true" ma:displayName="EventDate" ma:format="DateOnly" ma:internalName="EventDate">
      <xsd:simpleType>
        <xsd:restriction base="dms:DateTime"/>
      </xsd:simpleType>
    </xsd:element>
    <xsd:element name="ProjectDocumentTypes" ma:index="37" nillable="true" ma:displayName="ProjectDocumentTypes" ma:format="Dropdown" ma:internalName="ProjectDocumentTypes">
      <xsd:simpleType>
        <xsd:restriction base="dms:Choice">
          <xsd:enumeration value="Project Board Meeting Minutes"/>
          <xsd:enumeration value="Monitoring/Field visit report"/>
          <xsd:enumeration value="Sustainability Plan"/>
          <xsd:enumeration value="Combined Delivery reports (CDR)"/>
        </xsd:restriction>
      </xsd:simpleType>
    </xsd:element>
  </xsd:schema>
  <xsd:schema xmlns:xsd="http://www.w3.org/2001/XMLSchema" xmlns:xs="http://www.w3.org/2001/XMLSchema" xmlns:dms="http://schemas.microsoft.com/office/2006/documentManagement/types" xmlns:pc="http://schemas.microsoft.com/office/infopath/2007/PartnerControls" targetNamespace="e91d5986-7c29-4ed1-8a54-b8fb378ed474"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89ecd518-8760-4857-902e-5583cb61199f}" ma:internalName="TaxCatchAll" ma:showField="CatchAllData" ma:web="e91d5986-7c29-4ed1-8a54-b8fb378ed4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fficeCountry xmlns="d9cf0e28-81d2-4dc7-8b10-820d80ed680d">B0394 - Bhutan - Thimphu</OfficeCountry>
    <DocumentStatus xmlns="d9cf0e28-81d2-4dc7-8b10-820d80ed680d">Final</DocumentStatus>
    <DocCoverageEndDate xmlns="d9cf0e28-81d2-4dc7-8b10-820d80ed680d">2025-12-31T05:00:00+00:00</DocCoverageEndDate>
    <TaxCatchAll xmlns="e91d5986-7c29-4ed1-8a54-b8fb378ed474" xsi:nil="true"/>
    <EventDate xmlns="d9cf0e28-81d2-4dc7-8b10-820d80ed680d" xsi:nil="true"/>
    <ProjectDocumentTypes xmlns="d9cf0e28-81d2-4dc7-8b10-820d80ed680d" xsi:nil="true"/>
    <FunctionalArea xmlns="d9cf0e28-81d2-4dc7-8b10-820d80ed680d" xsi:nil="true"/>
    <FileNameDescription xmlns="d9cf0e28-81d2-4dc7-8b10-820d80ed680d">Project  Implementation  Reporting </FileNameDescription>
    <ProjectNumber xmlns="d9cf0e28-81d2-4dc7-8b10-820d80ed680d">01000556</ProjectNumber>
    <DocumentType xmlns="d9cf0e28-81d2-4dc7-8b10-820d80ed680d">Progress Report</DocumentType>
    <Language xmlns="d9cf0e28-81d2-4dc7-8b10-820d80ed680d">English</Language>
    <AuthorName xmlns="d9cf0e28-81d2-4dc7-8b10-820d80ed680d">UNDP</AuthorName>
    <DocumentCategory xmlns="d9cf0e28-81d2-4dc7-8b10-820d80ed680d">Project</DocumentCategory>
    <OperatingUnit xmlns="d9cf0e28-81d2-4dc7-8b10-820d80ed680d">UNDP-BTN</OperatingUnit>
    <lcf76f155ced4ddcb4097134ff3c332f xmlns="d9cf0e28-81d2-4dc7-8b10-820d80ed680d">
      <Terms xmlns="http://schemas.microsoft.com/office/infopath/2007/PartnerControls"/>
    </lcf76f155ced4ddcb4097134ff3c332f>
    <FocusArea xmlns="d9cf0e28-81d2-4dc7-8b10-820d80ed680d" xsi:nil="true"/>
    <DocCoverageStartDate xmlns="d9cf0e28-81d2-4dc7-8b10-820d80ed680d">2024-01-01T05:00:00+00:00</DocCoverageStartDate>
    <FileClassificationMode xmlns="d9cf0e28-81d2-4dc7-8b10-820d80ed680d">Public</FileClassificationMode>
    <OutputNumber xmlns="d9cf0e28-81d2-4dc7-8b10-820d80ed680d" xsi:nil="true"/>
  </documentManagement>
</p:properties>
</file>

<file path=customXml/itemProps1.xml><?xml version="1.0" encoding="utf-8"?>
<ds:datastoreItem xmlns:ds="http://schemas.openxmlformats.org/officeDocument/2006/customXml" ds:itemID="{0E29E638-BF48-40CC-A2D1-DF3A0D8501F4}"/>
</file>

<file path=customXml/itemProps2.xml><?xml version="1.0" encoding="utf-8"?>
<ds:datastoreItem xmlns:ds="http://schemas.openxmlformats.org/officeDocument/2006/customXml" ds:itemID="{662D231A-D976-466A-853F-510402333BCE}"/>
</file>

<file path=customXml/itemProps3.xml><?xml version="1.0" encoding="utf-8"?>
<ds:datastoreItem xmlns:ds="http://schemas.openxmlformats.org/officeDocument/2006/customXml" ds:itemID="{D111355F-D150-43BC-8885-02290D8B7073}"/>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Implementation  Reporting </dc:title>
  <dc:subject/>
  <dc:creator/>
  <cp:keywords/>
  <dc:description/>
  <cp:lastModifiedBy/>
  <dcterms:created xsi:type="dcterms:W3CDTF">2025-09-09T05:06:52Z</dcterms:created>
  <dcterms:modified xsi:type="dcterms:W3CDTF">2025-09-09T05:06:52Z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0x010100155F732436BD414ABE4F9007290F88BC</vt:lpwstr>
  </property>
</Properties>
</file>