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Circular Solutions to Plastic Pollution in the Dominican Republic</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9629</w:t>
            </w:r>
          </w:p>
        </w:tc>
      </w:tr>
      <w:tr>
        <w:trPr/>
        <w:tc>
          <w:tcPr>
            <w:tcW w:w="5000" w:type="dxa"/>
            <w:gridSpan w:val="1"/>
            <w:noWrap/>
          </w:tcPr>
          <w:p>
            <w:pPr/>
            <w:r>
              <w:rPr/>
              <w:t xml:space="preserve">GEF ID</w:t>
            </w:r>
          </w:p>
        </w:tc>
        <w:tc>
          <w:tcPr>
            <w:tcW w:w="5000" w:type="dxa"/>
            <w:gridSpan w:val="1"/>
            <w:noWrap/>
          </w:tcPr>
          <w:p>
            <w:pPr/>
            <w:r>
              <w:rPr/>
              <w:t xml:space="preserve">11187</w:t>
            </w:r>
          </w:p>
        </w:tc>
      </w:tr>
      <w:tr>
        <w:trPr/>
        <w:tc>
          <w:tcPr>
            <w:tcW w:w="5000" w:type="dxa"/>
            <w:gridSpan w:val="1"/>
            <w:noWrap/>
          </w:tcPr>
          <w:p>
            <w:pPr/>
            <w:r>
              <w:rPr/>
              <w:t xml:space="preserve">Title</w:t>
            </w:r>
          </w:p>
        </w:tc>
        <w:tc>
          <w:tcPr>
            <w:tcW w:w="5000" w:type="dxa"/>
            <w:gridSpan w:val="1"/>
            <w:noWrap/>
          </w:tcPr>
          <w:p>
            <w:pPr/>
            <w:r>
              <w:rPr/>
              <w:t xml:space="preserve">Circular Solutions to Plastic Pollution in the Dominican Republic</w:t>
            </w:r>
          </w:p>
        </w:tc>
      </w:tr>
      <w:tr>
        <w:trPr/>
        <w:tc>
          <w:tcPr>
            <w:tcW w:w="5000" w:type="dxa"/>
            <w:gridSpan w:val="1"/>
            <w:noWrap/>
          </w:tcPr>
          <w:p>
            <w:pPr/>
            <w:r>
              <w:rPr/>
              <w:t xml:space="preserve">Country(ies)</w:t>
            </w:r>
          </w:p>
        </w:tc>
        <w:tc>
          <w:tcPr>
            <w:tcW w:w="5000" w:type="dxa"/>
            <w:gridSpan w:val="1"/>
            <w:noWrap/>
          </w:tcPr>
          <w:p>
            <w:pPr/>
            <w:r>
              <w:rPr/>
              <w:t xml:space="preserve">Dominican Republic, Dominican Republic</w:t>
            </w:r>
          </w:p>
        </w:tc>
      </w:tr>
      <w:tr>
        <w:trPr/>
        <w:tc>
          <w:tcPr>
            <w:tcW w:w="5000" w:type="dxa"/>
            <w:gridSpan w:val="1"/>
            <w:noWrap/>
          </w:tcPr>
          <w:p>
            <w:pPr/>
            <w:r>
              <w:rPr/>
              <w:t xml:space="preserve">UNDP Technical Team</w:t>
            </w:r>
          </w:p>
        </w:tc>
        <w:tc>
          <w:tcPr>
            <w:tcW w:w="5000" w:type="dxa"/>
            <w:gridSpan w:val="1"/>
            <w:noWrap/>
          </w:tcPr>
          <w:p>
            <w:pPr/>
            <w:r>
              <w:rPr/>
              <w:t xml:space="preserve">Plastic</w:t>
            </w:r>
          </w:p>
        </w:tc>
      </w:tr>
      <w:tr>
        <w:trPr/>
        <w:tc>
          <w:tcPr>
            <w:tcW w:w="5000" w:type="dxa"/>
            <w:gridSpan w:val="1"/>
            <w:noWrap/>
          </w:tcPr>
          <w:p>
            <w:pPr/>
            <w:r>
              <w:rPr/>
              <w:t xml:space="preserve">Management Arrangements</w:t>
            </w:r>
          </w:p>
        </w:tc>
        <w:tc>
          <w:tcPr>
            <w:tcW w:w="5000" w:type="dxa"/>
            <w:gridSpan w:val="1"/>
            <w:noWrap/>
          </w:tcPr>
          <w:p>
            <w:pPr/>
            <w:r>
              <w:rPr/>
              <w:t xml:space="preserve">CO Support to NIM</w:t>
            </w:r>
          </w:p>
        </w:tc>
      </w:tr>
      <w:tr>
        <w:trPr/>
        <w:tc>
          <w:tcPr>
            <w:tcW w:w="5000" w:type="dxa"/>
            <w:gridSpan w:val="1"/>
            <w:noWrap/>
          </w:tcPr>
          <w:p>
            <w:pPr/>
            <w:r>
              <w:rPr/>
              <w:t xml:space="preserve">Project Implementing Partner</w:t>
            </w:r>
          </w:p>
        </w:tc>
        <w:tc>
          <w:tcPr>
            <w:tcW w:w="5000" w:type="dxa"/>
            <w:gridSpan w:val="1"/>
            <w:noWrap/>
          </w:tcPr>
          <w:p>
            <w:pPr/>
            <w:r>
              <w:rPr/>
              <w:t xml:space="preserve">UNDP</w:t>
            </w:r>
          </w:p>
        </w:tc>
      </w:tr>
      <w:tr>
        <w:trPr/>
        <w:tc>
          <w:tcPr>
            <w:tcW w:w="5000" w:type="dxa"/>
            <w:gridSpan w:val="1"/>
            <w:noWrap/>
          </w:tcPr>
          <w:p>
            <w:pPr/>
            <w:r>
              <w:rPr/>
              <w:t xml:space="preserve">Joint Agencies</w:t>
            </w:r>
          </w:p>
        </w:tc>
        <w:tc>
          <w:tcPr>
            <w:tcW w:w="5000" w:type="dxa"/>
            <w:gridSpan w:val="1"/>
            <w:noWrap/>
          </w:tcPr>
          <w:p>
            <w:pPr/>
            <w:r>
              <w:rPr/>
              <w:t xml:space="preserve">UN Environment</w:t>
            </w:r>
          </w:p>
        </w:tc>
      </w:tr>
      <w:tr>
        <w:trPr/>
        <w:tc>
          <w:tcPr>
            <w:tcW w:w="5000" w:type="dxa"/>
            <w:gridSpan w:val="1"/>
            <w:noWrap/>
          </w:tcPr>
          <w:p>
            <w:pPr/>
            <w:r>
              <w:rPr/>
              <w:t xml:space="preserve">Project Type</w:t>
            </w:r>
          </w:p>
        </w:tc>
        <w:tc>
          <w:tcPr>
            <w:tcW w:w="5000" w:type="dxa"/>
            <w:gridSpan w:val="1"/>
            <w:noWrap/>
          </w:tcPr>
          <w:p>
            <w:pPr/>
            <w:r>
              <w:rPr/>
              <w:t xml:space="preserve">Full Size</w:t>
            </w:r>
          </w:p>
        </w:tc>
      </w:tr>
      <w:tr>
        <w:trPr/>
        <w:tc>
          <w:tcPr>
            <w:tcW w:w="5000" w:type="dxa"/>
            <w:gridSpan w:val="1"/>
            <w:noWrap/>
          </w:tcPr>
          <w:p>
            <w:pPr/>
            <w:r>
              <w:rPr/>
              <w:t xml:space="preserve">Implementation Status</w:t>
            </w:r>
          </w:p>
        </w:tc>
        <w:tc>
          <w:tcPr>
            <w:tcW w:w="5000" w:type="dxa"/>
            <w:gridSpan w:val="1"/>
            <w:noWrap/>
          </w:tcPr>
          <w:p>
            <w:pPr/>
            <w:r>
              <w:rPr/>
              <w:t xml:space="preserve">1st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Decrease the production and waste of plastic packaging through a focus on a circular economy in the sector of Food &amp; Beverage (F&amp;B), building upon and fueling existing un-financed national policy frameworks and roadmaps.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Carlos Andrés Hernández Arias (carlosandres.hernandez@undp.org)</w:t>
            </w:r>
          </w:p>
        </w:tc>
      </w:tr>
      <w:tr>
        <w:trPr/>
        <w:tc>
          <w:tcPr>
            <w:tcW w:w="5000" w:type="dxa"/>
            <w:gridSpan w:val="1"/>
            <w:noWrap/>
          </w:tcPr>
          <w:p>
            <w:pPr/>
            <w:r>
              <w:rPr/>
              <w:t xml:space="preserve">UNDP BPPS Programme Associate</w:t>
            </w:r>
          </w:p>
        </w:tc>
        <w:tc>
          <w:tcPr>
            <w:tcW w:w="5000" w:type="dxa"/>
            <w:gridSpan w:val="1"/>
            <w:noWrap/>
          </w:tcPr>
          <w:p>
            <w:pPr/>
            <w:r>
              <w:rPr/>
              <w:t xml:space="preserve">Mr. Christopher Hawkins (christopher.hawkins@undp.org)</w:t>
            </w:r>
          </w:p>
        </w:tc>
      </w:tr>
      <w:tr>
        <w:trPr/>
        <w:tc>
          <w:tcPr>
            <w:tcW w:w="5000" w:type="dxa"/>
            <w:gridSpan w:val="1"/>
            <w:noWrap/>
          </w:tcPr>
          <w:p>
            <w:pPr/>
            <w:r>
              <w:rPr/>
              <w:t xml:space="preserve">UNDP BPPS SES Technical Advisor</w:t>
            </w:r>
          </w:p>
        </w:tc>
        <w:tc>
          <w:tcPr>
            <w:tcW w:w="5000" w:type="dxa"/>
            <w:gridSpan w:val="1"/>
            <w:noWrap/>
          </w:tcPr>
          <w:p>
            <w:pPr/>
            <w:r>
              <w:rPr/>
              <w:t xml:space="preserve">Ms. Maria Cruz Gonzalez (maria.cruz.gonzalez@undp.org)</w:t>
            </w:r>
          </w:p>
        </w:tc>
      </w:tr>
      <w:tr>
        <w:trPr/>
        <w:tc>
          <w:tcPr>
            <w:tcW w:w="5000" w:type="dxa"/>
            <w:gridSpan w:val="1"/>
            <w:noWrap/>
          </w:tcPr>
          <w:p>
            <w:pPr/>
            <w:r>
              <w:rPr/>
              <w:t xml:space="preserve">Project Manager/Coordinator</w:t>
            </w:r>
          </w:p>
        </w:tc>
        <w:tc>
          <w:tcPr>
            <w:tcW w:w="5000" w:type="dxa"/>
            <w:gridSpan w:val="1"/>
            <w:noWrap/>
          </w:tcPr>
          <w:p>
            <w:pPr/>
            <w:r>
              <w:rPr/>
              <w:t xml:space="preserve">Julissa Lopez Romero (julissa.lopez@undp.org)</w:t>
            </w:r>
          </w:p>
        </w:tc>
      </w:tr>
      <w:tr>
        <w:trPr/>
        <w:tc>
          <w:tcPr>
            <w:tcW w:w="5000" w:type="dxa"/>
            <w:gridSpan w:val="1"/>
            <w:noWrap/>
          </w:tcPr>
          <w:p>
            <w:pPr/>
            <w:r>
              <w:rPr/>
              <w:t xml:space="preserve">UNDP Country Office Programme Officer</w:t>
            </w:r>
          </w:p>
        </w:tc>
        <w:tc>
          <w:tcPr>
            <w:tcW w:w="5000" w:type="dxa"/>
            <w:gridSpan w:val="1"/>
            <w:noWrap/>
          </w:tcPr>
          <w:p>
            <w:pPr/>
            <w:r>
              <w:rPr/>
              <w:t xml:space="preserve">Ms. Arcia Breton (arcia.melisa.breton@undp.org)</w:t>
            </w:r>
          </w:p>
        </w:tc>
      </w:tr>
      <w:tr>
        <w:trPr/>
        <w:tc>
          <w:tcPr>
            <w:tcW w:w="5000" w:type="dxa"/>
            <w:gridSpan w:val="1"/>
            <w:noWrap/>
          </w:tcPr>
          <w:p>
            <w:pPr/>
            <w:r>
              <w:rPr/>
              <w:t xml:space="preserve">UNDP Country Office Deputy Resident Representative</w:t>
            </w:r>
          </w:p>
        </w:tc>
        <w:tc>
          <w:tcPr>
            <w:tcW w:w="5000" w:type="dxa"/>
            <w:gridSpan w:val="1"/>
            <w:noWrap/>
          </w:tcPr>
          <w:p>
            <w:pPr/>
            <w:r>
              <w:rPr/>
              <w:t xml:space="preserve">Ms. Sanja Bojanic (sanja.bojanic@undp.org)</w:t>
            </w:r>
          </w:p>
        </w:tc>
      </w:tr>
      <w:tr>
        <w:trPr/>
        <w:tc>
          <w:tcPr>
            <w:tcW w:w="5000" w:type="dxa"/>
            <w:gridSpan w:val="1"/>
            <w:noWrap/>
          </w:tcPr>
          <w:p>
            <w:pPr/>
            <w:r>
              <w:rPr/>
              <w:t xml:space="preserve">UNDP Regional Bureau Desk Officer</w:t>
            </w:r>
          </w:p>
        </w:tc>
        <w:tc>
          <w:tcPr>
            <w:tcW w:w="5000" w:type="dxa"/>
            <w:gridSpan w:val="1"/>
            <w:noWrap/>
          </w:tcPr>
          <w:p>
            <w:pPr/>
            <w:r>
              <w:rPr/>
              <w:t xml:space="preserve">Mr. Olivier Hidalgo (olivier-guillot.hidalgo@undp.org)</w:t>
            </w:r>
          </w:p>
        </w:tc>
      </w:tr>
      <w:tr>
        <w:trPr/>
        <w:tc>
          <w:tcPr>
            <w:tcW w:w="5000" w:type="dxa"/>
            <w:gridSpan w:val="1"/>
            <w:noWrap/>
          </w:tcPr>
          <w:p>
            <w:pPr/>
            <w:r>
              <w:rPr/>
              <w:t xml:space="preserve">GEF Operational Focal Point</w:t>
            </w:r>
          </w:p>
        </w:tc>
        <w:tc>
          <w:tcPr>
            <w:tcW w:w="5000" w:type="dxa"/>
            <w:gridSpan w:val="1"/>
            <w:noWrap/>
          </w:tcPr>
          <w:p>
            <w:pPr/>
            <w:r>
              <w:rPr/>
              <w:t xml:space="preserve">Mr. Ivan Cruz Burgos (ivan.cruz@ambiente.gob.do)</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t xml:space="preserve">Clara Fernandez.tejada (clara.fernandez.tejada@undp.org)</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60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29, 2023</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Dec 20, 2024</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Jun 11, 2025</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May 7, 2026</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Oct 2, 2025</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t xml:space="preserve">Dec 11, 2027</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Dec 11, 2030</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Jun 11, 2030</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Moderately Satisfactory</w:t>
            </w:r>
          </w:p>
        </w:tc>
      </w:tr>
      <w:tr>
        <w:trPr/>
        <w:tc>
          <w:tcPr>
            <w:tcW w:w="8000" w:type="dxa"/>
            <w:gridSpan w:val="1"/>
            <w:noWrap/>
          </w:tcPr>
          <w:p>
            <w:pPr/>
            <w:r>
              <w:rPr/>
              <w:t xml:space="preserve">Overall IP Rating</w:t>
            </w:r>
          </w:p>
        </w:tc>
        <w:tc>
          <w:tcPr>
            <w:tcW w:w="8000" w:type="dxa"/>
            <w:gridSpan w:val="1"/>
            <w:noWrap/>
          </w:tcPr>
          <w:p>
            <w:pPr/>
            <w:r>
              <w:rPr/>
              <w:t xml:space="preserve">Moderately 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decrease the production and waste of plastic packaging through a focus on a circular economy in the sector of Food &amp; Beverage (F&amp;B), building up on and fueling existing un-financed national policy frameworks and roadmaps Applicable.                          Output(s) from the UNDP Strategic Plan: Outcome 3 - Resilience built to respond to systemic uncertainty and risk. Output 3.2 (CPD PNUD-RD): Public and private sectors equipped with solutions for protecting natural capital to transition to a green and blue economy. Indicator 3.2.2: Number of initiatives developed to strengthen stakeholder capabilities for responsible production and consumption.</w:t>
            </w:r>
          </w:p>
          <w:p>
            <w:pPr/>
            <w:r>
              <w:rPr>
                <w:b w:val="1"/>
                <w:bCs w:val="1"/>
              </w:rPr>
              <w:t xml:space="preserve">This project corresponds to the UNDP Signature Solution of Environment, Output 4.1 Natural resources protected and managed to enhance sustainable productivity and livelihoods, Indicator 4.1.2 Natural resources that are managed under a sustainable use, conservation, access, and benefit-sharing regime.</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Mandatory Indicator 1:</w:t>
            </w:r>
          </w:p>
          <w:p>
            <w:pPr/>
            <w:r>
              <w:rPr/>
              <w:t xml:space="preserve">GEF Core Indicator 11: # direct project beneficiaries disaggregated by gender (individual people)</w:t>
            </w:r>
          </w:p>
          <w:p>
            <w:pPr/>
            <w:r>
              <w:rPr/>
              <w:t xml:space="preserve"/>
            </w:r>
          </w:p>
        </w:tc>
        <w:tc>
          <w:tcPr>
            <w:tcW w:w="2000" w:type="dxa"/>
            <w:gridSpan w:val="1"/>
            <w:noWrap/>
          </w:tcPr>
          <w:p>
            <w:pPr/>
            <w:r>
              <w:rPr/>
              <w:t xml:space="preserve">0</w:t>
            </w:r>
          </w:p>
        </w:tc>
        <w:tc>
          <w:tcPr>
            <w:tcW w:w="2000" w:type="dxa"/>
            <w:gridSpan w:val="1"/>
            <w:noWrap/>
          </w:tcPr>
          <w:p>
            <w:pPr/>
            <w:r>
              <w:rPr/>
              <w:t xml:space="preserve">251,490 (125,739 women, 125,751 men) direct beneficiaries.</w:t>
            </w:r>
          </w:p>
        </w:tc>
        <w:tc>
          <w:tcPr>
            <w:tcW w:w="2000" w:type="dxa"/>
            <w:gridSpan w:val="1"/>
            <w:noWrap/>
          </w:tcPr>
          <w:p>
            <w:pPr/>
            <w:r>
              <w:rPr/>
              <w:t xml:space="preserve">628,729 (314,350 women, 314,379 men) direct beneficiaries.</w:t>
            </w:r>
          </w:p>
        </w:tc>
        <w:tc>
          <w:tcPr>
            <w:tcW w:w="4000" w:type="dxa"/>
            <w:gridSpan w:val="1"/>
            <w:noWrap/>
          </w:tcPr>
          <w:p>
            <w:pPr/>
            <w:r>
              <w:rPr>
                <w:i w:val="1"/>
                <w:iCs w:val="1"/>
              </w:rPr>
              <w:t xml:space="preserve">(not set or not applicable)</w:t>
            </w:r>
          </w:p>
        </w:tc>
        <w:tc>
          <w:tcPr>
            <w:tcW w:w="4000" w:type="dxa"/>
            <w:gridSpan w:val="1"/>
            <w:noWrap/>
          </w:tcPr>
          <w:p>
            <w:pPr/>
            <w:r>
              <w:rPr/>
              <w:t xml:space="preserve">Total: 74 direct beneficiaries. During the reporting period, progress toward measuring this indicator is linked to the first two activities implemented for outcome 4. During the EPR workshop, 24 people were educated on the EPR scheme and how the project will support its implementation. On the other hand, during the sustainable finance week’s main event, more than 50 attendees were sensitized about the importance of alternative materials and innovation.</w:t>
            </w:r>
          </w:p>
          <w:p>
            <w:pPr/>
            <w:r>
              <w:rPr/>
              <w:t xml:space="preserve">In addition, the project indirectly reached approximately 465 stakeholders through Climate Finance Week. With support from the project, climate finance considerations and the development of financial mechanisms for alternative production materials were integrated into the agenda. The plastics sector was identified as a key priority area through the presentation of the NDC 3.0 and the green taxonomy, creating opportunities to advance investment in sustainable alternatives and support circular economy solutions. (Additional evidence supporting the reported progress is provided in the file library)</w:t>
            </w:r>
          </w:p>
        </w:tc>
      </w:tr>
      <w:tr>
        <w:trPr/>
        <w:tc>
          <w:tcPr>
            <w:tcW w:w="4000" w:type="dxa"/>
            <w:gridSpan w:val="1"/>
            <w:noWrap/>
          </w:tcPr>
          <w:p>
            <w:pPr/>
            <w:r>
              <w:rPr/>
              <w:t xml:space="preserve">Mandatory Indicator 2:</w:t>
            </w:r>
          </w:p>
          <w:p>
            <w:pPr/>
            <w:r>
              <w:rPr/>
              <w:t xml:space="preserve">GEF Core Indicator 2: Marine protected areas created or under improved management (hectare)</w:t>
            </w:r>
          </w:p>
          <w:p>
            <w:pPr/>
            <w:r>
              <w:rPr/>
              <w:t xml:space="preserve"/>
            </w:r>
          </w:p>
        </w:tc>
        <w:tc>
          <w:tcPr>
            <w:tcW w:w="2000" w:type="dxa"/>
            <w:gridSpan w:val="1"/>
            <w:noWrap/>
          </w:tcPr>
          <w:p>
            <w:pPr/>
            <w:r>
              <w:rPr/>
              <w:t xml:space="preserve">0</w:t>
            </w:r>
          </w:p>
        </w:tc>
        <w:tc>
          <w:tcPr>
            <w:tcW w:w="2000" w:type="dxa"/>
            <w:gridSpan w:val="1"/>
            <w:noWrap/>
          </w:tcPr>
          <w:p>
            <w:pPr/>
            <w:r>
              <w:rPr/>
              <w:t xml:space="preserve">0</w:t>
            </w:r>
          </w:p>
        </w:tc>
        <w:tc>
          <w:tcPr>
            <w:tcW w:w="2000" w:type="dxa"/>
            <w:gridSpan w:val="1"/>
            <w:noWrap/>
          </w:tcPr>
          <w:p>
            <w:pPr/>
            <w:r>
              <w:rPr/>
              <w:t xml:space="preserve">4,075,428 hectares under improved management.</w:t>
            </w:r>
          </w:p>
        </w:tc>
        <w:tc>
          <w:tcPr>
            <w:tcW w:w="4000" w:type="dxa"/>
            <w:gridSpan w:val="1"/>
            <w:noWrap/>
          </w:tcPr>
          <w:p>
            <w:pPr/>
            <w:r>
              <w:rPr>
                <w:i w:val="1"/>
                <w:iCs w:val="1"/>
              </w:rPr>
              <w:t xml:space="preserve">(not set or not applicable)</w:t>
            </w:r>
          </w:p>
        </w:tc>
        <w:tc>
          <w:tcPr>
            <w:tcW w:w="4000" w:type="dxa"/>
            <w:gridSpan w:val="1"/>
            <w:noWrap/>
          </w:tcPr>
          <w:p>
            <w:pPr/>
            <w:r>
              <w:rPr/>
              <w:t xml:space="preserve">These set of indicators remained contingent on the establishment of appropriate governance mechanisms for the receipt and implementation of donor-funded initiatives, as well as the identification of a suitable third-party implementation arrangement. While these foundational conditions have not yet been fully established, the project, with support of UNDP’s Country Office (CO) continued to proactively engage with the Ministry of Environment and government counterparts to strengthen national ownership and sustain political commitment throughout a period of institutional and political transition.</w:t>
            </w:r>
          </w:p>
          <w:p>
            <w:pPr/>
            <w:r>
              <w:rPr/>
              <w:t xml:space="preserve">The project and UNDP’s CO maintained regular strategic dialogue, supporting the Ministry of Environment, with relevant government institutions, ensuring that the project remained visible within the national agenda and providing continuous follow-up on key milestones, opportunities, and implementation challenges. These engagements have contributed to preserving momentum and reinforcing stakeholder alignment around the project’s objectives.</w:t>
            </w:r>
          </w:p>
          <w:p>
            <w:pPr/>
            <w:r>
              <w:rPr/>
              <w:t xml:space="preserve">Government counterparts, particularly the Ministry, reiterated the importance of bringing the Extended Producer Responsibility (EPR) framework into force as a critical enabling factor for achieving the project’s intended outcomes. In parallel, substantial efforts were undertaken to explore technical and operational modalities for measuring and aggregating results across interventions, including plastic waste diverted, beneficiaries reached, and greenhouse gas emissions avoided outside the AFOLU sector.</w:t>
            </w:r>
          </w:p>
          <w:p>
            <w:pPr/>
            <w:r>
              <w:rPr/>
              <w:t xml:space="preserve">Although measurable progress against these indicators could not yet be recorded during the reporting period, important preparatory steps were advanced to strengthen the enabling environment for implementation. These efforts are expected to facilitate the operationalization of project activities and support the future generation and measurement of Global Environmental Benefits.</w:t>
            </w:r>
          </w:p>
        </w:tc>
      </w:tr>
      <w:tr>
        <w:trPr/>
        <w:tc>
          <w:tcPr>
            <w:tcW w:w="4000" w:type="dxa"/>
            <w:gridSpan w:val="1"/>
            <w:noWrap/>
          </w:tcPr>
          <w:p>
            <w:pPr/>
            <w:r>
              <w:rPr/>
              <w:t xml:space="preserve">Mandatory Indicator 3:</w:t>
            </w:r>
          </w:p>
          <w:p>
            <w:pPr/>
            <w:r>
              <w:rPr/>
              <w:t xml:space="preserve">GEF Core Indicator 6: Greenhouse gas emission mitigated (metric tons of CO2e)</w:t>
            </w:r>
          </w:p>
          <w:p>
            <w:pPr/>
            <w:r>
              <w:rPr/>
              <w:t xml:space="preserve"/>
            </w:r>
          </w:p>
        </w:tc>
        <w:tc>
          <w:tcPr>
            <w:tcW w:w="2000" w:type="dxa"/>
            <w:gridSpan w:val="1"/>
            <w:noWrap/>
          </w:tcPr>
          <w:p>
            <w:pPr/>
            <w:r>
              <w:rPr/>
              <w:t xml:space="preserve">0</w:t>
            </w:r>
          </w:p>
        </w:tc>
        <w:tc>
          <w:tcPr>
            <w:tcW w:w="2000" w:type="dxa"/>
            <w:gridSpan w:val="1"/>
            <w:noWrap/>
          </w:tcPr>
          <w:p>
            <w:pPr/>
            <w:r>
              <w:rPr/>
              <w:t xml:space="preserve">9,707 metric tons of CO2e avoided outside AFOLU sector (direct).</w:t>
            </w:r>
          </w:p>
        </w:tc>
        <w:tc>
          <w:tcPr>
            <w:tcW w:w="2000" w:type="dxa"/>
            <w:gridSpan w:val="1"/>
            <w:noWrap/>
          </w:tcPr>
          <w:p>
            <w:pPr/>
            <w:r>
              <w:rPr/>
              <w:t xml:space="preserve">24,268 metric tons of CO2e avoided outside AFOLU sector (direct).</w:t>
            </w:r>
          </w:p>
        </w:tc>
        <w:tc>
          <w:tcPr>
            <w:tcW w:w="4000" w:type="dxa"/>
            <w:gridSpan w:val="1"/>
            <w:noWrap/>
          </w:tcPr>
          <w:p>
            <w:pPr/>
            <w:r>
              <w:rPr>
                <w:i w:val="1"/>
                <w:iCs w:val="1"/>
              </w:rPr>
              <w:t xml:space="preserve">(not set or not applicable)</w:t>
            </w:r>
          </w:p>
        </w:tc>
        <w:tc>
          <w:tcPr>
            <w:tcW w:w="4000" w:type="dxa"/>
            <w:gridSpan w:val="1"/>
            <w:noWrap/>
          </w:tcPr>
          <w:p>
            <w:pPr/>
            <w:r>
              <w:rPr/>
              <w:t xml:space="preserve">As outlined above, progress against this indicator could not be measured during the reporting period due to significant delays in the project's financial execution and implementation. Notwithstanding these challenges, efforts continued to focus on establishing the necessary conditions to facilitate implementation and enable the achievement and measurement of results in subsequent reporting periods</w:t>
            </w:r>
          </w:p>
        </w:tc>
      </w:tr>
      <w:tr>
        <w:trPr/>
        <w:tc>
          <w:tcPr>
            <w:tcW w:w="4000" w:type="dxa"/>
            <w:gridSpan w:val="1"/>
            <w:noWrap/>
          </w:tcPr>
          <w:p>
            <w:pPr/>
            <w:r>
              <w:rPr/>
              <w:t xml:space="preserve">Mandatory Indicator 4:</w:t>
            </w:r>
          </w:p>
          <w:p>
            <w:pPr/>
            <w:r>
              <w:rPr/>
              <w:t xml:space="preserve">GEF Core Indicator 9: Avoided residual plastic waste (MT)</w:t>
            </w:r>
          </w:p>
          <w:p>
            <w:pPr/>
            <w:r>
              <w:rPr/>
              <w:t xml:space="preserve"/>
            </w:r>
          </w:p>
        </w:tc>
        <w:tc>
          <w:tcPr>
            <w:tcW w:w="2000" w:type="dxa"/>
            <w:gridSpan w:val="1"/>
            <w:noWrap/>
          </w:tcPr>
          <w:p>
            <w:pPr/>
            <w:r>
              <w:rPr/>
              <w:t xml:space="preserve">0</w:t>
            </w:r>
          </w:p>
        </w:tc>
        <w:tc>
          <w:tcPr>
            <w:tcW w:w="2000" w:type="dxa"/>
            <w:gridSpan w:val="1"/>
            <w:noWrap/>
          </w:tcPr>
          <w:p>
            <w:pPr/>
            <w:r>
              <w:rPr/>
              <w:t xml:space="preserve">4,463 metric tonnes of plastic waste avoided.</w:t>
            </w:r>
          </w:p>
        </w:tc>
        <w:tc>
          <w:tcPr>
            <w:tcW w:w="2000" w:type="dxa"/>
            <w:gridSpan w:val="1"/>
            <w:noWrap/>
          </w:tcPr>
          <w:p>
            <w:pPr/>
            <w:r>
              <w:rPr/>
              <w:t xml:space="preserve">11,158 metric tonnes of plastic waste avoided.</w:t>
            </w:r>
          </w:p>
        </w:tc>
        <w:tc>
          <w:tcPr>
            <w:tcW w:w="4000" w:type="dxa"/>
            <w:gridSpan w:val="1"/>
            <w:noWrap/>
          </w:tcPr>
          <w:p>
            <w:pPr/>
            <w:r>
              <w:rPr>
                <w:i w:val="1"/>
                <w:iCs w:val="1"/>
              </w:rPr>
              <w:t xml:space="preserve">(not set or not applicable)</w:t>
            </w:r>
          </w:p>
        </w:tc>
        <w:tc>
          <w:tcPr>
            <w:tcW w:w="4000" w:type="dxa"/>
            <w:gridSpan w:val="1"/>
            <w:noWrap/>
          </w:tcPr>
          <w:p>
            <w:pPr/>
            <w:r>
              <w:rPr/>
              <w:t xml:space="preserve">As outlined above, progress against this indicator will not be measurable during the reporting period due to significant delays in the project's financial execution and implementation. Notwithstanding these challenges, efforts will continue to focus on establishing the necessary conditions required to facilitate implementation and enable the achievement and measurement of results in subsequent reporting periods.</w:t>
            </w:r>
          </w:p>
          <w:p>
            <w:pPr/>
            <w:r>
              <w:rPr/>
              <w:t xml:space="preserve">Regarding this indicator, in preparation for the effective implementation of project activities, the Project will continue strengthening the enabling environment for improved waste management practices, including reuse and re-fill when possible, and avoid plastic waste.</w:t>
            </w:r>
          </w:p>
          <w:p>
            <w:pPr/>
            <w:r>
              <w:rPr/>
              <w:t xml:space="preserve">Recent improvements in waste management provide valuable evidence for understanding plastic consumption and disposal patterns, supporting the project efforts to reduce plastic use at the source. The volume of waste disposed of in sanitary landfills increased from 142,434 tons in June 2025 to 175,714 tons in June 2026, a 23% increase, of which an estimated 9%-10% corresponds to plastic. This information helps the project identify trends in plastic generation and consumption, informing targeted interventions to reduce plastic production and use.</w:t>
            </w:r>
          </w:p>
        </w:tc>
      </w:tr>
      <w:tr>
        <w:trPr/>
        <w:tc>
          <w:tcPr>
            <w:tcW w:w="4000" w:type="dxa"/>
            <w:gridSpan w:val="1"/>
            <w:noWrap/>
          </w:tcPr>
          <w:p>
            <w:pPr/>
            <w:r>
              <w:rPr/>
              <w:t xml:space="preserve">Mandatory Indicator 5:</w:t>
            </w:r>
          </w:p>
          <w:p>
            <w:pPr/>
            <w:r>
              <w:rPr/>
              <w:t xml:space="preserve">GEF Core Indicator 10: Persistent organic pollutants to air reduced (gTEQ)</w:t>
            </w:r>
          </w:p>
          <w:p>
            <w:pPr/>
            <w:r>
              <w:rPr/>
              <w:t xml:space="preserve"/>
            </w:r>
          </w:p>
        </w:tc>
        <w:tc>
          <w:tcPr>
            <w:tcW w:w="2000" w:type="dxa"/>
            <w:gridSpan w:val="1"/>
            <w:noWrap/>
          </w:tcPr>
          <w:p>
            <w:pPr/>
            <w:r>
              <w:rPr/>
              <w:t xml:space="preserve">0</w:t>
            </w:r>
          </w:p>
        </w:tc>
        <w:tc>
          <w:tcPr>
            <w:tcW w:w="2000" w:type="dxa"/>
            <w:gridSpan w:val="1"/>
            <w:noWrap/>
          </w:tcPr>
          <w:p>
            <w:pPr/>
            <w:r>
              <w:rPr/>
              <w:t xml:space="preserve">0.2 gTEQ of UPOPs to air reduced.</w:t>
            </w:r>
          </w:p>
        </w:tc>
        <w:tc>
          <w:tcPr>
            <w:tcW w:w="2000" w:type="dxa"/>
            <w:gridSpan w:val="1"/>
            <w:noWrap/>
          </w:tcPr>
          <w:p>
            <w:pPr/>
            <w:r>
              <w:rPr/>
              <w:t xml:space="preserve">0.5 gTEQ of UPOPs to air reduced .</w:t>
            </w:r>
          </w:p>
        </w:tc>
        <w:tc>
          <w:tcPr>
            <w:tcW w:w="4000" w:type="dxa"/>
            <w:gridSpan w:val="1"/>
            <w:noWrap/>
          </w:tcPr>
          <w:p>
            <w:pPr/>
            <w:r>
              <w:rPr>
                <w:i w:val="1"/>
                <w:iCs w:val="1"/>
              </w:rPr>
              <w:t xml:space="preserve">(not set or not applicable)</w:t>
            </w:r>
          </w:p>
        </w:tc>
        <w:tc>
          <w:tcPr>
            <w:tcW w:w="4000" w:type="dxa"/>
            <w:gridSpan w:val="1"/>
            <w:noWrap/>
          </w:tcPr>
          <w:p>
            <w:pPr/>
            <w:r>
              <w:rPr/>
              <w:t xml:space="preserve">As outlined above, progress against this indicator could not be measured during the reporting period due to significant delays in the project's financial execution and implementation. Notwithstanding these challenges, efforts continued to focus on establishing the necessary conditions to facilitate implementation and enable the achievement and measurement of results in subsequent reporting periods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Governance and Policy Frameworks, Multistakeholders dialogues. Outputs to achieve Outcome 1: Output 1.1 Implementation of the EPR regulation for containers and packaging focused on the food and beverage sector.</w:t>
            </w:r>
          </w:p>
          <w:p>
            <w:pPr/>
            <w:r>
              <w:rPr>
                <w:b w:val="1"/>
                <w:bCs w:val="1"/>
              </w:rPr>
              <w:t xml:space="preserve">Output 1.2 Dissemination and implementation of the National Policy on Green Purchases.</w:t>
            </w:r>
          </w:p>
          <w:p>
            <w:pPr/>
            <w:r>
              <w:rPr>
                <w:b w:val="1"/>
                <w:bCs w:val="1"/>
              </w:rPr>
              <w:t xml:space="preserve">Output 1.3 Support the development of a national dialogue platform on circular economy with cooperation, private sector, and civil society to foster permanent collaboration, dialogue, and technical assistance.</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Indicator 6:</w:t>
            </w:r>
          </w:p>
          <w:p>
            <w:pPr/>
            <w:r>
              <w:rPr/>
              <w:t xml:space="preserve">Packaging and Containers EPR regulation enhanced, measured by:</w:t>
            </w:r>
          </w:p>
          <w:p>
            <w:pPr/>
            <w:r>
              <w:rPr/>
              <w:t xml:space="preserve">- Containers and Packaging” Regulation EPR Baseline Development.</w:t>
            </w:r>
          </w:p>
          <w:p>
            <w:pPr/>
            <w:r>
              <w:rPr/>
              <w:t xml:space="preserve">- Mechanisms for monitoring and evaluating “Containers and Packaging” EPR regulation.</w:t>
            </w:r>
          </w:p>
          <w:p>
            <w:pPr/>
            <w:r>
              <w:rPr/>
              <w:t xml:space="preserve">- Special Programme development.</w:t>
            </w:r>
          </w:p>
        </w:tc>
        <w:tc>
          <w:tcPr>
            <w:tcW w:w="2000" w:type="dxa"/>
            <w:gridSpan w:val="1"/>
            <w:noWrap/>
          </w:tcPr>
          <w:p>
            <w:pPr/>
            <w:r>
              <w:rPr/>
              <w:t xml:space="preserve">0</w:t>
            </w:r>
          </w:p>
        </w:tc>
        <w:tc>
          <w:tcPr>
            <w:tcW w:w="2000" w:type="dxa"/>
            <w:gridSpan w:val="1"/>
            <w:noWrap/>
          </w:tcPr>
          <w:p>
            <w:pPr/>
            <w:r>
              <w:rPr/>
              <w:t xml:space="preserve">- Containers and Packaging” Regulation EPR Baseline developed.</w:t>
            </w:r>
          </w:p>
          <w:p>
            <w:pPr/>
            <w:r>
              <w:rPr/>
              <w:t xml:space="preserve">- Mechanisms for monitoring and evaluating “Containers and Packaging” EPR regulation defined.</w:t>
            </w:r>
          </w:p>
          <w:p>
            <w:pPr/>
            <w:r>
              <w:rPr/>
              <w:t xml:space="preserve">- Special Programme developed.</w:t>
            </w:r>
          </w:p>
          <w:p>
            <w:pPr/>
            <w:r>
              <w:rPr/>
              <w:t xml:space="preserve"/>
            </w:r>
          </w:p>
        </w:tc>
        <w:tc>
          <w:tcPr>
            <w:tcW w:w="2000" w:type="dxa"/>
            <w:gridSpan w:val="1"/>
            <w:noWrap/>
          </w:tcPr>
          <w:p>
            <w:pPr/>
            <w:r>
              <w:rPr/>
              <w:t xml:space="preserve">- Containers and Packaging” Regulation EPR Baseline developed.</w:t>
            </w:r>
          </w:p>
          <w:p>
            <w:pPr/>
            <w:r>
              <w:rPr/>
              <w:t xml:space="preserve">- Mechanisms for monitoring and evaluating “Containers and Packaging” EPR regulation defined.</w:t>
            </w:r>
          </w:p>
          <w:p>
            <w:pPr/>
            <w:r>
              <w:rPr/>
              <w:t xml:space="preserve">- Special Programme developed.</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During the reporting period, a major milestone was achieved by the Ministry of Environment, with support from the project, linked to this indicator: the approval of the General Regulation for the Implementation of Extended Producer Responsibility (EPR) through Decree No. 402-26, enacted on 15 June 2026 and officially published on 19 June 2026. The regulation establishes the national framework for EPR implementation, defining responsibilities, collection and recovery obligations, and reporting requirements for producers, importers, and marketers of priority products. Building on this achievement, the Ministry of Environment successfully led interinstitutional coordination efforts under the Plastic Reboot Project, fostering technical dialogue on strengthening EPR schemes for packaging and packaging waste.</w:t>
            </w:r>
          </w:p>
          <w:p>
            <w:pPr/>
            <w:r>
              <w:rPr/>
              <w:t xml:space="preserve">Looking ahead, these efforts contributed to the identification of key priorities and collaborative pathways to advance the regulatory baseline, while laying the foundation for robust monitoring and reporting mechanisms. (Aditional evidence supporting the reported progress is provided in the file library)</w:t>
            </w:r>
          </w:p>
        </w:tc>
      </w:tr>
      <w:tr>
        <w:trPr/>
        <w:tc>
          <w:tcPr>
            <w:tcW w:w="4000" w:type="dxa"/>
            <w:gridSpan w:val="1"/>
            <w:noWrap/>
          </w:tcPr>
          <w:p>
            <w:pPr/>
            <w:r>
              <w:rPr/>
              <w:t xml:space="preserve">Indicator 7:</w:t>
            </w:r>
          </w:p>
          <w:p>
            <w:pPr/>
            <w:r>
              <w:rPr/>
              <w:t xml:space="preserve">National Dialogue Platform for plastics operative and National Policy on Green Purchases implemented</w:t>
            </w:r>
          </w:p>
          <w:p>
            <w:pPr/>
            <w:r>
              <w:rPr/>
              <w:t xml:space="preserve">Linked to Program Outcome 1.3</w:t>
            </w:r>
          </w:p>
          <w:p>
            <w:pPr/>
            <w:r>
              <w:rPr/>
              <w:t xml:space="preserve"/>
            </w:r>
          </w:p>
        </w:tc>
        <w:tc>
          <w:tcPr>
            <w:tcW w:w="2000" w:type="dxa"/>
            <w:gridSpan w:val="1"/>
            <w:noWrap/>
          </w:tcPr>
          <w:p>
            <w:pPr/>
            <w:r>
              <w:rPr/>
              <w:t xml:space="preserve">0</w:t>
            </w:r>
          </w:p>
        </w:tc>
        <w:tc>
          <w:tcPr>
            <w:tcW w:w="2000" w:type="dxa"/>
            <w:gridSpan w:val="1"/>
            <w:noWrap/>
          </w:tcPr>
          <w:p>
            <w:pPr/>
            <w:r>
              <w:rPr/>
              <w:t xml:space="preserve">- National Dialogue Platform in place.</w:t>
            </w:r>
          </w:p>
          <w:p>
            <w:pPr/>
            <w:r>
              <w:rPr/>
              <w:t xml:space="preserve">- Guidelines on Green Procurement developed.</w:t>
            </w:r>
          </w:p>
          <w:p>
            <w:pPr/>
            <w:r>
              <w:rPr/>
              <w:t xml:space="preserve"/>
            </w:r>
          </w:p>
        </w:tc>
        <w:tc>
          <w:tcPr>
            <w:tcW w:w="2000" w:type="dxa"/>
            <w:gridSpan w:val="1"/>
            <w:noWrap/>
          </w:tcPr>
          <w:p>
            <w:pPr/>
            <w:r>
              <w:rPr/>
              <w:t xml:space="preserve">- National Dialogue Platform in place and sustainability mechanism identified.</w:t>
            </w:r>
          </w:p>
          <w:p>
            <w:pPr/>
            <w:r>
              <w:rPr/>
              <w:t xml:space="preserve">- Two (2) Public institution certified in Green Procurement Guidelines.</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The project has initiated engagement with the National Plastic Action Partnership (NPAP) to better understand its structure, priorities, and coordination mechanisms, with the objective of identifying opportunities for alignment and collaboration. These discussions will help inform how Plastic Reboot can effectively contribute to and leverage the platform as a national dialogue space for addressing plastic pollution.</w:t>
            </w:r>
          </w:p>
          <w:p>
            <w:pPr/>
            <w:r>
              <w:rPr/>
              <w:t xml:space="preserve">During the reporting period, the Ministry of Environment, with support from the project, continued to play an active role within the platform, contributing to the review and refinement of the National Plastics Roadmap and helping to align policy and implementation priorities across sectors.</w:t>
            </w:r>
          </w:p>
          <w:p>
            <w:pPr/>
            <w:r>
              <w:rPr/>
              <w:t xml:space="preserve">Under the national project, significant progress has been made in supporting the implementation of the Green Public Procurement (GPP) Policy. The project has worked closely with the Ministry and the General Directorate of Public Procurement (DGCP) to advance the integration of environmental sustainability principles into public purchasing processes, including through the review and analysis of the Green Procurement Platform, a key tool for monitoring the incorporation of sustainability criteria in public procurement.,</w:t>
            </w:r>
          </w:p>
          <w:p>
            <w:pPr/>
            <w:r>
              <w:rPr/>
              <w:t xml:space="preserve">The Green Procurement Platform has become an important source of evidence for the project by understanding how public procurement can contribute to reducing plastic consumption and advancing circular economy practices. To date, the platform reports 3,191 procurement processes with a total awarded value of DOP 3.32 billion and provides detailed information on the types of goods and services procured under green purchasing criteria.</w:t>
            </w:r>
          </w:p>
          <w:p>
            <w:pPr/>
            <w:r>
              <w:rPr/>
              <w:t xml:space="preserve">Analysis of the platform identified several categories that are highly relevant to the Plastic Reboot project, including single-use items, cups and lids, garbage bags, catering services, cleaning products, bottled water, and paper products. These findings help identify key consumption patterns and strategic opportunities to promote sustainable alternatives, reduce reliance on single-use plastics, and strengthen the integration of circularity principles into public procurement.</w:t>
            </w:r>
          </w:p>
          <w:p>
            <w:pPr/>
            <w:r>
              <w:rPr/>
              <w:t xml:space="preserve">Both approaches provide a strong foundation for achieving this project intended outcomes. (Additional evidence supporting the reported progress is provided in the file library)</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Financial leverage. Outputs to achieve Outcome 2: Output 2.1 Build capacity for the elaboration of incentives and payment schemes supporting investments in sustainable packaging, plastic-free models, and plastic circularity, focusing on women groups and MSMEs led by women.</w:t>
            </w:r>
          </w:p>
          <w:p>
            <w:pPr/>
            <w:r>
              <w:rPr>
                <w:b w:val="1"/>
                <w:bCs w:val="1"/>
              </w:rPr>
              <w:t xml:space="preserve">Output 2.2 Promote incubation and acceleration of circular economy start-ups.</w:t>
            </w:r>
          </w:p>
          <w:p>
            <w:pPr/>
            <w:r>
              <w:rPr>
                <w:b w:val="1"/>
                <w:bCs w:val="1"/>
              </w:rPr>
              <w:t xml:space="preserve">Output 2.3 Promote through private banking the mobilization of green funds for circular economy.</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Indicator 8:</w:t>
            </w:r>
          </w:p>
          <w:p>
            <w:pPr/>
            <w:r>
              <w:rPr/>
              <w:t xml:space="preserve">Assessment on incentives and application feasibility report.</w:t>
            </w:r>
          </w:p>
          <w:p>
            <w:pPr/>
            <w:r>
              <w:rPr/>
              <w:t xml:space="preserve">Linked to Program Outcome 2.1</w:t>
            </w:r>
          </w:p>
          <w:p>
            <w:pPr/>
            <w:r>
              <w:rPr/>
              <w:t xml:space="preserve"/>
            </w:r>
          </w:p>
        </w:tc>
        <w:tc>
          <w:tcPr>
            <w:tcW w:w="2000" w:type="dxa"/>
            <w:gridSpan w:val="1"/>
            <w:noWrap/>
          </w:tcPr>
          <w:p>
            <w:pPr/>
            <w:r>
              <w:rPr/>
              <w:t xml:space="preserve">0</w:t>
            </w:r>
          </w:p>
        </w:tc>
        <w:tc>
          <w:tcPr>
            <w:tcW w:w="2000" w:type="dxa"/>
            <w:gridSpan w:val="1"/>
            <w:noWrap/>
          </w:tcPr>
          <w:p>
            <w:pPr/>
            <w:r>
              <w:rPr/>
              <w:t xml:space="preserve">Report on incentives assessment and application feasibility developed and disseminated.</w:t>
            </w:r>
          </w:p>
        </w:tc>
        <w:tc>
          <w:tcPr>
            <w:tcW w:w="2000" w:type="dxa"/>
            <w:gridSpan w:val="1"/>
            <w:noWrap/>
          </w:tcPr>
          <w:p>
            <w:pPr/>
            <w:r>
              <w:rPr/>
              <w:t xml:space="preserve">Report on incentives assessment and application feasibility developed and disseminated.</w:t>
            </w:r>
          </w:p>
        </w:tc>
        <w:tc>
          <w:tcPr>
            <w:tcW w:w="4000" w:type="dxa"/>
            <w:gridSpan w:val="1"/>
            <w:noWrap/>
          </w:tcPr>
          <w:p>
            <w:pPr/>
            <w:r>
              <w:rPr>
                <w:i w:val="1"/>
                <w:iCs w:val="1"/>
              </w:rPr>
              <w:t xml:space="preserve">(not set or not applicable)</w:t>
            </w:r>
          </w:p>
        </w:tc>
        <w:tc>
          <w:tcPr>
            <w:tcW w:w="4000" w:type="dxa"/>
            <w:gridSpan w:val="1"/>
            <w:noWrap/>
          </w:tcPr>
          <w:p>
            <w:pPr/>
            <w:r>
              <w:rPr/>
              <w:t xml:space="preserve">Within the framework of the national project, the Ministry has developed a preliminary assessment of a cost-escalation scheme for the production and consumption of plastic bags, aimed at discouraging their use while fostering the development and adoption of more sustainable production alternatives.</w:t>
            </w:r>
          </w:p>
          <w:p>
            <w:pPr/>
            <w:r>
              <w:rPr/>
              <w:t xml:space="preserve">The proposed framework classifies plastic bags according to the thickness (gauge) of the material, recognizing this parameter as a key determinant of the actual plastic content of each bag and its associated environmental footprint. Building on the polluter pay principle, the scheme introduces a differentiated fee structure whereby products with a higher environmental impact are subject to higher charges.</w:t>
            </w:r>
          </w:p>
          <w:p>
            <w:pPr/>
            <w:r>
              <w:rPr/>
              <w:t xml:space="preserve">In addition, the proposal outlines mechanisms for the allocation of the revenues generated through the scheme, directing these resources toward strategic interventions that support the sector’s transition to more sustainable and circular practices. These include measures to encourage innovation, promote alternative materials and business models, strengthen waste management systems, and support stakeholder capacity development across the value chain.</w:t>
            </w:r>
          </w:p>
          <w:p>
            <w:pPr/>
            <w:r>
              <w:rPr/>
              <w:t xml:space="preserve">During the inception workshop of the project a female lead foundation (Fundacion Casa de Maria Hernandez, Fundomaria), approach to have a dedicated meeting, this translated into a plan for tackling 10 schools and 3 grassroot foundations.</w:t>
            </w:r>
          </w:p>
          <w:p>
            <w:pPr/>
            <w:r>
              <w:rPr/>
              <w:t xml:space="preserve">Also, discussions were initiated between the project and the Direction of Financial Mechanisms of the Ministry during the Ministry´s Green Finance Week, on financing and incentive schemes for pilot projects aimed at reducing plastic pollution and promoting circular business models within the commercial and tourism sectors. These discussions will serve as a foundation for fostering more in-depth engagement with financial institutions in the coming quarters, with a view to advancing financing opportunities for plastic reduction initiatives and circular economy solutions as part of the project goals. (Additional evidence supporting the reported progress is provided in the file library)</w:t>
            </w:r>
          </w:p>
        </w:tc>
      </w:tr>
      <w:tr>
        <w:trPr/>
        <w:tc>
          <w:tcPr>
            <w:tcW w:w="4000" w:type="dxa"/>
            <w:gridSpan w:val="1"/>
            <w:noWrap/>
          </w:tcPr>
          <w:p>
            <w:pPr/>
            <w:r>
              <w:rPr/>
              <w:t xml:space="preserve">Indicator 9:</w:t>
            </w:r>
          </w:p>
          <w:p>
            <w:pPr/>
            <w:r>
              <w:rPr/>
              <w:t xml:space="preserve">Investment mobilized towards plastic reduction through circular models, measured by:</w:t>
            </w:r>
          </w:p>
          <w:p>
            <w:pPr/>
            <w:r>
              <w:rPr/>
              <w:t xml:space="preserve">- Number of Start Ups implemented.</w:t>
            </w:r>
          </w:p>
          <w:p>
            <w:pPr/>
            <w:r>
              <w:rPr/>
              <w:t xml:space="preserve">- Number of MSMEs assisted in accessing green funds.</w:t>
            </w:r>
          </w:p>
          <w:p>
            <w:pPr/>
            <w:r>
              <w:rPr/>
              <w:t xml:space="preserve">Linked to Program Outcome 2.2</w:t>
            </w:r>
          </w:p>
          <w:p>
            <w:pPr/>
            <w:r>
              <w:rPr/>
              <w:t xml:space="preserve"/>
            </w:r>
          </w:p>
        </w:tc>
        <w:tc>
          <w:tcPr>
            <w:tcW w:w="2000" w:type="dxa"/>
            <w:gridSpan w:val="1"/>
            <w:noWrap/>
          </w:tcPr>
          <w:p>
            <w:pPr/>
            <w:r>
              <w:rPr/>
              <w:t xml:space="preserve">0</w:t>
            </w:r>
          </w:p>
        </w:tc>
        <w:tc>
          <w:tcPr>
            <w:tcW w:w="2000" w:type="dxa"/>
            <w:gridSpan w:val="1"/>
            <w:noWrap/>
          </w:tcPr>
          <w:p>
            <w:pPr/>
            <w:r>
              <w:rPr/>
              <w:t xml:space="preserve">- At least three (3) Start Ups selected for financing its implementation.</w:t>
            </w:r>
          </w:p>
          <w:p>
            <w:pPr/>
            <w:r>
              <w:rPr/>
              <w:t xml:space="preserve">- Green funds assessed and offer available.</w:t>
            </w:r>
          </w:p>
          <w:p>
            <w:pPr/>
            <w:r>
              <w:rPr/>
              <w:t xml:space="preserve"/>
            </w:r>
          </w:p>
        </w:tc>
        <w:tc>
          <w:tcPr>
            <w:tcW w:w="2000" w:type="dxa"/>
            <w:gridSpan w:val="1"/>
            <w:noWrap/>
          </w:tcPr>
          <w:p>
            <w:pPr/>
            <w:r>
              <w:rPr/>
              <w:t xml:space="preserve">- At least three (3) Start Ups implemented.</w:t>
            </w:r>
          </w:p>
          <w:p>
            <w:pPr/>
            <w:r>
              <w:rPr/>
              <w:t xml:space="preserve">- At least five (5) MSMEs assisted in accessing green funds.</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During the reporting period, the national project has supported the Ministry of Environment to enable conditions for circular economy investments through collaboration with the General Directorate of Public Procurement (DGCP) and initiatives targeting MSME participation in sustainable markets. Similarly, as part of the Green Procurement activities, the project has accompanied the Ministry to successfully identify and conduct technical site visits to 15 registered MSMEs. These visits included facility tours aimed at gaining a deeper understanding of their production processes, assessing opportunities to strengthen Resource Efficiency and Cleaner Production (RECP) practices, and identifying areas for operational improvement.</w:t>
            </w:r>
          </w:p>
          <w:p>
            <w:pPr/>
            <w:r>
              <w:rPr/>
              <w:t xml:space="preserve">The visits also provided an opportunity to establish a roadmap for tailored technical assistance, through the project, and to facilitate connections with relevant financing mechanisms that can support the implementation of sustainability measures and business growth.</w:t>
            </w:r>
          </w:p>
          <w:p>
            <w:pPr/>
            <w:r>
              <w:rPr/>
              <w:t xml:space="preserve">Efforts were also advanced through the project collaboration on the National Environmental Award, which promotes environmental innovation and good sustainability practices within the private sector. These actions contribute to creating incentives and market opportunities for enterprises interested in adopting circular business models and reducing plastic use, for this reporting period, the project has supported the Ministry to achieve 6 visits to different provinces (Evidence: Informes PNA) presenting the award and have several workshops around the topic.</w:t>
            </w:r>
          </w:p>
          <w:p>
            <w:pPr/>
            <w:r>
              <w:rPr/>
              <w:t xml:space="preserve">Further advances were achieved in promoting green finance through the First National Climate Finance Week, which brought together representatives from government institutions, the financial sector, the private sector, academia, civil society, and development partners to strengthen collaboration around a common climate finance agenda. The project contributed to positioning the alternative materials to plastics production sector as a strategic area for investment, with a focus on developing financial mechanisms that support sustainable alternatives. (Additional evidence supporting the reported progress is provided in the file library)</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Private Sector Engagement, Innovation and Learning      Outputs to achieve Outcome 3: Output 3.1 Promote innovation and engagement in circular business models and plastic reduction across all business sectors.</w:t>
            </w:r>
          </w:p>
          <w:p>
            <w:pPr/>
            <w:r>
              <w:rPr>
                <w:b w:val="1"/>
                <w:bCs w:val="1"/>
              </w:rPr>
              <w:t xml:space="preserve">Output 3.2 Encourage the private sector to adopt circular business models through the strengthening of the Plastic Training and Research Center capacities.</w:t>
            </w:r>
          </w:p>
          <w:p>
            <w:pPr/>
            <w:r>
              <w:rPr>
                <w:b w:val="1"/>
                <w:bCs w:val="1"/>
              </w:rPr>
              <w:t xml:space="preserve">Output 3.3 Promote a “Plastic Waste Free” site in Dominican Republic through the adoption of “IUCN Plastic Waste Free Islands Blueprint” action plan.</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Indicator 10:</w:t>
            </w:r>
          </w:p>
          <w:p>
            <w:pPr/>
            <w:r>
              <w:rPr/>
              <w:t xml:space="preserve">Number of demonstration activities implemented towards reduction of plastic use and plastics circularity.</w:t>
            </w:r>
          </w:p>
          <w:p>
            <w:pPr/>
            <w:r>
              <w:rPr/>
              <w:t xml:space="preserve">Linked to Program Outcome 3.2</w:t>
            </w:r>
          </w:p>
          <w:p>
            <w:pPr/>
            <w:r>
              <w:rPr/>
              <w:t xml:space="preserve"/>
            </w:r>
          </w:p>
        </w:tc>
        <w:tc>
          <w:tcPr>
            <w:tcW w:w="2000" w:type="dxa"/>
            <w:gridSpan w:val="1"/>
            <w:noWrap/>
          </w:tcPr>
          <w:p>
            <w:pPr/>
            <w:r>
              <w:rPr/>
              <w:t xml:space="preserve">0</w:t>
            </w:r>
          </w:p>
        </w:tc>
        <w:tc>
          <w:tcPr>
            <w:tcW w:w="2000" w:type="dxa"/>
            <w:gridSpan w:val="1"/>
            <w:noWrap/>
          </w:tcPr>
          <w:p>
            <w:pPr/>
            <w:r>
              <w:rPr/>
              <w:t xml:space="preserve">- Business model analysis of the “colmados” completed.</w:t>
            </w:r>
          </w:p>
        </w:tc>
        <w:tc>
          <w:tcPr>
            <w:tcW w:w="2000" w:type="dxa"/>
            <w:gridSpan w:val="1"/>
            <w:noWrap/>
          </w:tcPr>
          <w:p>
            <w:pPr/>
            <w:r>
              <w:rPr/>
              <w:t xml:space="preserve">- One (1) Deposit/Return scheme implemented.</w:t>
            </w:r>
          </w:p>
          <w:p>
            <w:pPr/>
            <w:r>
              <w:rPr/>
              <w:t xml:space="preserve">- One (1) Bulk sale scheme implemented.</w:t>
            </w:r>
          </w:p>
          <w:p>
            <w:pPr/>
            <w:r>
              <w:rPr/>
              <w:t xml:space="preserve">- One (1) business model for plastic reduction implemented in the “Colmados”.</w:t>
            </w:r>
          </w:p>
          <w:p>
            <w:pPr/>
            <w:r>
              <w:rPr/>
              <w:t xml:space="preserve">- One (1) demonstration activity on the application of the “IUCN Waste Free Islands Blueprint” methodology implemented.</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During the reporting period, the project advanced the identification of demonstration initiatives related to plastic reduction and circular business models. Technical discussions were initiated around deposit-return systems, bulk sale schemes, and plastic reduction strategies in small retailers (colmados) and tourism sectors during the inception workshop.</w:t>
            </w:r>
          </w:p>
          <w:p>
            <w:pPr/>
            <w:r>
              <w:rPr/>
              <w:t xml:space="preserve">In addition, the project identified that previous efforts led by the Ministry in collaboration with IUCN in Saona Island provide a valuable foundation for the future implementation of the "Plastic Waste Free" demonstration activities under the Plastic Reboot project. Lessons learned and methodologies developed through the Saona experience were assessed and will serve to be incorporated into upcoming IUCN-related interventions within the project framework. (Additional evidence supporting the reported progress is provided in the file library)</w:t>
            </w:r>
          </w:p>
        </w:tc>
      </w:tr>
      <w:tr>
        <w:trPr/>
        <w:tc>
          <w:tcPr>
            <w:tcW w:w="4000" w:type="dxa"/>
            <w:gridSpan w:val="1"/>
            <w:noWrap/>
          </w:tcPr>
          <w:p>
            <w:pPr/>
            <w:r>
              <w:rPr/>
              <w:t xml:space="preserve">Indicator 11: National capacities on plastics research strengthened measured by:</w:t>
            </w:r>
          </w:p>
          <w:p>
            <w:pPr/>
            <w:r>
              <w:rPr/>
              <w:t xml:space="preserve">- Diploma degree development.</w:t>
            </w:r>
          </w:p>
          <w:p>
            <w:pPr/>
            <w:r>
              <w:rPr/>
              <w:t xml:space="preserve">- Researchers training.</w:t>
            </w:r>
          </w:p>
          <w:p>
            <w:pPr/>
            <w:r>
              <w:rPr/>
              <w:t xml:space="preserve">- Researchers network creation.</w:t>
            </w:r>
          </w:p>
          <w:p>
            <w:pPr/>
            <w:r>
              <w:rPr/>
              <w:t xml:space="preserve">Linked to Program Outcome 3.1.</w:t>
            </w:r>
          </w:p>
          <w:p>
            <w:pPr/>
            <w:r>
              <w:rPr/>
              <w:t xml:space="preserve"/>
            </w:r>
          </w:p>
        </w:tc>
        <w:tc>
          <w:tcPr>
            <w:tcW w:w="2000" w:type="dxa"/>
            <w:gridSpan w:val="1"/>
            <w:noWrap/>
          </w:tcPr>
          <w:p>
            <w:pPr/>
            <w:r>
              <w:rPr/>
              <w:t xml:space="preserve">0</w:t>
            </w:r>
          </w:p>
        </w:tc>
        <w:tc>
          <w:tcPr>
            <w:tcW w:w="2000" w:type="dxa"/>
            <w:gridSpan w:val="1"/>
            <w:noWrap/>
          </w:tcPr>
          <w:p>
            <w:pPr/>
            <w:r>
              <w:rPr/>
              <w:t xml:space="preserve">- Diploma degree developed.</w:t>
            </w:r>
          </w:p>
        </w:tc>
        <w:tc>
          <w:tcPr>
            <w:tcW w:w="2000" w:type="dxa"/>
            <w:gridSpan w:val="1"/>
            <w:noWrap/>
          </w:tcPr>
          <w:p>
            <w:pPr/>
            <w:r>
              <w:rPr/>
              <w:t xml:space="preserve">- 30 researchers (15 women; 15 men) trained.</w:t>
            </w:r>
          </w:p>
          <w:p>
            <w:pPr/>
            <w:r>
              <w:rPr/>
              <w:t xml:space="preserve">- Researchers network created.</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Initial discussions were held with academic and technical stakeholders such as INTEC University and the Plastic Investigation Institute, to strengthen research capacities on plastics and the circular economy. The formal development of the diploma programme and specialized training activities has not yet commenced.</w:t>
            </w:r>
          </w:p>
          <w:p>
            <w:pPr/>
            <w:r>
              <w:rPr/>
              <w:t xml:space="preserve"/>
            </w:r>
          </w:p>
          <w:p>
            <w:pPr/>
            <w:r>
              <w:rPr/>
              <w:t xml:space="preserve">It is expected that one of the existing research networks, such as RAUDO, will be integrated into the project to leverage established expertise and avoid duplicating efforts in the creation of a new network. (Additional evidence supporting the reported progress is provided in the file library)</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Knowledge and capacity for behavior and social change</w:t>
            </w:r>
          </w:p>
          <w:p>
            <w:pPr/>
            <w:r>
              <w:rPr>
                <w:b w:val="1"/>
                <w:bCs w:val="1"/>
              </w:rPr>
              <w:t xml:space="preserve">Outputs to achieve Outcome 4:</w:t>
            </w:r>
          </w:p>
          <w:p>
            <w:pPr/>
            <w:r>
              <w:rPr>
                <w:b w:val="1"/>
                <w:bCs w:val="1"/>
              </w:rPr>
              <w:t xml:space="preserve">Output 4.1 Organize regular national awareness-raising campaigns with airlines/cruises, tours operators and hotels to promote the reduction of plastic materials.</w:t>
            </w:r>
          </w:p>
          <w:p>
            <w:pPr/>
            <w:r>
              <w:rPr>
                <w:b w:val="1"/>
                <w:bCs w:val="1"/>
              </w:rPr>
              <w:t xml:space="preserve">Output 4.2 Prepare communication materials to disseminate them in different digital and print media about the circular economy, sustainable alternatives to the use of plastics, and about the programme and project's actions, together with partners.</w:t>
            </w:r>
          </w:p>
          <w:p>
            <w:pPr/>
            <w:r>
              <w:rPr>
                <w:b w:val="1"/>
                <w:bCs w:val="1"/>
              </w:rPr>
              <w:t xml:space="preserve">Output 4.3 Design guides and provide technical assistance for the replacement of single-use plastics in hotels and catering, including the systematization of the project "Transforming tourism value chains".</w:t>
            </w:r>
          </w:p>
          <w:p>
            <w:pPr/>
            <w:r>
              <w:rPr>
                <w:b w:val="1"/>
                <w:bCs w:val="1"/>
              </w:rPr>
              <w:t xml:space="preserve">Output 4.4 Implement a communication campaign for students on plastic reduction and its replacement, on legislation and its enforcement.</w:t>
            </w:r>
          </w:p>
          <w:p>
            <w:pPr/>
            <w:r>
              <w:rPr>
                <w:b w:val="1"/>
                <w:bCs w:val="1"/>
              </w:rPr>
              <w:t xml:space="preserve">Output 4.5 Train government officers to support the related national plans.</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Indicator 12: Awareness raising, behavioral change and knowledge sharing enhanced measure by:</w:t>
            </w:r>
          </w:p>
          <w:p>
            <w:pPr/>
            <w:r>
              <w:rPr/>
              <w:t xml:space="preserve">- Awareness raising in touristic sector.</w:t>
            </w:r>
          </w:p>
          <w:p>
            <w:pPr/>
            <w:r>
              <w:rPr/>
              <w:t xml:space="preserve">- Communication campaigns to students</w:t>
            </w:r>
          </w:p>
          <w:p>
            <w:pPr/>
            <w:r>
              <w:rPr/>
              <w:t xml:space="preserve">- Government Officers training.</w:t>
            </w:r>
          </w:p>
          <w:p>
            <w:pPr/>
            <w:r>
              <w:rPr/>
              <w:t xml:space="preserve">Linked to Program Outcome 4.1</w:t>
            </w:r>
          </w:p>
          <w:p>
            <w:pPr/>
            <w:r>
              <w:rPr/>
              <w:t xml:space="preserve"/>
            </w:r>
          </w:p>
        </w:tc>
        <w:tc>
          <w:tcPr>
            <w:tcW w:w="2000" w:type="dxa"/>
            <w:gridSpan w:val="1"/>
            <w:noWrap/>
          </w:tcPr>
          <w:p>
            <w:pPr/>
            <w:r>
              <w:rPr/>
              <w:t xml:space="preserve">0</w:t>
            </w:r>
          </w:p>
        </w:tc>
        <w:tc>
          <w:tcPr>
            <w:tcW w:w="2000" w:type="dxa"/>
            <w:gridSpan w:val="1"/>
            <w:noWrap/>
          </w:tcPr>
          <w:p>
            <w:pPr/>
            <w:r>
              <w:rPr/>
              <w:t xml:space="preserve">At least 150 government officers (80 women and 70 men) trained.</w:t>
            </w:r>
          </w:p>
        </w:tc>
        <w:tc>
          <w:tcPr>
            <w:tcW w:w="2000" w:type="dxa"/>
            <w:gridSpan w:val="1"/>
            <w:noWrap/>
          </w:tcPr>
          <w:p>
            <w:pPr/>
            <w:r>
              <w:rPr/>
              <w:t xml:space="preserve">Awareness raised in touristic regions reaching 2,800 people (1,400 women, 1,400 men)</w:t>
            </w:r>
          </w:p>
          <w:p>
            <w:pPr/>
            <w:r>
              <w:rPr/>
              <w:t xml:space="preserve">Communication campaign implemented in public schools and 5,000 students (2,500 women, 2,500 men) awareness raised.</w:t>
            </w:r>
          </w:p>
          <w:p>
            <w:pPr/>
            <w:r>
              <w:rPr/>
              <w:t xml:space="preserve">475 government officers (235 women and 240 men) trained.</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As part of the project’s communication and stakeholder engagement efforts, awareness-raising activities were conducted through the project inception workshop, the first Extended Producer Responsibility (EPR) workshop, and other related forums. These engagements contributed to increasing awareness among key stakeholders regarding the need for a systemic transition towards sustainable plastics management and circular economy approaches.</w:t>
            </w:r>
          </w:p>
          <w:p>
            <w:pPr/>
            <w:r>
              <w:rPr/>
              <w:t xml:space="preserve">While the project has not yet formally developed and launched its communication campaign, these initial outreach efforts have already engaged approximately 15 government representatives from the Ministry of Environment and Natural Resources and the Ministry of Industry, Commerce and MSMEs (MICM), see list of attendees.</w:t>
            </w:r>
          </w:p>
          <w:p>
            <w:pPr/>
            <w:r>
              <w:rPr/>
              <w:t xml:space="preserve">Also, a first engagement of the project with INABIE (the National Institute for Student Welfare of the Dominican Republic) was also carried out to provide technical assistance through the project for the development of an environmentally sustainable schools program. The program integrates components such as talks and workshops, the development of educational materials, and the implementation of a joint awareness campaign with INABIE on responsible plastic consumption.</w:t>
            </w:r>
          </w:p>
          <w:p>
            <w:pPr/>
            <w:r>
              <w:rPr/>
              <w:t xml:space="preserve">This initial phase serves as a foundation for more targeted awareness-raising and communication activities to be implemented during the next reporting period, once the communication campaign is formally underway.</w:t>
            </w:r>
          </w:p>
          <w:p>
            <w:pPr/>
            <w:r>
              <w:rPr/>
              <w:t xml:space="preserve">(Additional evidence supporting the reported progress is provided in the file library)</w:t>
            </w:r>
          </w:p>
        </w:tc>
      </w:tr>
      <w:tr>
        <w:trPr/>
        <w:tc>
          <w:tcPr>
            <w:tcW w:w="4000" w:type="dxa"/>
            <w:gridSpan w:val="1"/>
            <w:noWrap/>
          </w:tcPr>
          <w:p>
            <w:pPr/>
            <w:r>
              <w:rPr/>
              <w:t xml:space="preserve">Indicator 13: Number of demonstration activities implemented in a touristic area.</w:t>
            </w:r>
          </w:p>
          <w:p>
            <w:pPr/>
            <w:r>
              <w:rPr/>
              <w:t xml:space="preserve">Linked to Program Outcome 4.1</w:t>
            </w:r>
          </w:p>
          <w:p>
            <w:pPr/>
            <w:r>
              <w:rPr/>
              <w:t xml:space="preserve"/>
            </w:r>
          </w:p>
        </w:tc>
        <w:tc>
          <w:tcPr>
            <w:tcW w:w="2000" w:type="dxa"/>
            <w:gridSpan w:val="1"/>
            <w:noWrap/>
          </w:tcPr>
          <w:p>
            <w:pPr/>
            <w:r>
              <w:rPr/>
              <w:t xml:space="preserve">0</w:t>
            </w:r>
          </w:p>
        </w:tc>
        <w:tc>
          <w:tcPr>
            <w:tcW w:w="2000" w:type="dxa"/>
            <w:gridSpan w:val="1"/>
            <w:noWrap/>
          </w:tcPr>
          <w:p>
            <w:pPr/>
            <w:r>
              <w:rPr/>
              <w:t xml:space="preserve">10 hotels, bars, and restaurants certified.</w:t>
            </w:r>
          </w:p>
          <w:p>
            <w:pPr/>
            <w:r>
              <w:rPr/>
              <w:t xml:space="preserve">At least 30 buzos (15 women and 15 men) certified in best practices and formalized.</w:t>
            </w:r>
          </w:p>
          <w:p>
            <w:pPr/>
            <w:r>
              <w:rPr/>
              <w:t xml:space="preserve"/>
            </w:r>
          </w:p>
        </w:tc>
        <w:tc>
          <w:tcPr>
            <w:tcW w:w="2000" w:type="dxa"/>
            <w:gridSpan w:val="1"/>
            <w:noWrap/>
          </w:tcPr>
          <w:p>
            <w:pPr/>
            <w:r>
              <w:rPr/>
              <w:t xml:space="preserve">- One (1) demonstration activity implemented in a touristic area engaging hotels, restaurants and “buzos”.</w:t>
            </w:r>
          </w:p>
        </w:tc>
        <w:tc>
          <w:tcPr>
            <w:tcW w:w="4000" w:type="dxa"/>
            <w:gridSpan w:val="1"/>
            <w:noWrap/>
          </w:tcPr>
          <w:p>
            <w:pPr/>
            <w:r>
              <w:rPr>
                <w:i w:val="1"/>
                <w:iCs w:val="1"/>
              </w:rPr>
              <w:t xml:space="preserve">(not set or not applicable)</w:t>
            </w:r>
          </w:p>
        </w:tc>
        <w:tc>
          <w:tcPr>
            <w:tcW w:w="4000" w:type="dxa"/>
            <w:gridSpan w:val="1"/>
            <w:noWrap/>
          </w:tcPr>
          <w:p>
            <w:pPr/>
            <w:r>
              <w:rPr/>
              <w:t xml:space="preserve">The tourism sector was identified as a priority area for intervention, and potential pilot actions targeting hotels, restaurants, and tourism destinations were discussed with several hotel chains, IBEROSTAR been one of them. These efforts build on previous initiatives led by the Ministry of Environment and other sector partners to promote the reduction of single-use plastics within the tourism industry. No demonstration activities have been implemented under the project by the end of the reporting period. However, these earlier initiatives are expected to provide a solid foundation for engagement with tourism stakeholders and facilitate the implementation of pilot interventions under the project in the coming phases. (Additional evidence supporting the reported progress is provided in the file library)</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5</w:t>
            </w:r>
          </w:p>
          <w:p>
            <w:pPr/>
            <w:r>
              <w:rPr>
                <w:b w:val="1"/>
                <w:bCs w:val="1"/>
              </w:rPr>
              <w:t xml:space="preserve">Transparency, M&amp;E, reporting and Programme-level coordination</w:t>
            </w:r>
          </w:p>
          <w:p>
            <w:pPr/>
            <w:r>
              <w:rPr>
                <w:b w:val="1"/>
                <w:bCs w:val="1"/>
              </w:rPr>
              <w:t xml:space="preserve">Outputs to achieve Outcome 5:</w:t>
            </w:r>
          </w:p>
          <w:p>
            <w:pPr/>
            <w:r>
              <w:rPr>
                <w:b w:val="1"/>
                <w:bCs w:val="1"/>
              </w:rPr>
              <w:t xml:space="preserve">Output 5.1 Create a participatory measurement and reporting base guaranteeing data traceability and transparency.</w:t>
            </w:r>
          </w:p>
          <w:p>
            <w:pPr/>
            <w:r>
              <w:rPr>
                <w:b w:val="1"/>
                <w:bCs w:val="1"/>
              </w:rPr>
              <w:t xml:space="preserve">Output 5.2 Adopt harmonized definitions, metrics, and measurement methodologies for plastic.</w:t>
            </w:r>
          </w:p>
          <w:p>
            <w:pPr/>
            <w:r>
              <w:rPr>
                <w:b w:val="1"/>
                <w:bCs w:val="1"/>
              </w:rPr>
              <w:t xml:space="preserve">Output 5.3 Promote improved access to resources and knowledge platforms.</w:t>
            </w:r>
          </w:p>
          <w:p>
            <w:pPr/>
            <w:r>
              <w:rPr>
                <w:b w:val="1"/>
                <w:bCs w:val="1"/>
              </w:rPr>
              <w:t xml:space="preserve">Output 5.4 Participation on the IP global platform and activities.</w:t>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Indicator 14:</w:t>
            </w:r>
          </w:p>
          <w:p>
            <w:pPr/>
            <w:r>
              <w:rPr/>
              <w:t xml:space="preserve">Number of participation activities on the global IP</w:t>
            </w:r>
          </w:p>
          <w:p>
            <w:pPr/>
            <w:r>
              <w:rPr/>
              <w:t xml:space="preserve">Linked to Program Outcome 5.1</w:t>
            </w:r>
          </w:p>
          <w:p>
            <w:pPr/>
            <w:r>
              <w:rPr/>
              <w:t xml:space="preserve"/>
            </w:r>
          </w:p>
        </w:tc>
        <w:tc>
          <w:tcPr>
            <w:tcW w:w="2000" w:type="dxa"/>
            <w:gridSpan w:val="1"/>
            <w:noWrap/>
          </w:tcPr>
          <w:p>
            <w:pPr/>
            <w:r>
              <w:rPr/>
              <w:t xml:space="preserve">0</w:t>
            </w:r>
          </w:p>
        </w:tc>
        <w:tc>
          <w:tcPr>
            <w:tcW w:w="2000" w:type="dxa"/>
            <w:gridSpan w:val="1"/>
            <w:noWrap/>
          </w:tcPr>
          <w:p>
            <w:pPr/>
            <w:r>
              <w:rPr/>
              <w:t xml:space="preserve">- At least 6 participating activities ensured considering the annual conference, virtual events and working groups.</w:t>
            </w:r>
          </w:p>
        </w:tc>
        <w:tc>
          <w:tcPr>
            <w:tcW w:w="2000" w:type="dxa"/>
            <w:gridSpan w:val="1"/>
            <w:noWrap/>
          </w:tcPr>
          <w:p>
            <w:pPr/>
            <w:r>
              <w:rPr/>
              <w:t xml:space="preserve">- At least 12 participating activities ensured considering the annual conference, virtual events and working groups.</w:t>
            </w:r>
          </w:p>
        </w:tc>
        <w:tc>
          <w:tcPr>
            <w:tcW w:w="4000" w:type="dxa"/>
            <w:gridSpan w:val="1"/>
            <w:noWrap/>
          </w:tcPr>
          <w:p>
            <w:pPr/>
            <w:r>
              <w:rPr>
                <w:i w:val="1"/>
                <w:iCs w:val="1"/>
              </w:rPr>
              <w:t xml:space="preserve">(not set or not applicable)</w:t>
            </w:r>
          </w:p>
        </w:tc>
        <w:tc>
          <w:tcPr>
            <w:tcW w:w="4000" w:type="dxa"/>
            <w:gridSpan w:val="1"/>
            <w:noWrap/>
          </w:tcPr>
          <w:p>
            <w:pPr/>
            <w:r>
              <w:rPr/>
              <w:t xml:space="preserve">The national team participated in the initial coordination activities of the Plastic Reboot Integrated Program, including engagement with implementing partners and the program’s global governance mechanisms. Participation was ensured in the first Annual Conference in Brazil, one regional GEF-UNDP Chemicals and Waste Workshop in Panama, and three Global Project Working Groups (Deposit return systems by Perpetual, Financial Mechanism by Circular initiative, and Alternative Materials by RSB), contributing to knowledge exchange, alignment with programmatic objectives, and coordination across participating countries and projects. (Additional evidence supporting the reported progress is provided in the file library)</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6</w:t>
            </w:r>
          </w:p>
          <w:p>
            <w:pPr/>
            <w:r>
              <w:rPr>
                <w:b w:val="1"/>
                <w:bCs w:val="1"/>
              </w:rPr>
              <w:t xml:space="preserve">Monitoring &amp; Evaluation</w:t>
            </w:r>
          </w:p>
          <w:p>
            <w:pPr/>
            <w:r>
              <w:rPr>
                <w:b w:val="1"/>
                <w:bCs w:val="1"/>
              </w:rPr>
              <w:t xml:space="preserve"/>
            </w:r>
          </w:p>
          <w:p>
            <w:pPr/>
            <w:r>
              <w:rPr>
                <w:b w:val="1"/>
                <w:bCs w:val="1"/>
              </w:rPr>
              <w:t xml:space="preserve"/>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Indicator 15:</w:t>
            </w:r>
          </w:p>
          <w:p>
            <w:pPr/>
            <w:r>
              <w:rPr/>
              <w:t xml:space="preserve">Project-level monitoring and evaluation completed through documentation from Inception Workshop, Annual GEF Project Implementation Reviews (PIR), M&amp;E of GEF core Indicators, Gender Plan, Safeguards Frameworks and Action Plans, Independent Mid-Term Review, and Independent Terminal Evaluation</w:t>
            </w:r>
          </w:p>
          <w:p>
            <w:pPr/>
            <w:r>
              <w:rPr/>
              <w:t xml:space="preserve"/>
            </w:r>
          </w:p>
          <w:p>
            <w:pPr/>
            <w:r>
              <w:rPr/>
              <w:t xml:space="preserve"/>
            </w:r>
          </w:p>
        </w:tc>
        <w:tc>
          <w:tcPr>
            <w:tcW w:w="2000" w:type="dxa"/>
            <w:gridSpan w:val="1"/>
            <w:noWrap/>
          </w:tcPr>
          <w:p>
            <w:pPr/>
            <w:r>
              <w:rPr/>
              <w:t xml:space="preserve">0</w:t>
            </w:r>
          </w:p>
        </w:tc>
        <w:tc>
          <w:tcPr>
            <w:tcW w:w="2000" w:type="dxa"/>
            <w:gridSpan w:val="1"/>
            <w:noWrap/>
          </w:tcPr>
          <w:p>
            <w:pPr/>
            <w:r>
              <w:rPr/>
              <w:t xml:space="preserve">- Inception Workshop, PIRs, annual Board meetings, annual update of GEF core indicators, gender, stakeholder participation and ESMF, and MTR completed.</w:t>
            </w:r>
          </w:p>
        </w:tc>
        <w:tc>
          <w:tcPr>
            <w:tcW w:w="2000" w:type="dxa"/>
            <w:gridSpan w:val="1"/>
            <w:noWrap/>
          </w:tcPr>
          <w:p>
            <w:pPr/>
            <w:r>
              <w:rPr/>
              <w:t xml:space="preserve">- Independent TE completed.</w:t>
            </w:r>
          </w:p>
          <w:p>
            <w:pPr/>
            <w:r>
              <w:rPr/>
              <w:t xml:space="preserve">- Final core indicators updated.</w:t>
            </w:r>
          </w:p>
          <w:p>
            <w:pPr/>
            <w:r>
              <w:rPr/>
              <w:t xml:space="preserve">- Final project board meeting carried out.</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Initial project start-up activities were successfully completed, including the inception workshop, the establishment of project coordination mechanisms, and the preparation of the present Project Implementation Report (PIR). The Inception Workshop was conducted as planned, providing a platform for stakeholder engagement, alignment on project objectives, and agreement on implementation arrangements. In addition, the first Annual Project Board Meeting was successfully held, ensuring strategic oversight and guidance for project implementation during the reporting period. (Additional evidence supporting the reported progress is provided in the file library)</w:t>
            </w:r>
          </w:p>
        </w:tc>
      </w:tr>
      <w:tr>
        <w:trPr/>
        <w:tc>
          <w:tcPr>
            <w:tcW w:w="4000" w:type="dxa"/>
            <w:gridSpan w:val="1"/>
            <w:noWrap/>
          </w:tcPr>
          <w:p>
            <w:pPr/>
            <w:r>
              <w:rPr/>
              <w:t xml:space="preserve">Indicator 16:</w:t>
            </w:r>
          </w:p>
          <w:p>
            <w:pPr/>
            <w:r>
              <w:rPr/>
              <w:t xml:space="preserve">Percentage of project expenditure spent on the Dominican Republic Project planned activities.</w:t>
            </w:r>
          </w:p>
          <w:p>
            <w:pPr/>
            <w:r>
              <w:rPr/>
              <w:t xml:space="preserve"/>
            </w:r>
          </w:p>
        </w:tc>
        <w:tc>
          <w:tcPr>
            <w:tcW w:w="2000" w:type="dxa"/>
            <w:gridSpan w:val="1"/>
            <w:noWrap/>
          </w:tcPr>
          <w:p>
            <w:pPr/>
            <w:r>
              <w:rPr/>
              <w:t xml:space="preserve">0</w:t>
            </w:r>
          </w:p>
        </w:tc>
        <w:tc>
          <w:tcPr>
            <w:tcW w:w="2000" w:type="dxa"/>
            <w:gridSpan w:val="1"/>
            <w:noWrap/>
          </w:tcPr>
          <w:p>
            <w:pPr/>
            <w:r>
              <w:rPr/>
              <w:t xml:space="preserve">40%</w:t>
            </w:r>
          </w:p>
        </w:tc>
        <w:tc>
          <w:tcPr>
            <w:tcW w:w="2000" w:type="dxa"/>
            <w:gridSpan w:val="1"/>
            <w:noWrap/>
          </w:tcPr>
          <w:p>
            <w:pPr/>
            <w:r>
              <w:rPr/>
              <w:t xml:space="preserve">100%</w:t>
            </w:r>
          </w:p>
        </w:tc>
        <w:tc>
          <w:tcPr>
            <w:tcW w:w="4000" w:type="dxa"/>
            <w:gridSpan w:val="1"/>
            <w:noWrap/>
          </w:tcPr>
          <w:p>
            <w:pPr/>
            <w:r>
              <w:rPr>
                <w:i w:val="1"/>
                <w:iCs w:val="1"/>
              </w:rPr>
              <w:t xml:space="preserve">(not set or not applicable)</w:t>
            </w:r>
          </w:p>
        </w:tc>
        <w:tc>
          <w:tcPr>
            <w:tcW w:w="4000" w:type="dxa"/>
            <w:gridSpan w:val="1"/>
            <w:noWrap/>
          </w:tcPr>
          <w:p>
            <w:pPr/>
            <w:r>
              <w:rPr/>
              <w:t xml:space="preserve">The project's expenditure rate during the reporting period was influenced by two main factors. First, the establishment of the financial and operational arrangements required for project implementation, including the opening of dedicated bank accounts and related inter-institutional administrative procedures, required additional processing time following ProDoc signature. This experience has generated valuable lessons learned that will help streamline financial readiness processes for future GEF projects. Second, several activities directly linked to Plastic Reboot objectives were already incorporated into the Ministry of Environment's 2026 Annual Operational Plan and institutional budget as part of their counterpart contribution to the project. These included actions related to the Extended Producer Responsibility (EPR) regulatory framework, stakeholder workshops, and Green Public Procurement initiatives. As a result, progress was achieved on relevant project indicators through institutional resources and ongoing government efforts, reducing the immediate need to utilize project funds during the initial implementation phase. (Additional evidence supporting the reported progress is provided in the file library)</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50,139</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t xml:space="preserve">150,000</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3,822,477</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48,563,658</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Delays in the achievement of outputs and activities during the reporting period were primarily related to the pending establishment of governance arrangements required for the receipt and implementation of donor-funded resources, as well as the identification of an appropriate third-party implementation mechanism. These prerequisites were further affected by a period of institutional and political transition, which slowed the operationalization of project activities.</w:t>
            </w:r>
          </w:p>
          <w:p>
            <w:pPr/>
            <w:r>
              <w:rPr/>
              <w:t xml:space="preserve">Despite these delays, the project made significant efforts to maintained continuous engagement with the Ministry of Environment, the UNDP Country Office and other relevant government counterparts to sustain political commitment, strengthen national ownership, and advance enabling conditions for implementation.</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To manage implementation performance and mitigate the impact of the delays experienced during the reporting period, the Country Office implemented several measures. These included maintaining strategic coordination meetings with the Ministry of Environment and other key government counterparts to monitor progress on the establishment of the required governance arrangements and to facilitate decision-making. The CO also provided technical and operational support to accelerate the identification and assessment of suitable third-party implementation modalities, while closely monitoring associated risks and bottlenecks.</w:t>
            </w:r>
          </w:p>
          <w:p>
            <w:pPr/>
            <w:r>
              <w:rPr/>
              <w:t xml:space="preserve"/>
            </w:r>
          </w:p>
          <w:p>
            <w:pPr/>
            <w:r>
              <w:rPr/>
              <w:t xml:space="preserve">In parallel, a phased implementation approach was adopted to advance preparatory activities that did not depend on the receipt of donor funds, ensuring readiness for project execution once the institutional arrangements were finalized. The CO further strengthened stakeholder engagement to preserve momentum, reinforce accountability among partners, and sustain high-level commitment throughout the period of institutional transition. These measures helped maintain project readiness and positioned the project for a timely start of implementation once the outstanding prerequisites were addressed.</w:t>
            </w:r>
          </w:p>
          <w:p>
            <w:pPr/>
            <w:r>
              <w:rPr/>
              <w:t xml:space="preserve"/>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2026-04-29</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Moderately Satisfactory</w:t>
            </w:r>
          </w:p>
        </w:tc>
        <w:tc>
          <w:tcPr>
            <w:tcW w:w="5000" w:type="dxa"/>
            <w:gridSpan w:val="1"/>
            <w:noWrap/>
          </w:tcPr>
          <w:p>
            <w:pPr/>
            <w:r>
              <w:rPr/>
              <w:t xml:space="preserve">Moderately 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This is the first PIR for the project. Since its inception, activities have primarily focused on establishing the administrative and financial frameworks required for implementation. The project is executed by the Ministry of Environment and Natural Resources with UNDP support. Because this is a project where the Ministry directly manages funds under this specific modality, establishing a dedicated project bank account has proven to be a protracted and complex process due to internal and external governmental procedures, compounded by a period of institutional and political transition.</w:t>
            </w:r>
          </w:p>
          <w:p>
            <w:pPr/>
            <w:r>
              <w:rPr/>
              <w:t xml:space="preserve"/>
            </w:r>
          </w:p>
          <w:p>
            <w:pPr/>
            <w:r>
              <w:rPr/>
              <w:t xml:space="preserve">Despite these administrative delays, the project has advanced toward its general objectives and across various components by laying the necessary groundwork for execution. It has fostered important spaces for dialogue, such as the Inception Workshop, successfully identifying key stakeholders to support implementation. Notably, specific programmatic milestones—such as the approval of the Extended Producer Responsibility (EPR) regulation—were achieved largely through the Ministry's complementary actions and institutional resources rather than project funds. On a positive note, this demonstrates the government's strong ownership and steadfast commitment to the project's objectives, which will be a critical asset for future implementation.</w:t>
            </w:r>
          </w:p>
          <w:p>
            <w:pPr/>
            <w:r>
              <w:rPr/>
              <w:t xml:space="preserve"/>
            </w:r>
          </w:p>
          <w:p>
            <w:pPr/>
            <w:r>
              <w:rPr/>
              <w:t xml:space="preserve">Financial delivery remains very low at US$ 50,139, representing 1.31% of the GEF grant. This has been severely constrained by the aforementioned delays in opening the dedicated bank account and in fully staffing the Project Management Unit (PMU). It is imperative that the Ministry resolves these two critical administrative bottlenecks to unlock execution. The UNDP Country Office (CO) has provided continuous support and close follow-up; however, the resolution ultimately depends on the Ministry's internal processes. Regarding co-financing, no materialized funds are reported yet. Furthermore, a major co-financier identified during the PPG phase (USAID) has cancelled its relevant solid waste reduction portfolio in the country. Consequently, the project must proactively identify new co-financing partners to meet its targets.</w:t>
            </w:r>
          </w:p>
          <w:p>
            <w:pPr/>
            <w:r>
              <w:rPr/>
              <w:t xml:space="preserve"/>
            </w:r>
          </w:p>
          <w:p>
            <w:pPr/>
            <w:r>
              <w:rPr/>
              <w:t xml:space="preserve">The risks detailed in the Risk Register (spanning operational, organizational, and financial categories) remain highly relevant. This is expected given that the project is in its early stages of implementation and is actively working to strengthen national capacities to promote the adoption of circular solutions to plastic pollution. The project has not reported any new risks or grievances during this period, and the Social and Environmental Standards (SES) categorization remains unchanged at Moderate risk.</w:t>
            </w:r>
          </w:p>
          <w:p>
            <w:pPr/>
            <w:r>
              <w:rPr/>
              <w:t xml:space="preserve">Procurement activities have consequently been delayed by the pending operationalization of the bank account. It is important to highlight that the Ministry will directly lead most procurement processes, it may face administrative complexities in recruiting specialized international experts or in contracting private sector entities for the pilot projects. If needed, UNDP can provide support for the procurement processes. Therefore, close monitoring of procurement plans and early identification of technical assistance needs from UNDP will be crucial to prevent further delays.</w:t>
            </w:r>
          </w:p>
          <w:p>
            <w:pPr/>
            <w:r>
              <w:rPr/>
              <w:t xml:space="preserve"/>
            </w:r>
          </w:p>
          <w:p>
            <w:pPr/>
            <w:r>
              <w:rPr/>
              <w:t xml:space="preserve">On Gender, the project has actively integrated gender perspectives into its communications and event outreach, promoting women's equal participation. A clear example of this is the initial engagement with grassroots and women-led organizations, such as the Fundación Casa de María Hernández (FUNDOMARIA), with whom the project has structured a joint work plan targeting 10 schools and 3 community foundations.</w:t>
            </w:r>
          </w:p>
          <w:p>
            <w:pPr/>
            <w:r>
              <w:rPr/>
              <w:t xml:space="preserve"/>
            </w:r>
          </w:p>
          <w:p>
            <w:pPr/>
            <w:r>
              <w:rPr/>
              <w:t xml:space="preserve">Regarding Knowledge Management and Communications, the project has effectively leveraged the global Plastic Reboot platform for its branding and communication strategy, while simultaneously utilizing the Ministry's official channels to maximize reach and institutional backing. The project's active participation in the first annual global conference of the PlasticReboot program in Salvador, Brazil, demonstrated its strong commitment to the global programmatic approach and provided an excellent opportunity to showcase its strategy to an international audience.</w:t>
            </w:r>
          </w:p>
          <w:p>
            <w:pPr/>
            <w:r>
              <w:rPr/>
              <w:t xml:space="preserve"/>
            </w:r>
          </w:p>
          <w:p>
            <w:pPr/>
            <w:r>
              <w:rPr/>
              <w:t xml:space="preserve">In summary, the project is in its initial implementation phase, focusing heavily on creating enabling conditions, securing counterparts, and fostering policy dialogue. It has experienced setbacks in its work plan primarily due to delays in opening the dedicated bank account, which temporarily hindered contracting capabilities. While the UNDP CO has facilitated direct payments to vendors as a temporary mitigation measure, establishing the permanent financial channel is urgent. Considering the progress made in its activities offset by the limited financial execution, the ratings for Development Objective (DO) and Implementation Progress (IP) are evaluated as Moderately Satisfactory (MS). Resolving the administrative bottlenecks and fully staffing the PMU are the highest priorities to ensure significant progress and recover lost time in the next reporting period.</w:t>
            </w:r>
          </w:p>
          <w:p>
            <w:pPr/>
            <w:r>
              <w:rPr/>
              <w:t xml:space="preserve"/>
            </w:r>
          </w:p>
          <w:p>
            <w:pPr/>
            <w:r>
              <w:rPr/>
              <w:t xml:space="preserve">----</w:t>
            </w:r>
          </w:p>
          <w:p>
            <w:pPr/>
            <w:r>
              <w:rPr/>
              <w:t xml:space="preserve">•	Resolving administrative bottlenecks and governance arrangements: The Ministry must finalize the bank account setup and complete the hiring of the core project team. This is the ultimate prerequisite to facilitate the planned operational activities.</w:t>
            </w:r>
          </w:p>
          <w:p>
            <w:pPr/>
            <w:r>
              <w:rPr/>
              <w:t xml:space="preserve">•	Identifying alternative co-financing sources: Given that a major expected co-financier (USAID) has closed its relevant portfolio in the Dominican Republic, the project must aggressively map and engage new strategic partners to fulfill its proposed co-financing targets.</w:t>
            </w:r>
          </w:p>
          <w:p>
            <w:pPr/>
            <w:r>
              <w:rPr/>
              <w:t xml:space="preserve">•	Initiating pilot projects: The project needs to define the execution mechanisms and identify the specific actors (private sector, NGOs, municipalities) to implement the physical field activities, establishing agile contracting mechanisms to bring them on board.</w:t>
            </w:r>
          </w:p>
          <w:p>
            <w:pPr/>
            <w:r>
              <w:rPr/>
              <w:t xml:space="preserve"/>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Overall, project implementation during the reporting period progressed more slowly than initially anticipated due to external factors related to the establishment of governance arrangements for donor-funded resources and the identification of an appropriate implementation strategy. These challenges were compounded by a period of institutional and political transition, which affected the pace of decision-making and delayed the operationalization of planned activities.</w:t>
            </w:r>
          </w:p>
          <w:p>
            <w:pPr/>
            <w:r>
              <w:rPr/>
              <w:t xml:space="preserve">Despite these constraints, the project remains strategically relevant and continues to benefit from strong engagement and commitment from the Ministry of Environment and other key stakeholders at different levels. The Country Office maintained proactive coordination and technical support throughout the reporting period, helping to preserve stakeholder ownership, strengthen institutional readiness, and advance the conditions necessary for effective implementation.</w:t>
            </w:r>
          </w:p>
          <w:p>
            <w:pPr/>
            <w:r>
              <w:rPr/>
              <w:t xml:space="preserve">The measures undertaken to manage implementation risks and sustain momentum have positioned the project for a more effective rollout once the outstanding prerequisites are finalized. Given the continued government commitment, the progress made toward establishing the required implementation framework, and the relevance of the project objectives, the overall outlook remains positive. Moving forward, close monitoring, timely finalization of governance arrangements, and continued stakeholder engagement will be critical to accelerating implementation and achieving the expected results within the project timeframe.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During the reporting period, implementation of field-level activities and associated Global Environmental Benefits (GEB) measurements advanced at a slower pace than initially anticipated. This was primarily due to the time required to consolidate institutional arrangements, strengthen coordination mechanisms, and ensure that implementation frameworks are aligned with national priorities and sustainability objectives.</w:t>
            </w:r>
          </w:p>
          <w:p>
            <w:pPr/>
            <w:r>
              <w:rPr/>
              <w:t xml:space="preserve">Notwithstanding these delays, the project has made significant progress in generating the enabling conditions necessary for long-term transformational impact. In particular, notable achievements have been recorded under Outcome 1 (Strengthened Legal and Policy Frameworks) and Outcome 4 (Knowledge Management, Communications and Awareness Raising), contributing to the sustainability and scalability of project interventions.</w:t>
            </w:r>
          </w:p>
          <w:p>
            <w:pPr/>
            <w:r>
              <w:rPr/>
              <w:t xml:space="preserve">The project has continued to play a catalytic role in supporting the development and strengthening of the EPR for advancing environmental sustainability and systemic change. Through sustained engagement with government counterparts, technical institutions, and relevant stakeholders, the project has contributed to establishing the first policy dialogue.</w:t>
            </w:r>
          </w:p>
          <w:p>
            <w:pPr/>
            <w:r>
              <w:rPr/>
              <w:t xml:space="preserve">Also, communications and knowledge-sharing activities emerged as a strong area of progress during the reporting period. The project successfully expanded its visibility, strengthened stakeholder engagement, and promoted awareness of key environmental challenges and solutions among diverse audiences.</w:t>
            </w:r>
          </w:p>
          <w:p>
            <w:pPr/>
            <w:r>
              <w:rPr/>
              <w:t xml:space="preserve">Looking ahead, the foundations laid during this reporting period are expected to accelerate implementation and facilitate the mainstreaming of project objectives across relevant sectors, thereby enhancing the potential for long-term, nationally driven outcomes.</w:t>
            </w:r>
          </w:p>
        </w:tc>
      </w:tr>
      <w:tr>
        <w:trPr/>
        <w:tc>
          <w:tcPr>
            <w:tcW w:w="5000" w:type="dxa"/>
            <w:gridSpan w:val="1"/>
            <w:noWrap/>
          </w:tcPr>
          <w:p>
            <w:pPr/>
            <w:r>
              <w:rPr>
                <w:b w:val="1"/>
                <w:bCs w:val="1"/>
              </w:rPr>
              <w:t xml:space="preserve">GEF Operational Focal point</w:t>
            </w:r>
          </w:p>
        </w:tc>
        <w:tc>
          <w:tcPr>
            <w:tcW w:w="10000" w:type="dxa"/>
            <w:gridSpan w:val="1"/>
            <w:noWrap/>
          </w:tcPr>
          <w:p>
            <w:pPr/>
            <w:r>
              <w:rPr>
                <w:i w:val="1"/>
                <w:iCs w:val="1"/>
              </w:rPr>
              <w:t xml:space="preserve">(not set or not applicable)</w:t>
            </w:r>
          </w:p>
        </w:tc>
      </w:tr>
      <w:tr>
        <w:trPr/>
        <w:tc>
          <w:tcPr>
            <w:tcW w:w="5000" w:type="dxa"/>
            <w:gridSpan w:val="1"/>
            <w:noWrap/>
          </w:tcPr>
          <w:p>
            <w:pPr/>
            <w:r>
              <w:rPr>
                <w:b w:val="1"/>
                <w:bCs w:val="1"/>
              </w:rPr>
              <w:t xml:space="preserve">Project Implementing Partner</w:t>
            </w:r>
          </w:p>
        </w:tc>
        <w:tc>
          <w:tcPr>
            <w:tcW w:w="10000" w:type="dxa"/>
            <w:gridSpan w:val="1"/>
            <w:noWrap/>
          </w:tcPr>
          <w:p>
            <w:pPr/>
            <w:r>
              <w:rPr>
                <w:i w:val="1"/>
                <w:iCs w:val="1"/>
              </w:rPr>
              <w:t xml:space="preserve">(not set or not applicable)</w:t>
            </w:r>
          </w:p>
        </w:tc>
      </w:tr>
      <w:tr>
        <w:trPr/>
        <w:tc>
          <w:tcPr>
            <w:tcW w:w="5000" w:type="dxa"/>
            <w:gridSpan w:val="1"/>
            <w:noWrap/>
          </w:tcPr>
          <w:p>
            <w:pPr/>
            <w:r>
              <w:rPr>
                <w:b w:val="1"/>
                <w:bCs w:val="1"/>
              </w:rPr>
              <w:t xml:space="preserve">Other Partners</w:t>
            </w:r>
          </w:p>
        </w:tc>
        <w:tc>
          <w:tcPr>
            <w:tcW w:w="10000" w:type="dxa"/>
            <w:gridSpan w:val="1"/>
            <w:noWrap/>
          </w:tcPr>
          <w:p>
            <w:pPr/>
            <w:r>
              <w:rPr>
                <w:i w:val="1"/>
                <w:iCs w:val="1"/>
              </w:rPr>
              <w:t xml:space="preserve">(not set or not applicable)</w:t>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GEN2: </w:t>
            </w:r>
            <w:r>
              <w:rPr/>
              <w:t xml:space="preserve">Gender equality as significant objective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No</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the reporting period, the project promoted the participation of women and men in technical meetings, workshops, and stakeholder engagement processes related to project implementation and the advancement of the Extended Producer Responsibility (EPR) framework. Efforts were made to ensure inclusive participation and equal access to information, dialogue, and decision-making spaces. As a result of the inception workshop, a women-led organization, Fundación Casa de María Hernández (FUNDOMARIA), expressed interest in further engagement and requested a dedicated follow-up meeting. This engagement led to the development of a collaborative plan involving 10 schools and 3 grassroots organizations, creating additional opportunities for community participation, awareness-raising, and capacity-building activities. These efforts demonstrate the project's commitment to gender-responsive and inclusive stakeholder engagement, while strengthening local partnerships.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By ensuring that diverse perspectives, knowledge, and experiences were reflected in discussions related to plastic production, circular economy approaches, and the EPR framework. The participation of women alongside men contributed to more representative dialogue and strengthened local ownership of environmental solutions.</w:t>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The risks established in the Risk Register (spanning operational, organizational, and financial categories) remain highly relevant. This is expected given that the project is in its early stages of implementation and is actively working to strengthen national capacities to promote the adoption of circular solutions to plastic pollution.</w:t>
            </w:r>
          </w:p>
          <w:p>
            <w:pPr/>
            <w:r>
              <w:rPr/>
              <w:t xml:space="preserve"/>
            </w:r>
          </w:p>
          <w:p>
            <w:pPr/>
            <w:r>
              <w:rPr/>
              <w:t xml:space="preserve">Continuous risk monitoring remains a key agenda item during regular oversight meetings held between the Country Office (CO), the Regional Technical Advisor (RTA), and the Ministry's project team, ensuring the early identification and proactive resolution of emerging bottlenecks.</w:t>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Stakeholder engagement has been both visible and meaningful throughout the activities implemented under the project first period. The commitment demonstrated by the diverse stakeholders identified in the stakeholder engagement plan has been highly significant, reflecting a strong foundation for collaboration and shared ownership of project outcomes.</w:t>
            </w:r>
          </w:p>
          <w:p>
            <w:pPr/>
            <w:r>
              <w:rPr/>
              <w:t xml:space="preserve">During this initial implementation period, several engagement approaches, such as with INABIE, INTEC, RAUDO, DGCP, and many other stakeholders outlined in the stakeholder plan, have proven effective, particularly technical meetings and workshops focused on introducing the project and advancing discussions related to the REP. These spaces have facilitated constructive dialogue, strengthened partnerships, and fostered a common understanding of project objectives.</w:t>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The national project has supported the Ministry in consistently applying the Global Programme’s communication and branding guidelines, ensuring the correct use of logos, visual identity elements, and communication materials across project-related products and outreach activities, in line with programme-wide standards.</w:t>
            </w:r>
          </w:p>
          <w:p>
            <w:pPr/>
            <w:r>
              <w:rPr/>
              <w:t xml:space="preserve">During the reporting period, the global project team shared the communication strategy with the national team, which ensured its effective implementation during events and stakeholder engagement activities conducted under the project. Looking ahead, it is expected that the strategy will also be applied to the knowledge products generated within the framework of the project, further enhancing visibility, outreach, and dissemination of project results.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Project Website: https://plastic-reboot.org/en/projects/dominican-republic.</w:t>
            </w:r>
          </w:p>
          <w:p>
            <w:pPr/>
            <w:r>
              <w:rPr/>
              <w:t xml:space="preserve"/>
            </w:r>
          </w:p>
          <w:p>
            <w:pPr/>
            <w:r>
              <w:rPr/>
              <w:t xml:space="preserve">Media Coverage: https://ambiente.gob.do/lanzan-oficialmente-el-proyecto-plastic-reboot-soluciones-circulares-a-la-contaminacion-por-plasticos/</w:t>
            </w:r>
          </w:p>
          <w:p>
            <w:pPr/>
            <w:r>
              <w:rPr/>
              <w:t xml:space="preserve">https://ambiente.gob.do/plastic-reboot-economia-circular-rd/</w:t>
            </w:r>
          </w:p>
          <w:p>
            <w:pPr/>
            <w:r>
              <w:rPr/>
              <w:t xml:space="preserve">https://www.diariolibre.com/planeta/medioambiente/2026/05/27/anuncian-el-proyecto-plastic-reboot-para-reducir-residuos-plasticos/3547854</w:t>
            </w:r>
          </w:p>
          <w:p>
            <w:pPr/>
            <w:r>
              <w:rPr/>
              <w:t xml:space="preserve">https://presidencia.gob.do/noticias/lanzan-oficialmente-el-proyecto-plastic-reboot-soluciones-circulares-la-contaminacion-por</w:t>
            </w:r>
          </w:p>
          <w:p>
            <w:pPr/>
            <w:r>
              <w:rPr/>
              <w:t xml:space="preserve"/>
            </w:r>
          </w:p>
          <w:p>
            <w:pPr/>
            <w:r>
              <w:rPr/>
              <w:t xml:space="preserve">UNDP Dominican Republic</w:t>
            </w:r>
          </w:p>
          <w:p>
            <w:pPr/>
            <w:r>
              <w:rPr/>
              <w:t xml:space="preserve">https://www.undp.org/es/dominican-republic/noticias/proyecto-plastic-reboot-impulsa-hoja-de-ruta-nacional-para-reducir-residuos-plasticos-y-fortalecer-la-economia-circular</w:t>
            </w:r>
          </w:p>
          <w:p>
            <w:pPr/>
            <w:r>
              <w:rPr/>
              <w:t xml:space="preserve">https://www.undp.org/es/dominican-republic/noticias/lanzan-oficialmente-el-proyecto-plastic-reboot-soluciones-circulares-la-contaminacion-por-plasticos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EE63DA"/>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B0498 - Dominican Republic</OfficeCountry>
    <DocumentStatus xmlns="d9cf0e28-81d2-4dc7-8b10-820d80ed680d">Approved</DocumentStatus>
    <DocCoverageEndDate xmlns="d9cf0e28-81d2-4dc7-8b10-820d80ed680d">2026-06-30T04:00:00+00:00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Donor Report 2026</FileNameDescription>
    <ProjectNumber xmlns="d9cf0e28-81d2-4dc7-8b10-820d80ed680d">01003864</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UNDP-DOM</OperatingUnit>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3188D9B9-A392-49FF-8B62-2FF2CB5068CA}"/>
</file>

<file path=customXml/itemProps2.xml><?xml version="1.0" encoding="utf-8"?>
<ds:datastoreItem xmlns:ds="http://schemas.openxmlformats.org/officeDocument/2006/customXml" ds:itemID="{7C6A0EFE-0E61-4188-B8CF-479F6D05D74B}"/>
</file>

<file path=customXml/itemProps3.xml><?xml version="1.0" encoding="utf-8"?>
<ds:datastoreItem xmlns:ds="http://schemas.openxmlformats.org/officeDocument/2006/customXml" ds:itemID="{651F0854-2830-4A57-9CEC-0709D0DFD938}"/>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Donor Report 2026</dc:title>
  <dc:subject/>
  <dc:creator/>
  <cp:keywords/>
  <dc:description/>
  <cp:lastModifiedBy/>
  <dcterms:created xsi:type="dcterms:W3CDTF">2026-09-09T05:00:11Z</dcterms:created>
  <dcterms:modified xsi:type="dcterms:W3CDTF">2026-09-09T05:00:11Z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